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2E" w:rsidRPr="009E1150" w:rsidRDefault="001A7C0A" w:rsidP="001A7C0A">
      <w:pPr>
        <w:pStyle w:val="Pagedecouverture"/>
        <w:rPr>
          <w:lang w:val="fr-BE"/>
        </w:rPr>
      </w:pPr>
      <w:bookmarkStart w:id="0" w:name="LW_BM_COVERPAGE"/>
      <w:r>
        <w:rPr>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D57CEA2D5F848A4AEF52C85534A54A9" style="width:450.25pt;height:615.75pt">
            <v:imagedata r:id="rId9" o:title=""/>
          </v:shape>
        </w:pict>
      </w:r>
    </w:p>
    <w:bookmarkEnd w:id="0"/>
    <w:p w:rsidR="00957E25" w:rsidRDefault="00957E25" w:rsidP="00957E25">
      <w:pPr>
        <w:rPr>
          <w:lang w:val="fr-BE"/>
        </w:rPr>
        <w:sectPr w:rsidR="00957E25" w:rsidSect="001A7C0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bookmarkEnd w:id="1"/>
    <w:p w:rsidR="0068707F" w:rsidRDefault="00E903C7">
      <w:pPr>
        <w:pStyle w:val="TOC1"/>
        <w:rPr>
          <w:rFonts w:asciiTheme="minorHAnsi" w:eastAsiaTheme="minorEastAsia" w:hAnsiTheme="minorHAnsi" w:cstheme="minorBidi"/>
          <w:noProof/>
          <w:sz w:val="22"/>
          <w:szCs w:val="22"/>
        </w:rPr>
      </w:pPr>
      <w:r>
        <w:lastRenderedPageBreak/>
        <w:fldChar w:fldCharType="begin"/>
      </w:r>
      <w:r>
        <w:instrText xml:space="preserve"> TOC \o "1-3" \h \z \u </w:instrText>
      </w:r>
      <w:r>
        <w:fldChar w:fldCharType="separate"/>
      </w:r>
      <w:hyperlink w:anchor="_Toc461114693" w:history="1">
        <w:r w:rsidR="0068707F" w:rsidRPr="0068707F">
          <w:rPr>
            <w:rStyle w:val="Hyperlink"/>
            <w:rFonts w:ascii="Times New Roman Bold" w:hAnsi="Times New Roman Bold"/>
            <w:b/>
            <w:caps/>
            <w:noProof/>
          </w:rPr>
          <w:t>1.</w:t>
        </w:r>
        <w:r w:rsidR="0068707F" w:rsidRPr="0068707F">
          <w:rPr>
            <w:rFonts w:ascii="Times New Roman Bold" w:eastAsiaTheme="minorEastAsia" w:hAnsi="Times New Roman Bold" w:cstheme="minorBidi"/>
            <w:b/>
            <w:caps/>
            <w:noProof/>
            <w:sz w:val="22"/>
            <w:szCs w:val="22"/>
          </w:rPr>
          <w:tab/>
        </w:r>
        <w:r w:rsidR="0068707F" w:rsidRPr="0068707F">
          <w:rPr>
            <w:rStyle w:val="Hyperlink"/>
            <w:rFonts w:ascii="Times New Roman Bold" w:hAnsi="Times New Roman Bold"/>
            <w:b/>
            <w:caps/>
            <w:noProof/>
          </w:rPr>
          <w:t>Introduction</w:t>
        </w:r>
        <w:r w:rsidR="0068707F">
          <w:rPr>
            <w:noProof/>
            <w:webHidden/>
          </w:rPr>
          <w:tab/>
        </w:r>
        <w:r w:rsidR="0068707F">
          <w:rPr>
            <w:noProof/>
            <w:webHidden/>
          </w:rPr>
          <w:fldChar w:fldCharType="begin"/>
        </w:r>
        <w:r w:rsidR="0068707F">
          <w:rPr>
            <w:noProof/>
            <w:webHidden/>
          </w:rPr>
          <w:instrText xml:space="preserve"> PAGEREF _Toc461114693 \h </w:instrText>
        </w:r>
        <w:r w:rsidR="0068707F">
          <w:rPr>
            <w:noProof/>
            <w:webHidden/>
          </w:rPr>
        </w:r>
        <w:r w:rsidR="0068707F">
          <w:rPr>
            <w:noProof/>
            <w:webHidden/>
          </w:rPr>
          <w:fldChar w:fldCharType="separate"/>
        </w:r>
        <w:r w:rsidR="00F455CF">
          <w:rPr>
            <w:noProof/>
            <w:webHidden/>
          </w:rPr>
          <w:t>6</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694" w:history="1">
        <w:r w:rsidR="0068707F" w:rsidRPr="00771FD7">
          <w:rPr>
            <w:rStyle w:val="Hyperlink"/>
            <w:rFonts w:ascii="Times New Roman Bold" w:hAnsi="Times New Roman Bold"/>
            <w:smallCaps/>
            <w:noProof/>
          </w:rPr>
          <w:t>1.1.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EU copyright rules</w:t>
        </w:r>
        <w:r w:rsidR="0068707F">
          <w:rPr>
            <w:noProof/>
            <w:webHidden/>
          </w:rPr>
          <w:tab/>
        </w:r>
        <w:r w:rsidR="0068707F">
          <w:rPr>
            <w:noProof/>
            <w:webHidden/>
          </w:rPr>
          <w:fldChar w:fldCharType="begin"/>
        </w:r>
        <w:r w:rsidR="0068707F">
          <w:rPr>
            <w:noProof/>
            <w:webHidden/>
          </w:rPr>
          <w:instrText xml:space="preserve"> PAGEREF _Toc461114694 \h </w:instrText>
        </w:r>
        <w:r w:rsidR="0068707F">
          <w:rPr>
            <w:noProof/>
            <w:webHidden/>
          </w:rPr>
        </w:r>
        <w:r w:rsidR="0068707F">
          <w:rPr>
            <w:noProof/>
            <w:webHidden/>
          </w:rPr>
          <w:fldChar w:fldCharType="separate"/>
        </w:r>
        <w:r w:rsidR="00F455CF">
          <w:rPr>
            <w:noProof/>
            <w:webHidden/>
          </w:rPr>
          <w:t>6</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695" w:history="1">
        <w:r w:rsidR="0068707F" w:rsidRPr="00771FD7">
          <w:rPr>
            <w:rStyle w:val="Hyperlink"/>
            <w:rFonts w:ascii="Times New Roman Bold" w:hAnsi="Times New Roman Bold"/>
            <w:smallCaps/>
            <w:noProof/>
          </w:rPr>
          <w:t>1.2.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Policy context</w:t>
        </w:r>
        <w:r w:rsidR="0068707F">
          <w:rPr>
            <w:noProof/>
            <w:webHidden/>
          </w:rPr>
          <w:tab/>
        </w:r>
        <w:r w:rsidR="0068707F">
          <w:rPr>
            <w:noProof/>
            <w:webHidden/>
          </w:rPr>
          <w:fldChar w:fldCharType="begin"/>
        </w:r>
        <w:r w:rsidR="0068707F">
          <w:rPr>
            <w:noProof/>
            <w:webHidden/>
          </w:rPr>
          <w:instrText xml:space="preserve"> PAGEREF _Toc461114695 \h </w:instrText>
        </w:r>
        <w:r w:rsidR="0068707F">
          <w:rPr>
            <w:noProof/>
            <w:webHidden/>
          </w:rPr>
        </w:r>
        <w:r w:rsidR="0068707F">
          <w:rPr>
            <w:noProof/>
            <w:webHidden/>
          </w:rPr>
          <w:fldChar w:fldCharType="separate"/>
        </w:r>
        <w:r w:rsidR="00F455CF">
          <w:rPr>
            <w:noProof/>
            <w:webHidden/>
          </w:rPr>
          <w:t>7</w:t>
        </w:r>
        <w:r w:rsidR="0068707F">
          <w:rPr>
            <w:noProof/>
            <w:webHidden/>
          </w:rPr>
          <w:fldChar w:fldCharType="end"/>
        </w:r>
      </w:hyperlink>
    </w:p>
    <w:p w:rsidR="0068707F" w:rsidRDefault="001A7C0A">
      <w:pPr>
        <w:pStyle w:val="TOC1"/>
        <w:rPr>
          <w:rFonts w:asciiTheme="minorHAnsi" w:eastAsiaTheme="minorEastAsia" w:hAnsiTheme="minorHAnsi" w:cstheme="minorBidi"/>
          <w:noProof/>
          <w:sz w:val="22"/>
          <w:szCs w:val="22"/>
        </w:rPr>
      </w:pPr>
      <w:hyperlink w:anchor="_Toc461114696" w:history="1">
        <w:r w:rsidR="0068707F" w:rsidRPr="0068707F">
          <w:rPr>
            <w:rStyle w:val="Hyperlink"/>
            <w:rFonts w:ascii="Times New Roman Bold" w:hAnsi="Times New Roman Bold"/>
            <w:b/>
            <w:caps/>
            <w:noProof/>
          </w:rPr>
          <w:t>2.</w:t>
        </w:r>
        <w:r w:rsidR="0068707F" w:rsidRPr="0068707F">
          <w:rPr>
            <w:rStyle w:val="Hyperlink"/>
            <w:rFonts w:ascii="Times New Roman Bold" w:hAnsi="Times New Roman Bold"/>
            <w:b/>
            <w:caps/>
            <w:noProof/>
          </w:rPr>
          <w:tab/>
          <w:t>Objectives and scope of the initiative</w:t>
        </w:r>
        <w:r w:rsidR="0068707F">
          <w:rPr>
            <w:noProof/>
            <w:webHidden/>
          </w:rPr>
          <w:tab/>
        </w:r>
        <w:r w:rsidR="0068707F">
          <w:rPr>
            <w:noProof/>
            <w:webHidden/>
          </w:rPr>
          <w:fldChar w:fldCharType="begin"/>
        </w:r>
        <w:r w:rsidR="0068707F">
          <w:rPr>
            <w:noProof/>
            <w:webHidden/>
          </w:rPr>
          <w:instrText xml:space="preserve"> PAGEREF _Toc461114696 \h </w:instrText>
        </w:r>
        <w:r w:rsidR="0068707F">
          <w:rPr>
            <w:noProof/>
            <w:webHidden/>
          </w:rPr>
        </w:r>
        <w:r w:rsidR="0068707F">
          <w:rPr>
            <w:noProof/>
            <w:webHidden/>
          </w:rPr>
          <w:fldChar w:fldCharType="separate"/>
        </w:r>
        <w:r w:rsidR="00F455CF">
          <w:rPr>
            <w:noProof/>
            <w:webHidden/>
          </w:rPr>
          <w:t>9</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697" w:history="1">
        <w:r w:rsidR="0068707F" w:rsidRPr="00771FD7">
          <w:rPr>
            <w:rStyle w:val="Hyperlink"/>
            <w:rFonts w:ascii="Times New Roman Bold" w:hAnsi="Times New Roman Bold"/>
            <w:smallCaps/>
            <w:noProof/>
          </w:rPr>
          <w:t>2.1.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Objectives</w:t>
        </w:r>
        <w:r w:rsidR="0068707F">
          <w:rPr>
            <w:noProof/>
            <w:webHidden/>
          </w:rPr>
          <w:tab/>
        </w:r>
        <w:r w:rsidR="0068707F">
          <w:rPr>
            <w:noProof/>
            <w:webHidden/>
          </w:rPr>
          <w:fldChar w:fldCharType="begin"/>
        </w:r>
        <w:r w:rsidR="0068707F">
          <w:rPr>
            <w:noProof/>
            <w:webHidden/>
          </w:rPr>
          <w:instrText xml:space="preserve"> PAGEREF _Toc461114697 \h </w:instrText>
        </w:r>
        <w:r w:rsidR="0068707F">
          <w:rPr>
            <w:noProof/>
            <w:webHidden/>
          </w:rPr>
        </w:r>
        <w:r w:rsidR="0068707F">
          <w:rPr>
            <w:noProof/>
            <w:webHidden/>
          </w:rPr>
          <w:fldChar w:fldCharType="separate"/>
        </w:r>
        <w:r w:rsidR="00F455CF">
          <w:rPr>
            <w:noProof/>
            <w:webHidden/>
          </w:rPr>
          <w:t>9</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698" w:history="1">
        <w:r w:rsidR="0068707F" w:rsidRPr="00771FD7">
          <w:rPr>
            <w:rStyle w:val="Hyperlink"/>
            <w:rFonts w:ascii="Times New Roman Bold" w:hAnsi="Times New Roman Bold"/>
            <w:smallCaps/>
            <w:noProof/>
          </w:rPr>
          <w:t>2.2.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Scope</w:t>
        </w:r>
        <w:r w:rsidR="0068707F">
          <w:rPr>
            <w:noProof/>
            <w:webHidden/>
          </w:rPr>
          <w:tab/>
        </w:r>
        <w:r w:rsidR="0068707F">
          <w:rPr>
            <w:noProof/>
            <w:webHidden/>
          </w:rPr>
          <w:fldChar w:fldCharType="begin"/>
        </w:r>
        <w:r w:rsidR="0068707F">
          <w:rPr>
            <w:noProof/>
            <w:webHidden/>
          </w:rPr>
          <w:instrText xml:space="preserve"> PAGEREF _Toc461114698 \h </w:instrText>
        </w:r>
        <w:r w:rsidR="0068707F">
          <w:rPr>
            <w:noProof/>
            <w:webHidden/>
          </w:rPr>
        </w:r>
        <w:r w:rsidR="0068707F">
          <w:rPr>
            <w:noProof/>
            <w:webHidden/>
          </w:rPr>
          <w:fldChar w:fldCharType="separate"/>
        </w:r>
        <w:r w:rsidR="00F455CF">
          <w:rPr>
            <w:noProof/>
            <w:webHidden/>
          </w:rPr>
          <w:t>9</w:t>
        </w:r>
        <w:r w:rsidR="0068707F">
          <w:rPr>
            <w:noProof/>
            <w:webHidden/>
          </w:rPr>
          <w:fldChar w:fldCharType="end"/>
        </w:r>
      </w:hyperlink>
    </w:p>
    <w:p w:rsidR="0068707F" w:rsidRDefault="001A7C0A">
      <w:pPr>
        <w:pStyle w:val="TOC1"/>
        <w:rPr>
          <w:rFonts w:asciiTheme="minorHAnsi" w:eastAsiaTheme="minorEastAsia" w:hAnsiTheme="minorHAnsi" w:cstheme="minorBidi"/>
          <w:noProof/>
          <w:sz w:val="22"/>
          <w:szCs w:val="22"/>
        </w:rPr>
      </w:pPr>
      <w:hyperlink w:anchor="_Toc461114699" w:history="1">
        <w:r w:rsidR="0068707F" w:rsidRPr="0068707F">
          <w:rPr>
            <w:rStyle w:val="Hyperlink"/>
            <w:rFonts w:ascii="Times New Roman Bold" w:hAnsi="Times New Roman Bold"/>
            <w:b/>
            <w:caps/>
            <w:noProof/>
          </w:rPr>
          <w:t>3.</w:t>
        </w:r>
        <w:r w:rsidR="0068707F" w:rsidRPr="0068707F">
          <w:rPr>
            <w:rStyle w:val="Hyperlink"/>
            <w:rFonts w:ascii="Times New Roman Bold" w:hAnsi="Times New Roman Bold"/>
            <w:b/>
            <w:caps/>
            <w:noProof/>
          </w:rPr>
          <w:tab/>
          <w:t>Ensuring wider access to content</w:t>
        </w:r>
        <w:r w:rsidR="0068707F">
          <w:rPr>
            <w:noProof/>
            <w:webHidden/>
          </w:rPr>
          <w:tab/>
        </w:r>
        <w:r w:rsidR="0068707F">
          <w:rPr>
            <w:noProof/>
            <w:webHidden/>
          </w:rPr>
          <w:fldChar w:fldCharType="begin"/>
        </w:r>
        <w:r w:rsidR="0068707F">
          <w:rPr>
            <w:noProof/>
            <w:webHidden/>
          </w:rPr>
          <w:instrText xml:space="preserve"> PAGEREF _Toc461114699 \h </w:instrText>
        </w:r>
        <w:r w:rsidR="0068707F">
          <w:rPr>
            <w:noProof/>
            <w:webHidden/>
          </w:rPr>
        </w:r>
        <w:r w:rsidR="0068707F">
          <w:rPr>
            <w:noProof/>
            <w:webHidden/>
          </w:rPr>
          <w:fldChar w:fldCharType="separate"/>
        </w:r>
        <w:r w:rsidR="00F455CF">
          <w:rPr>
            <w:noProof/>
            <w:webHidden/>
          </w:rPr>
          <w:t>10</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00" w:history="1">
        <w:r w:rsidR="0068707F" w:rsidRPr="00771FD7">
          <w:rPr>
            <w:rStyle w:val="Hyperlink"/>
            <w:rFonts w:ascii="Times New Roman Bold" w:hAnsi="Times New Roman Bold"/>
            <w:smallCaps/>
            <w:noProof/>
          </w:rPr>
          <w:t>3.1.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Introduction</w:t>
        </w:r>
        <w:r w:rsidR="0068707F">
          <w:rPr>
            <w:noProof/>
            <w:webHidden/>
          </w:rPr>
          <w:tab/>
        </w:r>
        <w:r w:rsidR="0068707F">
          <w:rPr>
            <w:noProof/>
            <w:webHidden/>
          </w:rPr>
          <w:fldChar w:fldCharType="begin"/>
        </w:r>
        <w:r w:rsidR="0068707F">
          <w:rPr>
            <w:noProof/>
            <w:webHidden/>
          </w:rPr>
          <w:instrText xml:space="preserve"> PAGEREF _Toc461114700 \h </w:instrText>
        </w:r>
        <w:r w:rsidR="0068707F">
          <w:rPr>
            <w:noProof/>
            <w:webHidden/>
          </w:rPr>
        </w:r>
        <w:r w:rsidR="0068707F">
          <w:rPr>
            <w:noProof/>
            <w:webHidden/>
          </w:rPr>
          <w:fldChar w:fldCharType="separate"/>
        </w:r>
        <w:r w:rsidR="00F455CF">
          <w:rPr>
            <w:noProof/>
            <w:webHidden/>
          </w:rPr>
          <w:t>10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1" w:history="1">
        <w:r w:rsidR="0068707F" w:rsidRPr="00771FD7">
          <w:rPr>
            <w:rStyle w:val="Hyperlink"/>
            <w:noProof/>
          </w:rPr>
          <w:t>3.1.1.</w:t>
        </w:r>
        <w:r w:rsidR="0068707F">
          <w:rPr>
            <w:rFonts w:asciiTheme="minorHAnsi" w:eastAsiaTheme="minorEastAsia" w:hAnsiTheme="minorHAnsi" w:cstheme="minorBidi"/>
            <w:noProof/>
            <w:sz w:val="22"/>
            <w:szCs w:val="22"/>
          </w:rPr>
          <w:tab/>
        </w:r>
        <w:r w:rsidR="0068707F" w:rsidRPr="00771FD7">
          <w:rPr>
            <w:rStyle w:val="Hyperlink"/>
            <w:noProof/>
          </w:rPr>
          <w:t>Background</w:t>
        </w:r>
        <w:r w:rsidR="0068707F">
          <w:rPr>
            <w:noProof/>
            <w:webHidden/>
          </w:rPr>
          <w:tab/>
        </w:r>
        <w:r w:rsidR="0068707F">
          <w:rPr>
            <w:noProof/>
            <w:webHidden/>
          </w:rPr>
          <w:fldChar w:fldCharType="begin"/>
        </w:r>
        <w:r w:rsidR="0068707F">
          <w:rPr>
            <w:noProof/>
            <w:webHidden/>
          </w:rPr>
          <w:instrText xml:space="preserve"> PAGEREF _Toc461114701 \h </w:instrText>
        </w:r>
        <w:r w:rsidR="0068707F">
          <w:rPr>
            <w:noProof/>
            <w:webHidden/>
          </w:rPr>
        </w:r>
        <w:r w:rsidR="0068707F">
          <w:rPr>
            <w:noProof/>
            <w:webHidden/>
          </w:rPr>
          <w:fldChar w:fldCharType="separate"/>
        </w:r>
        <w:r w:rsidR="00F455CF">
          <w:rPr>
            <w:noProof/>
            <w:webHidden/>
          </w:rPr>
          <w:t>10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2" w:history="1">
        <w:r w:rsidR="0068707F" w:rsidRPr="00771FD7">
          <w:rPr>
            <w:rStyle w:val="Hyperlink"/>
            <w:noProof/>
          </w:rPr>
          <w:t>3.1.2.</w:t>
        </w:r>
        <w:r w:rsidR="0068707F">
          <w:rPr>
            <w:rFonts w:asciiTheme="minorHAnsi" w:eastAsiaTheme="minorEastAsia" w:hAnsiTheme="minorHAnsi" w:cstheme="minorBidi"/>
            <w:noProof/>
            <w:sz w:val="22"/>
            <w:szCs w:val="22"/>
          </w:rPr>
          <w:tab/>
        </w:r>
        <w:r w:rsidR="0068707F" w:rsidRPr="00771FD7">
          <w:rPr>
            <w:rStyle w:val="Hyperlink"/>
            <w:noProof/>
          </w:rPr>
          <w:t>Why should the EU act?</w:t>
        </w:r>
        <w:r w:rsidR="0068707F">
          <w:rPr>
            <w:noProof/>
            <w:webHidden/>
          </w:rPr>
          <w:tab/>
        </w:r>
        <w:r w:rsidR="0068707F">
          <w:rPr>
            <w:noProof/>
            <w:webHidden/>
          </w:rPr>
          <w:fldChar w:fldCharType="begin"/>
        </w:r>
        <w:r w:rsidR="0068707F">
          <w:rPr>
            <w:noProof/>
            <w:webHidden/>
          </w:rPr>
          <w:instrText xml:space="preserve"> PAGEREF _Toc461114702 \h </w:instrText>
        </w:r>
        <w:r w:rsidR="0068707F">
          <w:rPr>
            <w:noProof/>
            <w:webHidden/>
          </w:rPr>
        </w:r>
        <w:r w:rsidR="0068707F">
          <w:rPr>
            <w:noProof/>
            <w:webHidden/>
          </w:rPr>
          <w:fldChar w:fldCharType="separate"/>
        </w:r>
        <w:r w:rsidR="00F455CF">
          <w:rPr>
            <w:noProof/>
            <w:webHidden/>
          </w:rPr>
          <w:t>12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3" w:history="1">
        <w:r w:rsidR="0068707F" w:rsidRPr="00771FD7">
          <w:rPr>
            <w:rStyle w:val="Hyperlink"/>
            <w:noProof/>
          </w:rPr>
          <w:t>3.1.3.</w:t>
        </w:r>
        <w:r w:rsidR="0068707F">
          <w:rPr>
            <w:rFonts w:asciiTheme="minorHAnsi" w:eastAsiaTheme="minorEastAsia" w:hAnsiTheme="minorHAnsi" w:cstheme="minorBidi"/>
            <w:noProof/>
            <w:sz w:val="22"/>
            <w:szCs w:val="22"/>
          </w:rPr>
          <w:tab/>
        </w:r>
        <w:r w:rsidR="0068707F" w:rsidRPr="00771FD7">
          <w:rPr>
            <w:rStyle w:val="Hyperlink"/>
            <w:noProof/>
          </w:rPr>
          <w:t>What should be achieved?</w:t>
        </w:r>
        <w:r w:rsidR="0068707F">
          <w:rPr>
            <w:noProof/>
            <w:webHidden/>
          </w:rPr>
          <w:tab/>
        </w:r>
        <w:r w:rsidR="0068707F">
          <w:rPr>
            <w:noProof/>
            <w:webHidden/>
          </w:rPr>
          <w:fldChar w:fldCharType="begin"/>
        </w:r>
        <w:r w:rsidR="0068707F">
          <w:rPr>
            <w:noProof/>
            <w:webHidden/>
          </w:rPr>
          <w:instrText xml:space="preserve"> PAGEREF _Toc461114703 \h </w:instrText>
        </w:r>
        <w:r w:rsidR="0068707F">
          <w:rPr>
            <w:noProof/>
            <w:webHidden/>
          </w:rPr>
        </w:r>
        <w:r w:rsidR="0068707F">
          <w:rPr>
            <w:noProof/>
            <w:webHidden/>
          </w:rPr>
          <w:fldChar w:fldCharType="separate"/>
        </w:r>
        <w:r w:rsidR="00F455CF">
          <w:rPr>
            <w:noProof/>
            <w:webHidden/>
          </w:rPr>
          <w:t>13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4" w:history="1">
        <w:r w:rsidR="0068707F" w:rsidRPr="00771FD7">
          <w:rPr>
            <w:rStyle w:val="Hyperlink"/>
            <w:noProof/>
          </w:rPr>
          <w:t>3.1.4.</w:t>
        </w:r>
        <w:r w:rsidR="0068707F">
          <w:rPr>
            <w:rFonts w:asciiTheme="minorHAnsi" w:eastAsiaTheme="minorEastAsia" w:hAnsiTheme="minorHAnsi" w:cstheme="minorBidi"/>
            <w:noProof/>
            <w:sz w:val="22"/>
            <w:szCs w:val="22"/>
          </w:rPr>
          <w:tab/>
        </w:r>
        <w:r w:rsidR="0068707F" w:rsidRPr="00771FD7">
          <w:rPr>
            <w:rStyle w:val="Hyperlink"/>
            <w:noProof/>
          </w:rPr>
          <w:t>Methodology</w:t>
        </w:r>
        <w:r w:rsidR="0068707F">
          <w:rPr>
            <w:noProof/>
            <w:webHidden/>
          </w:rPr>
          <w:tab/>
        </w:r>
        <w:r w:rsidR="0068707F">
          <w:rPr>
            <w:noProof/>
            <w:webHidden/>
          </w:rPr>
          <w:fldChar w:fldCharType="begin"/>
        </w:r>
        <w:r w:rsidR="0068707F">
          <w:rPr>
            <w:noProof/>
            <w:webHidden/>
          </w:rPr>
          <w:instrText xml:space="preserve"> PAGEREF _Toc461114704 \h </w:instrText>
        </w:r>
        <w:r w:rsidR="0068707F">
          <w:rPr>
            <w:noProof/>
            <w:webHidden/>
          </w:rPr>
        </w:r>
        <w:r w:rsidR="0068707F">
          <w:rPr>
            <w:noProof/>
            <w:webHidden/>
          </w:rPr>
          <w:fldChar w:fldCharType="separate"/>
        </w:r>
        <w:r w:rsidR="00F455CF">
          <w:rPr>
            <w:noProof/>
            <w:webHidden/>
          </w:rPr>
          <w:t>14</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05" w:history="1">
        <w:r w:rsidR="0068707F" w:rsidRPr="00771FD7">
          <w:rPr>
            <w:rStyle w:val="Hyperlink"/>
            <w:rFonts w:ascii="Times New Roman Bold" w:hAnsi="Times New Roman Bold"/>
            <w:smallCaps/>
            <w:noProof/>
          </w:rPr>
          <w:t>3.2.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Online transmissions and retransmissions of TV/radio programmes</w:t>
        </w:r>
        <w:r w:rsidR="0068707F">
          <w:rPr>
            <w:noProof/>
            <w:webHidden/>
          </w:rPr>
          <w:tab/>
        </w:r>
        <w:r w:rsidR="0068707F">
          <w:rPr>
            <w:noProof/>
            <w:webHidden/>
          </w:rPr>
          <w:fldChar w:fldCharType="begin"/>
        </w:r>
        <w:r w:rsidR="0068707F">
          <w:rPr>
            <w:noProof/>
            <w:webHidden/>
          </w:rPr>
          <w:instrText xml:space="preserve"> PAGEREF _Toc461114705 \h </w:instrText>
        </w:r>
        <w:r w:rsidR="0068707F">
          <w:rPr>
            <w:noProof/>
            <w:webHidden/>
          </w:rPr>
        </w:r>
        <w:r w:rsidR="0068707F">
          <w:rPr>
            <w:noProof/>
            <w:webHidden/>
          </w:rPr>
          <w:fldChar w:fldCharType="separate"/>
        </w:r>
        <w:r w:rsidR="00F455CF">
          <w:rPr>
            <w:noProof/>
            <w:webHidden/>
          </w:rPr>
          <w:t>18</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6" w:history="1">
        <w:r w:rsidR="0068707F" w:rsidRPr="00771FD7">
          <w:rPr>
            <w:rStyle w:val="Hyperlink"/>
            <w:noProof/>
          </w:rPr>
          <w:t>3.2.1.</w:t>
        </w:r>
        <w:r w:rsidR="0068707F">
          <w:rPr>
            <w:rFonts w:asciiTheme="minorHAnsi" w:eastAsiaTheme="minorEastAsia" w:hAnsiTheme="minorHAnsi" w:cstheme="minorBidi"/>
            <w:noProof/>
            <w:sz w:val="22"/>
            <w:szCs w:val="22"/>
          </w:rPr>
          <w:tab/>
        </w:r>
        <w:r w:rsidR="0068707F" w:rsidRPr="00771FD7">
          <w:rPr>
            <w:rStyle w:val="Hyperlink"/>
            <w:noProof/>
          </w:rPr>
          <w:t>Background data on the TV and radio sector</w:t>
        </w:r>
        <w:r w:rsidR="0068707F">
          <w:rPr>
            <w:noProof/>
            <w:webHidden/>
          </w:rPr>
          <w:tab/>
        </w:r>
        <w:r w:rsidR="0068707F">
          <w:rPr>
            <w:noProof/>
            <w:webHidden/>
          </w:rPr>
          <w:fldChar w:fldCharType="begin"/>
        </w:r>
        <w:r w:rsidR="0068707F">
          <w:rPr>
            <w:noProof/>
            <w:webHidden/>
          </w:rPr>
          <w:instrText xml:space="preserve"> PAGEREF _Toc461114706 \h </w:instrText>
        </w:r>
        <w:r w:rsidR="0068707F">
          <w:rPr>
            <w:noProof/>
            <w:webHidden/>
          </w:rPr>
        </w:r>
        <w:r w:rsidR="0068707F">
          <w:rPr>
            <w:noProof/>
            <w:webHidden/>
          </w:rPr>
          <w:fldChar w:fldCharType="separate"/>
        </w:r>
        <w:r w:rsidR="00F455CF">
          <w:rPr>
            <w:noProof/>
            <w:webHidden/>
          </w:rPr>
          <w:t>18</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7" w:history="1">
        <w:r w:rsidR="0068707F" w:rsidRPr="00771FD7">
          <w:rPr>
            <w:rStyle w:val="Hyperlink"/>
            <w:noProof/>
          </w:rPr>
          <w:t>3.2.2.</w:t>
        </w:r>
        <w:r w:rsidR="0068707F">
          <w:rPr>
            <w:rFonts w:asciiTheme="minorHAnsi" w:eastAsiaTheme="minorEastAsia" w:hAnsiTheme="minorHAnsi" w:cstheme="minorBidi"/>
            <w:noProof/>
            <w:sz w:val="22"/>
            <w:szCs w:val="22"/>
          </w:rPr>
          <w:tab/>
        </w:r>
        <w:r w:rsidR="0068707F" w:rsidRPr="00771FD7">
          <w:rPr>
            <w:rStyle w:val="Hyperlink"/>
            <w:noProof/>
          </w:rPr>
          <w:t>Online transmissions of broadcasting organisations</w:t>
        </w:r>
        <w:r w:rsidR="0068707F">
          <w:rPr>
            <w:noProof/>
            <w:webHidden/>
          </w:rPr>
          <w:tab/>
        </w:r>
        <w:r w:rsidR="0068707F">
          <w:rPr>
            <w:noProof/>
            <w:webHidden/>
          </w:rPr>
          <w:fldChar w:fldCharType="begin"/>
        </w:r>
        <w:r w:rsidR="0068707F">
          <w:rPr>
            <w:noProof/>
            <w:webHidden/>
          </w:rPr>
          <w:instrText xml:space="preserve"> PAGEREF _Toc461114707 \h </w:instrText>
        </w:r>
        <w:r w:rsidR="0068707F">
          <w:rPr>
            <w:noProof/>
            <w:webHidden/>
          </w:rPr>
        </w:r>
        <w:r w:rsidR="0068707F">
          <w:rPr>
            <w:noProof/>
            <w:webHidden/>
          </w:rPr>
          <w:fldChar w:fldCharType="separate"/>
        </w:r>
        <w:r w:rsidR="00F455CF">
          <w:rPr>
            <w:noProof/>
            <w:webHidden/>
          </w:rPr>
          <w:t>20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08" w:history="1">
        <w:r w:rsidR="0068707F" w:rsidRPr="00771FD7">
          <w:rPr>
            <w:rStyle w:val="Hyperlink"/>
            <w:noProof/>
          </w:rPr>
          <w:t>3.2.3.</w:t>
        </w:r>
        <w:r w:rsidR="0068707F">
          <w:rPr>
            <w:rFonts w:asciiTheme="minorHAnsi" w:eastAsiaTheme="minorEastAsia" w:hAnsiTheme="minorHAnsi" w:cstheme="minorBidi"/>
            <w:noProof/>
            <w:sz w:val="22"/>
            <w:szCs w:val="22"/>
          </w:rPr>
          <w:tab/>
        </w:r>
        <w:r w:rsidR="0068707F" w:rsidRPr="00771FD7">
          <w:rPr>
            <w:rStyle w:val="Hyperlink"/>
            <w:noProof/>
          </w:rPr>
          <w:t>Digital retransmissions of TV and radio programmes</w:t>
        </w:r>
        <w:r w:rsidR="0068707F">
          <w:rPr>
            <w:noProof/>
            <w:webHidden/>
          </w:rPr>
          <w:tab/>
        </w:r>
        <w:r w:rsidR="0068707F">
          <w:rPr>
            <w:noProof/>
            <w:webHidden/>
          </w:rPr>
          <w:fldChar w:fldCharType="begin"/>
        </w:r>
        <w:r w:rsidR="0068707F">
          <w:rPr>
            <w:noProof/>
            <w:webHidden/>
          </w:rPr>
          <w:instrText xml:space="preserve"> PAGEREF _Toc461114708 \h </w:instrText>
        </w:r>
        <w:r w:rsidR="0068707F">
          <w:rPr>
            <w:noProof/>
            <w:webHidden/>
          </w:rPr>
        </w:r>
        <w:r w:rsidR="0068707F">
          <w:rPr>
            <w:noProof/>
            <w:webHidden/>
          </w:rPr>
          <w:fldChar w:fldCharType="separate"/>
        </w:r>
        <w:r w:rsidR="00F455CF">
          <w:rPr>
            <w:noProof/>
            <w:webHidden/>
          </w:rPr>
          <w:t>39</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09" w:history="1">
        <w:r w:rsidR="0068707F" w:rsidRPr="00771FD7">
          <w:rPr>
            <w:rStyle w:val="Hyperlink"/>
            <w:rFonts w:ascii="Times New Roman Bold" w:hAnsi="Times New Roman Bold"/>
            <w:smallCaps/>
            <w:noProof/>
          </w:rPr>
          <w:t>3.3.</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Access to and availability of EU audiovisual works on VoD platforms</w:t>
        </w:r>
        <w:r w:rsidR="0068707F">
          <w:rPr>
            <w:noProof/>
            <w:webHidden/>
          </w:rPr>
          <w:tab/>
        </w:r>
        <w:r w:rsidR="0068707F">
          <w:rPr>
            <w:noProof/>
            <w:webHidden/>
          </w:rPr>
          <w:fldChar w:fldCharType="begin"/>
        </w:r>
        <w:r w:rsidR="0068707F">
          <w:rPr>
            <w:noProof/>
            <w:webHidden/>
          </w:rPr>
          <w:instrText xml:space="preserve"> PAGEREF _Toc461114709 \h </w:instrText>
        </w:r>
        <w:r w:rsidR="0068707F">
          <w:rPr>
            <w:noProof/>
            <w:webHidden/>
          </w:rPr>
        </w:r>
        <w:r w:rsidR="0068707F">
          <w:rPr>
            <w:noProof/>
            <w:webHidden/>
          </w:rPr>
          <w:fldChar w:fldCharType="separate"/>
        </w:r>
        <w:r w:rsidR="00F455CF">
          <w:rPr>
            <w:noProof/>
            <w:webHidden/>
          </w:rPr>
          <w:t>52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0" w:history="1">
        <w:r w:rsidR="0068707F" w:rsidRPr="00771FD7">
          <w:rPr>
            <w:rStyle w:val="Hyperlink"/>
            <w:noProof/>
          </w:rPr>
          <w:t>3.3.1.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_Toc461114710 \h </w:instrText>
        </w:r>
        <w:r w:rsidR="0068707F">
          <w:rPr>
            <w:noProof/>
            <w:webHidden/>
          </w:rPr>
        </w:r>
        <w:r w:rsidR="0068707F">
          <w:rPr>
            <w:noProof/>
            <w:webHidden/>
          </w:rPr>
          <w:fldChar w:fldCharType="separate"/>
        </w:r>
        <w:r w:rsidR="00F455CF">
          <w:rPr>
            <w:noProof/>
            <w:webHidden/>
          </w:rPr>
          <w:t>52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1" w:history="1">
        <w:r w:rsidR="0068707F" w:rsidRPr="00771FD7">
          <w:rPr>
            <w:rStyle w:val="Hyperlink"/>
            <w:noProof/>
          </w:rPr>
          <w:t>3.3.2.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_Toc461114711 \h </w:instrText>
        </w:r>
        <w:r w:rsidR="0068707F">
          <w:rPr>
            <w:noProof/>
            <w:webHidden/>
          </w:rPr>
        </w:r>
        <w:r w:rsidR="0068707F">
          <w:rPr>
            <w:noProof/>
            <w:webHidden/>
          </w:rPr>
          <w:fldChar w:fldCharType="separate"/>
        </w:r>
        <w:r w:rsidR="00F455CF">
          <w:rPr>
            <w:noProof/>
            <w:webHidden/>
          </w:rPr>
          <w:t>55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2" w:history="1">
        <w:r w:rsidR="0068707F" w:rsidRPr="00771FD7">
          <w:rPr>
            <w:rStyle w:val="Hyperlink"/>
            <w:noProof/>
          </w:rPr>
          <w:t>3.3.3.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_Toc461114712 \h </w:instrText>
        </w:r>
        <w:r w:rsidR="0068707F">
          <w:rPr>
            <w:noProof/>
            <w:webHidden/>
          </w:rPr>
        </w:r>
        <w:r w:rsidR="0068707F">
          <w:rPr>
            <w:noProof/>
            <w:webHidden/>
          </w:rPr>
          <w:fldChar w:fldCharType="separate"/>
        </w:r>
        <w:r w:rsidR="00F455CF">
          <w:rPr>
            <w:noProof/>
            <w:webHidden/>
          </w:rPr>
          <w:t>57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3" w:history="1">
        <w:r w:rsidR="0068707F" w:rsidRPr="00771FD7">
          <w:rPr>
            <w:rStyle w:val="Hyperlink"/>
            <w:noProof/>
          </w:rPr>
          <w:t>3.3.4.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_Toc461114713 \h </w:instrText>
        </w:r>
        <w:r w:rsidR="0068707F">
          <w:rPr>
            <w:noProof/>
            <w:webHidden/>
          </w:rPr>
        </w:r>
        <w:r w:rsidR="0068707F">
          <w:rPr>
            <w:noProof/>
            <w:webHidden/>
          </w:rPr>
          <w:fldChar w:fldCharType="separate"/>
        </w:r>
        <w:r w:rsidR="00F455CF">
          <w:rPr>
            <w:noProof/>
            <w:webHidden/>
          </w:rPr>
          <w:t>64</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14" w:history="1">
        <w:r w:rsidR="0068707F" w:rsidRPr="00771FD7">
          <w:rPr>
            <w:rStyle w:val="Hyperlink"/>
            <w:rFonts w:ascii="Times New Roman Bold" w:hAnsi="Times New Roman Bold"/>
            <w:smallCaps/>
            <w:noProof/>
          </w:rPr>
          <w:t>3.4.</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Out-of-commerce works in the collections of cultural heritage institutions</w:t>
        </w:r>
        <w:r w:rsidR="0068707F">
          <w:rPr>
            <w:noProof/>
            <w:webHidden/>
          </w:rPr>
          <w:tab/>
        </w:r>
        <w:r w:rsidR="0068707F">
          <w:rPr>
            <w:noProof/>
            <w:webHidden/>
          </w:rPr>
          <w:fldChar w:fldCharType="begin"/>
        </w:r>
        <w:r w:rsidR="0068707F">
          <w:rPr>
            <w:noProof/>
            <w:webHidden/>
          </w:rPr>
          <w:instrText xml:space="preserve"> PAGEREF _Toc461114714 \h </w:instrText>
        </w:r>
        <w:r w:rsidR="0068707F">
          <w:rPr>
            <w:noProof/>
            <w:webHidden/>
          </w:rPr>
        </w:r>
        <w:r w:rsidR="0068707F">
          <w:rPr>
            <w:noProof/>
            <w:webHidden/>
          </w:rPr>
          <w:fldChar w:fldCharType="separate"/>
        </w:r>
        <w:r w:rsidR="00F455CF">
          <w:rPr>
            <w:noProof/>
            <w:webHidden/>
          </w:rPr>
          <w:t>65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5" w:history="1">
        <w:r w:rsidR="0068707F" w:rsidRPr="00771FD7">
          <w:rPr>
            <w:rStyle w:val="Hyperlink"/>
            <w:noProof/>
          </w:rPr>
          <w:t>3.4.1.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_Toc461114715 \h </w:instrText>
        </w:r>
        <w:r w:rsidR="0068707F">
          <w:rPr>
            <w:noProof/>
            <w:webHidden/>
          </w:rPr>
        </w:r>
        <w:r w:rsidR="0068707F">
          <w:rPr>
            <w:noProof/>
            <w:webHidden/>
          </w:rPr>
          <w:fldChar w:fldCharType="separate"/>
        </w:r>
        <w:r w:rsidR="00F455CF">
          <w:rPr>
            <w:noProof/>
            <w:webHidden/>
          </w:rPr>
          <w:t>65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6" w:history="1">
        <w:r w:rsidR="0068707F" w:rsidRPr="00771FD7">
          <w:rPr>
            <w:rStyle w:val="Hyperlink"/>
            <w:noProof/>
          </w:rPr>
          <w:t>3.4.2.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_Toc461114716 \h </w:instrText>
        </w:r>
        <w:r w:rsidR="0068707F">
          <w:rPr>
            <w:noProof/>
            <w:webHidden/>
          </w:rPr>
        </w:r>
        <w:r w:rsidR="0068707F">
          <w:rPr>
            <w:noProof/>
            <w:webHidden/>
          </w:rPr>
          <w:fldChar w:fldCharType="separate"/>
        </w:r>
        <w:r w:rsidR="00F455CF">
          <w:rPr>
            <w:noProof/>
            <w:webHidden/>
          </w:rPr>
          <w:t>69</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7" w:history="1">
        <w:r w:rsidR="0068707F" w:rsidRPr="00771FD7">
          <w:rPr>
            <w:rStyle w:val="Hyperlink"/>
            <w:noProof/>
          </w:rPr>
          <w:t>3.4.3.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_Toc461114717 \h </w:instrText>
        </w:r>
        <w:r w:rsidR="0068707F">
          <w:rPr>
            <w:noProof/>
            <w:webHidden/>
          </w:rPr>
        </w:r>
        <w:r w:rsidR="0068707F">
          <w:rPr>
            <w:noProof/>
            <w:webHidden/>
          </w:rPr>
          <w:fldChar w:fldCharType="separate"/>
        </w:r>
        <w:r w:rsidR="00F455CF">
          <w:rPr>
            <w:noProof/>
            <w:webHidden/>
          </w:rPr>
          <w:t>72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18" w:history="1">
        <w:r w:rsidR="0068707F" w:rsidRPr="00771FD7">
          <w:rPr>
            <w:rStyle w:val="Hyperlink"/>
            <w:noProof/>
          </w:rPr>
          <w:t>3.4.4.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_Toc461114718 \h </w:instrText>
        </w:r>
        <w:r w:rsidR="0068707F">
          <w:rPr>
            <w:noProof/>
            <w:webHidden/>
          </w:rPr>
        </w:r>
        <w:r w:rsidR="0068707F">
          <w:rPr>
            <w:noProof/>
            <w:webHidden/>
          </w:rPr>
          <w:fldChar w:fldCharType="separate"/>
        </w:r>
        <w:r w:rsidR="00F455CF">
          <w:rPr>
            <w:noProof/>
            <w:webHidden/>
          </w:rPr>
          <w:t>78</w:t>
        </w:r>
        <w:r w:rsidR="0068707F">
          <w:rPr>
            <w:noProof/>
            <w:webHidden/>
          </w:rPr>
          <w:fldChar w:fldCharType="end"/>
        </w:r>
      </w:hyperlink>
    </w:p>
    <w:p w:rsidR="0068707F" w:rsidRDefault="001A7C0A">
      <w:pPr>
        <w:pStyle w:val="TOC1"/>
        <w:rPr>
          <w:rFonts w:asciiTheme="minorHAnsi" w:eastAsiaTheme="minorEastAsia" w:hAnsiTheme="minorHAnsi" w:cstheme="minorBidi"/>
          <w:noProof/>
          <w:sz w:val="22"/>
          <w:szCs w:val="22"/>
        </w:rPr>
      </w:pPr>
      <w:hyperlink w:anchor="_Toc461114719" w:history="1">
        <w:r w:rsidR="0068707F" w:rsidRPr="0068707F">
          <w:rPr>
            <w:rStyle w:val="Hyperlink"/>
            <w:rFonts w:ascii="Times New Roman Bold" w:hAnsi="Times New Roman Bold"/>
            <w:b/>
            <w:caps/>
            <w:noProof/>
          </w:rPr>
          <w:t>4.</w:t>
        </w:r>
        <w:r w:rsidR="0068707F" w:rsidRPr="0068707F">
          <w:rPr>
            <w:rStyle w:val="Hyperlink"/>
            <w:rFonts w:ascii="Times New Roman Bold" w:hAnsi="Times New Roman Bold"/>
            <w:b/>
            <w:caps/>
            <w:noProof/>
          </w:rPr>
          <w:tab/>
          <w:t>Adapting exceptions to digital and cross-border environment</w:t>
        </w:r>
        <w:r w:rsidR="0068707F">
          <w:rPr>
            <w:noProof/>
            <w:webHidden/>
          </w:rPr>
          <w:tab/>
        </w:r>
        <w:r w:rsidR="0068707F">
          <w:rPr>
            <w:noProof/>
            <w:webHidden/>
          </w:rPr>
          <w:fldChar w:fldCharType="begin"/>
        </w:r>
        <w:r w:rsidR="0068707F">
          <w:rPr>
            <w:noProof/>
            <w:webHidden/>
          </w:rPr>
          <w:instrText xml:space="preserve"> PAGEREF _Toc461114719 \h </w:instrText>
        </w:r>
        <w:r w:rsidR="0068707F">
          <w:rPr>
            <w:noProof/>
            <w:webHidden/>
          </w:rPr>
        </w:r>
        <w:r w:rsidR="0068707F">
          <w:rPr>
            <w:noProof/>
            <w:webHidden/>
          </w:rPr>
          <w:fldChar w:fldCharType="separate"/>
        </w:r>
        <w:r w:rsidR="00F455CF">
          <w:rPr>
            <w:noProof/>
            <w:webHidden/>
          </w:rPr>
          <w:t>80</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20" w:history="1">
        <w:r w:rsidR="0068707F" w:rsidRPr="00771FD7">
          <w:rPr>
            <w:rStyle w:val="Hyperlink"/>
            <w:rFonts w:ascii="Times New Roman Bold" w:hAnsi="Times New Roman Bold"/>
            <w:smallCaps/>
            <w:noProof/>
          </w:rPr>
          <w:t>4.1.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Introduction</w:t>
        </w:r>
        <w:r w:rsidR="0068707F">
          <w:rPr>
            <w:noProof/>
            <w:webHidden/>
          </w:rPr>
          <w:tab/>
        </w:r>
        <w:r w:rsidR="0068707F">
          <w:rPr>
            <w:noProof/>
            <w:webHidden/>
          </w:rPr>
          <w:fldChar w:fldCharType="begin"/>
        </w:r>
        <w:r w:rsidR="0068707F">
          <w:rPr>
            <w:noProof/>
            <w:webHidden/>
          </w:rPr>
          <w:instrText xml:space="preserve"> PAGEREF _Toc461114720 \h </w:instrText>
        </w:r>
        <w:r w:rsidR="0068707F">
          <w:rPr>
            <w:noProof/>
            <w:webHidden/>
          </w:rPr>
        </w:r>
        <w:r w:rsidR="0068707F">
          <w:rPr>
            <w:noProof/>
            <w:webHidden/>
          </w:rPr>
          <w:fldChar w:fldCharType="separate"/>
        </w:r>
        <w:r w:rsidR="00F455CF">
          <w:rPr>
            <w:noProof/>
            <w:webHidden/>
          </w:rPr>
          <w:t>80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1" w:history="1">
        <w:r w:rsidR="0068707F" w:rsidRPr="00771FD7">
          <w:rPr>
            <w:rStyle w:val="Hyperlink"/>
            <w:noProof/>
          </w:rPr>
          <w:t>4.1.1.</w:t>
        </w:r>
        <w:r w:rsidR="0068707F">
          <w:rPr>
            <w:rFonts w:asciiTheme="minorHAnsi" w:eastAsiaTheme="minorEastAsia" w:hAnsiTheme="minorHAnsi" w:cstheme="minorBidi"/>
            <w:noProof/>
            <w:sz w:val="22"/>
            <w:szCs w:val="22"/>
          </w:rPr>
          <w:tab/>
        </w:r>
        <w:r w:rsidR="0068707F" w:rsidRPr="00771FD7">
          <w:rPr>
            <w:rStyle w:val="Hyperlink"/>
            <w:noProof/>
          </w:rPr>
          <w:t>Background</w:t>
        </w:r>
        <w:r w:rsidR="0068707F">
          <w:rPr>
            <w:noProof/>
            <w:webHidden/>
          </w:rPr>
          <w:tab/>
        </w:r>
        <w:r w:rsidR="0068707F">
          <w:rPr>
            <w:noProof/>
            <w:webHidden/>
          </w:rPr>
          <w:fldChar w:fldCharType="begin"/>
        </w:r>
        <w:r w:rsidR="0068707F">
          <w:rPr>
            <w:noProof/>
            <w:webHidden/>
          </w:rPr>
          <w:instrText xml:space="preserve"> PAGEREF _Toc461114721 \h </w:instrText>
        </w:r>
        <w:r w:rsidR="0068707F">
          <w:rPr>
            <w:noProof/>
            <w:webHidden/>
          </w:rPr>
        </w:r>
        <w:r w:rsidR="0068707F">
          <w:rPr>
            <w:noProof/>
            <w:webHidden/>
          </w:rPr>
          <w:fldChar w:fldCharType="separate"/>
        </w:r>
        <w:r w:rsidR="00F455CF">
          <w:rPr>
            <w:noProof/>
            <w:webHidden/>
          </w:rPr>
          <w:t>80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2" w:history="1">
        <w:r w:rsidR="0068707F" w:rsidRPr="00771FD7">
          <w:rPr>
            <w:rStyle w:val="Hyperlink"/>
            <w:noProof/>
          </w:rPr>
          <w:t>4.1.2.</w:t>
        </w:r>
        <w:r w:rsidR="0068707F">
          <w:rPr>
            <w:rFonts w:asciiTheme="minorHAnsi" w:eastAsiaTheme="minorEastAsia" w:hAnsiTheme="minorHAnsi" w:cstheme="minorBidi"/>
            <w:noProof/>
            <w:sz w:val="22"/>
            <w:szCs w:val="22"/>
          </w:rPr>
          <w:tab/>
        </w:r>
        <w:r w:rsidR="0068707F" w:rsidRPr="00771FD7">
          <w:rPr>
            <w:rStyle w:val="Hyperlink"/>
            <w:noProof/>
          </w:rPr>
          <w:t>Why should the EU act?</w:t>
        </w:r>
        <w:r w:rsidR="0068707F">
          <w:rPr>
            <w:noProof/>
            <w:webHidden/>
          </w:rPr>
          <w:tab/>
        </w:r>
        <w:r w:rsidR="0068707F">
          <w:rPr>
            <w:noProof/>
            <w:webHidden/>
          </w:rPr>
          <w:fldChar w:fldCharType="begin"/>
        </w:r>
        <w:r w:rsidR="0068707F">
          <w:rPr>
            <w:noProof/>
            <w:webHidden/>
          </w:rPr>
          <w:instrText xml:space="preserve"> PAGEREF _Toc461114722 \h </w:instrText>
        </w:r>
        <w:r w:rsidR="0068707F">
          <w:rPr>
            <w:noProof/>
            <w:webHidden/>
          </w:rPr>
        </w:r>
        <w:r w:rsidR="0068707F">
          <w:rPr>
            <w:noProof/>
            <w:webHidden/>
          </w:rPr>
          <w:fldChar w:fldCharType="separate"/>
        </w:r>
        <w:r w:rsidR="00F455CF">
          <w:rPr>
            <w:noProof/>
            <w:webHidden/>
          </w:rPr>
          <w:t>81</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3" w:history="1">
        <w:r w:rsidR="0068707F" w:rsidRPr="00771FD7">
          <w:rPr>
            <w:rStyle w:val="Hyperlink"/>
            <w:noProof/>
          </w:rPr>
          <w:t>4.1.3.</w:t>
        </w:r>
        <w:r w:rsidR="0068707F">
          <w:rPr>
            <w:rFonts w:asciiTheme="minorHAnsi" w:eastAsiaTheme="minorEastAsia" w:hAnsiTheme="minorHAnsi" w:cstheme="minorBidi"/>
            <w:noProof/>
            <w:sz w:val="22"/>
            <w:szCs w:val="22"/>
          </w:rPr>
          <w:tab/>
        </w:r>
        <w:r w:rsidR="0068707F" w:rsidRPr="00771FD7">
          <w:rPr>
            <w:rStyle w:val="Hyperlink"/>
            <w:noProof/>
          </w:rPr>
          <w:t>What should be achieved?</w:t>
        </w:r>
        <w:r w:rsidR="0068707F">
          <w:rPr>
            <w:noProof/>
            <w:webHidden/>
          </w:rPr>
          <w:tab/>
        </w:r>
        <w:r w:rsidR="0068707F">
          <w:rPr>
            <w:noProof/>
            <w:webHidden/>
          </w:rPr>
          <w:fldChar w:fldCharType="begin"/>
        </w:r>
        <w:r w:rsidR="0068707F">
          <w:rPr>
            <w:noProof/>
            <w:webHidden/>
          </w:rPr>
          <w:instrText xml:space="preserve"> PAGEREF _Toc461114723 \h </w:instrText>
        </w:r>
        <w:r w:rsidR="0068707F">
          <w:rPr>
            <w:noProof/>
            <w:webHidden/>
          </w:rPr>
        </w:r>
        <w:r w:rsidR="0068707F">
          <w:rPr>
            <w:noProof/>
            <w:webHidden/>
          </w:rPr>
          <w:fldChar w:fldCharType="separate"/>
        </w:r>
        <w:r w:rsidR="00F455CF">
          <w:rPr>
            <w:noProof/>
            <w:webHidden/>
          </w:rPr>
          <w:t>82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4" w:history="1">
        <w:r w:rsidR="0068707F" w:rsidRPr="00771FD7">
          <w:rPr>
            <w:rStyle w:val="Hyperlink"/>
            <w:noProof/>
          </w:rPr>
          <w:t>4.1.4.</w:t>
        </w:r>
        <w:r w:rsidR="0068707F">
          <w:rPr>
            <w:rFonts w:asciiTheme="minorHAnsi" w:eastAsiaTheme="minorEastAsia" w:hAnsiTheme="minorHAnsi" w:cstheme="minorBidi"/>
            <w:noProof/>
            <w:sz w:val="22"/>
            <w:szCs w:val="22"/>
          </w:rPr>
          <w:tab/>
        </w:r>
        <w:r w:rsidR="0068707F" w:rsidRPr="00771FD7">
          <w:rPr>
            <w:rStyle w:val="Hyperlink"/>
            <w:noProof/>
          </w:rPr>
          <w:t>Methodology</w:t>
        </w:r>
        <w:r w:rsidR="0068707F">
          <w:rPr>
            <w:noProof/>
            <w:webHidden/>
          </w:rPr>
          <w:tab/>
        </w:r>
        <w:r w:rsidR="0068707F">
          <w:rPr>
            <w:noProof/>
            <w:webHidden/>
          </w:rPr>
          <w:fldChar w:fldCharType="begin"/>
        </w:r>
        <w:r w:rsidR="0068707F">
          <w:rPr>
            <w:noProof/>
            <w:webHidden/>
          </w:rPr>
          <w:instrText xml:space="preserve"> PAGEREF _Toc461114724 \h </w:instrText>
        </w:r>
        <w:r w:rsidR="0068707F">
          <w:rPr>
            <w:noProof/>
            <w:webHidden/>
          </w:rPr>
        </w:r>
        <w:r w:rsidR="0068707F">
          <w:rPr>
            <w:noProof/>
            <w:webHidden/>
          </w:rPr>
          <w:fldChar w:fldCharType="separate"/>
        </w:r>
        <w:r w:rsidR="00F455CF">
          <w:rPr>
            <w:noProof/>
            <w:webHidden/>
          </w:rPr>
          <w:t>82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25" w:history="1">
        <w:r w:rsidR="0068707F" w:rsidRPr="00771FD7">
          <w:rPr>
            <w:rStyle w:val="Hyperlink"/>
            <w:rFonts w:ascii="Times New Roman Bold" w:hAnsi="Times New Roman Bold"/>
            <w:smallCaps/>
            <w:noProof/>
          </w:rPr>
          <w:t>4.2.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Use of protected content in digital and cross-border teaching activities</w:t>
        </w:r>
        <w:r w:rsidR="0068707F">
          <w:rPr>
            <w:noProof/>
            <w:webHidden/>
          </w:rPr>
          <w:tab/>
        </w:r>
        <w:r w:rsidR="0068707F">
          <w:rPr>
            <w:noProof/>
            <w:webHidden/>
          </w:rPr>
          <w:fldChar w:fldCharType="begin"/>
        </w:r>
        <w:r w:rsidR="0068707F">
          <w:rPr>
            <w:noProof/>
            <w:webHidden/>
          </w:rPr>
          <w:instrText xml:space="preserve"> PAGEREF _Toc461114725 \h </w:instrText>
        </w:r>
        <w:r w:rsidR="0068707F">
          <w:rPr>
            <w:noProof/>
            <w:webHidden/>
          </w:rPr>
        </w:r>
        <w:r w:rsidR="0068707F">
          <w:rPr>
            <w:noProof/>
            <w:webHidden/>
          </w:rPr>
          <w:fldChar w:fldCharType="separate"/>
        </w:r>
        <w:r w:rsidR="00F455CF">
          <w:rPr>
            <w:noProof/>
            <w:webHidden/>
          </w:rPr>
          <w:t>87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6" w:history="1">
        <w:r w:rsidR="0068707F" w:rsidRPr="00771FD7">
          <w:rPr>
            <w:rStyle w:val="Hyperlink"/>
            <w:noProof/>
          </w:rPr>
          <w:t>4.2.1.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_Toc461114726 \h </w:instrText>
        </w:r>
        <w:r w:rsidR="0068707F">
          <w:rPr>
            <w:noProof/>
            <w:webHidden/>
          </w:rPr>
        </w:r>
        <w:r w:rsidR="0068707F">
          <w:rPr>
            <w:noProof/>
            <w:webHidden/>
          </w:rPr>
          <w:fldChar w:fldCharType="separate"/>
        </w:r>
        <w:r w:rsidR="00F455CF">
          <w:rPr>
            <w:noProof/>
            <w:webHidden/>
          </w:rPr>
          <w:t>87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7" w:history="1">
        <w:r w:rsidR="0068707F" w:rsidRPr="00771FD7">
          <w:rPr>
            <w:rStyle w:val="Hyperlink"/>
            <w:noProof/>
          </w:rPr>
          <w:t>4.2.2.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_Toc461114727 \h </w:instrText>
        </w:r>
        <w:r w:rsidR="0068707F">
          <w:rPr>
            <w:noProof/>
            <w:webHidden/>
          </w:rPr>
        </w:r>
        <w:r w:rsidR="0068707F">
          <w:rPr>
            <w:noProof/>
            <w:webHidden/>
          </w:rPr>
          <w:fldChar w:fldCharType="separate"/>
        </w:r>
        <w:r w:rsidR="00F455CF">
          <w:rPr>
            <w:noProof/>
            <w:webHidden/>
          </w:rPr>
          <w:t>90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8" w:history="1">
        <w:r w:rsidR="0068707F" w:rsidRPr="00771FD7">
          <w:rPr>
            <w:rStyle w:val="Hyperlink"/>
            <w:noProof/>
          </w:rPr>
          <w:t>4.2.3.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_Toc461114728 \h </w:instrText>
        </w:r>
        <w:r w:rsidR="0068707F">
          <w:rPr>
            <w:noProof/>
            <w:webHidden/>
          </w:rPr>
        </w:r>
        <w:r w:rsidR="0068707F">
          <w:rPr>
            <w:noProof/>
            <w:webHidden/>
          </w:rPr>
          <w:fldChar w:fldCharType="separate"/>
        </w:r>
        <w:r w:rsidR="00F455CF">
          <w:rPr>
            <w:noProof/>
            <w:webHidden/>
          </w:rPr>
          <w:t>93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29" w:history="1">
        <w:r w:rsidR="0068707F" w:rsidRPr="00771FD7">
          <w:rPr>
            <w:rStyle w:val="Hyperlink"/>
            <w:noProof/>
          </w:rPr>
          <w:t>4.2.4.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_Toc461114729 \h </w:instrText>
        </w:r>
        <w:r w:rsidR="0068707F">
          <w:rPr>
            <w:noProof/>
            <w:webHidden/>
          </w:rPr>
        </w:r>
        <w:r w:rsidR="0068707F">
          <w:rPr>
            <w:noProof/>
            <w:webHidden/>
          </w:rPr>
          <w:fldChar w:fldCharType="separate"/>
        </w:r>
        <w:r w:rsidR="00F455CF">
          <w:rPr>
            <w:noProof/>
            <w:webHidden/>
          </w:rPr>
          <w:t>102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30" w:history="1">
        <w:r w:rsidR="0068707F" w:rsidRPr="00771FD7">
          <w:rPr>
            <w:rStyle w:val="Hyperlink"/>
            <w:rFonts w:ascii="Times New Roman Bold" w:hAnsi="Times New Roman Bold"/>
            <w:smallCaps/>
            <w:noProof/>
          </w:rPr>
          <w:t>4.3.</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Text and data mining</w:t>
        </w:r>
        <w:r w:rsidR="0068707F">
          <w:rPr>
            <w:noProof/>
            <w:webHidden/>
          </w:rPr>
          <w:tab/>
        </w:r>
        <w:r w:rsidR="0068707F">
          <w:rPr>
            <w:noProof/>
            <w:webHidden/>
          </w:rPr>
          <w:fldChar w:fldCharType="begin"/>
        </w:r>
        <w:r w:rsidR="0068707F">
          <w:rPr>
            <w:noProof/>
            <w:webHidden/>
          </w:rPr>
          <w:instrText xml:space="preserve"> PAGEREF _Toc461114730 \h </w:instrText>
        </w:r>
        <w:r w:rsidR="0068707F">
          <w:rPr>
            <w:noProof/>
            <w:webHidden/>
          </w:rPr>
        </w:r>
        <w:r w:rsidR="0068707F">
          <w:rPr>
            <w:noProof/>
            <w:webHidden/>
          </w:rPr>
          <w:fldChar w:fldCharType="separate"/>
        </w:r>
        <w:r w:rsidR="00F455CF">
          <w:rPr>
            <w:noProof/>
            <w:webHidden/>
          </w:rPr>
          <w:t>104</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1" w:history="1">
        <w:r w:rsidR="0068707F" w:rsidRPr="00771FD7">
          <w:rPr>
            <w:rStyle w:val="Hyperlink"/>
            <w:noProof/>
          </w:rPr>
          <w:t>4.3.1.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_Toc461114731 \h </w:instrText>
        </w:r>
        <w:r w:rsidR="0068707F">
          <w:rPr>
            <w:noProof/>
            <w:webHidden/>
          </w:rPr>
        </w:r>
        <w:r w:rsidR="0068707F">
          <w:rPr>
            <w:noProof/>
            <w:webHidden/>
          </w:rPr>
          <w:fldChar w:fldCharType="separate"/>
        </w:r>
        <w:r w:rsidR="00F455CF">
          <w:rPr>
            <w:noProof/>
            <w:webHidden/>
          </w:rPr>
          <w:t>104</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2" w:history="1">
        <w:r w:rsidR="0068707F" w:rsidRPr="00771FD7">
          <w:rPr>
            <w:rStyle w:val="Hyperlink"/>
            <w:noProof/>
          </w:rPr>
          <w:t>4.3.2.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_Toc461114732 \h </w:instrText>
        </w:r>
        <w:r w:rsidR="0068707F">
          <w:rPr>
            <w:noProof/>
            <w:webHidden/>
          </w:rPr>
        </w:r>
        <w:r w:rsidR="0068707F">
          <w:rPr>
            <w:noProof/>
            <w:webHidden/>
          </w:rPr>
          <w:fldChar w:fldCharType="separate"/>
        </w:r>
        <w:r w:rsidR="00F455CF">
          <w:rPr>
            <w:noProof/>
            <w:webHidden/>
          </w:rPr>
          <w:t>107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3" w:history="1">
        <w:r w:rsidR="0068707F" w:rsidRPr="00771FD7">
          <w:rPr>
            <w:rStyle w:val="Hyperlink"/>
            <w:noProof/>
          </w:rPr>
          <w:t>4.3.3.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_Toc461114733 \h </w:instrText>
        </w:r>
        <w:r w:rsidR="0068707F">
          <w:rPr>
            <w:noProof/>
            <w:webHidden/>
          </w:rPr>
        </w:r>
        <w:r w:rsidR="0068707F">
          <w:rPr>
            <w:noProof/>
            <w:webHidden/>
          </w:rPr>
          <w:fldChar w:fldCharType="separate"/>
        </w:r>
        <w:r w:rsidR="00F455CF">
          <w:rPr>
            <w:noProof/>
            <w:webHidden/>
          </w:rPr>
          <w:t>110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4" w:history="1">
        <w:r w:rsidR="0068707F" w:rsidRPr="00771FD7">
          <w:rPr>
            <w:rStyle w:val="Hyperlink"/>
            <w:noProof/>
          </w:rPr>
          <w:t>4.3.1.</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_Toc461114734 \h </w:instrText>
        </w:r>
        <w:r w:rsidR="0068707F">
          <w:rPr>
            <w:noProof/>
            <w:webHidden/>
          </w:rPr>
        </w:r>
        <w:r w:rsidR="0068707F">
          <w:rPr>
            <w:noProof/>
            <w:webHidden/>
          </w:rPr>
          <w:fldChar w:fldCharType="separate"/>
        </w:r>
        <w:r w:rsidR="00F455CF">
          <w:rPr>
            <w:noProof/>
            <w:webHidden/>
          </w:rPr>
          <w:t>118</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35" w:history="1">
        <w:r w:rsidR="0068707F" w:rsidRPr="00771FD7">
          <w:rPr>
            <w:rStyle w:val="Hyperlink"/>
            <w:rFonts w:ascii="Times New Roman Bold" w:hAnsi="Times New Roman Bold"/>
            <w:smallCaps/>
            <w:noProof/>
          </w:rPr>
          <w:t>4.4.</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Preservation of cultural heritage</w:t>
        </w:r>
        <w:r w:rsidR="0068707F">
          <w:rPr>
            <w:noProof/>
            <w:webHidden/>
          </w:rPr>
          <w:tab/>
        </w:r>
        <w:r w:rsidR="0068707F">
          <w:rPr>
            <w:noProof/>
            <w:webHidden/>
          </w:rPr>
          <w:fldChar w:fldCharType="begin"/>
        </w:r>
        <w:r w:rsidR="0068707F">
          <w:rPr>
            <w:noProof/>
            <w:webHidden/>
          </w:rPr>
          <w:instrText xml:space="preserve"> PAGEREF _Toc461114735 \h </w:instrText>
        </w:r>
        <w:r w:rsidR="0068707F">
          <w:rPr>
            <w:noProof/>
            <w:webHidden/>
          </w:rPr>
        </w:r>
        <w:r w:rsidR="0068707F">
          <w:rPr>
            <w:noProof/>
            <w:webHidden/>
          </w:rPr>
          <w:fldChar w:fldCharType="separate"/>
        </w:r>
        <w:r w:rsidR="00F455CF">
          <w:rPr>
            <w:noProof/>
            <w:webHidden/>
          </w:rPr>
          <w:t>120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6" w:history="1">
        <w:r w:rsidR="0068707F" w:rsidRPr="00771FD7">
          <w:rPr>
            <w:rStyle w:val="Hyperlink"/>
            <w:noProof/>
          </w:rPr>
          <w:t>4.4.1.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_Toc461114736 \h </w:instrText>
        </w:r>
        <w:r w:rsidR="0068707F">
          <w:rPr>
            <w:noProof/>
            <w:webHidden/>
          </w:rPr>
        </w:r>
        <w:r w:rsidR="0068707F">
          <w:rPr>
            <w:noProof/>
            <w:webHidden/>
          </w:rPr>
          <w:fldChar w:fldCharType="separate"/>
        </w:r>
        <w:r w:rsidR="00F455CF">
          <w:rPr>
            <w:noProof/>
            <w:webHidden/>
          </w:rPr>
          <w:t>120</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7" w:history="1">
        <w:r w:rsidR="0068707F" w:rsidRPr="00771FD7">
          <w:rPr>
            <w:rStyle w:val="Hyperlink"/>
            <w:noProof/>
          </w:rPr>
          <w:t>4.4.2.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_Toc461114737 \h </w:instrText>
        </w:r>
        <w:r w:rsidR="0068707F">
          <w:rPr>
            <w:noProof/>
            <w:webHidden/>
          </w:rPr>
        </w:r>
        <w:r w:rsidR="0068707F">
          <w:rPr>
            <w:noProof/>
            <w:webHidden/>
          </w:rPr>
          <w:fldChar w:fldCharType="separate"/>
        </w:r>
        <w:r w:rsidR="00F455CF">
          <w:rPr>
            <w:noProof/>
            <w:webHidden/>
          </w:rPr>
          <w:t>123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8" w:history="1">
        <w:r w:rsidR="0068707F" w:rsidRPr="00771FD7">
          <w:rPr>
            <w:rStyle w:val="Hyperlink"/>
            <w:noProof/>
          </w:rPr>
          <w:t>4.4.3.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_Toc461114738 \h </w:instrText>
        </w:r>
        <w:r w:rsidR="0068707F">
          <w:rPr>
            <w:noProof/>
            <w:webHidden/>
          </w:rPr>
        </w:r>
        <w:r w:rsidR="0068707F">
          <w:rPr>
            <w:noProof/>
            <w:webHidden/>
          </w:rPr>
          <w:fldChar w:fldCharType="separate"/>
        </w:r>
        <w:r w:rsidR="00F455CF">
          <w:rPr>
            <w:noProof/>
            <w:webHidden/>
          </w:rPr>
          <w:t>125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39" w:history="1">
        <w:r w:rsidR="0068707F" w:rsidRPr="00771FD7">
          <w:rPr>
            <w:rStyle w:val="Hyperlink"/>
            <w:noProof/>
          </w:rPr>
          <w:t>4.4.4.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_Toc461114739 \h </w:instrText>
        </w:r>
        <w:r w:rsidR="0068707F">
          <w:rPr>
            <w:noProof/>
            <w:webHidden/>
          </w:rPr>
        </w:r>
        <w:r w:rsidR="0068707F">
          <w:rPr>
            <w:noProof/>
            <w:webHidden/>
          </w:rPr>
          <w:fldChar w:fldCharType="separate"/>
        </w:r>
        <w:r w:rsidR="00F455CF">
          <w:rPr>
            <w:noProof/>
            <w:webHidden/>
          </w:rPr>
          <w:t>129</w:t>
        </w:r>
        <w:r w:rsidR="0068707F">
          <w:rPr>
            <w:noProof/>
            <w:webHidden/>
          </w:rPr>
          <w:fldChar w:fldCharType="end"/>
        </w:r>
      </w:hyperlink>
    </w:p>
    <w:p w:rsidR="0068707F" w:rsidRDefault="001A7C0A">
      <w:pPr>
        <w:pStyle w:val="TOC1"/>
        <w:rPr>
          <w:rFonts w:asciiTheme="minorHAnsi" w:eastAsiaTheme="minorEastAsia" w:hAnsiTheme="minorHAnsi" w:cstheme="minorBidi"/>
          <w:noProof/>
          <w:sz w:val="22"/>
          <w:szCs w:val="22"/>
        </w:rPr>
      </w:pPr>
      <w:hyperlink w:anchor="_Toc461114740" w:history="1">
        <w:r w:rsidR="0068707F" w:rsidRPr="0068707F">
          <w:rPr>
            <w:rStyle w:val="Hyperlink"/>
            <w:rFonts w:ascii="Times New Roman Bold" w:hAnsi="Times New Roman Bold"/>
            <w:b/>
            <w:caps/>
            <w:noProof/>
          </w:rPr>
          <w:t>5.</w:t>
        </w:r>
        <w:r w:rsidR="0068707F" w:rsidRPr="0068707F">
          <w:rPr>
            <w:rStyle w:val="Hyperlink"/>
            <w:rFonts w:ascii="Times New Roman Bold" w:hAnsi="Times New Roman Bold"/>
            <w:b/>
            <w:caps/>
            <w:noProof/>
          </w:rPr>
          <w:tab/>
          <w:t>Achieving a well-functioning market place for copyright</w:t>
        </w:r>
        <w:r w:rsidR="0068707F">
          <w:rPr>
            <w:noProof/>
            <w:webHidden/>
          </w:rPr>
          <w:tab/>
        </w:r>
        <w:r w:rsidR="0068707F">
          <w:rPr>
            <w:noProof/>
            <w:webHidden/>
          </w:rPr>
          <w:fldChar w:fldCharType="begin"/>
        </w:r>
        <w:r w:rsidR="0068707F">
          <w:rPr>
            <w:noProof/>
            <w:webHidden/>
          </w:rPr>
          <w:instrText xml:space="preserve"> PAGEREF _Toc461114740 \h </w:instrText>
        </w:r>
        <w:r w:rsidR="0068707F">
          <w:rPr>
            <w:noProof/>
            <w:webHidden/>
          </w:rPr>
        </w:r>
        <w:r w:rsidR="0068707F">
          <w:rPr>
            <w:noProof/>
            <w:webHidden/>
          </w:rPr>
          <w:fldChar w:fldCharType="separate"/>
        </w:r>
        <w:r w:rsidR="00F455CF">
          <w:rPr>
            <w:noProof/>
            <w:webHidden/>
          </w:rPr>
          <w:t>132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41" w:history="1">
        <w:r w:rsidR="0068707F" w:rsidRPr="00771FD7">
          <w:rPr>
            <w:rStyle w:val="Hyperlink"/>
            <w:smallCaps/>
            <w:noProof/>
          </w:rPr>
          <w:t>5.1.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Introduction</w:t>
        </w:r>
        <w:r w:rsidR="0068707F">
          <w:rPr>
            <w:noProof/>
            <w:webHidden/>
          </w:rPr>
          <w:tab/>
        </w:r>
        <w:r w:rsidR="0068707F">
          <w:rPr>
            <w:noProof/>
            <w:webHidden/>
          </w:rPr>
          <w:fldChar w:fldCharType="begin"/>
        </w:r>
        <w:r w:rsidR="0068707F">
          <w:rPr>
            <w:noProof/>
            <w:webHidden/>
          </w:rPr>
          <w:instrText xml:space="preserve"> PAGEREF _Toc461114741 \h </w:instrText>
        </w:r>
        <w:r w:rsidR="0068707F">
          <w:rPr>
            <w:noProof/>
            <w:webHidden/>
          </w:rPr>
        </w:r>
        <w:r w:rsidR="0068707F">
          <w:rPr>
            <w:noProof/>
            <w:webHidden/>
          </w:rPr>
          <w:fldChar w:fldCharType="separate"/>
        </w:r>
        <w:r w:rsidR="00F455CF">
          <w:rPr>
            <w:noProof/>
            <w:webHidden/>
          </w:rPr>
          <w:t>132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2" w:history="1">
        <w:r w:rsidR="0068707F" w:rsidRPr="00771FD7">
          <w:rPr>
            <w:rStyle w:val="Hyperlink"/>
            <w:noProof/>
          </w:rPr>
          <w:t>5.1.1.</w:t>
        </w:r>
        <w:r w:rsidR="0068707F">
          <w:rPr>
            <w:rFonts w:asciiTheme="minorHAnsi" w:eastAsiaTheme="minorEastAsia" w:hAnsiTheme="minorHAnsi" w:cstheme="minorBidi"/>
            <w:noProof/>
            <w:sz w:val="22"/>
            <w:szCs w:val="22"/>
          </w:rPr>
          <w:tab/>
        </w:r>
        <w:r w:rsidR="0068707F" w:rsidRPr="00771FD7">
          <w:rPr>
            <w:rStyle w:val="Hyperlink"/>
            <w:noProof/>
          </w:rPr>
          <w:t>Background</w:t>
        </w:r>
        <w:r w:rsidR="0068707F">
          <w:rPr>
            <w:noProof/>
            <w:webHidden/>
          </w:rPr>
          <w:tab/>
        </w:r>
        <w:r w:rsidR="0068707F">
          <w:rPr>
            <w:noProof/>
            <w:webHidden/>
          </w:rPr>
          <w:fldChar w:fldCharType="begin"/>
        </w:r>
        <w:r w:rsidR="0068707F">
          <w:rPr>
            <w:noProof/>
            <w:webHidden/>
          </w:rPr>
          <w:instrText xml:space="preserve"> PAGEREF _Toc461114742 \h </w:instrText>
        </w:r>
        <w:r w:rsidR="0068707F">
          <w:rPr>
            <w:noProof/>
            <w:webHidden/>
          </w:rPr>
        </w:r>
        <w:r w:rsidR="0068707F">
          <w:rPr>
            <w:noProof/>
            <w:webHidden/>
          </w:rPr>
          <w:fldChar w:fldCharType="separate"/>
        </w:r>
        <w:r w:rsidR="00F455CF">
          <w:rPr>
            <w:noProof/>
            <w:webHidden/>
          </w:rPr>
          <w:t>132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3" w:history="1">
        <w:r w:rsidR="0068707F" w:rsidRPr="00771FD7">
          <w:rPr>
            <w:rStyle w:val="Hyperlink"/>
            <w:noProof/>
          </w:rPr>
          <w:t>5.1.2.</w:t>
        </w:r>
        <w:r w:rsidR="0068707F">
          <w:rPr>
            <w:rFonts w:asciiTheme="minorHAnsi" w:eastAsiaTheme="minorEastAsia" w:hAnsiTheme="minorHAnsi" w:cstheme="minorBidi"/>
            <w:noProof/>
            <w:sz w:val="22"/>
            <w:szCs w:val="22"/>
          </w:rPr>
          <w:tab/>
        </w:r>
        <w:r w:rsidR="0068707F" w:rsidRPr="00771FD7">
          <w:rPr>
            <w:rStyle w:val="Hyperlink"/>
            <w:noProof/>
          </w:rPr>
          <w:t>Why should the EU act?</w:t>
        </w:r>
        <w:r w:rsidR="0068707F">
          <w:rPr>
            <w:noProof/>
            <w:webHidden/>
          </w:rPr>
          <w:tab/>
        </w:r>
        <w:r w:rsidR="0068707F">
          <w:rPr>
            <w:noProof/>
            <w:webHidden/>
          </w:rPr>
          <w:fldChar w:fldCharType="begin"/>
        </w:r>
        <w:r w:rsidR="0068707F">
          <w:rPr>
            <w:noProof/>
            <w:webHidden/>
          </w:rPr>
          <w:instrText xml:space="preserve"> PAGEREF _Toc461114743 \h </w:instrText>
        </w:r>
        <w:r w:rsidR="0068707F">
          <w:rPr>
            <w:noProof/>
            <w:webHidden/>
          </w:rPr>
        </w:r>
        <w:r w:rsidR="0068707F">
          <w:rPr>
            <w:noProof/>
            <w:webHidden/>
          </w:rPr>
          <w:fldChar w:fldCharType="separate"/>
        </w:r>
        <w:r w:rsidR="00F455CF">
          <w:rPr>
            <w:noProof/>
            <w:webHidden/>
          </w:rPr>
          <w:t>132</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4" w:history="1">
        <w:r w:rsidR="0068707F" w:rsidRPr="00771FD7">
          <w:rPr>
            <w:rStyle w:val="Hyperlink"/>
            <w:noProof/>
          </w:rPr>
          <w:t>5.1.3.</w:t>
        </w:r>
        <w:r w:rsidR="0068707F">
          <w:rPr>
            <w:rFonts w:asciiTheme="minorHAnsi" w:eastAsiaTheme="minorEastAsia" w:hAnsiTheme="minorHAnsi" w:cstheme="minorBidi"/>
            <w:noProof/>
            <w:sz w:val="22"/>
            <w:szCs w:val="22"/>
          </w:rPr>
          <w:tab/>
        </w:r>
        <w:r w:rsidR="0068707F" w:rsidRPr="00771FD7">
          <w:rPr>
            <w:rStyle w:val="Hyperlink"/>
            <w:noProof/>
          </w:rPr>
          <w:t>What should be achieved?</w:t>
        </w:r>
        <w:r w:rsidR="0068707F">
          <w:rPr>
            <w:noProof/>
            <w:webHidden/>
          </w:rPr>
          <w:tab/>
        </w:r>
        <w:r w:rsidR="0068707F">
          <w:rPr>
            <w:noProof/>
            <w:webHidden/>
          </w:rPr>
          <w:fldChar w:fldCharType="begin"/>
        </w:r>
        <w:r w:rsidR="0068707F">
          <w:rPr>
            <w:noProof/>
            <w:webHidden/>
          </w:rPr>
          <w:instrText xml:space="preserve"> PAGEREF _Toc461114744 \h </w:instrText>
        </w:r>
        <w:r w:rsidR="0068707F">
          <w:rPr>
            <w:noProof/>
            <w:webHidden/>
          </w:rPr>
        </w:r>
        <w:r w:rsidR="0068707F">
          <w:rPr>
            <w:noProof/>
            <w:webHidden/>
          </w:rPr>
          <w:fldChar w:fldCharType="separate"/>
        </w:r>
        <w:r w:rsidR="00F455CF">
          <w:rPr>
            <w:noProof/>
            <w:webHidden/>
          </w:rPr>
          <w:t>134</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5" w:history="1">
        <w:r w:rsidR="0068707F" w:rsidRPr="00771FD7">
          <w:rPr>
            <w:rStyle w:val="Hyperlink"/>
            <w:noProof/>
          </w:rPr>
          <w:t>5.1.4.</w:t>
        </w:r>
        <w:r w:rsidR="0068707F">
          <w:rPr>
            <w:rFonts w:asciiTheme="minorHAnsi" w:eastAsiaTheme="minorEastAsia" w:hAnsiTheme="minorHAnsi" w:cstheme="minorBidi"/>
            <w:noProof/>
            <w:sz w:val="22"/>
            <w:szCs w:val="22"/>
          </w:rPr>
          <w:tab/>
        </w:r>
        <w:r w:rsidR="0068707F" w:rsidRPr="00771FD7">
          <w:rPr>
            <w:rStyle w:val="Hyperlink"/>
            <w:noProof/>
          </w:rPr>
          <w:t>Methodology</w:t>
        </w:r>
        <w:r w:rsidR="0068707F">
          <w:rPr>
            <w:noProof/>
            <w:webHidden/>
          </w:rPr>
          <w:tab/>
        </w:r>
        <w:r w:rsidR="0068707F">
          <w:rPr>
            <w:noProof/>
            <w:webHidden/>
          </w:rPr>
          <w:fldChar w:fldCharType="begin"/>
        </w:r>
        <w:r w:rsidR="0068707F">
          <w:rPr>
            <w:noProof/>
            <w:webHidden/>
          </w:rPr>
          <w:instrText xml:space="preserve"> PAGEREF _Toc461114745 \h </w:instrText>
        </w:r>
        <w:r w:rsidR="0068707F">
          <w:rPr>
            <w:noProof/>
            <w:webHidden/>
          </w:rPr>
        </w:r>
        <w:r w:rsidR="0068707F">
          <w:rPr>
            <w:noProof/>
            <w:webHidden/>
          </w:rPr>
          <w:fldChar w:fldCharType="separate"/>
        </w:r>
        <w:r w:rsidR="00F455CF">
          <w:rPr>
            <w:noProof/>
            <w:webHidden/>
          </w:rPr>
          <w:t>134</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46" w:history="1">
        <w:r w:rsidR="0068707F" w:rsidRPr="00771FD7">
          <w:rPr>
            <w:rStyle w:val="Hyperlink"/>
            <w:smallCaps/>
            <w:noProof/>
          </w:rPr>
          <w:t>5.2.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Use of protected content by online services storing and giving access to user uploaded content</w:t>
        </w:r>
        <w:r w:rsidR="0068707F">
          <w:rPr>
            <w:noProof/>
            <w:webHidden/>
          </w:rPr>
          <w:tab/>
        </w:r>
        <w:r w:rsidR="0068707F">
          <w:rPr>
            <w:noProof/>
            <w:webHidden/>
          </w:rPr>
          <w:fldChar w:fldCharType="begin"/>
        </w:r>
        <w:r w:rsidR="0068707F">
          <w:rPr>
            <w:noProof/>
            <w:webHidden/>
          </w:rPr>
          <w:instrText xml:space="preserve"> PAGEREF _Toc461114746 \h </w:instrText>
        </w:r>
        <w:r w:rsidR="0068707F">
          <w:rPr>
            <w:noProof/>
            <w:webHidden/>
          </w:rPr>
        </w:r>
        <w:r w:rsidR="0068707F">
          <w:rPr>
            <w:noProof/>
            <w:webHidden/>
          </w:rPr>
          <w:fldChar w:fldCharType="separate"/>
        </w:r>
        <w:r w:rsidR="00F455CF">
          <w:rPr>
            <w:noProof/>
            <w:webHidden/>
          </w:rPr>
          <w:t>137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7" w:history="1">
        <w:r w:rsidR="0068707F" w:rsidRPr="00771FD7">
          <w:rPr>
            <w:rStyle w:val="Hyperlink"/>
            <w:noProof/>
          </w:rPr>
          <w:t>5.2.1.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_Toc461114747 \h </w:instrText>
        </w:r>
        <w:r w:rsidR="0068707F">
          <w:rPr>
            <w:noProof/>
            <w:webHidden/>
          </w:rPr>
        </w:r>
        <w:r w:rsidR="0068707F">
          <w:rPr>
            <w:noProof/>
            <w:webHidden/>
          </w:rPr>
          <w:fldChar w:fldCharType="separate"/>
        </w:r>
        <w:r w:rsidR="00F455CF">
          <w:rPr>
            <w:noProof/>
            <w:webHidden/>
          </w:rPr>
          <w:t>137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8" w:history="1">
        <w:r w:rsidR="0068707F" w:rsidRPr="00771FD7">
          <w:rPr>
            <w:rStyle w:val="Hyperlink"/>
            <w:noProof/>
          </w:rPr>
          <w:t>5.2.2.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_Toc461114748 \h </w:instrText>
        </w:r>
        <w:r w:rsidR="0068707F">
          <w:rPr>
            <w:noProof/>
            <w:webHidden/>
          </w:rPr>
        </w:r>
        <w:r w:rsidR="0068707F">
          <w:rPr>
            <w:noProof/>
            <w:webHidden/>
          </w:rPr>
          <w:fldChar w:fldCharType="separate"/>
        </w:r>
        <w:r w:rsidR="00F455CF">
          <w:rPr>
            <w:noProof/>
            <w:webHidden/>
          </w:rPr>
          <w:t>144</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49" w:history="1">
        <w:r w:rsidR="0068707F" w:rsidRPr="00771FD7">
          <w:rPr>
            <w:rStyle w:val="Hyperlink"/>
            <w:noProof/>
          </w:rPr>
          <w:t>5.2.3.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_Toc461114749 \h </w:instrText>
        </w:r>
        <w:r w:rsidR="0068707F">
          <w:rPr>
            <w:noProof/>
            <w:webHidden/>
          </w:rPr>
        </w:r>
        <w:r w:rsidR="0068707F">
          <w:rPr>
            <w:noProof/>
            <w:webHidden/>
          </w:rPr>
          <w:fldChar w:fldCharType="separate"/>
        </w:r>
        <w:r w:rsidR="00F455CF">
          <w:rPr>
            <w:noProof/>
            <w:webHidden/>
          </w:rPr>
          <w:t>147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0" w:history="1">
        <w:r w:rsidR="0068707F" w:rsidRPr="00771FD7">
          <w:rPr>
            <w:rStyle w:val="Hyperlink"/>
            <w:noProof/>
          </w:rPr>
          <w:t>5.2.4.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_Toc461114750 \h </w:instrText>
        </w:r>
        <w:r w:rsidR="0068707F">
          <w:rPr>
            <w:noProof/>
            <w:webHidden/>
          </w:rPr>
        </w:r>
        <w:r w:rsidR="0068707F">
          <w:rPr>
            <w:noProof/>
            <w:webHidden/>
          </w:rPr>
          <w:fldChar w:fldCharType="separate"/>
        </w:r>
        <w:r w:rsidR="00F455CF">
          <w:rPr>
            <w:noProof/>
            <w:webHidden/>
          </w:rPr>
          <w:t>154</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51" w:history="1">
        <w:r w:rsidR="0068707F" w:rsidRPr="00771FD7">
          <w:rPr>
            <w:rStyle w:val="Hyperlink"/>
            <w:rFonts w:ascii="Times New Roman Bold" w:hAnsi="Times New Roman Bold"/>
            <w:smallCaps/>
            <w:noProof/>
          </w:rPr>
          <w:t>5.3.</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Rights in publications</w:t>
        </w:r>
        <w:r w:rsidR="0068707F">
          <w:rPr>
            <w:noProof/>
            <w:webHidden/>
          </w:rPr>
          <w:tab/>
        </w:r>
        <w:r w:rsidR="0068707F">
          <w:rPr>
            <w:noProof/>
            <w:webHidden/>
          </w:rPr>
          <w:fldChar w:fldCharType="begin"/>
        </w:r>
        <w:r w:rsidR="0068707F">
          <w:rPr>
            <w:noProof/>
            <w:webHidden/>
          </w:rPr>
          <w:instrText xml:space="preserve"> PAGEREF _Toc461114751 \h </w:instrText>
        </w:r>
        <w:r w:rsidR="0068707F">
          <w:rPr>
            <w:noProof/>
            <w:webHidden/>
          </w:rPr>
        </w:r>
        <w:r w:rsidR="0068707F">
          <w:rPr>
            <w:noProof/>
            <w:webHidden/>
          </w:rPr>
          <w:fldChar w:fldCharType="separate"/>
        </w:r>
        <w:r w:rsidR="00F455CF">
          <w:rPr>
            <w:noProof/>
            <w:webHidden/>
          </w:rPr>
          <w:t>155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2" w:history="1">
        <w:r w:rsidR="0068707F" w:rsidRPr="00771FD7">
          <w:rPr>
            <w:rStyle w:val="Hyperlink"/>
            <w:noProof/>
          </w:rPr>
          <w:t>5.3.1.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_Toc461114752 \h </w:instrText>
        </w:r>
        <w:r w:rsidR="0068707F">
          <w:rPr>
            <w:noProof/>
            <w:webHidden/>
          </w:rPr>
        </w:r>
        <w:r w:rsidR="0068707F">
          <w:rPr>
            <w:noProof/>
            <w:webHidden/>
          </w:rPr>
          <w:fldChar w:fldCharType="separate"/>
        </w:r>
        <w:r w:rsidR="00F455CF">
          <w:rPr>
            <w:noProof/>
            <w:webHidden/>
          </w:rPr>
          <w:t>155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3" w:history="1">
        <w:r w:rsidR="0068707F" w:rsidRPr="00771FD7">
          <w:rPr>
            <w:rStyle w:val="Hyperlink"/>
            <w:noProof/>
          </w:rPr>
          <w:t>5.3.2.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_Toc461114753 \h </w:instrText>
        </w:r>
        <w:r w:rsidR="0068707F">
          <w:rPr>
            <w:noProof/>
            <w:webHidden/>
          </w:rPr>
        </w:r>
        <w:r w:rsidR="0068707F">
          <w:rPr>
            <w:noProof/>
            <w:webHidden/>
          </w:rPr>
          <w:fldChar w:fldCharType="separate"/>
        </w:r>
        <w:r w:rsidR="00F455CF">
          <w:rPr>
            <w:noProof/>
            <w:webHidden/>
          </w:rPr>
          <w:t>161</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4" w:history="1">
        <w:r w:rsidR="0068707F" w:rsidRPr="00771FD7">
          <w:rPr>
            <w:rStyle w:val="Hyperlink"/>
            <w:noProof/>
          </w:rPr>
          <w:t>5.3.3.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_Toc461114754 \h </w:instrText>
        </w:r>
        <w:r w:rsidR="0068707F">
          <w:rPr>
            <w:noProof/>
            <w:webHidden/>
          </w:rPr>
        </w:r>
        <w:r w:rsidR="0068707F">
          <w:rPr>
            <w:noProof/>
            <w:webHidden/>
          </w:rPr>
          <w:fldChar w:fldCharType="separate"/>
        </w:r>
        <w:r w:rsidR="00F455CF">
          <w:rPr>
            <w:noProof/>
            <w:webHidden/>
          </w:rPr>
          <w:t>163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5" w:history="1">
        <w:r w:rsidR="0068707F" w:rsidRPr="00771FD7">
          <w:rPr>
            <w:rStyle w:val="Hyperlink"/>
            <w:noProof/>
          </w:rPr>
          <w:t>5.3.4.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_Toc461114755 \h </w:instrText>
        </w:r>
        <w:r w:rsidR="0068707F">
          <w:rPr>
            <w:noProof/>
            <w:webHidden/>
          </w:rPr>
        </w:r>
        <w:r w:rsidR="0068707F">
          <w:rPr>
            <w:noProof/>
            <w:webHidden/>
          </w:rPr>
          <w:fldChar w:fldCharType="separate"/>
        </w:r>
        <w:r w:rsidR="00F455CF">
          <w:rPr>
            <w:noProof/>
            <w:webHidden/>
          </w:rPr>
          <w:t>172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56" w:history="1">
        <w:r w:rsidR="0068707F" w:rsidRPr="00771FD7">
          <w:rPr>
            <w:rStyle w:val="Hyperlink"/>
            <w:rFonts w:ascii="Times New Roman Bold" w:hAnsi="Times New Roman Bold"/>
            <w:smallCaps/>
            <w:noProof/>
          </w:rPr>
          <w:t>5.4.</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Fair remuneration in contracts of authors and performers</w:t>
        </w:r>
        <w:r w:rsidR="0068707F">
          <w:rPr>
            <w:noProof/>
            <w:webHidden/>
          </w:rPr>
          <w:tab/>
        </w:r>
        <w:r w:rsidR="0068707F">
          <w:rPr>
            <w:noProof/>
            <w:webHidden/>
          </w:rPr>
          <w:fldChar w:fldCharType="begin"/>
        </w:r>
        <w:r w:rsidR="0068707F">
          <w:rPr>
            <w:noProof/>
            <w:webHidden/>
          </w:rPr>
          <w:instrText xml:space="preserve"> PAGEREF _Toc461114756 \h </w:instrText>
        </w:r>
        <w:r w:rsidR="0068707F">
          <w:rPr>
            <w:noProof/>
            <w:webHidden/>
          </w:rPr>
        </w:r>
        <w:r w:rsidR="0068707F">
          <w:rPr>
            <w:noProof/>
            <w:webHidden/>
          </w:rPr>
          <w:fldChar w:fldCharType="separate"/>
        </w:r>
        <w:r w:rsidR="00F455CF">
          <w:rPr>
            <w:noProof/>
            <w:webHidden/>
          </w:rPr>
          <w:t>173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7" w:history="1">
        <w:r w:rsidR="0068707F" w:rsidRPr="00771FD7">
          <w:rPr>
            <w:rStyle w:val="Hyperlink"/>
            <w:noProof/>
          </w:rPr>
          <w:t>5.4.1.</w:t>
        </w:r>
        <w:r w:rsidR="0068707F">
          <w:rPr>
            <w:rFonts w:asciiTheme="minorHAnsi" w:eastAsiaTheme="minorEastAsia" w:hAnsiTheme="minorHAnsi" w:cstheme="minorBidi"/>
            <w:noProof/>
            <w:sz w:val="22"/>
            <w:szCs w:val="22"/>
          </w:rPr>
          <w:tab/>
        </w:r>
        <w:r w:rsidR="0068707F" w:rsidRPr="00771FD7">
          <w:rPr>
            <w:rStyle w:val="Hyperlink"/>
            <w:noProof/>
          </w:rPr>
          <w:t>What is the problem and why is it a problem?</w:t>
        </w:r>
        <w:r w:rsidR="0068707F">
          <w:rPr>
            <w:noProof/>
            <w:webHidden/>
          </w:rPr>
          <w:tab/>
        </w:r>
        <w:r w:rsidR="0068707F">
          <w:rPr>
            <w:noProof/>
            <w:webHidden/>
          </w:rPr>
          <w:fldChar w:fldCharType="begin"/>
        </w:r>
        <w:r w:rsidR="0068707F">
          <w:rPr>
            <w:noProof/>
            <w:webHidden/>
          </w:rPr>
          <w:instrText xml:space="preserve"> PAGEREF _Toc461114757 \h </w:instrText>
        </w:r>
        <w:r w:rsidR="0068707F">
          <w:rPr>
            <w:noProof/>
            <w:webHidden/>
          </w:rPr>
        </w:r>
        <w:r w:rsidR="0068707F">
          <w:rPr>
            <w:noProof/>
            <w:webHidden/>
          </w:rPr>
          <w:fldChar w:fldCharType="separate"/>
        </w:r>
        <w:r w:rsidR="00F455CF">
          <w:rPr>
            <w:noProof/>
            <w:webHidden/>
          </w:rPr>
          <w:t>173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8" w:history="1">
        <w:r w:rsidR="0068707F" w:rsidRPr="00771FD7">
          <w:rPr>
            <w:rStyle w:val="Hyperlink"/>
            <w:noProof/>
          </w:rPr>
          <w:t>5.4.2.</w:t>
        </w:r>
        <w:r w:rsidR="0068707F">
          <w:rPr>
            <w:rFonts w:asciiTheme="minorHAnsi" w:eastAsiaTheme="minorEastAsia" w:hAnsiTheme="minorHAnsi" w:cstheme="minorBidi"/>
            <w:noProof/>
            <w:sz w:val="22"/>
            <w:szCs w:val="22"/>
          </w:rPr>
          <w:tab/>
        </w:r>
        <w:r w:rsidR="0068707F" w:rsidRPr="00771FD7">
          <w:rPr>
            <w:rStyle w:val="Hyperlink"/>
            <w:noProof/>
          </w:rPr>
          <w:t>What are the various options to achieve the objectives?</w:t>
        </w:r>
        <w:r w:rsidR="0068707F">
          <w:rPr>
            <w:noProof/>
            <w:webHidden/>
          </w:rPr>
          <w:tab/>
        </w:r>
        <w:r w:rsidR="0068707F">
          <w:rPr>
            <w:noProof/>
            <w:webHidden/>
          </w:rPr>
          <w:fldChar w:fldCharType="begin"/>
        </w:r>
        <w:r w:rsidR="0068707F">
          <w:rPr>
            <w:noProof/>
            <w:webHidden/>
          </w:rPr>
          <w:instrText xml:space="preserve"> PAGEREF _Toc461114758 \h </w:instrText>
        </w:r>
        <w:r w:rsidR="0068707F">
          <w:rPr>
            <w:noProof/>
            <w:webHidden/>
          </w:rPr>
        </w:r>
        <w:r w:rsidR="0068707F">
          <w:rPr>
            <w:noProof/>
            <w:webHidden/>
          </w:rPr>
          <w:fldChar w:fldCharType="separate"/>
        </w:r>
        <w:r w:rsidR="00F455CF">
          <w:rPr>
            <w:noProof/>
            <w:webHidden/>
          </w:rPr>
          <w:t>177</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59" w:history="1">
        <w:r w:rsidR="0068707F" w:rsidRPr="00771FD7">
          <w:rPr>
            <w:rStyle w:val="Hyperlink"/>
            <w:noProof/>
          </w:rPr>
          <w:t>5.4.3.</w:t>
        </w:r>
        <w:r w:rsidR="0068707F">
          <w:rPr>
            <w:rFonts w:asciiTheme="minorHAnsi" w:eastAsiaTheme="minorEastAsia" w:hAnsiTheme="minorHAnsi" w:cstheme="minorBidi"/>
            <w:noProof/>
            <w:sz w:val="22"/>
            <w:szCs w:val="22"/>
          </w:rPr>
          <w:tab/>
        </w:r>
        <w:r w:rsidR="0068707F" w:rsidRPr="00771FD7">
          <w:rPr>
            <w:rStyle w:val="Hyperlink"/>
            <w:noProof/>
          </w:rPr>
          <w:t>What are the impacts of the different policy options and who will be affected?</w:t>
        </w:r>
        <w:r w:rsidR="0068707F">
          <w:rPr>
            <w:noProof/>
            <w:webHidden/>
          </w:rPr>
          <w:tab/>
        </w:r>
        <w:r w:rsidR="0068707F">
          <w:rPr>
            <w:noProof/>
            <w:webHidden/>
          </w:rPr>
          <w:fldChar w:fldCharType="begin"/>
        </w:r>
        <w:r w:rsidR="0068707F">
          <w:rPr>
            <w:noProof/>
            <w:webHidden/>
          </w:rPr>
          <w:instrText xml:space="preserve"> PAGEREF _Toc461114759 \h </w:instrText>
        </w:r>
        <w:r w:rsidR="0068707F">
          <w:rPr>
            <w:noProof/>
            <w:webHidden/>
          </w:rPr>
        </w:r>
        <w:r w:rsidR="0068707F">
          <w:rPr>
            <w:noProof/>
            <w:webHidden/>
          </w:rPr>
          <w:fldChar w:fldCharType="separate"/>
        </w:r>
        <w:r w:rsidR="00F455CF">
          <w:rPr>
            <w:noProof/>
            <w:webHidden/>
          </w:rPr>
          <w:t>181</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0" w:history="1">
        <w:r w:rsidR="0068707F" w:rsidRPr="00771FD7">
          <w:rPr>
            <w:rStyle w:val="Hyperlink"/>
            <w:noProof/>
          </w:rPr>
          <w:t>5.4.4.</w:t>
        </w:r>
        <w:r w:rsidR="0068707F">
          <w:rPr>
            <w:rFonts w:asciiTheme="minorHAnsi" w:eastAsiaTheme="minorEastAsia" w:hAnsiTheme="minorHAnsi" w:cstheme="minorBidi"/>
            <w:noProof/>
            <w:sz w:val="22"/>
            <w:szCs w:val="22"/>
          </w:rPr>
          <w:tab/>
        </w:r>
        <w:r w:rsidR="0068707F" w:rsidRPr="00771FD7">
          <w:rPr>
            <w:rStyle w:val="Hyperlink"/>
            <w:noProof/>
          </w:rPr>
          <w:t>How do the options compare?</w:t>
        </w:r>
        <w:r w:rsidR="0068707F">
          <w:rPr>
            <w:noProof/>
            <w:webHidden/>
          </w:rPr>
          <w:tab/>
        </w:r>
        <w:r w:rsidR="0068707F">
          <w:rPr>
            <w:noProof/>
            <w:webHidden/>
          </w:rPr>
          <w:fldChar w:fldCharType="begin"/>
        </w:r>
        <w:r w:rsidR="0068707F">
          <w:rPr>
            <w:noProof/>
            <w:webHidden/>
          </w:rPr>
          <w:instrText xml:space="preserve"> PAGEREF _Toc461114760 \h </w:instrText>
        </w:r>
        <w:r w:rsidR="0068707F">
          <w:rPr>
            <w:noProof/>
            <w:webHidden/>
          </w:rPr>
        </w:r>
        <w:r w:rsidR="0068707F">
          <w:rPr>
            <w:noProof/>
            <w:webHidden/>
          </w:rPr>
          <w:fldChar w:fldCharType="separate"/>
        </w:r>
        <w:r w:rsidR="00F455CF">
          <w:rPr>
            <w:noProof/>
            <w:webHidden/>
          </w:rPr>
          <w:t>189</w:t>
        </w:r>
        <w:r w:rsidR="0068707F">
          <w:rPr>
            <w:noProof/>
            <w:webHidden/>
          </w:rPr>
          <w:fldChar w:fldCharType="end"/>
        </w:r>
      </w:hyperlink>
    </w:p>
    <w:p w:rsidR="0068707F" w:rsidRDefault="001A7C0A">
      <w:pPr>
        <w:pStyle w:val="TOC1"/>
        <w:rPr>
          <w:rFonts w:asciiTheme="minorHAnsi" w:eastAsiaTheme="minorEastAsia" w:hAnsiTheme="minorHAnsi" w:cstheme="minorBidi"/>
          <w:noProof/>
          <w:sz w:val="22"/>
          <w:szCs w:val="22"/>
        </w:rPr>
      </w:pPr>
      <w:hyperlink w:anchor="_Toc461114761" w:history="1">
        <w:r w:rsidR="0068707F" w:rsidRPr="0068707F">
          <w:rPr>
            <w:rStyle w:val="Hyperlink"/>
            <w:rFonts w:ascii="Times New Roman Bold" w:hAnsi="Times New Roman Bold"/>
            <w:b/>
            <w:caps/>
            <w:noProof/>
          </w:rPr>
          <w:t>6.</w:t>
        </w:r>
        <w:r w:rsidR="0068707F" w:rsidRPr="0068707F">
          <w:rPr>
            <w:rStyle w:val="Hyperlink"/>
            <w:rFonts w:ascii="Times New Roman Bold" w:hAnsi="Times New Roman Bold"/>
            <w:b/>
            <w:caps/>
            <w:noProof/>
          </w:rPr>
          <w:tab/>
          <w:t>Overall conclusions</w:t>
        </w:r>
        <w:r w:rsidR="0068707F">
          <w:rPr>
            <w:noProof/>
            <w:webHidden/>
          </w:rPr>
          <w:tab/>
        </w:r>
        <w:r w:rsidR="0068707F">
          <w:rPr>
            <w:noProof/>
            <w:webHidden/>
          </w:rPr>
          <w:fldChar w:fldCharType="begin"/>
        </w:r>
        <w:r w:rsidR="0068707F">
          <w:rPr>
            <w:noProof/>
            <w:webHidden/>
          </w:rPr>
          <w:instrText xml:space="preserve"> PAGEREF _Toc461114761 \h </w:instrText>
        </w:r>
        <w:r w:rsidR="0068707F">
          <w:rPr>
            <w:noProof/>
            <w:webHidden/>
          </w:rPr>
        </w:r>
        <w:r w:rsidR="0068707F">
          <w:rPr>
            <w:noProof/>
            <w:webHidden/>
          </w:rPr>
          <w:fldChar w:fldCharType="separate"/>
        </w:r>
        <w:r w:rsidR="00F455CF">
          <w:rPr>
            <w:noProof/>
            <w:webHidden/>
          </w:rPr>
          <w:t>192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62" w:history="1">
        <w:r w:rsidR="0068707F" w:rsidRPr="00771FD7">
          <w:rPr>
            <w:rStyle w:val="Hyperlink"/>
            <w:rFonts w:ascii="Times New Roman Bold" w:hAnsi="Times New Roman Bold"/>
            <w:smallCaps/>
            <w:noProof/>
          </w:rPr>
          <w:t>6.1.</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Summary of preferred options</w:t>
        </w:r>
        <w:r w:rsidR="0068707F">
          <w:rPr>
            <w:noProof/>
            <w:webHidden/>
          </w:rPr>
          <w:tab/>
        </w:r>
        <w:r w:rsidR="0068707F">
          <w:rPr>
            <w:noProof/>
            <w:webHidden/>
          </w:rPr>
          <w:fldChar w:fldCharType="begin"/>
        </w:r>
        <w:r w:rsidR="0068707F">
          <w:rPr>
            <w:noProof/>
            <w:webHidden/>
          </w:rPr>
          <w:instrText xml:space="preserve"> PAGEREF _Toc461114762 \h </w:instrText>
        </w:r>
        <w:r w:rsidR="0068707F">
          <w:rPr>
            <w:noProof/>
            <w:webHidden/>
          </w:rPr>
        </w:r>
        <w:r w:rsidR="0068707F">
          <w:rPr>
            <w:noProof/>
            <w:webHidden/>
          </w:rPr>
          <w:fldChar w:fldCharType="separate"/>
        </w:r>
        <w:r w:rsidR="00F455CF">
          <w:rPr>
            <w:noProof/>
            <w:webHidden/>
          </w:rPr>
          <w:t>192</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63" w:history="1">
        <w:r w:rsidR="0068707F" w:rsidRPr="00771FD7">
          <w:rPr>
            <w:rStyle w:val="Hyperlink"/>
            <w:rFonts w:ascii="Times New Roman Bold" w:hAnsi="Times New Roman Bold"/>
            <w:smallCaps/>
            <w:noProof/>
          </w:rPr>
          <w:t>6.2.</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Analysis of the combined application of the preferred options</w:t>
        </w:r>
        <w:r w:rsidR="0068707F">
          <w:rPr>
            <w:noProof/>
            <w:webHidden/>
          </w:rPr>
          <w:tab/>
        </w:r>
        <w:r w:rsidR="0068707F">
          <w:rPr>
            <w:noProof/>
            <w:webHidden/>
          </w:rPr>
          <w:fldChar w:fldCharType="begin"/>
        </w:r>
        <w:r w:rsidR="0068707F">
          <w:rPr>
            <w:noProof/>
            <w:webHidden/>
          </w:rPr>
          <w:instrText xml:space="preserve"> PAGEREF _Toc461114763 \h </w:instrText>
        </w:r>
        <w:r w:rsidR="0068707F">
          <w:rPr>
            <w:noProof/>
            <w:webHidden/>
          </w:rPr>
        </w:r>
        <w:r w:rsidR="0068707F">
          <w:rPr>
            <w:noProof/>
            <w:webHidden/>
          </w:rPr>
          <w:fldChar w:fldCharType="separate"/>
        </w:r>
        <w:r w:rsidR="00F455CF">
          <w:rPr>
            <w:noProof/>
            <w:webHidden/>
          </w:rPr>
          <w:t>193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4" w:history="1">
        <w:r w:rsidR="0068707F" w:rsidRPr="00771FD7">
          <w:rPr>
            <w:rStyle w:val="Hyperlink"/>
            <w:noProof/>
          </w:rPr>
          <w:t>6.2.1.</w:t>
        </w:r>
        <w:r w:rsidR="0068707F">
          <w:rPr>
            <w:rFonts w:asciiTheme="minorHAnsi" w:eastAsiaTheme="minorEastAsia" w:hAnsiTheme="minorHAnsi" w:cstheme="minorBidi"/>
            <w:noProof/>
            <w:sz w:val="22"/>
            <w:szCs w:val="22"/>
          </w:rPr>
          <w:tab/>
        </w:r>
        <w:r w:rsidR="0068707F" w:rsidRPr="00771FD7">
          <w:rPr>
            <w:rStyle w:val="Hyperlink"/>
            <w:noProof/>
          </w:rPr>
          <w:t>Impact on stakeholders</w:t>
        </w:r>
        <w:r w:rsidR="0068707F">
          <w:rPr>
            <w:noProof/>
            <w:webHidden/>
          </w:rPr>
          <w:tab/>
        </w:r>
        <w:r w:rsidR="0068707F">
          <w:rPr>
            <w:noProof/>
            <w:webHidden/>
          </w:rPr>
          <w:fldChar w:fldCharType="begin"/>
        </w:r>
        <w:r w:rsidR="0068707F">
          <w:rPr>
            <w:noProof/>
            <w:webHidden/>
          </w:rPr>
          <w:instrText xml:space="preserve"> PAGEREF _Toc461114764 \h </w:instrText>
        </w:r>
        <w:r w:rsidR="0068707F">
          <w:rPr>
            <w:noProof/>
            <w:webHidden/>
          </w:rPr>
        </w:r>
        <w:r w:rsidR="0068707F">
          <w:rPr>
            <w:noProof/>
            <w:webHidden/>
          </w:rPr>
          <w:fldChar w:fldCharType="separate"/>
        </w:r>
        <w:r w:rsidR="00F455CF">
          <w:rPr>
            <w:noProof/>
            <w:webHidden/>
          </w:rPr>
          <w:t>193</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5" w:history="1">
        <w:r w:rsidR="0068707F" w:rsidRPr="00771FD7">
          <w:rPr>
            <w:rStyle w:val="Hyperlink"/>
            <w:noProof/>
          </w:rPr>
          <w:t>6.2.2.</w:t>
        </w:r>
        <w:r w:rsidR="0068707F">
          <w:rPr>
            <w:rFonts w:asciiTheme="minorHAnsi" w:eastAsiaTheme="minorEastAsia" w:hAnsiTheme="minorHAnsi" w:cstheme="minorBidi"/>
            <w:noProof/>
            <w:sz w:val="22"/>
            <w:szCs w:val="22"/>
          </w:rPr>
          <w:tab/>
        </w:r>
        <w:r w:rsidR="0068707F" w:rsidRPr="00771FD7">
          <w:rPr>
            <w:rStyle w:val="Hyperlink"/>
            <w:noProof/>
          </w:rPr>
          <w:t>Subsidiarity and proportionality</w:t>
        </w:r>
        <w:r w:rsidR="0068707F">
          <w:rPr>
            <w:noProof/>
            <w:webHidden/>
          </w:rPr>
          <w:tab/>
        </w:r>
        <w:r w:rsidR="0068707F">
          <w:rPr>
            <w:noProof/>
            <w:webHidden/>
          </w:rPr>
          <w:fldChar w:fldCharType="begin"/>
        </w:r>
        <w:r w:rsidR="0068707F">
          <w:rPr>
            <w:noProof/>
            <w:webHidden/>
          </w:rPr>
          <w:instrText xml:space="preserve"> PAGEREF _Toc461114765 \h </w:instrText>
        </w:r>
        <w:r w:rsidR="0068707F">
          <w:rPr>
            <w:noProof/>
            <w:webHidden/>
          </w:rPr>
        </w:r>
        <w:r w:rsidR="0068707F">
          <w:rPr>
            <w:noProof/>
            <w:webHidden/>
          </w:rPr>
          <w:fldChar w:fldCharType="separate"/>
        </w:r>
        <w:r w:rsidR="00F455CF">
          <w:rPr>
            <w:noProof/>
            <w:webHidden/>
          </w:rPr>
          <w:t>194</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6" w:history="1">
        <w:r w:rsidR="0068707F" w:rsidRPr="00771FD7">
          <w:rPr>
            <w:rStyle w:val="Hyperlink"/>
            <w:noProof/>
          </w:rPr>
          <w:t>6.2.3.</w:t>
        </w:r>
        <w:r w:rsidR="0068707F">
          <w:rPr>
            <w:rFonts w:asciiTheme="minorHAnsi" w:eastAsiaTheme="minorEastAsia" w:hAnsiTheme="minorHAnsi" w:cstheme="minorBidi"/>
            <w:noProof/>
            <w:sz w:val="22"/>
            <w:szCs w:val="22"/>
          </w:rPr>
          <w:tab/>
        </w:r>
        <w:r w:rsidR="0068707F" w:rsidRPr="00771FD7">
          <w:rPr>
            <w:rStyle w:val="Hyperlink"/>
            <w:noProof/>
          </w:rPr>
          <w:t>Choice of instrument</w:t>
        </w:r>
        <w:r w:rsidR="0068707F">
          <w:rPr>
            <w:noProof/>
            <w:webHidden/>
          </w:rPr>
          <w:tab/>
        </w:r>
        <w:r w:rsidR="0068707F">
          <w:rPr>
            <w:noProof/>
            <w:webHidden/>
          </w:rPr>
          <w:fldChar w:fldCharType="begin"/>
        </w:r>
        <w:r w:rsidR="0068707F">
          <w:rPr>
            <w:noProof/>
            <w:webHidden/>
          </w:rPr>
          <w:instrText xml:space="preserve"> PAGEREF _Toc461114766 \h </w:instrText>
        </w:r>
        <w:r w:rsidR="0068707F">
          <w:rPr>
            <w:noProof/>
            <w:webHidden/>
          </w:rPr>
        </w:r>
        <w:r w:rsidR="0068707F">
          <w:rPr>
            <w:noProof/>
            <w:webHidden/>
          </w:rPr>
          <w:fldChar w:fldCharType="separate"/>
        </w:r>
        <w:r w:rsidR="00F455CF">
          <w:rPr>
            <w:noProof/>
            <w:webHidden/>
          </w:rPr>
          <w:t>195</w:t>
        </w:r>
        <w:r w:rsidR="0068707F">
          <w:rPr>
            <w:noProof/>
            <w:webHidden/>
          </w:rPr>
          <w:fldChar w:fldCharType="end"/>
        </w:r>
      </w:hyperlink>
    </w:p>
    <w:p w:rsidR="0068707F" w:rsidRDefault="001A7C0A">
      <w:pPr>
        <w:pStyle w:val="TOC2"/>
        <w:rPr>
          <w:rFonts w:asciiTheme="minorHAnsi" w:eastAsiaTheme="minorEastAsia" w:hAnsiTheme="minorHAnsi" w:cstheme="minorBidi"/>
          <w:noProof/>
          <w:sz w:val="22"/>
          <w:szCs w:val="22"/>
        </w:rPr>
      </w:pPr>
      <w:hyperlink w:anchor="_Toc461114767" w:history="1">
        <w:r w:rsidR="0068707F" w:rsidRPr="00771FD7">
          <w:rPr>
            <w:rStyle w:val="Hyperlink"/>
            <w:rFonts w:ascii="Times New Roman Bold" w:hAnsi="Times New Roman Bold"/>
            <w:smallCaps/>
            <w:noProof/>
          </w:rPr>
          <w:t>6.3.</w:t>
        </w:r>
        <w:r w:rsidR="0068707F">
          <w:rPr>
            <w:rFonts w:asciiTheme="minorHAnsi" w:eastAsiaTheme="minorEastAsia" w:hAnsiTheme="minorHAnsi" w:cstheme="minorBidi"/>
            <w:noProof/>
            <w:sz w:val="22"/>
            <w:szCs w:val="22"/>
          </w:rPr>
          <w:tab/>
        </w:r>
        <w:r w:rsidR="0068707F" w:rsidRPr="00771FD7">
          <w:rPr>
            <w:rStyle w:val="Hyperlink"/>
            <w:rFonts w:ascii="Times New Roman Bold" w:hAnsi="Times New Roman Bold"/>
            <w:smallCaps/>
            <w:noProof/>
          </w:rPr>
          <w:t>Monitoring and evaluation</w:t>
        </w:r>
        <w:r w:rsidR="0068707F">
          <w:rPr>
            <w:noProof/>
            <w:webHidden/>
          </w:rPr>
          <w:tab/>
        </w:r>
        <w:r w:rsidR="0068707F">
          <w:rPr>
            <w:noProof/>
            <w:webHidden/>
          </w:rPr>
          <w:fldChar w:fldCharType="begin"/>
        </w:r>
        <w:r w:rsidR="0068707F">
          <w:rPr>
            <w:noProof/>
            <w:webHidden/>
          </w:rPr>
          <w:instrText xml:space="preserve"> PAGEREF _Toc461114767 \h </w:instrText>
        </w:r>
        <w:r w:rsidR="0068707F">
          <w:rPr>
            <w:noProof/>
            <w:webHidden/>
          </w:rPr>
        </w:r>
        <w:r w:rsidR="0068707F">
          <w:rPr>
            <w:noProof/>
            <w:webHidden/>
          </w:rPr>
          <w:fldChar w:fldCharType="separate"/>
        </w:r>
        <w:r w:rsidR="00F455CF">
          <w:rPr>
            <w:noProof/>
            <w:webHidden/>
          </w:rPr>
          <w:t>195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8" w:history="1">
        <w:r w:rsidR="0068707F" w:rsidRPr="00771FD7">
          <w:rPr>
            <w:rStyle w:val="Hyperlink"/>
            <w:noProof/>
          </w:rPr>
          <w:t>6.3.1.</w:t>
        </w:r>
        <w:r w:rsidR="0068707F">
          <w:rPr>
            <w:rFonts w:asciiTheme="minorHAnsi" w:eastAsiaTheme="minorEastAsia" w:hAnsiTheme="minorHAnsi" w:cstheme="minorBidi"/>
            <w:noProof/>
            <w:sz w:val="22"/>
            <w:szCs w:val="22"/>
          </w:rPr>
          <w:tab/>
        </w:r>
        <w:r w:rsidR="0068707F" w:rsidRPr="00771FD7">
          <w:rPr>
            <w:rStyle w:val="Hyperlink"/>
            <w:noProof/>
          </w:rPr>
          <w:t>Monitoring and evaluation plan</w:t>
        </w:r>
        <w:r w:rsidR="0068707F">
          <w:rPr>
            <w:noProof/>
            <w:webHidden/>
          </w:rPr>
          <w:tab/>
        </w:r>
        <w:r w:rsidR="0068707F">
          <w:rPr>
            <w:noProof/>
            <w:webHidden/>
          </w:rPr>
          <w:fldChar w:fldCharType="begin"/>
        </w:r>
        <w:r w:rsidR="0068707F">
          <w:rPr>
            <w:noProof/>
            <w:webHidden/>
          </w:rPr>
          <w:instrText xml:space="preserve"> PAGEREF _Toc461114768 \h </w:instrText>
        </w:r>
        <w:r w:rsidR="0068707F">
          <w:rPr>
            <w:noProof/>
            <w:webHidden/>
          </w:rPr>
        </w:r>
        <w:r w:rsidR="0068707F">
          <w:rPr>
            <w:noProof/>
            <w:webHidden/>
          </w:rPr>
          <w:fldChar w:fldCharType="separate"/>
        </w:r>
        <w:r w:rsidR="00F455CF">
          <w:rPr>
            <w:noProof/>
            <w:webHidden/>
          </w:rPr>
          <w:t>195</w:t>
        </w:r>
        <w:r w:rsidR="0068707F">
          <w:rPr>
            <w:noProof/>
            <w:webHidden/>
          </w:rPr>
          <w:fldChar w:fldCharType="end"/>
        </w:r>
      </w:hyperlink>
    </w:p>
    <w:p w:rsidR="0068707F" w:rsidRDefault="001A7C0A">
      <w:pPr>
        <w:pStyle w:val="TOC3"/>
        <w:rPr>
          <w:rFonts w:asciiTheme="minorHAnsi" w:eastAsiaTheme="minorEastAsia" w:hAnsiTheme="minorHAnsi" w:cstheme="minorBidi"/>
          <w:noProof/>
          <w:sz w:val="22"/>
          <w:szCs w:val="22"/>
        </w:rPr>
      </w:pPr>
      <w:hyperlink w:anchor="_Toc461114769" w:history="1">
        <w:r w:rsidR="0068707F" w:rsidRPr="00771FD7">
          <w:rPr>
            <w:rStyle w:val="Hyperlink"/>
            <w:noProof/>
          </w:rPr>
          <w:t>6.3.2.</w:t>
        </w:r>
        <w:r w:rsidR="0068707F">
          <w:rPr>
            <w:rFonts w:asciiTheme="minorHAnsi" w:eastAsiaTheme="minorEastAsia" w:hAnsiTheme="minorHAnsi" w:cstheme="minorBidi"/>
            <w:noProof/>
            <w:sz w:val="22"/>
            <w:szCs w:val="22"/>
          </w:rPr>
          <w:tab/>
        </w:r>
        <w:r w:rsidR="0068707F" w:rsidRPr="00771FD7">
          <w:rPr>
            <w:rStyle w:val="Hyperlink"/>
            <w:noProof/>
          </w:rPr>
          <w:t>Operational objectives and monitoring indicators</w:t>
        </w:r>
        <w:r w:rsidR="0068707F">
          <w:rPr>
            <w:noProof/>
            <w:webHidden/>
          </w:rPr>
          <w:tab/>
        </w:r>
        <w:r w:rsidR="0068707F">
          <w:rPr>
            <w:noProof/>
            <w:webHidden/>
          </w:rPr>
          <w:fldChar w:fldCharType="begin"/>
        </w:r>
        <w:r w:rsidR="0068707F">
          <w:rPr>
            <w:noProof/>
            <w:webHidden/>
          </w:rPr>
          <w:instrText xml:space="preserve"> PAGEREF _Toc461114769 \h </w:instrText>
        </w:r>
        <w:r w:rsidR="0068707F">
          <w:rPr>
            <w:noProof/>
            <w:webHidden/>
          </w:rPr>
        </w:r>
        <w:r w:rsidR="0068707F">
          <w:rPr>
            <w:noProof/>
            <w:webHidden/>
          </w:rPr>
          <w:fldChar w:fldCharType="separate"/>
        </w:r>
        <w:r w:rsidR="00F455CF">
          <w:rPr>
            <w:noProof/>
            <w:webHidden/>
          </w:rPr>
          <w:t>197</w:t>
        </w:r>
        <w:r w:rsidR="0068707F">
          <w:rPr>
            <w:noProof/>
            <w:webHidden/>
          </w:rPr>
          <w:fldChar w:fldCharType="end"/>
        </w:r>
      </w:hyperlink>
    </w:p>
    <w:p w:rsidR="00E903C7" w:rsidRDefault="00E903C7" w:rsidP="00E903C7">
      <w:pPr>
        <w:pStyle w:val="Heading1"/>
        <w:spacing w:before="240" w:after="240"/>
        <w:ind w:left="850"/>
      </w:pPr>
      <w:r>
        <w:fldChar w:fldCharType="end"/>
      </w: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p>
    <w:p w:rsidR="00773076" w:rsidRDefault="00773076" w:rsidP="00EA3EB7">
      <w:pPr>
        <w:jc w:val="center"/>
        <w:rPr>
          <w:rFonts w:ascii="Times New Roman" w:hAnsi="Times New Roman" w:cs="Times New Roman"/>
          <w:b/>
        </w:rPr>
      </w:pPr>
    </w:p>
    <w:p w:rsidR="00773076" w:rsidRDefault="00773076" w:rsidP="00EA3EB7">
      <w:pPr>
        <w:jc w:val="center"/>
        <w:rPr>
          <w:rFonts w:ascii="Times New Roman" w:hAnsi="Times New Roman" w:cs="Times New Roman"/>
          <w:b/>
        </w:rPr>
      </w:pPr>
    </w:p>
    <w:p w:rsidR="00EA3EB7" w:rsidRDefault="00EA3EB7" w:rsidP="00EA3EB7">
      <w:pPr>
        <w:jc w:val="center"/>
        <w:rPr>
          <w:rFonts w:ascii="Times New Roman" w:hAnsi="Times New Roman" w:cs="Times New Roman"/>
          <w:b/>
        </w:rPr>
      </w:pPr>
      <w:r w:rsidRPr="00FE321C">
        <w:rPr>
          <w:rFonts w:ascii="Times New Roman" w:hAnsi="Times New Roman" w:cs="Times New Roman"/>
          <w:b/>
        </w:rPr>
        <w:t>Acronym list</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hAnsi="Times New Roman"/>
          <w:sz w:val="24"/>
          <w:szCs w:val="24"/>
          <w:lang w:eastAsia="en-GB"/>
        </w:rPr>
        <w:t>AV</w:t>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t>A</w:t>
      </w:r>
      <w:r w:rsidRPr="00FE321C">
        <w:rPr>
          <w:rFonts w:ascii="Times New Roman" w:hAnsi="Times New Roman"/>
          <w:sz w:val="24"/>
          <w:szCs w:val="24"/>
          <w:lang w:eastAsia="en-GB"/>
        </w:rPr>
        <w:t>udiovisual</w:t>
      </w:r>
    </w:p>
    <w:p w:rsidR="00EA3EB7" w:rsidRPr="00FE321C" w:rsidRDefault="00EA3EB7" w:rsidP="00EA3EB7">
      <w:pPr>
        <w:spacing w:after="100" w:afterAutospacing="1"/>
        <w:jc w:val="both"/>
        <w:rPr>
          <w:rFonts w:ascii="Times New Roman" w:hAnsi="Times New Roman" w:cs="Times New Roman"/>
          <w:sz w:val="24"/>
          <w:szCs w:val="24"/>
        </w:rPr>
      </w:pPr>
      <w:r w:rsidRPr="00FE321C">
        <w:rPr>
          <w:rFonts w:ascii="Times New Roman" w:hAnsi="Times New Roman" w:cs="Times New Roman"/>
          <w:sz w:val="24"/>
          <w:szCs w:val="24"/>
        </w:rPr>
        <w:t>CHI</w:t>
      </w:r>
      <w:r w:rsidRPr="00FE321C">
        <w:rPr>
          <w:rFonts w:ascii="Times New Roman" w:hAnsi="Times New Roman" w:cs="Times New Roman"/>
          <w:sz w:val="24"/>
          <w:szCs w:val="24"/>
        </w:rPr>
        <w:tab/>
      </w:r>
      <w:r w:rsidRPr="00FE321C">
        <w:rPr>
          <w:rFonts w:ascii="Times New Roman" w:hAnsi="Times New Roman" w:cs="Times New Roman"/>
          <w:sz w:val="24"/>
          <w:szCs w:val="24"/>
        </w:rPr>
        <w:tab/>
      </w:r>
      <w:r w:rsidRPr="00FE321C">
        <w:rPr>
          <w:rFonts w:ascii="Times New Roman" w:hAnsi="Times New Roman" w:cs="Times New Roman"/>
          <w:sz w:val="24"/>
          <w:szCs w:val="24"/>
        </w:rPr>
        <w:tab/>
      </w:r>
      <w:r w:rsidR="007C7354">
        <w:rPr>
          <w:rFonts w:ascii="Times New Roman" w:hAnsi="Times New Roman" w:cs="Times New Roman"/>
          <w:sz w:val="24"/>
          <w:szCs w:val="24"/>
        </w:rPr>
        <w:t>Cultural Heritage Institution</w:t>
      </w:r>
    </w:p>
    <w:p w:rsidR="00EA3EB7" w:rsidRPr="00FE321C" w:rsidRDefault="00EA3EB7" w:rsidP="00EA3EB7">
      <w:pPr>
        <w:spacing w:after="100" w:afterAutospacing="1"/>
        <w:jc w:val="both"/>
        <w:rPr>
          <w:rFonts w:ascii="Times New Roman" w:hAnsi="Times New Roman" w:cs="Times New Roman"/>
          <w:sz w:val="24"/>
          <w:szCs w:val="24"/>
        </w:rPr>
      </w:pPr>
      <w:r w:rsidRPr="00FE321C">
        <w:rPr>
          <w:rFonts w:ascii="Times New Roman" w:hAnsi="Times New Roman" w:cs="Times New Roman"/>
          <w:sz w:val="24"/>
          <w:szCs w:val="24"/>
        </w:rPr>
        <w:t>CMO</w:t>
      </w:r>
      <w:r w:rsidRPr="00FE321C">
        <w:rPr>
          <w:rFonts w:ascii="Times New Roman" w:hAnsi="Times New Roman" w:cs="Times New Roman"/>
          <w:sz w:val="24"/>
          <w:szCs w:val="24"/>
        </w:rPr>
        <w:tab/>
      </w:r>
      <w:r w:rsidRPr="00FE321C">
        <w:rPr>
          <w:rFonts w:ascii="Times New Roman" w:hAnsi="Times New Roman" w:cs="Times New Roman"/>
          <w:sz w:val="24"/>
          <w:szCs w:val="24"/>
        </w:rPr>
        <w:tab/>
      </w:r>
      <w:r w:rsidRPr="00FE321C">
        <w:rPr>
          <w:rFonts w:ascii="Times New Roman" w:hAnsi="Times New Roman" w:cs="Times New Roman"/>
          <w:sz w:val="24"/>
          <w:szCs w:val="24"/>
        </w:rPr>
        <w:tab/>
        <w:t>Collective Management Organisation</w:t>
      </w:r>
    </w:p>
    <w:p w:rsidR="00EA3EB7"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CoO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321C">
        <w:rPr>
          <w:rFonts w:ascii="Times New Roman" w:hAnsi="Times New Roman" w:cs="Times New Roman"/>
          <w:sz w:val="24"/>
          <w:szCs w:val="24"/>
        </w:rPr>
        <w:t>Country of Origin</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hAnsi="Times New Roman"/>
          <w:sz w:val="24"/>
          <w:szCs w:val="24"/>
          <w:lang w:eastAsia="en-GB"/>
        </w:rPr>
        <w:t>DSM</w:t>
      </w:r>
      <w:r>
        <w:rPr>
          <w:rFonts w:ascii="Times New Roman" w:hAnsi="Times New Roman"/>
          <w:sz w:val="24"/>
          <w:szCs w:val="24"/>
          <w:lang w:eastAsia="en-GB"/>
        </w:rPr>
        <w:tab/>
      </w:r>
      <w:r>
        <w:rPr>
          <w:rFonts w:ascii="Times New Roman" w:hAnsi="Times New Roman"/>
          <w:sz w:val="24"/>
          <w:szCs w:val="24"/>
          <w:lang w:eastAsia="en-GB"/>
        </w:rPr>
        <w:tab/>
      </w:r>
      <w:r>
        <w:rPr>
          <w:rFonts w:ascii="Times New Roman" w:hAnsi="Times New Roman"/>
          <w:sz w:val="24"/>
          <w:szCs w:val="24"/>
          <w:lang w:eastAsia="en-GB"/>
        </w:rPr>
        <w:tab/>
      </w:r>
      <w:r w:rsidRPr="00FE321C">
        <w:rPr>
          <w:rFonts w:ascii="Times New Roman" w:hAnsi="Times New Roman"/>
          <w:sz w:val="24"/>
          <w:szCs w:val="24"/>
          <w:lang w:eastAsia="en-GB"/>
        </w:rPr>
        <w:t>Digital Single Market</w:t>
      </w:r>
      <w:r w:rsidRPr="00FE321C">
        <w:rPr>
          <w:rFonts w:ascii="Times New Roman" w:hAnsi="Times New Roman"/>
          <w:b/>
          <w:sz w:val="24"/>
          <w:szCs w:val="24"/>
          <w:lang w:eastAsia="en-GB"/>
        </w:rPr>
        <w:t xml:space="preserve"> </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sidRPr="00FE321C">
        <w:rPr>
          <w:rFonts w:ascii="Times New Roman" w:eastAsia="Times New Roman" w:hAnsi="Times New Roman" w:cs="Times New Roman"/>
          <w:noProof/>
          <w:sz w:val="24"/>
          <w:szCs w:val="24"/>
          <w:lang w:eastAsia="en-GB"/>
        </w:rPr>
        <w:lastRenderedPageBreak/>
        <w:t>ECJ / CJEU</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sidRPr="00FE321C">
        <w:rPr>
          <w:rFonts w:ascii="Times New Roman" w:eastAsia="Times New Roman" w:hAnsi="Times New Roman" w:cs="Times New Roman"/>
          <w:noProof/>
          <w:sz w:val="24"/>
          <w:szCs w:val="24"/>
          <w:lang w:eastAsia="en-GB"/>
        </w:rPr>
        <w:t>European Court of Justice / Court of Justice of the European Union</w:t>
      </w:r>
    </w:p>
    <w:p w:rsidR="00EA3EB7"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ECL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321C">
        <w:rPr>
          <w:rFonts w:ascii="Times New Roman" w:hAnsi="Times New Roman" w:cs="Times New Roman"/>
          <w:sz w:val="24"/>
          <w:szCs w:val="24"/>
        </w:rPr>
        <w:t>Extended Collective Licensing</w:t>
      </w:r>
    </w:p>
    <w:p w:rsidR="00EA3EB7" w:rsidRDefault="00EA3EB7" w:rsidP="00EA3EB7">
      <w:pPr>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EP</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Pr="00FE321C">
        <w:rPr>
          <w:rFonts w:ascii="Times New Roman" w:hAnsi="Times New Roman" w:cs="Times New Roman"/>
          <w:sz w:val="24"/>
          <w:szCs w:val="24"/>
          <w:lang w:eastAsia="en-GB"/>
        </w:rPr>
        <w:t xml:space="preserve">European Parliament </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sz w:val="24"/>
          <w:szCs w:val="24"/>
          <w:lang w:eastAsia="en-GB"/>
        </w:rPr>
        <w:t>IA</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 xml:space="preserve">Impact Assessment </w:t>
      </w:r>
    </w:p>
    <w:p w:rsidR="00101F8F" w:rsidRDefault="00EA3EB7" w:rsidP="00101F8F">
      <w:pPr>
        <w:rPr>
          <w:color w:val="1F497D"/>
        </w:rPr>
      </w:pPr>
      <w:r>
        <w:rPr>
          <w:rFonts w:ascii="Times New Roman" w:hAnsi="Times New Roman" w:cs="Times New Roman"/>
          <w:sz w:val="24"/>
          <w:szCs w:val="24"/>
          <w:lang w:eastAsia="en-GB"/>
        </w:rPr>
        <w:t>IPTV</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00101F8F" w:rsidRPr="00101F8F">
        <w:rPr>
          <w:rFonts w:ascii="Times New Roman" w:hAnsi="Times New Roman" w:cs="Times New Roman"/>
          <w:sz w:val="24"/>
          <w:szCs w:val="24"/>
          <w:lang w:eastAsia="en-GB"/>
        </w:rPr>
        <w:t>TV/radio over closed circuit IP-based networks</w:t>
      </w:r>
    </w:p>
    <w:p w:rsidR="00EA3EB7" w:rsidRDefault="00EA3EB7" w:rsidP="00EA3EB7">
      <w:pPr>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MOOCs</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Pr="0065201F">
        <w:rPr>
          <w:rFonts w:ascii="Times New Roman" w:hAnsi="Times New Roman" w:cs="Times New Roman"/>
          <w:sz w:val="24"/>
          <w:szCs w:val="24"/>
          <w:lang w:eastAsia="en-GB"/>
        </w:rPr>
        <w:t>Massive Open Online Courses</w:t>
      </w:r>
    </w:p>
    <w:p w:rsidR="00EA3EB7" w:rsidRDefault="00EA3EB7" w:rsidP="00EA3EB7">
      <w:pPr>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MS</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 xml:space="preserve">Member State </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sz w:val="24"/>
          <w:szCs w:val="24"/>
          <w:lang w:eastAsia="en-GB"/>
        </w:rPr>
        <w:t xml:space="preserve">OER </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Pr="0065201F">
        <w:rPr>
          <w:rFonts w:ascii="Times New Roman" w:hAnsi="Times New Roman" w:cs="Times New Roman"/>
          <w:sz w:val="24"/>
          <w:szCs w:val="24"/>
          <w:lang w:eastAsia="en-GB"/>
        </w:rPr>
        <w:t>Open Educational Resources</w:t>
      </w:r>
    </w:p>
    <w:p w:rsidR="00EA3EB7"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OoC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321C">
        <w:rPr>
          <w:rFonts w:ascii="Times New Roman" w:hAnsi="Times New Roman" w:cs="Times New Roman"/>
          <w:sz w:val="24"/>
          <w:szCs w:val="24"/>
        </w:rPr>
        <w:t>Out-of-commerce (works)</w:t>
      </w:r>
    </w:p>
    <w:p w:rsidR="00EA3EB7"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OTT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Over The Top </w:t>
      </w:r>
    </w:p>
    <w:p w:rsidR="00EA3EB7" w:rsidRDefault="00EA3EB7" w:rsidP="00EA3EB7">
      <w:pPr>
        <w:tabs>
          <w:tab w:val="left" w:pos="0"/>
        </w:tabs>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PPPS </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Pr="00FE321C">
        <w:rPr>
          <w:rFonts w:ascii="Times New Roman" w:hAnsi="Times New Roman" w:cs="Times New Roman"/>
          <w:sz w:val="24"/>
          <w:szCs w:val="24"/>
          <w:lang w:eastAsia="en-GB"/>
        </w:rPr>
        <w:t xml:space="preserve">Public-Private Partnerships </w:t>
      </w:r>
      <w:r>
        <w:rPr>
          <w:rFonts w:ascii="Times New Roman" w:hAnsi="Times New Roman" w:cs="Times New Roman"/>
          <w:sz w:val="24"/>
          <w:szCs w:val="24"/>
          <w:lang w:eastAsia="en-GB"/>
        </w:rPr>
        <w:tab/>
      </w:r>
    </w:p>
    <w:p w:rsidR="00EA3EB7" w:rsidRDefault="00EA3EB7" w:rsidP="00EA3EB7">
      <w:pPr>
        <w:tabs>
          <w:tab w:val="left" w:pos="0"/>
        </w:tabs>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SME</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Small and Medium-sized Enterprise</w:t>
      </w:r>
    </w:p>
    <w:p w:rsidR="00C64666" w:rsidRPr="00C64666" w:rsidRDefault="00C64666" w:rsidP="00EA3EB7">
      <w:pPr>
        <w:tabs>
          <w:tab w:val="left" w:pos="0"/>
        </w:tabs>
        <w:spacing w:after="100" w:afterAutospacing="1"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STM </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Pr="00C64666">
        <w:rPr>
          <w:rFonts w:ascii="Times New Roman" w:hAnsi="Times New Roman" w:cs="Times New Roman"/>
          <w:sz w:val="24"/>
          <w:szCs w:val="24"/>
          <w:lang w:eastAsia="en-GB"/>
        </w:rPr>
        <w:t>Scientific, Technical and Medical (Publishers)</w:t>
      </w:r>
    </w:p>
    <w:p w:rsidR="00EA3EB7" w:rsidRPr="00FE321C"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SVoD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321C">
        <w:rPr>
          <w:rFonts w:ascii="Times New Roman" w:hAnsi="Times New Roman" w:cs="Times New Roman"/>
          <w:sz w:val="24"/>
          <w:szCs w:val="24"/>
        </w:rPr>
        <w:t>Subscription Video on Demand</w:t>
      </w:r>
    </w:p>
    <w:p w:rsidR="00EA3EB7"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TDM</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sidRPr="00FE321C">
        <w:rPr>
          <w:rFonts w:ascii="Times New Roman" w:eastAsia="Times New Roman" w:hAnsi="Times New Roman" w:cs="Times New Roman"/>
          <w:noProof/>
          <w:sz w:val="24"/>
          <w:szCs w:val="24"/>
          <w:lang w:eastAsia="en-GB"/>
        </w:rPr>
        <w:t>Text and Data Mining</w:t>
      </w:r>
    </w:p>
    <w:p w:rsidR="007C7354" w:rsidRDefault="007C7354"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TV</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t>Traditional Television</w:t>
      </w:r>
    </w:p>
    <w:p w:rsidR="00EA3EB7" w:rsidRPr="00FE321C" w:rsidRDefault="00EA3EB7" w:rsidP="00EA3EB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TVoD</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t>Transactional Video on Demand</w:t>
      </w:r>
    </w:p>
    <w:p w:rsidR="00EA3EB7" w:rsidRDefault="00EA3EB7" w:rsidP="00EA3EB7">
      <w:pPr>
        <w:spacing w:after="100" w:afterAutospacing="1"/>
        <w:jc w:val="both"/>
        <w:rPr>
          <w:rFonts w:ascii="Times New Roman" w:hAnsi="Times New Roman" w:cs="Times New Roman"/>
          <w:sz w:val="24"/>
          <w:szCs w:val="24"/>
        </w:rPr>
      </w:pPr>
      <w:r>
        <w:rPr>
          <w:rFonts w:ascii="Times New Roman" w:hAnsi="Times New Roman" w:cs="Times New Roman"/>
          <w:sz w:val="24"/>
          <w:szCs w:val="24"/>
        </w:rPr>
        <w:t>VoD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3937">
        <w:rPr>
          <w:rFonts w:ascii="Times New Roman" w:hAnsi="Times New Roman" w:cs="Times New Roman"/>
          <w:sz w:val="24"/>
          <w:szCs w:val="24"/>
        </w:rPr>
        <w:t>Video on D</w:t>
      </w:r>
      <w:r w:rsidRPr="00FE321C">
        <w:rPr>
          <w:rFonts w:ascii="Times New Roman" w:hAnsi="Times New Roman" w:cs="Times New Roman"/>
          <w:sz w:val="24"/>
          <w:szCs w:val="24"/>
        </w:rPr>
        <w:t>emand</w:t>
      </w:r>
    </w:p>
    <w:p w:rsidR="00E8370D" w:rsidRPr="00EA3937" w:rsidRDefault="00EA3EB7" w:rsidP="00EA3937">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WIPO</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sidRPr="00FE321C">
        <w:rPr>
          <w:rFonts w:ascii="Times New Roman" w:eastAsia="Times New Roman" w:hAnsi="Times New Roman" w:cs="Times New Roman"/>
          <w:noProof/>
          <w:sz w:val="24"/>
          <w:szCs w:val="24"/>
          <w:lang w:eastAsia="en-GB"/>
        </w:rPr>
        <w:t xml:space="preserve">World Intellectual Property Organisation  </w:t>
      </w:r>
      <w:r w:rsidR="00E8370D">
        <w:br w:type="page"/>
      </w:r>
    </w:p>
    <w:p w:rsidR="00952EB0" w:rsidRDefault="00952EB0" w:rsidP="00C32C45">
      <w:pPr>
        <w:pStyle w:val="Heading1"/>
        <w:numPr>
          <w:ilvl w:val="0"/>
          <w:numId w:val="1"/>
        </w:numPr>
        <w:spacing w:before="240" w:after="240"/>
      </w:pPr>
      <w:bookmarkStart w:id="2" w:name="_Toc461114693"/>
      <w:r>
        <w:lastRenderedPageBreak/>
        <w:t>Introduction</w:t>
      </w:r>
      <w:bookmarkEnd w:id="2"/>
    </w:p>
    <w:p w:rsidR="008B5793" w:rsidRPr="00605292" w:rsidRDefault="008B5793" w:rsidP="008B5793">
      <w:pPr>
        <w:pStyle w:val="Heading2"/>
        <w:numPr>
          <w:ilvl w:val="1"/>
          <w:numId w:val="1"/>
        </w:numPr>
        <w:spacing w:before="0" w:after="240"/>
        <w:rPr>
          <w:rFonts w:ascii="Times New Roman Bold" w:hAnsi="Times New Roman Bold"/>
          <w:smallCaps/>
        </w:rPr>
      </w:pPr>
      <w:bookmarkStart w:id="3" w:name="_Toc461114694"/>
      <w:r w:rsidRPr="00605292">
        <w:rPr>
          <w:rFonts w:ascii="Times New Roman Bold" w:hAnsi="Times New Roman Bold"/>
          <w:smallCaps/>
        </w:rPr>
        <w:t>EU copyright rules</w:t>
      </w:r>
      <w:bookmarkEnd w:id="3"/>
      <w:r w:rsidRPr="00605292">
        <w:rPr>
          <w:rFonts w:ascii="Times New Roman Bold" w:hAnsi="Times New Roman Bold"/>
          <w:smallCaps/>
        </w:rPr>
        <w:t xml:space="preserve"> </w:t>
      </w:r>
    </w:p>
    <w:p w:rsidR="008B5793" w:rsidRPr="00605292" w:rsidRDefault="008B5793" w:rsidP="008B5793">
      <w:pPr>
        <w:autoSpaceDE w:val="0"/>
        <w:autoSpaceDN w:val="0"/>
        <w:adjustRightInd w:val="0"/>
        <w:spacing w:after="120" w:line="240" w:lineRule="auto"/>
        <w:jc w:val="both"/>
        <w:rPr>
          <w:rFonts w:ascii="Times New Roman" w:hAnsi="Times New Roman" w:cs="Times New Roman"/>
          <w:sz w:val="24"/>
          <w:szCs w:val="24"/>
        </w:rPr>
      </w:pPr>
      <w:r w:rsidRPr="00605292">
        <w:rPr>
          <w:rFonts w:ascii="TimesNewRoman" w:hAnsi="TimesNewRoman" w:cs="TimesNewRoman"/>
          <w:sz w:val="24"/>
          <w:szCs w:val="24"/>
        </w:rPr>
        <w:t xml:space="preserve">Copyright </w:t>
      </w:r>
      <w:r w:rsidRPr="00605292">
        <w:rPr>
          <w:rFonts w:ascii="Times New Roman" w:hAnsi="Times New Roman" w:cs="Times New Roman"/>
          <w:sz w:val="24"/>
          <w:szCs w:val="24"/>
        </w:rPr>
        <w:t xml:space="preserve">and related rights are rights granted to authors (copyright) and to performers, producers and broadcasters (related </w:t>
      </w:r>
      <w:r w:rsidR="004C29CA">
        <w:rPr>
          <w:rFonts w:ascii="Times New Roman" w:hAnsi="Times New Roman" w:cs="Times New Roman"/>
          <w:sz w:val="24"/>
          <w:szCs w:val="24"/>
        </w:rPr>
        <w:t xml:space="preserve">or neighbouring </w:t>
      </w:r>
      <w:r w:rsidRPr="00605292">
        <w:rPr>
          <w:rFonts w:ascii="Times New Roman" w:hAnsi="Times New Roman" w:cs="Times New Roman"/>
          <w:sz w:val="24"/>
          <w:szCs w:val="24"/>
        </w:rPr>
        <w:t>rights</w:t>
      </w:r>
      <w:r w:rsidR="004C29CA">
        <w:rPr>
          <w:rStyle w:val="FootnoteReference"/>
          <w:rFonts w:ascii="Times New Roman" w:hAnsi="Times New Roman" w:cs="Times New Roman"/>
          <w:sz w:val="24"/>
          <w:szCs w:val="24"/>
        </w:rPr>
        <w:footnoteReference w:id="2"/>
      </w:r>
      <w:r w:rsidRPr="00605292">
        <w:rPr>
          <w:rFonts w:ascii="Times New Roman" w:hAnsi="Times New Roman" w:cs="Times New Roman"/>
          <w:sz w:val="24"/>
          <w:szCs w:val="24"/>
        </w:rPr>
        <w:t>). They include so-called "</w:t>
      </w:r>
      <w:r w:rsidRPr="00D8238E">
        <w:rPr>
          <w:rFonts w:ascii="Times New Roman" w:hAnsi="Times New Roman" w:cs="Times New Roman"/>
          <w:b/>
          <w:sz w:val="24"/>
          <w:szCs w:val="24"/>
        </w:rPr>
        <w:t>economic rights</w:t>
      </w:r>
      <w:r w:rsidRPr="00605292">
        <w:rPr>
          <w:rFonts w:ascii="Times New Roman" w:hAnsi="Times New Roman" w:cs="Times New Roman"/>
          <w:sz w:val="24"/>
          <w:szCs w:val="24"/>
        </w:rPr>
        <w:t xml:space="preserve">" which enable rightholders to control (license) the use of their works (e.g. a novel) and other protected material (such as </w:t>
      </w:r>
      <w:r>
        <w:rPr>
          <w:rFonts w:ascii="Times New Roman" w:hAnsi="Times New Roman" w:cs="Times New Roman"/>
          <w:sz w:val="24"/>
          <w:szCs w:val="24"/>
        </w:rPr>
        <w:t xml:space="preserve">a </w:t>
      </w:r>
      <w:r w:rsidRPr="00605292">
        <w:rPr>
          <w:rFonts w:ascii="Times New Roman" w:hAnsi="Times New Roman" w:cs="Times New Roman"/>
          <w:sz w:val="24"/>
          <w:szCs w:val="24"/>
        </w:rPr>
        <w:t xml:space="preserve">record or </w:t>
      </w:r>
      <w:r>
        <w:rPr>
          <w:rFonts w:ascii="Times New Roman" w:hAnsi="Times New Roman" w:cs="Times New Roman"/>
          <w:sz w:val="24"/>
          <w:szCs w:val="24"/>
        </w:rPr>
        <w:t xml:space="preserve">a </w:t>
      </w:r>
      <w:r w:rsidRPr="00605292">
        <w:rPr>
          <w:rFonts w:ascii="Times New Roman" w:hAnsi="Times New Roman" w:cs="Times New Roman"/>
          <w:sz w:val="24"/>
          <w:szCs w:val="24"/>
        </w:rPr>
        <w:t>broadcast), and be remunerated for their use. These rights are limited in time (in Europe, between 50 and 70 years). Economic rights (and their term of protection) are, to a large extent, harmonised at EU level. Authors are also granted so-called "moral rights"</w:t>
      </w:r>
      <w:r>
        <w:rPr>
          <w:rFonts w:ascii="Times New Roman" w:hAnsi="Times New Roman" w:cs="Times New Roman"/>
          <w:sz w:val="24"/>
          <w:szCs w:val="24"/>
        </w:rPr>
        <w:t xml:space="preserve"> (notably </w:t>
      </w:r>
      <w:r w:rsidRPr="00605292">
        <w:rPr>
          <w:rFonts w:ascii="Times New Roman" w:hAnsi="Times New Roman" w:cs="Times New Roman"/>
          <w:sz w:val="24"/>
          <w:szCs w:val="24"/>
        </w:rPr>
        <w:t>the right to claim authorship and the right to object to any derogatory action in relation to the work</w:t>
      </w:r>
      <w:r>
        <w:rPr>
          <w:rFonts w:ascii="Times New Roman" w:hAnsi="Times New Roman" w:cs="Times New Roman"/>
          <w:sz w:val="24"/>
          <w:szCs w:val="24"/>
        </w:rPr>
        <w:t>)</w:t>
      </w:r>
      <w:r w:rsidRPr="00605292">
        <w:rPr>
          <w:rFonts w:ascii="Times New Roman" w:hAnsi="Times New Roman" w:cs="Times New Roman"/>
          <w:sz w:val="24"/>
          <w:szCs w:val="24"/>
        </w:rPr>
        <w:t>. Moral rights are not harmonised at EU level.</w:t>
      </w:r>
    </w:p>
    <w:p w:rsidR="008B5793" w:rsidRPr="00605292" w:rsidRDefault="008B5793" w:rsidP="005D7A30">
      <w:pPr>
        <w:autoSpaceDE w:val="0"/>
        <w:autoSpaceDN w:val="0"/>
        <w:adjustRightInd w:val="0"/>
        <w:spacing w:after="120" w:line="240" w:lineRule="auto"/>
        <w:jc w:val="both"/>
        <w:rPr>
          <w:rFonts w:ascii="Times New Roman" w:hAnsi="Times New Roman" w:cs="Times New Roman"/>
          <w:sz w:val="24"/>
          <w:szCs w:val="24"/>
        </w:rPr>
      </w:pPr>
      <w:r w:rsidRPr="00605292">
        <w:rPr>
          <w:rFonts w:ascii="Times New Roman" w:hAnsi="Times New Roman" w:cs="Times New Roman"/>
          <w:sz w:val="24"/>
          <w:szCs w:val="24"/>
        </w:rPr>
        <w:t xml:space="preserve">Copyright systems balance the recognition of rights with </w:t>
      </w:r>
      <w:r w:rsidRPr="00605292">
        <w:rPr>
          <w:rFonts w:ascii="Times New Roman" w:hAnsi="Times New Roman" w:cs="Times New Roman"/>
          <w:b/>
          <w:sz w:val="24"/>
          <w:szCs w:val="24"/>
        </w:rPr>
        <w:t xml:space="preserve">exceptions </w:t>
      </w:r>
      <w:r w:rsidRPr="00605292">
        <w:rPr>
          <w:rFonts w:ascii="Times New Roman" w:hAnsi="Times New Roman" w:cs="Times New Roman"/>
          <w:sz w:val="24"/>
          <w:szCs w:val="24"/>
        </w:rPr>
        <w:t xml:space="preserve">in order to facilitate the use of protected content in specific circumstances, notably to facilitate the achievement of specific public policy objectives such as education or access to information. Exceptions provide a “legal authorisation” to beneficiaries to use protected material without needing to seek authorisation from the </w:t>
      </w:r>
      <w:r w:rsidR="00007677">
        <w:rPr>
          <w:rFonts w:ascii="Times New Roman" w:hAnsi="Times New Roman" w:cs="Times New Roman"/>
          <w:sz w:val="24"/>
          <w:szCs w:val="24"/>
        </w:rPr>
        <w:t>rightholders</w:t>
      </w:r>
      <w:r w:rsidRPr="00605292">
        <w:rPr>
          <w:rFonts w:ascii="Times New Roman" w:hAnsi="Times New Roman" w:cs="Times New Roman"/>
          <w:sz w:val="24"/>
          <w:szCs w:val="24"/>
        </w:rPr>
        <w:t>. The EU copyright rules set out an exhaustive list of exceptions to rights across various copyright directives. The harmonisation achieved is however limited: most of the exceptions are optional (Member States may decide to implement them or not), and broadly formulated, leaving Member States (MS) a relatively wide margin of manoeuvre when implementing them.</w:t>
      </w:r>
    </w:p>
    <w:p w:rsidR="008B5793" w:rsidRPr="00605292" w:rsidRDefault="008B5793" w:rsidP="005D7A30">
      <w:pPr>
        <w:autoSpaceDE w:val="0"/>
        <w:autoSpaceDN w:val="0"/>
        <w:adjustRightInd w:val="0"/>
        <w:spacing w:after="120" w:line="240" w:lineRule="auto"/>
        <w:jc w:val="both"/>
        <w:rPr>
          <w:rFonts w:ascii="Times New Roman" w:hAnsi="Times New Roman" w:cs="Times New Roman"/>
          <w:sz w:val="24"/>
          <w:szCs w:val="24"/>
        </w:rPr>
      </w:pPr>
      <w:r w:rsidRPr="00605292">
        <w:rPr>
          <w:rFonts w:ascii="Times New Roman" w:hAnsi="Times New Roman" w:cs="Times New Roman"/>
          <w:sz w:val="24"/>
          <w:szCs w:val="24"/>
        </w:rPr>
        <w:t xml:space="preserve">Copyright systems also provide for procedures and remedies against </w:t>
      </w:r>
      <w:r w:rsidRPr="00605292">
        <w:rPr>
          <w:rFonts w:ascii="Times New Roman" w:hAnsi="Times New Roman" w:cs="Times New Roman"/>
          <w:b/>
          <w:sz w:val="24"/>
          <w:szCs w:val="24"/>
        </w:rPr>
        <w:t>infringements</w:t>
      </w:r>
      <w:r w:rsidRPr="00605292">
        <w:rPr>
          <w:rFonts w:ascii="Times New Roman" w:hAnsi="Times New Roman" w:cs="Times New Roman"/>
          <w:sz w:val="24"/>
          <w:szCs w:val="24"/>
        </w:rPr>
        <w:t xml:space="preserve"> of copyright (enforcement). These have been partly harmonised at EU level (e.g. evidence-gathering powers for judicial authorities, powers to force parties commercially involved in an infringement to provide information on the origin of the infringing goods, provisions on the payment of damages).</w:t>
      </w:r>
    </w:p>
    <w:p w:rsidR="008B5793" w:rsidRPr="00605292" w:rsidRDefault="008B5793" w:rsidP="005D7A30">
      <w:pPr>
        <w:autoSpaceDE w:val="0"/>
        <w:autoSpaceDN w:val="0"/>
        <w:adjustRightInd w:val="0"/>
        <w:spacing w:after="120" w:line="240" w:lineRule="auto"/>
        <w:jc w:val="both"/>
        <w:rPr>
          <w:rFonts w:ascii="Times New Roman" w:hAnsi="Times New Roman" w:cs="Times New Roman"/>
          <w:sz w:val="24"/>
          <w:szCs w:val="24"/>
        </w:rPr>
      </w:pPr>
      <w:r w:rsidRPr="00605292">
        <w:rPr>
          <w:rFonts w:ascii="Times New Roman" w:hAnsi="Times New Roman"/>
          <w:bCs/>
          <w:noProof/>
          <w:sz w:val="24"/>
          <w:szCs w:val="24"/>
        </w:rPr>
        <w:t>Directive 2001/29/EC</w:t>
      </w:r>
      <w:r w:rsidR="00687496">
        <w:rPr>
          <w:rStyle w:val="FootnoteReference"/>
          <w:rFonts w:ascii="Times New Roman" w:hAnsi="Times New Roman"/>
          <w:bCs/>
          <w:noProof/>
          <w:sz w:val="24"/>
          <w:szCs w:val="24"/>
        </w:rPr>
        <w:footnoteReference w:id="3"/>
      </w:r>
      <w:r w:rsidR="00687496" w:rsidRPr="00605292">
        <w:rPr>
          <w:rFonts w:ascii="Times New Roman" w:hAnsi="Times New Roman"/>
          <w:bCs/>
          <w:noProof/>
          <w:sz w:val="24"/>
          <w:szCs w:val="24"/>
        </w:rPr>
        <w:t xml:space="preserve"> </w:t>
      </w:r>
      <w:r w:rsidRPr="00605292">
        <w:rPr>
          <w:rFonts w:ascii="Times New Roman" w:hAnsi="Times New Roman"/>
          <w:bCs/>
          <w:noProof/>
          <w:sz w:val="24"/>
          <w:szCs w:val="24"/>
        </w:rPr>
        <w:t xml:space="preserve"> (the "</w:t>
      </w:r>
      <w:r w:rsidRPr="00605292">
        <w:rPr>
          <w:rFonts w:ascii="Times New Roman" w:hAnsi="Times New Roman"/>
          <w:b/>
          <w:bCs/>
          <w:noProof/>
          <w:sz w:val="24"/>
          <w:szCs w:val="24"/>
        </w:rPr>
        <w:t>InfoSoc Directive</w:t>
      </w:r>
      <w:r w:rsidRPr="00605292">
        <w:rPr>
          <w:rFonts w:ascii="Times New Roman" w:hAnsi="Times New Roman"/>
          <w:bCs/>
          <w:noProof/>
          <w:sz w:val="24"/>
          <w:szCs w:val="24"/>
        </w:rPr>
        <w:t>")</w:t>
      </w:r>
      <w:r w:rsidR="006C75B2">
        <w:rPr>
          <w:rFonts w:ascii="Times New Roman" w:hAnsi="Times New Roman"/>
          <w:bCs/>
          <w:noProof/>
          <w:sz w:val="24"/>
          <w:szCs w:val="24"/>
        </w:rPr>
        <w:t xml:space="preserve"> </w:t>
      </w:r>
      <w:r w:rsidRPr="00605292">
        <w:rPr>
          <w:rFonts w:ascii="Times New Roman" w:hAnsi="Times New Roman"/>
          <w:bCs/>
          <w:noProof/>
          <w:sz w:val="24"/>
          <w:szCs w:val="24"/>
        </w:rPr>
        <w:t>was designed to update copyright rules to the (then nascent) digital networks and to implement the two 1996 WIPO</w:t>
      </w:r>
      <w:r w:rsidRPr="00605292">
        <w:rPr>
          <w:rStyle w:val="FootnoteReference"/>
          <w:rFonts w:ascii="Times New Roman" w:hAnsi="Times New Roman"/>
          <w:bCs/>
          <w:noProof/>
          <w:sz w:val="24"/>
          <w:szCs w:val="24"/>
        </w:rPr>
        <w:footnoteReference w:id="4"/>
      </w:r>
      <w:r w:rsidRPr="00605292">
        <w:rPr>
          <w:rFonts w:ascii="Times New Roman" w:hAnsi="Times New Roman"/>
          <w:bCs/>
          <w:noProof/>
          <w:sz w:val="24"/>
          <w:szCs w:val="24"/>
        </w:rPr>
        <w:t xml:space="preserve"> Internet Treaties - the WIPO Copyright Treaty</w:t>
      </w:r>
      <w:r w:rsidRPr="00605292">
        <w:rPr>
          <w:rFonts w:ascii="Times New Roman" w:hAnsi="Times New Roman"/>
          <w:bCs/>
          <w:noProof/>
          <w:sz w:val="24"/>
          <w:szCs w:val="24"/>
          <w:vertAlign w:val="superscript"/>
        </w:rPr>
        <w:footnoteReference w:id="5"/>
      </w:r>
      <w:r w:rsidRPr="00605292">
        <w:rPr>
          <w:rFonts w:ascii="Times New Roman" w:hAnsi="Times New Roman"/>
          <w:bCs/>
          <w:noProof/>
          <w:sz w:val="24"/>
          <w:szCs w:val="24"/>
        </w:rPr>
        <w:t xml:space="preserve"> and the WIPO Performances and Phonograms Treaty</w:t>
      </w:r>
      <w:r w:rsidR="0008294D" w:rsidRPr="00605292">
        <w:rPr>
          <w:rFonts w:ascii="Times New Roman" w:hAnsi="Times New Roman"/>
          <w:bCs/>
          <w:noProof/>
          <w:sz w:val="24"/>
          <w:szCs w:val="24"/>
          <w:vertAlign w:val="superscript"/>
        </w:rPr>
        <w:footnoteReference w:id="6"/>
      </w:r>
      <w:r w:rsidRPr="00605292">
        <w:rPr>
          <w:rFonts w:ascii="Times New Roman" w:hAnsi="Times New Roman"/>
          <w:bCs/>
          <w:noProof/>
          <w:sz w:val="24"/>
          <w:szCs w:val="24"/>
        </w:rPr>
        <w:t>. It harmonises several exclusive rights that are essential to the online dissemination of works and</w:t>
      </w:r>
      <w:r>
        <w:rPr>
          <w:rFonts w:ascii="Times New Roman" w:hAnsi="Times New Roman"/>
          <w:bCs/>
          <w:noProof/>
          <w:sz w:val="24"/>
          <w:szCs w:val="24"/>
        </w:rPr>
        <w:t xml:space="preserve"> other protected subject-matter, notably </w:t>
      </w:r>
      <w:r>
        <w:rPr>
          <w:rFonts w:ascii="TimesNewRoman" w:hAnsi="TimesNewRoman" w:cs="TimesNewRoman"/>
          <w:sz w:val="24"/>
          <w:szCs w:val="24"/>
        </w:rPr>
        <w:t xml:space="preserve">the right of reproduction, i.e. the right to prevent the unauthorised copying of protected content and the right of making available, i.e. the right to prevent unauthorised dissemination of protected content online, as well as exceptions to exclusive rights. </w:t>
      </w:r>
    </w:p>
    <w:p w:rsidR="008B5793" w:rsidRDefault="008B5793" w:rsidP="005D7A30">
      <w:pPr>
        <w:autoSpaceDE w:val="0"/>
        <w:autoSpaceDN w:val="0"/>
        <w:adjustRightInd w:val="0"/>
        <w:spacing w:after="120" w:line="240" w:lineRule="auto"/>
        <w:jc w:val="both"/>
        <w:rPr>
          <w:rFonts w:ascii="Times New Roman" w:hAnsi="Times New Roman" w:cs="Times New Roman"/>
          <w:sz w:val="24"/>
          <w:szCs w:val="24"/>
        </w:rPr>
      </w:pPr>
      <w:r w:rsidRPr="00605292">
        <w:rPr>
          <w:rFonts w:ascii="Times New Roman" w:hAnsi="Times New Roman" w:cs="Times New Roman"/>
          <w:b/>
          <w:sz w:val="24"/>
          <w:szCs w:val="24"/>
        </w:rPr>
        <w:t>Licensing</w:t>
      </w:r>
      <w:r w:rsidRPr="00605292">
        <w:rPr>
          <w:rFonts w:ascii="Times New Roman" w:hAnsi="Times New Roman" w:cs="Times New Roman"/>
          <w:sz w:val="24"/>
          <w:szCs w:val="24"/>
        </w:rPr>
        <w:t xml:space="preserve"> is the main mechanism for the exercise of copyright and related rights. Depending on the relevant right, the type of use and the sector, licences are most often granted directly by the right holder (e.g. film producer, software producer) or via collective management </w:t>
      </w:r>
      <w:r w:rsidRPr="00605292">
        <w:rPr>
          <w:rFonts w:ascii="Times New Roman" w:hAnsi="Times New Roman" w:cs="Times New Roman"/>
          <w:sz w:val="24"/>
          <w:szCs w:val="24"/>
        </w:rPr>
        <w:lastRenderedPageBreak/>
        <w:t xml:space="preserve">organisations (CMOs), representing normally a </w:t>
      </w:r>
      <w:r w:rsidRPr="005D7A30">
        <w:rPr>
          <w:rFonts w:ascii="Times New Roman" w:hAnsi="Times New Roman"/>
          <w:bCs/>
          <w:noProof/>
          <w:sz w:val="24"/>
          <w:szCs w:val="24"/>
        </w:rPr>
        <w:t>category</w:t>
      </w:r>
      <w:r w:rsidRPr="00605292">
        <w:rPr>
          <w:rFonts w:ascii="Times New Roman" w:hAnsi="Times New Roman" w:cs="Times New Roman"/>
          <w:sz w:val="24"/>
          <w:szCs w:val="24"/>
        </w:rPr>
        <w:t xml:space="preserve"> of </w:t>
      </w:r>
      <w:r w:rsidR="00007677">
        <w:rPr>
          <w:rFonts w:ascii="Times New Roman" w:hAnsi="Times New Roman" w:cs="Times New Roman"/>
          <w:sz w:val="24"/>
          <w:szCs w:val="24"/>
        </w:rPr>
        <w:t>rightholders</w:t>
      </w:r>
      <w:r>
        <w:rPr>
          <w:rFonts w:ascii="Times New Roman" w:hAnsi="Times New Roman" w:cs="Times New Roman"/>
          <w:sz w:val="24"/>
          <w:szCs w:val="24"/>
        </w:rPr>
        <w:t xml:space="preserve"> (</w:t>
      </w:r>
      <w:r w:rsidRPr="00605292">
        <w:rPr>
          <w:rFonts w:ascii="Times New Roman" w:hAnsi="Times New Roman" w:cs="Times New Roman"/>
          <w:sz w:val="24"/>
          <w:szCs w:val="24"/>
        </w:rPr>
        <w:t>e.g. authors</w:t>
      </w:r>
      <w:r>
        <w:rPr>
          <w:rFonts w:ascii="Times New Roman" w:hAnsi="Times New Roman" w:cs="Times New Roman"/>
          <w:sz w:val="24"/>
          <w:szCs w:val="24"/>
        </w:rPr>
        <w:t>)</w:t>
      </w:r>
      <w:r w:rsidRPr="00605292">
        <w:rPr>
          <w:rFonts w:ascii="Times New Roman" w:hAnsi="Times New Roman" w:cs="Times New Roman"/>
          <w:sz w:val="24"/>
          <w:szCs w:val="24"/>
        </w:rPr>
        <w:t xml:space="preserve"> and of rights </w:t>
      </w:r>
      <w:r>
        <w:rPr>
          <w:rFonts w:ascii="Times New Roman" w:hAnsi="Times New Roman" w:cs="Times New Roman"/>
          <w:sz w:val="24"/>
          <w:szCs w:val="24"/>
        </w:rPr>
        <w:t>(</w:t>
      </w:r>
      <w:r w:rsidRPr="00605292">
        <w:rPr>
          <w:rFonts w:ascii="Times New Roman" w:hAnsi="Times New Roman" w:cs="Times New Roman"/>
          <w:sz w:val="24"/>
          <w:szCs w:val="24"/>
        </w:rPr>
        <w:t>e.g. rights in musical works</w:t>
      </w:r>
      <w:r>
        <w:rPr>
          <w:rFonts w:ascii="Times New Roman" w:hAnsi="Times New Roman" w:cs="Times New Roman"/>
          <w:sz w:val="24"/>
          <w:szCs w:val="24"/>
        </w:rPr>
        <w:t>)</w:t>
      </w:r>
      <w:r w:rsidRPr="00605292">
        <w:rPr>
          <w:rFonts w:ascii="Times New Roman" w:hAnsi="Times New Roman" w:cs="Times New Roman"/>
          <w:sz w:val="24"/>
          <w:szCs w:val="24"/>
        </w:rPr>
        <w:t xml:space="preserve">. Collective management of exclusive rights (these are typically the most important rights for economic exploitation, e.g. distribution in the physical world and making available in </w:t>
      </w:r>
      <w:r>
        <w:rPr>
          <w:rFonts w:ascii="Times New Roman" w:hAnsi="Times New Roman" w:cs="Times New Roman"/>
          <w:sz w:val="24"/>
          <w:szCs w:val="24"/>
        </w:rPr>
        <w:t xml:space="preserve">the online world) is voluntary, except in certain specific cases allowed by law and copyright international treaties. For example, Directive </w:t>
      </w:r>
      <w:r w:rsidRPr="001A2835">
        <w:rPr>
          <w:rFonts w:ascii="Times New Roman" w:hAnsi="Times New Roman" w:cs="Times New Roman"/>
          <w:sz w:val="24"/>
          <w:szCs w:val="24"/>
        </w:rPr>
        <w:t>93/83/EC</w:t>
      </w:r>
      <w:r w:rsidR="00F3076F">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w:t>
      </w:r>
      <w:r w:rsidRPr="00311273">
        <w:rPr>
          <w:rFonts w:ascii="Times New Roman" w:hAnsi="Times New Roman" w:cs="Times New Roman"/>
          <w:sz w:val="24"/>
          <w:szCs w:val="24"/>
        </w:rPr>
        <w:t>Satellite and Cable Directive</w:t>
      </w:r>
      <w:r>
        <w:rPr>
          <w:rFonts w:ascii="Times New Roman" w:hAnsi="Times New Roman" w:cs="Times New Roman"/>
          <w:sz w:val="24"/>
          <w:szCs w:val="24"/>
        </w:rPr>
        <w:t>") imposes mandatory collective management of cable retransmission rights in order to facilitate the clearance of rights by cable operators.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605292">
        <w:rPr>
          <w:rFonts w:ascii="Times New Roman" w:hAnsi="Times New Roman" w:cs="Times New Roman"/>
          <w:sz w:val="24"/>
          <w:szCs w:val="24"/>
        </w:rPr>
        <w:t xml:space="preserve">The EU has recently adopted legislation to improve the functioning of </w:t>
      </w:r>
      <w:r>
        <w:rPr>
          <w:rFonts w:ascii="Times New Roman" w:hAnsi="Times New Roman" w:cs="Times New Roman"/>
          <w:sz w:val="24"/>
          <w:szCs w:val="24"/>
        </w:rPr>
        <w:t>CMOs</w:t>
      </w:r>
      <w:r w:rsidRPr="00605292">
        <w:rPr>
          <w:rFonts w:ascii="Times New Roman" w:hAnsi="Times New Roman" w:cs="Times New Roman"/>
          <w:sz w:val="24"/>
          <w:szCs w:val="24"/>
        </w:rPr>
        <w:t>, including in order to</w:t>
      </w:r>
      <w:r w:rsidR="00507AC2">
        <w:rPr>
          <w:rFonts w:ascii="Times New Roman" w:hAnsi="Times New Roman" w:cs="Times New Roman"/>
          <w:sz w:val="24"/>
          <w:szCs w:val="24"/>
        </w:rPr>
        <w:t xml:space="preserve"> </w:t>
      </w:r>
      <w:r w:rsidRPr="00605292">
        <w:rPr>
          <w:rFonts w:ascii="Times New Roman" w:hAnsi="Times New Roman" w:cs="Times New Roman"/>
          <w:sz w:val="24"/>
          <w:szCs w:val="24"/>
        </w:rPr>
        <w:t>facilitate the provision of multi-territorial licences (Directive 2014/26/EU</w:t>
      </w:r>
      <w:r w:rsidR="00687496">
        <w:rPr>
          <w:rStyle w:val="FootnoteReference"/>
          <w:rFonts w:ascii="Times New Roman" w:hAnsi="Times New Roman" w:cs="Times New Roman"/>
          <w:sz w:val="24"/>
          <w:szCs w:val="24"/>
        </w:rPr>
        <w:footnoteReference w:id="9"/>
      </w:r>
      <w:r w:rsidR="0055191B">
        <w:rPr>
          <w:rFonts w:ascii="Times New Roman" w:hAnsi="Times New Roman" w:cs="Times New Roman"/>
          <w:sz w:val="24"/>
          <w:szCs w:val="24"/>
        </w:rPr>
        <w:t>- the "</w:t>
      </w:r>
      <w:r w:rsidR="0055191B" w:rsidRPr="007C7354">
        <w:rPr>
          <w:rFonts w:ascii="Times New Roman" w:hAnsi="Times New Roman" w:cs="Times New Roman"/>
          <w:b/>
          <w:sz w:val="24"/>
          <w:szCs w:val="24"/>
        </w:rPr>
        <w:t>CRM Directive</w:t>
      </w:r>
      <w:r w:rsidR="0055191B">
        <w:rPr>
          <w:rFonts w:ascii="Times New Roman" w:hAnsi="Times New Roman" w:cs="Times New Roman"/>
          <w:sz w:val="24"/>
          <w:szCs w:val="24"/>
        </w:rPr>
        <w:t>"</w:t>
      </w:r>
      <w:r w:rsidRPr="00605292">
        <w:rPr>
          <w:rFonts w:ascii="Times New Roman" w:hAnsi="Times New Roman" w:cs="Times New Roman"/>
          <w:sz w:val="24"/>
          <w:szCs w:val="24"/>
        </w:rPr>
        <w:t xml:space="preserve">). </w:t>
      </w:r>
    </w:p>
    <w:p w:rsidR="008B5793" w:rsidRDefault="008B5793" w:rsidP="005D7A30">
      <w:pPr>
        <w:autoSpaceDE w:val="0"/>
        <w:autoSpaceDN w:val="0"/>
        <w:adjustRightInd w:val="0"/>
        <w:spacing w:after="120" w:line="240" w:lineRule="auto"/>
        <w:jc w:val="both"/>
        <w:rPr>
          <w:rFonts w:ascii="TimesNewRoman" w:hAnsi="TimesNewRoman" w:cs="TimesNewRoman"/>
          <w:sz w:val="24"/>
          <w:szCs w:val="24"/>
        </w:rPr>
      </w:pPr>
      <w:r>
        <w:rPr>
          <w:rFonts w:ascii="TimesNewRoman" w:hAnsi="TimesNewRoman" w:cs="TimesNewRoman"/>
          <w:sz w:val="24"/>
          <w:szCs w:val="24"/>
        </w:rPr>
        <w:t xml:space="preserve">Copyright is </w:t>
      </w:r>
      <w:r w:rsidRPr="00364510">
        <w:rPr>
          <w:rFonts w:ascii="TimesNewRoman" w:hAnsi="TimesNewRoman" w:cs="TimesNewRoman"/>
          <w:b/>
          <w:sz w:val="24"/>
          <w:szCs w:val="24"/>
        </w:rPr>
        <w:t>territorial</w:t>
      </w:r>
      <w:r>
        <w:rPr>
          <w:rFonts w:ascii="TimesNewRoman" w:hAnsi="TimesNewRoman" w:cs="TimesNewRoman"/>
          <w:sz w:val="24"/>
          <w:szCs w:val="24"/>
        </w:rPr>
        <w:t xml:space="preserve"> (referring to national territories) in the sense that the rights granted under copyright are provided for in </w:t>
      </w:r>
      <w:r w:rsidRPr="00252BA3">
        <w:rPr>
          <w:rFonts w:ascii="Times New Roman" w:hAnsi="Times New Roman" w:cs="Times New Roman"/>
          <w:sz w:val="24"/>
          <w:szCs w:val="24"/>
        </w:rPr>
        <w:t>national law, and not in the form of unitary rights at EU level. For example, the author of a boo</w:t>
      </w:r>
      <w:r>
        <w:rPr>
          <w:rFonts w:ascii="TimesNewRoman" w:hAnsi="TimesNewRoman" w:cs="TimesNewRoman"/>
          <w:sz w:val="24"/>
          <w:szCs w:val="24"/>
        </w:rPr>
        <w:t xml:space="preserve">k has not a single EU-wide right of reproduction but 28 different national rights of </w:t>
      </w:r>
      <w:r w:rsidRPr="005D7A30">
        <w:rPr>
          <w:rFonts w:ascii="Times New Roman" w:hAnsi="Times New Roman"/>
          <w:bCs/>
          <w:noProof/>
          <w:sz w:val="24"/>
          <w:szCs w:val="24"/>
        </w:rPr>
        <w:t>reproduction</w:t>
      </w:r>
      <w:r>
        <w:rPr>
          <w:rFonts w:ascii="TimesNewRoman" w:hAnsi="TimesNewRoman" w:cs="TimesNewRoman"/>
          <w:sz w:val="24"/>
          <w:szCs w:val="24"/>
        </w:rPr>
        <w:t>. The geographical scope of these 28 rights is limited to the territory of the MS that grants the right in question.</w:t>
      </w:r>
    </w:p>
    <w:p w:rsidR="008B5793" w:rsidRPr="007C686F" w:rsidRDefault="008B5793" w:rsidP="008B5793">
      <w:pPr>
        <w:pStyle w:val="Heading2"/>
        <w:numPr>
          <w:ilvl w:val="1"/>
          <w:numId w:val="1"/>
        </w:numPr>
        <w:spacing w:before="0" w:after="240"/>
        <w:rPr>
          <w:rFonts w:ascii="Times New Roman Bold" w:hAnsi="Times New Roman Bold"/>
          <w:smallCaps/>
        </w:rPr>
      </w:pPr>
      <w:bookmarkStart w:id="4" w:name="_Toc378243950"/>
      <w:bookmarkStart w:id="5" w:name="_Toc392007491"/>
      <w:bookmarkStart w:id="6" w:name="_Toc414456161"/>
      <w:bookmarkStart w:id="7" w:name="_Toc414456430"/>
      <w:bookmarkStart w:id="8" w:name="_Toc425327287"/>
      <w:bookmarkStart w:id="9" w:name="_Toc461114695"/>
      <w:r w:rsidRPr="007C686F">
        <w:rPr>
          <w:rFonts w:ascii="Times New Roman Bold" w:hAnsi="Times New Roman Bold"/>
          <w:smallCaps/>
        </w:rPr>
        <w:t>Policy context</w:t>
      </w:r>
      <w:bookmarkEnd w:id="4"/>
      <w:bookmarkEnd w:id="5"/>
      <w:bookmarkEnd w:id="6"/>
      <w:bookmarkEnd w:id="7"/>
      <w:bookmarkEnd w:id="8"/>
      <w:bookmarkEnd w:id="9"/>
    </w:p>
    <w:p w:rsidR="008B5793" w:rsidRPr="00243B0B" w:rsidRDefault="008B5793" w:rsidP="005D7A30">
      <w:pPr>
        <w:autoSpaceDE w:val="0"/>
        <w:autoSpaceDN w:val="0"/>
        <w:adjustRightInd w:val="0"/>
        <w:spacing w:after="120" w:line="240" w:lineRule="auto"/>
        <w:jc w:val="both"/>
        <w:rPr>
          <w:rFonts w:ascii="Times New Roman" w:hAnsi="Times New Roman" w:cs="Times New Roman"/>
          <w:sz w:val="24"/>
          <w:szCs w:val="24"/>
        </w:rPr>
      </w:pPr>
      <w:r w:rsidRPr="00243B0B">
        <w:rPr>
          <w:rFonts w:ascii="Times New Roman" w:hAnsi="Times New Roman"/>
          <w:sz w:val="24"/>
          <w:szCs w:val="24"/>
        </w:rPr>
        <w:t>Digital technologies are changing the ways creative content is produced, distributed and accessed. They create opportunities as well as new challenges for the creative industries</w:t>
      </w:r>
      <w:r>
        <w:rPr>
          <w:rStyle w:val="FootnoteReference"/>
          <w:rFonts w:ascii="Times New Roman" w:hAnsi="Times New Roman"/>
          <w:sz w:val="24"/>
          <w:szCs w:val="24"/>
        </w:rPr>
        <w:footnoteReference w:id="10"/>
      </w:r>
      <w:r w:rsidRPr="00243B0B">
        <w:rPr>
          <w:rFonts w:ascii="Times New Roman" w:hAnsi="Times New Roman"/>
          <w:sz w:val="24"/>
          <w:szCs w:val="24"/>
        </w:rPr>
        <w:t xml:space="preserve">, authors and artists, the education and research communities, online service providers including search engines and content </w:t>
      </w:r>
      <w:r w:rsidRPr="00252BA3">
        <w:rPr>
          <w:rFonts w:ascii="Times New Roman" w:hAnsi="Times New Roman" w:cs="Times New Roman"/>
          <w:sz w:val="24"/>
          <w:szCs w:val="24"/>
        </w:rPr>
        <w:t>distributors</w:t>
      </w:r>
      <w:r w:rsidRPr="00243B0B">
        <w:rPr>
          <w:rFonts w:ascii="Times New Roman" w:hAnsi="Times New Roman"/>
          <w:sz w:val="24"/>
          <w:szCs w:val="24"/>
        </w:rPr>
        <w:t xml:space="preserve">, telecommunication operators, cultural heritage institutions, individual users and other players in the digital economy. </w:t>
      </w:r>
      <w:r w:rsidRPr="00605292">
        <w:rPr>
          <w:rFonts w:ascii="Times New Roman" w:hAnsi="Times New Roman" w:cs="Times New Roman"/>
          <w:sz w:val="24"/>
          <w:szCs w:val="24"/>
        </w:rPr>
        <w:t>The</w:t>
      </w:r>
      <w:r>
        <w:rPr>
          <w:rFonts w:ascii="Times New Roman" w:hAnsi="Times New Roman" w:cs="Times New Roman"/>
          <w:sz w:val="24"/>
          <w:szCs w:val="24"/>
        </w:rPr>
        <w:t xml:space="preserve">se new uses and opportunities, together with </w:t>
      </w:r>
      <w:r w:rsidRPr="00605292">
        <w:rPr>
          <w:rFonts w:ascii="Times New Roman" w:hAnsi="Times New Roman" w:cs="Times New Roman"/>
          <w:sz w:val="24"/>
          <w:szCs w:val="24"/>
        </w:rPr>
        <w:t>the cross-border nature of digital networks</w:t>
      </w:r>
      <w:r>
        <w:rPr>
          <w:rFonts w:ascii="Times New Roman" w:hAnsi="Times New Roman" w:cs="Times New Roman"/>
          <w:sz w:val="24"/>
          <w:szCs w:val="24"/>
        </w:rPr>
        <w:t>,</w:t>
      </w:r>
      <w:r w:rsidRPr="00605292">
        <w:rPr>
          <w:rFonts w:ascii="Times New Roman" w:hAnsi="Times New Roman" w:cs="Times New Roman"/>
          <w:sz w:val="24"/>
          <w:szCs w:val="24"/>
        </w:rPr>
        <w:t xml:space="preserve"> have brought to the fore questions related to the degree of harmonisation ach</w:t>
      </w:r>
      <w:r>
        <w:rPr>
          <w:rFonts w:ascii="Times New Roman" w:hAnsi="Times New Roman" w:cs="Times New Roman"/>
          <w:sz w:val="24"/>
          <w:szCs w:val="24"/>
        </w:rPr>
        <w:t>ieved by the EU copyright rules</w:t>
      </w:r>
      <w:r w:rsidRPr="00605292">
        <w:rPr>
          <w:rFonts w:ascii="Times New Roman" w:hAnsi="Times New Roman" w:cs="Times New Roman"/>
          <w:sz w:val="24"/>
          <w:szCs w:val="24"/>
        </w:rPr>
        <w:t xml:space="preserve">. </w:t>
      </w:r>
    </w:p>
    <w:p w:rsidR="008B5793" w:rsidRPr="00D8762E" w:rsidRDefault="008B5793" w:rsidP="005D7A30">
      <w:pPr>
        <w:autoSpaceDE w:val="0"/>
        <w:autoSpaceDN w:val="0"/>
        <w:adjustRightInd w:val="0"/>
        <w:spacing w:after="120" w:line="240" w:lineRule="auto"/>
        <w:jc w:val="both"/>
        <w:rPr>
          <w:rFonts w:ascii="Times New Roman" w:hAnsi="Times New Roman"/>
          <w:sz w:val="24"/>
          <w:szCs w:val="24"/>
          <w:lang w:eastAsia="en-GB"/>
        </w:rPr>
      </w:pPr>
      <w:r>
        <w:rPr>
          <w:rFonts w:ascii="Times New Roman" w:hAnsi="Times New Roman"/>
          <w:sz w:val="24"/>
          <w:szCs w:val="24"/>
          <w:lang w:eastAsia="en-GB"/>
        </w:rPr>
        <w:t>T</w:t>
      </w:r>
      <w:r w:rsidRPr="00DC141A">
        <w:rPr>
          <w:rFonts w:ascii="Times New Roman" w:hAnsi="Times New Roman"/>
          <w:sz w:val="24"/>
          <w:szCs w:val="24"/>
          <w:lang w:eastAsia="en-GB"/>
        </w:rPr>
        <w:t xml:space="preserve">he </w:t>
      </w:r>
      <w:r w:rsidRPr="00495B1B">
        <w:rPr>
          <w:rFonts w:ascii="Times New Roman" w:hAnsi="Times New Roman"/>
          <w:b/>
          <w:sz w:val="24"/>
          <w:szCs w:val="24"/>
          <w:lang w:eastAsia="en-GB"/>
        </w:rPr>
        <w:t>Digital Single Market (DSM) Strategy</w:t>
      </w:r>
      <w:r>
        <w:rPr>
          <w:rStyle w:val="FootnoteReference"/>
          <w:rFonts w:ascii="Times New Roman" w:hAnsi="Times New Roman"/>
          <w:sz w:val="24"/>
          <w:szCs w:val="24"/>
          <w:lang w:eastAsia="en-GB"/>
        </w:rPr>
        <w:footnoteReference w:id="11"/>
      </w:r>
      <w:r>
        <w:rPr>
          <w:rFonts w:ascii="Times New Roman" w:hAnsi="Times New Roman"/>
          <w:sz w:val="24"/>
          <w:szCs w:val="24"/>
          <w:lang w:eastAsia="en-GB"/>
        </w:rPr>
        <w:t xml:space="preserve"> adopted in May 2015 called for addressing in </w:t>
      </w:r>
      <w:r w:rsidRPr="00DC141A">
        <w:rPr>
          <w:rFonts w:ascii="Times New Roman" w:hAnsi="Times New Roman"/>
          <w:sz w:val="24"/>
          <w:szCs w:val="24"/>
          <w:lang w:eastAsia="en-GB"/>
        </w:rPr>
        <w:t xml:space="preserve">the </w:t>
      </w:r>
      <w:r>
        <w:rPr>
          <w:rFonts w:ascii="Times New Roman" w:hAnsi="Times New Roman"/>
          <w:sz w:val="24"/>
          <w:szCs w:val="24"/>
          <w:lang w:eastAsia="en-GB"/>
        </w:rPr>
        <w:t xml:space="preserve">EU copyright framework </w:t>
      </w:r>
      <w:r w:rsidRPr="00DC141A">
        <w:rPr>
          <w:rFonts w:ascii="Times New Roman" w:hAnsi="Times New Roman"/>
          <w:sz w:val="24"/>
          <w:szCs w:val="24"/>
          <w:lang w:eastAsia="en-GB"/>
        </w:rPr>
        <w:t xml:space="preserve">a set of </w:t>
      </w:r>
      <w:r>
        <w:rPr>
          <w:rFonts w:ascii="Times New Roman" w:hAnsi="Times New Roman"/>
          <w:sz w:val="24"/>
          <w:szCs w:val="24"/>
          <w:lang w:eastAsia="en-GB"/>
        </w:rPr>
        <w:t>key</w:t>
      </w:r>
      <w:r w:rsidRPr="00DC141A">
        <w:rPr>
          <w:rFonts w:ascii="Times New Roman" w:hAnsi="Times New Roman"/>
          <w:sz w:val="24"/>
          <w:szCs w:val="24"/>
          <w:lang w:eastAsia="en-GB"/>
        </w:rPr>
        <w:t xml:space="preserve"> obstacles to the </w:t>
      </w:r>
      <w:r>
        <w:rPr>
          <w:rFonts w:ascii="Times New Roman" w:hAnsi="Times New Roman"/>
          <w:sz w:val="24"/>
          <w:szCs w:val="24"/>
          <w:lang w:eastAsia="en-GB"/>
        </w:rPr>
        <w:t xml:space="preserve">functioning of the DSM and announced legislation </w:t>
      </w:r>
      <w:r>
        <w:rPr>
          <w:rFonts w:ascii="Times New Roman" w:hAnsi="Times New Roman" w:cs="Times New Roman"/>
          <w:i/>
          <w:iCs/>
          <w:sz w:val="24"/>
          <w:szCs w:val="24"/>
        </w:rPr>
        <w:t>"to reduce the differences between national copyright regimes and allow for wider online access to works by users across the EU",</w:t>
      </w:r>
      <w:r>
        <w:rPr>
          <w:rFonts w:ascii="Times New Roman" w:hAnsi="Times New Roman" w:cs="Times New Roman"/>
          <w:sz w:val="24"/>
          <w:szCs w:val="24"/>
        </w:rPr>
        <w:t xml:space="preserve"> notably as regards portability and cross</w:t>
      </w:r>
      <w:r w:rsidR="0083659F">
        <w:rPr>
          <w:rFonts w:ascii="Times New Roman" w:hAnsi="Times New Roman" w:cs="Times New Roman"/>
          <w:sz w:val="24"/>
          <w:szCs w:val="24"/>
        </w:rPr>
        <w:t>-</w:t>
      </w:r>
      <w:r>
        <w:rPr>
          <w:rFonts w:ascii="Times New Roman" w:hAnsi="Times New Roman" w:cs="Times New Roman"/>
          <w:sz w:val="24"/>
          <w:szCs w:val="24"/>
        </w:rPr>
        <w:t>border access to copyright-protected content services; exceptions, in particular in the area of education and research; and the role of intermediaries in the distribution of copyright protected content. It also indicated that the Commission would review the Satellite and Cable Directive to assess whether it has facilitated consumers' access to satellite broadcasting services across borders, as well as the possible extension of some of the Directive principles/mechanisms to the licensing of rights required for certain broadcasters' online service</w:t>
      </w:r>
      <w:r>
        <w:rPr>
          <w:rFonts w:ascii="Times New Roman" w:hAnsi="Times New Roman"/>
          <w:sz w:val="24"/>
          <w:szCs w:val="24"/>
          <w:lang w:eastAsia="en-GB"/>
        </w:rPr>
        <w:t xml:space="preserve">. </w:t>
      </w:r>
    </w:p>
    <w:p w:rsidR="008B5793" w:rsidRDefault="008B5793" w:rsidP="005D7A30">
      <w:pPr>
        <w:autoSpaceDE w:val="0"/>
        <w:autoSpaceDN w:val="0"/>
        <w:adjustRightInd w:val="0"/>
        <w:spacing w:after="120" w:line="240" w:lineRule="auto"/>
        <w:jc w:val="both"/>
        <w:rPr>
          <w:rFonts w:ascii="Times New Roman" w:hAnsi="Times New Roman"/>
          <w:sz w:val="24"/>
          <w:szCs w:val="24"/>
          <w:lang w:eastAsia="en-GB"/>
        </w:rPr>
      </w:pPr>
      <w:r>
        <w:rPr>
          <w:rFonts w:ascii="Times New Roman" w:hAnsi="Times New Roman"/>
          <w:sz w:val="24"/>
          <w:szCs w:val="24"/>
          <w:lang w:eastAsia="en-GB"/>
        </w:rPr>
        <w:lastRenderedPageBreak/>
        <w:t xml:space="preserve">As a first step to implement the DSM strategy in the area of copyright, the Commission adopted a proposal for a </w:t>
      </w:r>
      <w:r w:rsidRPr="00D752B8">
        <w:rPr>
          <w:rFonts w:ascii="Times New Roman" w:hAnsi="Times New Roman"/>
          <w:b/>
          <w:sz w:val="24"/>
          <w:szCs w:val="24"/>
          <w:lang w:eastAsia="en-GB"/>
        </w:rPr>
        <w:t>regulation on the cross-border portability of online</w:t>
      </w:r>
      <w:r>
        <w:rPr>
          <w:rFonts w:ascii="Times New Roman" w:hAnsi="Times New Roman"/>
          <w:b/>
          <w:sz w:val="24"/>
          <w:szCs w:val="24"/>
          <w:lang w:eastAsia="en-GB"/>
        </w:rPr>
        <w:t xml:space="preserve"> content</w:t>
      </w:r>
      <w:r w:rsidRPr="00D752B8">
        <w:rPr>
          <w:rFonts w:ascii="Times New Roman" w:hAnsi="Times New Roman"/>
          <w:b/>
          <w:sz w:val="24"/>
          <w:szCs w:val="24"/>
          <w:lang w:eastAsia="en-GB"/>
        </w:rPr>
        <w:t xml:space="preserve"> services</w:t>
      </w:r>
      <w:r w:rsidRPr="00D774FC">
        <w:rPr>
          <w:rStyle w:val="FootnoteReference"/>
          <w:rFonts w:ascii="Times New Roman" w:hAnsi="Times New Roman"/>
          <w:sz w:val="24"/>
          <w:szCs w:val="24"/>
          <w:lang w:eastAsia="en-GB"/>
        </w:rPr>
        <w:footnoteReference w:id="12"/>
      </w:r>
      <w:r>
        <w:rPr>
          <w:rFonts w:ascii="Times New Roman" w:hAnsi="Times New Roman"/>
          <w:sz w:val="24"/>
          <w:szCs w:val="24"/>
          <w:lang w:eastAsia="en-GB"/>
        </w:rPr>
        <w:t xml:space="preserve"> in December 2015, in order to </w:t>
      </w:r>
      <w:r w:rsidRPr="00212571">
        <w:rPr>
          <w:rFonts w:ascii="Times New Roman" w:hAnsi="Times New Roman"/>
          <w:sz w:val="24"/>
          <w:szCs w:val="24"/>
          <w:lang w:eastAsia="en-GB"/>
        </w:rPr>
        <w:t>in order to allow EU residents to travel with the digital content they have purchased or subscribed to at home</w:t>
      </w:r>
      <w:r>
        <w:rPr>
          <w:rFonts w:ascii="Times New Roman" w:hAnsi="Times New Roman"/>
          <w:sz w:val="24"/>
          <w:szCs w:val="24"/>
          <w:lang w:eastAsia="en-GB"/>
        </w:rPr>
        <w:t xml:space="preserve">. </w:t>
      </w:r>
    </w:p>
    <w:p w:rsidR="008B5793" w:rsidRDefault="008B5793" w:rsidP="005D7A30">
      <w:pPr>
        <w:autoSpaceDE w:val="0"/>
        <w:autoSpaceDN w:val="0"/>
        <w:adjustRightInd w:val="0"/>
        <w:spacing w:after="120" w:line="240" w:lineRule="auto"/>
        <w:jc w:val="both"/>
        <w:rPr>
          <w:rFonts w:ascii="Times New Roman" w:hAnsi="Times New Roman"/>
          <w:sz w:val="24"/>
          <w:szCs w:val="24"/>
          <w:lang w:eastAsia="en-GB"/>
        </w:rPr>
      </w:pPr>
      <w:r>
        <w:rPr>
          <w:rFonts w:ascii="Times New Roman" w:hAnsi="Times New Roman"/>
          <w:sz w:val="24"/>
          <w:szCs w:val="24"/>
          <w:lang w:eastAsia="en-GB"/>
        </w:rPr>
        <w:t xml:space="preserve">At the same time, it adopted a </w:t>
      </w:r>
      <w:r w:rsidRPr="00D752B8">
        <w:rPr>
          <w:rFonts w:ascii="Times New Roman" w:hAnsi="Times New Roman"/>
          <w:b/>
          <w:sz w:val="24"/>
          <w:szCs w:val="24"/>
          <w:lang w:eastAsia="en-GB"/>
        </w:rPr>
        <w:t>Communication "Towards a modern, more European copyright framework"</w:t>
      </w:r>
      <w:r w:rsidR="009342CC">
        <w:rPr>
          <w:rStyle w:val="FootnoteReference"/>
          <w:rFonts w:ascii="Times New Roman" w:hAnsi="Times New Roman"/>
          <w:b/>
          <w:sz w:val="24"/>
          <w:szCs w:val="24"/>
          <w:lang w:eastAsia="en-GB"/>
        </w:rPr>
        <w:footnoteReference w:id="13"/>
      </w:r>
      <w:r>
        <w:rPr>
          <w:rFonts w:ascii="Times New Roman" w:hAnsi="Times New Roman"/>
          <w:sz w:val="24"/>
          <w:szCs w:val="24"/>
          <w:lang w:eastAsia="en-GB"/>
        </w:rPr>
        <w:t xml:space="preserve"> in which it presented a plan including targeted actions and a long-term vision to modernise EU copyright rules. The Communication highlighted the need to inject more single market into the current EU copyright rules and to adapt them to new technological realities. This I</w:t>
      </w:r>
      <w:r w:rsidR="00126B2F">
        <w:rPr>
          <w:rFonts w:ascii="Times New Roman" w:hAnsi="Times New Roman"/>
          <w:sz w:val="24"/>
          <w:szCs w:val="24"/>
          <w:lang w:eastAsia="en-GB"/>
        </w:rPr>
        <w:t xml:space="preserve">mpact </w:t>
      </w:r>
      <w:r>
        <w:rPr>
          <w:rFonts w:ascii="Times New Roman" w:hAnsi="Times New Roman"/>
          <w:sz w:val="24"/>
          <w:szCs w:val="24"/>
          <w:lang w:eastAsia="en-GB"/>
        </w:rPr>
        <w:t>A</w:t>
      </w:r>
      <w:r w:rsidR="00126B2F">
        <w:rPr>
          <w:rFonts w:ascii="Times New Roman" w:hAnsi="Times New Roman"/>
          <w:sz w:val="24"/>
          <w:szCs w:val="24"/>
          <w:lang w:eastAsia="en-GB"/>
        </w:rPr>
        <w:t>ssessment (IA)</w:t>
      </w:r>
      <w:r>
        <w:rPr>
          <w:rFonts w:ascii="Times New Roman" w:hAnsi="Times New Roman"/>
          <w:sz w:val="24"/>
          <w:szCs w:val="24"/>
          <w:lang w:eastAsia="en-GB"/>
        </w:rPr>
        <w:t xml:space="preserve"> on the modernisation of EU copyright rules supports the targeted initiatives presented in this Communication, as a second step in the implementation of the DSM strategy on copyright. </w:t>
      </w:r>
    </w:p>
    <w:p w:rsidR="008B5793" w:rsidRDefault="008B5793" w:rsidP="005D7A30">
      <w:pPr>
        <w:autoSpaceDE w:val="0"/>
        <w:autoSpaceDN w:val="0"/>
        <w:adjustRightInd w:val="0"/>
        <w:spacing w:after="120" w:line="240" w:lineRule="auto"/>
        <w:jc w:val="both"/>
        <w:rPr>
          <w:rFonts w:ascii="Times New Roman" w:hAnsi="Times New Roman"/>
          <w:sz w:val="24"/>
          <w:szCs w:val="20"/>
          <w:lang w:eastAsia="en-GB"/>
        </w:rPr>
      </w:pPr>
      <w:r>
        <w:rPr>
          <w:rFonts w:ascii="Times New Roman" w:hAnsi="Times New Roman"/>
          <w:sz w:val="24"/>
          <w:szCs w:val="24"/>
          <w:lang w:eastAsia="en-GB"/>
        </w:rPr>
        <w:t>EU action in the area of copyright</w:t>
      </w:r>
      <w:r>
        <w:rPr>
          <w:rFonts w:ascii="Times New Roman" w:hAnsi="Times New Roman"/>
          <w:sz w:val="24"/>
          <w:szCs w:val="20"/>
          <w:lang w:eastAsia="en-GB"/>
        </w:rPr>
        <w:t xml:space="preserve"> complements other EU initiatives recently adopted in the context of the Digital Single Market Strategy, notably on the </w:t>
      </w:r>
      <w:r w:rsidRPr="00D8762E">
        <w:rPr>
          <w:rFonts w:ascii="Times New Roman" w:hAnsi="Times New Roman"/>
          <w:b/>
          <w:sz w:val="24"/>
          <w:szCs w:val="20"/>
          <w:lang w:eastAsia="en-GB"/>
        </w:rPr>
        <w:t>revision</w:t>
      </w:r>
      <w:r w:rsidR="006C75B2">
        <w:rPr>
          <w:rStyle w:val="FootnoteReference"/>
          <w:rFonts w:ascii="Times New Roman" w:hAnsi="Times New Roman"/>
          <w:sz w:val="24"/>
          <w:szCs w:val="20"/>
          <w:lang w:eastAsia="en-GB"/>
        </w:rPr>
        <w:footnoteReference w:id="14"/>
      </w:r>
      <w:r w:rsidRPr="00D8762E">
        <w:rPr>
          <w:rFonts w:ascii="Times New Roman" w:hAnsi="Times New Roman"/>
          <w:b/>
          <w:sz w:val="24"/>
          <w:szCs w:val="20"/>
          <w:lang w:eastAsia="en-GB"/>
        </w:rPr>
        <w:t xml:space="preserve"> of the Audiovisual Media Services Directive</w:t>
      </w:r>
      <w:r>
        <w:rPr>
          <w:rFonts w:ascii="Times New Roman" w:hAnsi="Times New Roman"/>
          <w:sz w:val="24"/>
          <w:szCs w:val="20"/>
          <w:lang w:eastAsia="en-GB"/>
        </w:rPr>
        <w:t xml:space="preserve"> (</w:t>
      </w:r>
      <w:r w:rsidR="00FD105D">
        <w:rPr>
          <w:rFonts w:ascii="Times New Roman" w:hAnsi="Times New Roman"/>
          <w:sz w:val="24"/>
          <w:szCs w:val="20"/>
          <w:lang w:eastAsia="en-GB"/>
        </w:rPr>
        <w:t xml:space="preserve">" the </w:t>
      </w:r>
      <w:r w:rsidRPr="007C7354">
        <w:rPr>
          <w:rFonts w:ascii="Times New Roman" w:hAnsi="Times New Roman"/>
          <w:b/>
          <w:sz w:val="24"/>
          <w:szCs w:val="20"/>
          <w:lang w:eastAsia="en-GB"/>
        </w:rPr>
        <w:t>AVMS</w:t>
      </w:r>
      <w:r w:rsidR="00FD105D" w:rsidRPr="007C7354">
        <w:rPr>
          <w:rFonts w:ascii="Times New Roman" w:hAnsi="Times New Roman"/>
          <w:b/>
          <w:sz w:val="24"/>
          <w:szCs w:val="20"/>
          <w:lang w:eastAsia="en-GB"/>
        </w:rPr>
        <w:t xml:space="preserve"> Directive</w:t>
      </w:r>
      <w:r w:rsidR="00FD105D">
        <w:rPr>
          <w:rFonts w:ascii="Times New Roman" w:hAnsi="Times New Roman"/>
          <w:sz w:val="24"/>
          <w:szCs w:val="20"/>
          <w:lang w:eastAsia="en-GB"/>
        </w:rPr>
        <w:t>"</w:t>
      </w:r>
      <w:r>
        <w:rPr>
          <w:rFonts w:ascii="Times New Roman" w:hAnsi="Times New Roman"/>
          <w:sz w:val="24"/>
          <w:szCs w:val="20"/>
          <w:lang w:eastAsia="en-GB"/>
        </w:rPr>
        <w:t>)</w:t>
      </w:r>
      <w:r w:rsidR="006C75B2">
        <w:rPr>
          <w:rStyle w:val="FootnoteReference"/>
          <w:rFonts w:ascii="Times New Roman" w:hAnsi="Times New Roman"/>
          <w:sz w:val="24"/>
          <w:szCs w:val="20"/>
          <w:lang w:eastAsia="en-GB"/>
        </w:rPr>
        <w:footnoteReference w:id="15"/>
      </w:r>
      <w:r>
        <w:rPr>
          <w:rFonts w:ascii="Times New Roman" w:hAnsi="Times New Roman"/>
          <w:sz w:val="24"/>
          <w:szCs w:val="20"/>
          <w:lang w:eastAsia="en-GB"/>
        </w:rPr>
        <w:t xml:space="preserve">, on </w:t>
      </w:r>
      <w:r w:rsidRPr="00D8762E">
        <w:rPr>
          <w:rFonts w:ascii="Times New Roman" w:hAnsi="Times New Roman"/>
          <w:b/>
          <w:sz w:val="24"/>
          <w:szCs w:val="20"/>
          <w:lang w:eastAsia="en-GB"/>
        </w:rPr>
        <w:t>measures addressing unjustified geo-blocking</w:t>
      </w:r>
      <w:r>
        <w:rPr>
          <w:rStyle w:val="FootnoteReference"/>
          <w:rFonts w:ascii="Times New Roman" w:hAnsi="Times New Roman"/>
          <w:sz w:val="24"/>
          <w:szCs w:val="20"/>
          <w:lang w:eastAsia="en-GB"/>
        </w:rPr>
        <w:footnoteReference w:id="16"/>
      </w:r>
      <w:r>
        <w:rPr>
          <w:rFonts w:ascii="Times New Roman" w:hAnsi="Times New Roman"/>
          <w:sz w:val="24"/>
          <w:szCs w:val="20"/>
          <w:lang w:eastAsia="en-GB"/>
        </w:rPr>
        <w:t xml:space="preserve"> and on </w:t>
      </w:r>
      <w:r w:rsidRPr="00D8762E">
        <w:rPr>
          <w:rFonts w:ascii="Times New Roman" w:hAnsi="Times New Roman"/>
          <w:b/>
          <w:sz w:val="24"/>
          <w:szCs w:val="20"/>
          <w:lang w:eastAsia="en-GB"/>
        </w:rPr>
        <w:t>online platforms</w:t>
      </w:r>
      <w:r>
        <w:rPr>
          <w:rFonts w:ascii="Times New Roman" w:hAnsi="Times New Roman"/>
          <w:sz w:val="24"/>
          <w:szCs w:val="20"/>
          <w:lang w:eastAsia="en-GB"/>
        </w:rPr>
        <w:t>.</w:t>
      </w:r>
      <w:r>
        <w:rPr>
          <w:rStyle w:val="FootnoteReference"/>
          <w:rFonts w:ascii="Times New Roman" w:hAnsi="Times New Roman"/>
          <w:sz w:val="24"/>
          <w:szCs w:val="20"/>
          <w:lang w:eastAsia="en-GB"/>
        </w:rPr>
        <w:footnoteReference w:id="17"/>
      </w:r>
      <w:r>
        <w:rPr>
          <w:rFonts w:ascii="Times New Roman" w:hAnsi="Times New Roman"/>
          <w:sz w:val="24"/>
          <w:szCs w:val="20"/>
          <w:lang w:eastAsia="en-GB"/>
        </w:rPr>
        <w:t xml:space="preserve"> </w:t>
      </w:r>
    </w:p>
    <w:p w:rsidR="00CC27DB" w:rsidRDefault="008B5793" w:rsidP="005D7A30">
      <w:pPr>
        <w:autoSpaceDE w:val="0"/>
        <w:autoSpaceDN w:val="0"/>
        <w:adjustRightInd w:val="0"/>
        <w:spacing w:after="120" w:line="240" w:lineRule="auto"/>
        <w:jc w:val="both"/>
        <w:rPr>
          <w:rFonts w:ascii="Times New Roman" w:hAnsi="Times New Roman" w:cs="Times New Roman"/>
          <w:sz w:val="24"/>
        </w:rPr>
      </w:pPr>
      <w:r>
        <w:rPr>
          <w:rFonts w:ascii="Times New Roman" w:hAnsi="Times New Roman"/>
          <w:sz w:val="24"/>
          <w:szCs w:val="20"/>
          <w:lang w:eastAsia="en-GB"/>
        </w:rPr>
        <w:t xml:space="preserve">The analysis presented in this IA strongly relies on the preliminary work conducted by the Commission on the </w:t>
      </w:r>
      <w:r w:rsidRPr="00BD4849">
        <w:rPr>
          <w:rFonts w:ascii="Times New Roman" w:hAnsi="Times New Roman"/>
          <w:b/>
          <w:sz w:val="24"/>
          <w:szCs w:val="20"/>
          <w:lang w:eastAsia="en-GB"/>
        </w:rPr>
        <w:t xml:space="preserve">review of EU copyright rules </w:t>
      </w:r>
      <w:r w:rsidRPr="00D8762E">
        <w:rPr>
          <w:rFonts w:ascii="Times New Roman" w:hAnsi="Times New Roman"/>
          <w:sz w:val="24"/>
          <w:szCs w:val="20"/>
          <w:lang w:eastAsia="en-GB"/>
        </w:rPr>
        <w:t>between 201</w:t>
      </w:r>
      <w:r>
        <w:rPr>
          <w:rFonts w:ascii="Times New Roman" w:hAnsi="Times New Roman"/>
          <w:sz w:val="24"/>
          <w:szCs w:val="20"/>
          <w:lang w:eastAsia="en-GB"/>
        </w:rPr>
        <w:t>3</w:t>
      </w:r>
      <w:r w:rsidRPr="00D8762E">
        <w:rPr>
          <w:rFonts w:ascii="Times New Roman" w:hAnsi="Times New Roman"/>
          <w:sz w:val="24"/>
          <w:szCs w:val="20"/>
          <w:lang w:eastAsia="en-GB"/>
        </w:rPr>
        <w:t xml:space="preserve"> and 2016</w:t>
      </w:r>
      <w:r>
        <w:rPr>
          <w:rFonts w:ascii="Times New Roman" w:hAnsi="Times New Roman"/>
          <w:sz w:val="24"/>
          <w:szCs w:val="20"/>
          <w:lang w:eastAsia="en-GB"/>
        </w:rPr>
        <w:t>.</w:t>
      </w:r>
      <w:r>
        <w:rPr>
          <w:rStyle w:val="FootnoteReference"/>
          <w:rFonts w:ascii="Times New Roman" w:hAnsi="Times New Roman"/>
          <w:sz w:val="24"/>
          <w:szCs w:val="20"/>
          <w:lang w:eastAsia="en-GB"/>
        </w:rPr>
        <w:footnoteReference w:id="18"/>
      </w:r>
      <w:r>
        <w:rPr>
          <w:rFonts w:ascii="Times New Roman" w:hAnsi="Times New Roman"/>
          <w:sz w:val="24"/>
          <w:szCs w:val="20"/>
          <w:lang w:eastAsia="en-GB"/>
        </w:rPr>
        <w:t xml:space="preserve"> </w:t>
      </w:r>
      <w:r w:rsidRPr="006368B0">
        <w:rPr>
          <w:rFonts w:ascii="Times New Roman" w:hAnsi="Times New Roman" w:cs="Times New Roman"/>
          <w:sz w:val="24"/>
          <w:szCs w:val="24"/>
        </w:rPr>
        <w:t>The review</w:t>
      </w:r>
      <w:r>
        <w:rPr>
          <w:rFonts w:ascii="Times New Roman" w:hAnsi="Times New Roman" w:cs="Times New Roman"/>
          <w:sz w:val="24"/>
          <w:szCs w:val="24"/>
        </w:rPr>
        <w:t xml:space="preserve"> process</w:t>
      </w:r>
      <w:r w:rsidRPr="006368B0">
        <w:rPr>
          <w:rFonts w:ascii="Times New Roman" w:hAnsi="Times New Roman" w:cs="Times New Roman"/>
          <w:sz w:val="24"/>
          <w:szCs w:val="24"/>
        </w:rPr>
        <w:t xml:space="preserve"> </w:t>
      </w:r>
      <w:r w:rsidRPr="006368B0">
        <w:rPr>
          <w:rFonts w:ascii="Times New Roman" w:hAnsi="Times New Roman" w:cs="Times New Roman"/>
          <w:sz w:val="24"/>
        </w:rPr>
        <w:t xml:space="preserve">covered a broader set of matters than those presented in this IA. Such a broad exercise was necessary for the Commission to gain an understanding of the full range of questions being discussed in the context of copyright policy and digital networks. </w:t>
      </w:r>
    </w:p>
    <w:p w:rsidR="00CC27DB" w:rsidRPr="00D1507D" w:rsidRDefault="008B5793" w:rsidP="005D7A30">
      <w:pPr>
        <w:autoSpaceDE w:val="0"/>
        <w:autoSpaceDN w:val="0"/>
        <w:adjustRightInd w:val="0"/>
        <w:spacing w:after="120" w:line="240" w:lineRule="auto"/>
        <w:jc w:val="both"/>
        <w:rPr>
          <w:sz w:val="24"/>
        </w:rPr>
      </w:pPr>
      <w:r w:rsidRPr="006368B0">
        <w:rPr>
          <w:rFonts w:ascii="Times New Roman" w:hAnsi="Times New Roman" w:cs="Times New Roman"/>
          <w:sz w:val="24"/>
        </w:rPr>
        <w:t>However, not all those questions relate to matters requiring legislative intervention or, most importantly, requiring legislative intervention at this stage.</w:t>
      </w:r>
      <w:r>
        <w:rPr>
          <w:rFonts w:ascii="Times New Roman" w:hAnsi="Times New Roman" w:cs="Times New Roman"/>
          <w:sz w:val="24"/>
        </w:rPr>
        <w:t xml:space="preserve"> </w:t>
      </w:r>
      <w:r w:rsidRPr="0041187C">
        <w:rPr>
          <w:rFonts w:ascii="Times New Roman" w:hAnsi="Times New Roman" w:cs="Times New Roman"/>
          <w:sz w:val="24"/>
        </w:rPr>
        <w:t xml:space="preserve">There are issues where the Court of Justice of the European Union (CJEU) may have provided sufficient clarity to the existing </w:t>
      </w:r>
      <w:r w:rsidRPr="0041187C">
        <w:rPr>
          <w:rFonts w:ascii="Times New Roman" w:hAnsi="Times New Roman" w:cs="Times New Roman"/>
          <w:sz w:val="24"/>
        </w:rPr>
        <w:lastRenderedPageBreak/>
        <w:t>rules</w:t>
      </w:r>
      <w:r>
        <w:rPr>
          <w:rFonts w:ascii="Times New Roman" w:hAnsi="Times New Roman" w:cs="Times New Roman"/>
          <w:sz w:val="24"/>
        </w:rPr>
        <w:t xml:space="preserve"> </w:t>
      </w:r>
      <w:r w:rsidRPr="0041187C">
        <w:rPr>
          <w:rFonts w:ascii="Times New Roman" w:hAnsi="Times New Roman" w:cs="Times New Roman"/>
          <w:sz w:val="24"/>
        </w:rPr>
        <w:t>o</w:t>
      </w:r>
      <w:r>
        <w:rPr>
          <w:rFonts w:ascii="Times New Roman" w:hAnsi="Times New Roman" w:cs="Times New Roman"/>
          <w:sz w:val="24"/>
        </w:rPr>
        <w:t>r where cases are pending</w:t>
      </w:r>
      <w:r w:rsidRPr="0041187C">
        <w:rPr>
          <w:rFonts w:ascii="Times New Roman" w:hAnsi="Times New Roman" w:cs="Times New Roman"/>
          <w:sz w:val="24"/>
        </w:rPr>
        <w:t>. There are also issues where the necessity to intervene has not been established or where there is not the required degree of maturity in terms of evidence of a problem and/or o</w:t>
      </w:r>
      <w:r>
        <w:rPr>
          <w:rFonts w:ascii="Times New Roman" w:hAnsi="Times New Roman" w:cs="Times New Roman"/>
          <w:sz w:val="24"/>
        </w:rPr>
        <w:t>f the effects of intervention</w:t>
      </w:r>
      <w:r w:rsidRPr="0041187C">
        <w:rPr>
          <w:rFonts w:ascii="Times New Roman" w:hAnsi="Times New Roman" w:cs="Times New Roman"/>
          <w:sz w:val="24"/>
        </w:rPr>
        <w:t>.</w:t>
      </w:r>
      <w:r>
        <w:t xml:space="preserve"> </w:t>
      </w:r>
      <w:r w:rsidR="00541F84" w:rsidRPr="00AD57F7">
        <w:rPr>
          <w:rFonts w:ascii="Times New Roman" w:hAnsi="Times New Roman" w:cs="Times New Roman"/>
          <w:sz w:val="24"/>
        </w:rPr>
        <w:t xml:space="preserve">This is notably the case for </w:t>
      </w:r>
      <w:r w:rsidR="008C1214" w:rsidRPr="00AD57F7">
        <w:rPr>
          <w:rFonts w:ascii="Times New Roman" w:hAnsi="Times New Roman" w:cs="Times New Roman"/>
          <w:sz w:val="24"/>
        </w:rPr>
        <w:t xml:space="preserve">the issue of remote consultation of works held in libraries and other relevant institutions and for the issue of "freedom of panorama", which were </w:t>
      </w:r>
      <w:r w:rsidR="008C1214">
        <w:rPr>
          <w:rFonts w:ascii="Times New Roman" w:hAnsi="Times New Roman" w:cs="Times New Roman"/>
          <w:sz w:val="24"/>
        </w:rPr>
        <w:t xml:space="preserve">both </w:t>
      </w:r>
      <w:r w:rsidR="008C1214" w:rsidRPr="00AD57F7">
        <w:rPr>
          <w:rFonts w:ascii="Times New Roman" w:hAnsi="Times New Roman" w:cs="Times New Roman"/>
          <w:sz w:val="24"/>
        </w:rPr>
        <w:t>mentioned in the Communication of December 2015. The consultation</w:t>
      </w:r>
      <w:r w:rsidR="00541F84" w:rsidRPr="00AD57F7">
        <w:rPr>
          <w:rFonts w:ascii="Times New Roman" w:hAnsi="Times New Roman" w:cs="Times New Roman"/>
          <w:sz w:val="24"/>
        </w:rPr>
        <w:t xml:space="preserve"> exception (authorising libraries and other institutions to allow on-screen consultation of works for research and private study on their premises) has not been addressed in the context of the IA as the issue needs to be reconsidered in light of the outcome of a pending case before the CJEU on electronic lending</w:t>
      </w:r>
      <w:r w:rsidR="0008294D">
        <w:rPr>
          <w:rFonts w:ascii="Times New Roman" w:hAnsi="Times New Roman" w:cs="Times New Roman"/>
          <w:sz w:val="24"/>
        </w:rPr>
        <w:t>.</w:t>
      </w:r>
      <w:r w:rsidR="009808F6">
        <w:rPr>
          <w:rStyle w:val="FootnoteReference"/>
          <w:rFonts w:ascii="Times New Roman" w:hAnsi="Times New Roman" w:cs="Times New Roman"/>
          <w:sz w:val="24"/>
        </w:rPr>
        <w:footnoteReference w:id="19"/>
      </w:r>
      <w:r w:rsidR="00541F84" w:rsidRPr="00AD57F7">
        <w:rPr>
          <w:rFonts w:ascii="Times New Roman" w:hAnsi="Times New Roman" w:cs="Times New Roman"/>
          <w:sz w:val="24"/>
        </w:rPr>
        <w:t xml:space="preserve">On the </w:t>
      </w:r>
      <w:r w:rsidR="008C1214" w:rsidRPr="00AD57F7">
        <w:rPr>
          <w:rFonts w:ascii="Times New Roman" w:hAnsi="Times New Roman" w:cs="Times New Roman"/>
          <w:sz w:val="24"/>
        </w:rPr>
        <w:t xml:space="preserve">panorama </w:t>
      </w:r>
      <w:r w:rsidR="00541F84" w:rsidRPr="00AD57F7">
        <w:rPr>
          <w:rFonts w:ascii="Times New Roman" w:hAnsi="Times New Roman" w:cs="Times New Roman"/>
          <w:sz w:val="24"/>
        </w:rPr>
        <w:t>exception, the first results of the public consultation do</w:t>
      </w:r>
      <w:r w:rsidR="005530E8">
        <w:rPr>
          <w:rFonts w:ascii="Times New Roman" w:hAnsi="Times New Roman" w:cs="Times New Roman"/>
          <w:sz w:val="24"/>
        </w:rPr>
        <w:t xml:space="preserve"> </w:t>
      </w:r>
      <w:r w:rsidR="00541F84" w:rsidRPr="00AD57F7">
        <w:rPr>
          <w:rFonts w:ascii="Times New Roman" w:hAnsi="Times New Roman" w:cs="Times New Roman"/>
          <w:sz w:val="24"/>
        </w:rPr>
        <w:t>n</w:t>
      </w:r>
      <w:r w:rsidR="005530E8">
        <w:rPr>
          <w:rFonts w:ascii="Times New Roman" w:hAnsi="Times New Roman" w:cs="Times New Roman"/>
          <w:sz w:val="24"/>
        </w:rPr>
        <w:t>o</w:t>
      </w:r>
      <w:r w:rsidR="00541F84" w:rsidRPr="00AD57F7">
        <w:rPr>
          <w:rFonts w:ascii="Times New Roman" w:hAnsi="Times New Roman" w:cs="Times New Roman"/>
          <w:sz w:val="24"/>
        </w:rPr>
        <w:t>t indicate a need t</w:t>
      </w:r>
      <w:r w:rsidR="008C1214" w:rsidRPr="00AD57F7">
        <w:rPr>
          <w:rFonts w:ascii="Times New Roman" w:hAnsi="Times New Roman" w:cs="Times New Roman"/>
          <w:sz w:val="24"/>
        </w:rPr>
        <w:t xml:space="preserve">o address problems at EU level, notably because most </w:t>
      </w:r>
      <w:r w:rsidR="00CC27DB">
        <w:rPr>
          <w:rFonts w:ascii="Times New Roman" w:hAnsi="Times New Roman" w:cs="Times New Roman"/>
          <w:sz w:val="24"/>
        </w:rPr>
        <w:t>MS</w:t>
      </w:r>
      <w:r w:rsidR="008C1214" w:rsidRPr="00AD57F7">
        <w:rPr>
          <w:rFonts w:ascii="Times New Roman" w:hAnsi="Times New Roman" w:cs="Times New Roman"/>
          <w:sz w:val="24"/>
        </w:rPr>
        <w:t xml:space="preserve"> have incorporated such exception in their national legislation.</w:t>
      </w:r>
      <w:r w:rsidR="008C1214" w:rsidRPr="00AD57F7">
        <w:rPr>
          <w:sz w:val="24"/>
        </w:rPr>
        <w:t xml:space="preserve"> </w:t>
      </w:r>
      <w:r w:rsidR="008C1214" w:rsidRPr="00AD57F7">
        <w:rPr>
          <w:rFonts w:ascii="Times New Roman" w:hAnsi="Times New Roman" w:cs="Times New Roman"/>
          <w:sz w:val="24"/>
          <w:szCs w:val="24"/>
        </w:rPr>
        <w:t xml:space="preserve">Concerning private copying, the Commission will continue assessing the need for action to ensure that the different levies' systems in place in </w:t>
      </w:r>
      <w:r w:rsidR="00CC27DB">
        <w:rPr>
          <w:rFonts w:ascii="Times New Roman" w:hAnsi="Times New Roman" w:cs="Times New Roman"/>
          <w:sz w:val="24"/>
          <w:szCs w:val="24"/>
        </w:rPr>
        <w:t>MS</w:t>
      </w:r>
      <w:r w:rsidR="008C1214" w:rsidRPr="00AD57F7">
        <w:rPr>
          <w:rFonts w:ascii="Times New Roman" w:hAnsi="Times New Roman" w:cs="Times New Roman"/>
          <w:sz w:val="24"/>
          <w:szCs w:val="24"/>
        </w:rPr>
        <w:t xml:space="preserve"> do not raise obstacles in the single market, as announced in the Communication of December 2015. This assessment needs to take into account recent and pending cases before the CJEU.</w:t>
      </w:r>
      <w:r w:rsidR="00CC27DB" w:rsidRPr="00D1507D">
        <w:rPr>
          <w:rFonts w:ascii="Times New Roman" w:hAnsi="Times New Roman"/>
          <w:sz w:val="24"/>
        </w:rPr>
        <w:t xml:space="preserve"> </w:t>
      </w:r>
    </w:p>
    <w:p w:rsidR="008B5793" w:rsidRPr="006955B8" w:rsidRDefault="008B5793" w:rsidP="005D7A30">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sz w:val="24"/>
          <w:szCs w:val="20"/>
          <w:lang w:eastAsia="en-GB"/>
        </w:rPr>
        <w:t xml:space="preserve">The IA </w:t>
      </w:r>
      <w:r w:rsidRPr="005D7A30">
        <w:rPr>
          <w:rFonts w:ascii="Times New Roman" w:hAnsi="Times New Roman" w:cs="Times New Roman"/>
          <w:sz w:val="24"/>
        </w:rPr>
        <w:t>also</w:t>
      </w:r>
      <w:r>
        <w:rPr>
          <w:rFonts w:ascii="Times New Roman" w:hAnsi="Times New Roman"/>
          <w:sz w:val="24"/>
          <w:szCs w:val="20"/>
          <w:lang w:eastAsia="en-GB"/>
        </w:rPr>
        <w:t xml:space="preserve"> takes into account the conclusions of </w:t>
      </w:r>
      <w:r>
        <w:rPr>
          <w:rFonts w:ascii="Times New Roman" w:hAnsi="Times New Roman" w:cs="Times New Roman"/>
          <w:sz w:val="24"/>
          <w:szCs w:val="24"/>
        </w:rPr>
        <w:t xml:space="preserve">the </w:t>
      </w:r>
      <w:r w:rsidRPr="0041187C">
        <w:rPr>
          <w:rFonts w:ascii="Times New Roman" w:hAnsi="Times New Roman" w:cs="Times New Roman"/>
          <w:b/>
          <w:sz w:val="24"/>
          <w:szCs w:val="24"/>
        </w:rPr>
        <w:t>ex</w:t>
      </w:r>
      <w:r>
        <w:rPr>
          <w:rFonts w:ascii="Times New Roman" w:hAnsi="Times New Roman" w:cs="Times New Roman"/>
          <w:sz w:val="24"/>
          <w:szCs w:val="24"/>
        </w:rPr>
        <w:t>-</w:t>
      </w:r>
      <w:r w:rsidRPr="00BD4849">
        <w:rPr>
          <w:rFonts w:ascii="Times New Roman" w:hAnsi="Times New Roman" w:cs="Times New Roman"/>
          <w:b/>
          <w:sz w:val="24"/>
          <w:szCs w:val="24"/>
        </w:rPr>
        <w:t>post evaluation of the Satellite and Cable Directive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952EB0" w:rsidRDefault="00952EB0" w:rsidP="00952EB0">
      <w:pPr>
        <w:pStyle w:val="Heading1"/>
        <w:numPr>
          <w:ilvl w:val="0"/>
          <w:numId w:val="1"/>
        </w:numPr>
        <w:spacing w:before="240" w:after="240"/>
        <w:ind w:left="851" w:hanging="851"/>
      </w:pPr>
      <w:bookmarkStart w:id="10" w:name="_Toc461114696"/>
      <w:r>
        <w:t>Objectives and scope of the initiative</w:t>
      </w:r>
      <w:bookmarkEnd w:id="10"/>
    </w:p>
    <w:p w:rsidR="008B5793" w:rsidRDefault="008B5793" w:rsidP="008B5793">
      <w:pPr>
        <w:pStyle w:val="Heading2"/>
        <w:numPr>
          <w:ilvl w:val="1"/>
          <w:numId w:val="1"/>
        </w:numPr>
        <w:spacing w:before="0" w:after="240"/>
        <w:rPr>
          <w:rFonts w:ascii="Times New Roman Bold" w:hAnsi="Times New Roman Bold"/>
          <w:smallCaps/>
        </w:rPr>
      </w:pPr>
      <w:bookmarkStart w:id="11" w:name="_Toc461114697"/>
      <w:r w:rsidRPr="00B443CC">
        <w:rPr>
          <w:rFonts w:ascii="Times New Roman Bold" w:hAnsi="Times New Roman Bold"/>
          <w:smallCaps/>
        </w:rPr>
        <w:t>Objectives</w:t>
      </w:r>
      <w:bookmarkEnd w:id="11"/>
    </w:p>
    <w:p w:rsidR="008B5793" w:rsidRDefault="008B5793" w:rsidP="005D7A30">
      <w:pPr>
        <w:autoSpaceDE w:val="0"/>
        <w:autoSpaceDN w:val="0"/>
        <w:adjustRightInd w:val="0"/>
        <w:spacing w:after="120" w:line="240" w:lineRule="auto"/>
        <w:jc w:val="both"/>
        <w:rPr>
          <w:rFonts w:ascii="Times New Roman" w:eastAsia="Calibri" w:hAnsi="Times New Roman" w:cs="Times New Roman"/>
          <w:sz w:val="24"/>
          <w:szCs w:val="20"/>
          <w:lang w:eastAsia="en-GB"/>
        </w:rPr>
      </w:pPr>
      <w:r w:rsidRPr="003A23A2">
        <w:rPr>
          <w:rFonts w:ascii="Times New Roman" w:eastAsia="Calibri" w:hAnsi="Times New Roman" w:cs="Times New Roman"/>
          <w:sz w:val="24"/>
          <w:szCs w:val="20"/>
          <w:lang w:eastAsia="en-GB"/>
        </w:rPr>
        <w:t xml:space="preserve">The key policy objective of this initiative is to ensure a smooth functioning of EU copyright rules in the Digital Single </w:t>
      </w:r>
      <w:r w:rsidRPr="00252BA3">
        <w:rPr>
          <w:rFonts w:ascii="Times New Roman" w:hAnsi="Times New Roman" w:cs="Times New Roman"/>
          <w:sz w:val="24"/>
        </w:rPr>
        <w:t>Market</w:t>
      </w:r>
      <w:r w:rsidR="00C047FA">
        <w:rPr>
          <w:rFonts w:ascii="Times New Roman" w:hAnsi="Times New Roman" w:cs="Times New Roman"/>
          <w:sz w:val="24"/>
        </w:rPr>
        <w:t xml:space="preserve"> (DSM)</w:t>
      </w:r>
      <w:r w:rsidRPr="003A23A2">
        <w:rPr>
          <w:rFonts w:ascii="Times New Roman" w:eastAsia="Calibri" w:hAnsi="Times New Roman" w:cs="Times New Roman"/>
          <w:sz w:val="24"/>
          <w:szCs w:val="20"/>
          <w:lang w:eastAsia="en-GB"/>
        </w:rPr>
        <w:t xml:space="preserve">. This IA covers a number of different areas within the EU copyright framework </w:t>
      </w:r>
      <w:r w:rsidRPr="005D7A30">
        <w:rPr>
          <w:rFonts w:ascii="Times New Roman" w:hAnsi="Times New Roman" w:cs="Times New Roman"/>
          <w:sz w:val="24"/>
        </w:rPr>
        <w:t>that</w:t>
      </w:r>
      <w:r w:rsidRPr="003A23A2">
        <w:rPr>
          <w:rFonts w:ascii="Times New Roman" w:eastAsia="Calibri" w:hAnsi="Times New Roman" w:cs="Times New Roman"/>
          <w:sz w:val="24"/>
          <w:szCs w:val="20"/>
          <w:lang w:eastAsia="en-GB"/>
        </w:rPr>
        <w:t xml:space="preserve"> are all relevant for the completion of the DSM. </w:t>
      </w:r>
    </w:p>
    <w:p w:rsidR="008B5793" w:rsidRPr="003A23A2" w:rsidRDefault="008B5793" w:rsidP="005D7A30">
      <w:pPr>
        <w:autoSpaceDE w:val="0"/>
        <w:autoSpaceDN w:val="0"/>
        <w:adjustRightInd w:val="0"/>
        <w:spacing w:after="120" w:line="240" w:lineRule="auto"/>
        <w:jc w:val="both"/>
        <w:rPr>
          <w:rFonts w:ascii="Times New Roman" w:eastAsia="Calibri" w:hAnsi="Times New Roman" w:cs="Times New Roman"/>
          <w:sz w:val="24"/>
          <w:szCs w:val="20"/>
          <w:lang w:eastAsia="en-GB"/>
        </w:rPr>
      </w:pPr>
      <w:r w:rsidRPr="003A23A2">
        <w:rPr>
          <w:rFonts w:ascii="Times New Roman" w:eastAsia="Calibri" w:hAnsi="Times New Roman" w:cs="Times New Roman"/>
          <w:sz w:val="24"/>
          <w:szCs w:val="20"/>
          <w:lang w:eastAsia="en-GB"/>
        </w:rPr>
        <w:t>Three general obje</w:t>
      </w:r>
      <w:r>
        <w:rPr>
          <w:rFonts w:ascii="Times New Roman" w:eastAsia="Calibri" w:hAnsi="Times New Roman" w:cs="Times New Roman"/>
          <w:sz w:val="24"/>
          <w:szCs w:val="20"/>
          <w:lang w:eastAsia="en-GB"/>
        </w:rPr>
        <w:t xml:space="preserve">ctives have been identified: (i) </w:t>
      </w:r>
      <w:r w:rsidRPr="003A23A2">
        <w:rPr>
          <w:rFonts w:ascii="Times New Roman" w:eastAsia="Calibri" w:hAnsi="Times New Roman" w:cs="Times New Roman"/>
          <w:sz w:val="24"/>
          <w:szCs w:val="20"/>
          <w:lang w:eastAsia="en-GB"/>
        </w:rPr>
        <w:t xml:space="preserve">allow for wider online access to protected content across the EU, focusing on TV and radio programmes, European audiovisual </w:t>
      </w:r>
      <w:r w:rsidR="00EC2C05">
        <w:rPr>
          <w:rFonts w:ascii="Times New Roman" w:eastAsia="Calibri" w:hAnsi="Times New Roman" w:cs="Times New Roman"/>
          <w:sz w:val="24"/>
          <w:szCs w:val="20"/>
          <w:lang w:eastAsia="en-GB"/>
        </w:rPr>
        <w:t xml:space="preserve">(AV) </w:t>
      </w:r>
      <w:r w:rsidRPr="003A23A2">
        <w:rPr>
          <w:rFonts w:ascii="Times New Roman" w:eastAsia="Calibri" w:hAnsi="Times New Roman" w:cs="Times New Roman"/>
          <w:sz w:val="24"/>
          <w:szCs w:val="20"/>
          <w:lang w:eastAsia="en-GB"/>
        </w:rPr>
        <w:t xml:space="preserve">works and cultural </w:t>
      </w:r>
      <w:r w:rsidRPr="005D7A30">
        <w:rPr>
          <w:rFonts w:ascii="Times New Roman" w:hAnsi="Times New Roman" w:cs="Times New Roman"/>
          <w:sz w:val="24"/>
        </w:rPr>
        <w:t>heritage</w:t>
      </w:r>
      <w:r>
        <w:rPr>
          <w:rFonts w:ascii="Times New Roman" w:eastAsia="Calibri" w:hAnsi="Times New Roman" w:cs="Times New Roman"/>
          <w:sz w:val="24"/>
          <w:szCs w:val="20"/>
          <w:lang w:eastAsia="en-GB"/>
        </w:rPr>
        <w:t xml:space="preserve">; (ii) </w:t>
      </w:r>
      <w:r w:rsidRPr="003A23A2">
        <w:rPr>
          <w:rFonts w:ascii="Times New Roman" w:eastAsia="Calibri" w:hAnsi="Times New Roman" w:cs="Times New Roman"/>
          <w:sz w:val="24"/>
          <w:szCs w:val="20"/>
          <w:lang w:eastAsia="en-GB"/>
        </w:rPr>
        <w:t xml:space="preserve">facilitate digital uses of protected content for education, research and preservation in the single </w:t>
      </w:r>
      <w:r w:rsidRPr="00252BA3">
        <w:rPr>
          <w:rFonts w:ascii="Times New Roman" w:hAnsi="Times New Roman" w:cs="Times New Roman"/>
          <w:sz w:val="24"/>
        </w:rPr>
        <w:t>market</w:t>
      </w:r>
      <w:r w:rsidRPr="003A23A2">
        <w:rPr>
          <w:rFonts w:ascii="Times New Roman" w:eastAsia="Calibri" w:hAnsi="Times New Roman" w:cs="Times New Roman"/>
          <w:sz w:val="24"/>
          <w:szCs w:val="20"/>
          <w:lang w:eastAsia="en-GB"/>
        </w:rPr>
        <w:t xml:space="preserve"> and </w:t>
      </w:r>
      <w:r>
        <w:rPr>
          <w:rFonts w:ascii="Times New Roman" w:eastAsia="Calibri" w:hAnsi="Times New Roman" w:cs="Times New Roman"/>
          <w:sz w:val="24"/>
          <w:szCs w:val="20"/>
          <w:lang w:eastAsia="en-GB"/>
        </w:rPr>
        <w:t>(iii)</w:t>
      </w:r>
      <w:r w:rsidRPr="003A23A2">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 xml:space="preserve">achieving a well-functioning market place for copyright where </w:t>
      </w:r>
      <w:r w:rsidR="00687496">
        <w:rPr>
          <w:rFonts w:ascii="Times New Roman" w:eastAsia="Calibri" w:hAnsi="Times New Roman" w:cs="Times New Roman"/>
          <w:sz w:val="24"/>
          <w:szCs w:val="20"/>
          <w:lang w:eastAsia="en-GB"/>
        </w:rPr>
        <w:t>r</w:t>
      </w:r>
      <w:r w:rsidR="00007677">
        <w:rPr>
          <w:rFonts w:ascii="Times New Roman" w:eastAsia="Calibri" w:hAnsi="Times New Roman" w:cs="Times New Roman"/>
          <w:sz w:val="24"/>
          <w:szCs w:val="20"/>
          <w:lang w:eastAsia="en-GB"/>
        </w:rPr>
        <w:t>ightholders</w:t>
      </w:r>
      <w:r>
        <w:rPr>
          <w:rFonts w:ascii="Times New Roman" w:eastAsia="Calibri" w:hAnsi="Times New Roman" w:cs="Times New Roman"/>
          <w:sz w:val="24"/>
          <w:szCs w:val="20"/>
          <w:lang w:eastAsia="en-GB"/>
        </w:rPr>
        <w:t xml:space="preserve"> can set licensing terms and negotiate on a fair basis with those distributing their content (notably as regards new forms of content distribution).</w:t>
      </w:r>
    </w:p>
    <w:p w:rsidR="008B5793" w:rsidRPr="005D7A30" w:rsidRDefault="008B5793" w:rsidP="005D7A30">
      <w:pPr>
        <w:autoSpaceDE w:val="0"/>
        <w:autoSpaceDN w:val="0"/>
        <w:adjustRightInd w:val="0"/>
        <w:spacing w:after="120" w:line="240" w:lineRule="auto"/>
        <w:jc w:val="both"/>
        <w:rPr>
          <w:rFonts w:ascii="Times New Roman" w:eastAsia="Calibri" w:hAnsi="Times New Roman" w:cs="Times New Roman"/>
          <w:sz w:val="24"/>
          <w:szCs w:val="20"/>
          <w:lang w:eastAsia="en-GB"/>
        </w:rPr>
      </w:pPr>
      <w:r w:rsidRPr="005D7A30">
        <w:rPr>
          <w:rFonts w:ascii="Times New Roman" w:eastAsia="Calibri" w:hAnsi="Times New Roman" w:cs="Times New Roman"/>
          <w:sz w:val="24"/>
          <w:szCs w:val="20"/>
          <w:lang w:eastAsia="en-GB"/>
        </w:rPr>
        <w:t>The initiative aims at addressing copyright-related obstacles to meet those general objectives. The specific objectives of the initiative are described within each section of the IA.</w:t>
      </w:r>
    </w:p>
    <w:p w:rsidR="008B5793" w:rsidRDefault="008B5793" w:rsidP="008B5793">
      <w:pPr>
        <w:pStyle w:val="Heading2"/>
        <w:numPr>
          <w:ilvl w:val="1"/>
          <w:numId w:val="1"/>
        </w:numPr>
        <w:spacing w:before="0" w:after="240"/>
        <w:rPr>
          <w:rFonts w:ascii="Times New Roman Bold" w:hAnsi="Times New Roman Bold"/>
          <w:smallCaps/>
        </w:rPr>
      </w:pPr>
      <w:bookmarkStart w:id="12" w:name="_Toc461114698"/>
      <w:r w:rsidRPr="00B443CC">
        <w:rPr>
          <w:rFonts w:ascii="Times New Roman Bold" w:hAnsi="Times New Roman Bold"/>
          <w:smallCaps/>
        </w:rPr>
        <w:t>Scope</w:t>
      </w:r>
      <w:bookmarkEnd w:id="12"/>
    </w:p>
    <w:p w:rsidR="008B5793" w:rsidRDefault="008B5793" w:rsidP="005D7A30">
      <w:pPr>
        <w:autoSpaceDE w:val="0"/>
        <w:autoSpaceDN w:val="0"/>
        <w:adjustRightInd w:val="0"/>
        <w:spacing w:after="120" w:line="240" w:lineRule="auto"/>
        <w:jc w:val="both"/>
        <w:rPr>
          <w:rFonts w:ascii="Times New Roman" w:eastAsia="Calibri" w:hAnsi="Times New Roman" w:cs="Times New Roman"/>
          <w:sz w:val="24"/>
          <w:szCs w:val="20"/>
          <w:lang w:eastAsia="en-GB"/>
        </w:rPr>
      </w:pPr>
      <w:r>
        <w:rPr>
          <w:rFonts w:ascii="Times New Roman" w:hAnsi="Times New Roman"/>
          <w:sz w:val="24"/>
          <w:szCs w:val="20"/>
          <w:lang w:eastAsia="en-GB"/>
        </w:rPr>
        <w:t xml:space="preserve">This IA </w:t>
      </w:r>
      <w:r w:rsidRPr="006B521D">
        <w:rPr>
          <w:rFonts w:ascii="Times New Roman" w:eastAsia="Calibri" w:hAnsi="Times New Roman" w:cs="Times New Roman"/>
          <w:sz w:val="24"/>
          <w:szCs w:val="20"/>
          <w:lang w:eastAsia="en-GB"/>
        </w:rPr>
        <w:t xml:space="preserve">considers </w:t>
      </w:r>
      <w:r>
        <w:rPr>
          <w:rFonts w:ascii="Times New Roman" w:eastAsia="Calibri" w:hAnsi="Times New Roman" w:cs="Times New Roman"/>
          <w:sz w:val="24"/>
          <w:szCs w:val="20"/>
          <w:lang w:eastAsia="en-GB"/>
        </w:rPr>
        <w:t xml:space="preserve">adjusting existing rules or introducing new rules in three distinct areas: </w:t>
      </w:r>
    </w:p>
    <w:p w:rsidR="008B5793" w:rsidRDefault="008B5793" w:rsidP="008B5793">
      <w:pPr>
        <w:spacing w:after="0" w:line="240" w:lineRule="auto"/>
        <w:jc w:val="both"/>
        <w:rPr>
          <w:rFonts w:ascii="Times New Roman" w:hAnsi="Times New Roman"/>
          <w:sz w:val="24"/>
          <w:szCs w:val="20"/>
          <w:lang w:eastAsia="en-GB"/>
        </w:rPr>
      </w:pPr>
      <w:r>
        <w:rPr>
          <w:rFonts w:ascii="Times New Roman" w:hAnsi="Times New Roman"/>
          <w:sz w:val="24"/>
          <w:szCs w:val="20"/>
          <w:lang w:eastAsia="en-GB"/>
        </w:rPr>
        <w:t>(i) access to content online;</w:t>
      </w:r>
    </w:p>
    <w:p w:rsidR="008B5793" w:rsidRDefault="008B5793" w:rsidP="008B5793">
      <w:pPr>
        <w:spacing w:after="0" w:line="240" w:lineRule="auto"/>
        <w:jc w:val="both"/>
        <w:rPr>
          <w:rFonts w:ascii="Times New Roman" w:hAnsi="Times New Roman"/>
          <w:sz w:val="24"/>
          <w:szCs w:val="20"/>
          <w:lang w:eastAsia="en-GB"/>
        </w:rPr>
      </w:pPr>
      <w:r>
        <w:rPr>
          <w:rFonts w:ascii="Times New Roman" w:hAnsi="Times New Roman"/>
          <w:sz w:val="24"/>
          <w:szCs w:val="20"/>
          <w:lang w:eastAsia="en-GB"/>
        </w:rPr>
        <w:t xml:space="preserve">(ii) the functioning of key exceptions in the digital and cross-border environment; and </w:t>
      </w:r>
    </w:p>
    <w:p w:rsidR="008B5793" w:rsidRDefault="008B5793" w:rsidP="008B5793">
      <w:pPr>
        <w:spacing w:line="240" w:lineRule="auto"/>
        <w:jc w:val="both"/>
        <w:rPr>
          <w:rFonts w:ascii="Times New Roman" w:hAnsi="Times New Roman"/>
          <w:sz w:val="24"/>
          <w:szCs w:val="20"/>
          <w:lang w:eastAsia="en-GB"/>
        </w:rPr>
      </w:pPr>
      <w:r>
        <w:rPr>
          <w:rFonts w:ascii="Times New Roman" w:hAnsi="Times New Roman"/>
          <w:sz w:val="24"/>
          <w:szCs w:val="20"/>
          <w:lang w:eastAsia="en-GB"/>
        </w:rPr>
        <w:t xml:space="preserve">(iii) the functioning of the copyright marketplace. </w:t>
      </w:r>
    </w:p>
    <w:p w:rsidR="008B5793" w:rsidRPr="00D8762E" w:rsidRDefault="008B5793" w:rsidP="005D7A30">
      <w:pPr>
        <w:autoSpaceDE w:val="0"/>
        <w:autoSpaceDN w:val="0"/>
        <w:adjustRightInd w:val="0"/>
        <w:spacing w:after="120" w:line="240" w:lineRule="auto"/>
        <w:jc w:val="both"/>
        <w:rPr>
          <w:rFonts w:ascii="Times New Roman" w:hAnsi="Times New Roman"/>
          <w:sz w:val="24"/>
          <w:szCs w:val="20"/>
          <w:highlight w:val="cyan"/>
          <w:lang w:eastAsia="en-GB"/>
        </w:rPr>
      </w:pPr>
      <w:r w:rsidRPr="006B521D">
        <w:rPr>
          <w:rFonts w:ascii="Times New Roman" w:hAnsi="Times New Roman"/>
          <w:sz w:val="24"/>
          <w:szCs w:val="20"/>
          <w:lang w:eastAsia="en-GB"/>
        </w:rPr>
        <w:t>These three areas have been identified in the Communication of December 2015</w:t>
      </w:r>
      <w:r>
        <w:rPr>
          <w:rFonts w:ascii="Times New Roman" w:hAnsi="Times New Roman"/>
          <w:sz w:val="24"/>
          <w:szCs w:val="20"/>
          <w:lang w:eastAsia="en-GB"/>
        </w:rPr>
        <w:t>, together wit</w:t>
      </w:r>
      <w:r w:rsidRPr="00243B0B">
        <w:rPr>
          <w:rFonts w:ascii="Times New Roman" w:hAnsi="Times New Roman"/>
          <w:sz w:val="24"/>
          <w:szCs w:val="20"/>
          <w:lang w:eastAsia="en-GB"/>
        </w:rPr>
        <w:t xml:space="preserve">h </w:t>
      </w:r>
      <w:r w:rsidRPr="00D8762E">
        <w:rPr>
          <w:rFonts w:ascii="Times New Roman" w:hAnsi="Times New Roman"/>
          <w:sz w:val="24"/>
          <w:szCs w:val="20"/>
          <w:lang w:eastAsia="en-GB"/>
        </w:rPr>
        <w:t xml:space="preserve">actions on the enforcement of IP rights, which are not part of the initiatives considered on this IA but for which specific initiatives are being considered separately. </w:t>
      </w:r>
      <w:r w:rsidRPr="00243B0B">
        <w:rPr>
          <w:rFonts w:ascii="Times New Roman" w:hAnsi="Times New Roman"/>
          <w:sz w:val="24"/>
          <w:szCs w:val="20"/>
          <w:lang w:eastAsia="en-GB"/>
        </w:rPr>
        <w:t>This</w:t>
      </w:r>
      <w:r>
        <w:rPr>
          <w:rFonts w:ascii="Times New Roman" w:hAnsi="Times New Roman"/>
          <w:sz w:val="24"/>
          <w:szCs w:val="20"/>
          <w:lang w:eastAsia="en-GB"/>
        </w:rPr>
        <w:t xml:space="preserve"> IA focuses on the </w:t>
      </w:r>
      <w:r w:rsidRPr="00B91221">
        <w:rPr>
          <w:rFonts w:ascii="Times New Roman" w:hAnsi="Times New Roman"/>
          <w:sz w:val="24"/>
          <w:szCs w:val="20"/>
          <w:lang w:eastAsia="en-GB"/>
        </w:rPr>
        <w:t>targeted actions identified in the Communication within these three areas:</w:t>
      </w:r>
      <w:r w:rsidRPr="00A51A37">
        <w:rPr>
          <w:rFonts w:ascii="Times New Roman" w:hAnsi="Times New Roman"/>
          <w:sz w:val="24"/>
          <w:szCs w:val="20"/>
          <w:lang w:eastAsia="en-GB"/>
        </w:rPr>
        <w:t xml:space="preserve"> </w:t>
      </w:r>
    </w:p>
    <w:p w:rsidR="008B5793" w:rsidRPr="00B91221" w:rsidRDefault="008B5793" w:rsidP="007D6CF3">
      <w:pPr>
        <w:pStyle w:val="Text1"/>
        <w:numPr>
          <w:ilvl w:val="0"/>
          <w:numId w:val="37"/>
        </w:numPr>
        <w:ind w:left="426" w:hanging="426"/>
        <w:rPr>
          <w:szCs w:val="24"/>
        </w:rPr>
      </w:pPr>
      <w:r w:rsidRPr="00B91221">
        <w:rPr>
          <w:szCs w:val="24"/>
        </w:rPr>
        <w:lastRenderedPageBreak/>
        <w:t xml:space="preserve">On </w:t>
      </w:r>
      <w:r w:rsidRPr="00B91221">
        <w:rPr>
          <w:b/>
          <w:szCs w:val="24"/>
        </w:rPr>
        <w:t>access to content</w:t>
      </w:r>
      <w:r w:rsidRPr="00B91221">
        <w:rPr>
          <w:szCs w:val="24"/>
        </w:rPr>
        <w:t xml:space="preserve">, the Commission proposed </w:t>
      </w:r>
      <w:r>
        <w:rPr>
          <w:szCs w:val="24"/>
        </w:rPr>
        <w:t xml:space="preserve">in the above mentioned Communication </w:t>
      </w:r>
      <w:r w:rsidRPr="00B91221">
        <w:rPr>
          <w:szCs w:val="24"/>
        </w:rPr>
        <w:t>"</w:t>
      </w:r>
      <w:r w:rsidRPr="00B91221">
        <w:rPr>
          <w:i/>
          <w:szCs w:val="24"/>
        </w:rPr>
        <w:t>a gradual approach to removing obstacles to cross-border access to content and to the circulation of works</w:t>
      </w:r>
      <w:r w:rsidRPr="00B91221">
        <w:rPr>
          <w:szCs w:val="24"/>
        </w:rPr>
        <w:t xml:space="preserve">". The proposal for a regulation on portability constituted a first important step in this direction. This IA concentrates on further actions in relation to the </w:t>
      </w:r>
      <w:r w:rsidRPr="00B91221">
        <w:rPr>
          <w:szCs w:val="24"/>
          <w:u w:val="single"/>
        </w:rPr>
        <w:t>cross-border distribution of TV</w:t>
      </w:r>
      <w:r w:rsidR="00002B51">
        <w:rPr>
          <w:szCs w:val="24"/>
          <w:u w:val="single"/>
        </w:rPr>
        <w:t xml:space="preserve"> (Traditional Television)</w:t>
      </w:r>
      <w:r w:rsidRPr="00B91221">
        <w:rPr>
          <w:szCs w:val="24"/>
          <w:u w:val="single"/>
        </w:rPr>
        <w:t xml:space="preserve"> and radio programmes online,</w:t>
      </w:r>
      <w:r w:rsidRPr="00B91221">
        <w:rPr>
          <w:szCs w:val="24"/>
        </w:rPr>
        <w:t xml:space="preserve"> the </w:t>
      </w:r>
      <w:r w:rsidRPr="00B91221">
        <w:rPr>
          <w:szCs w:val="24"/>
          <w:u w:val="single"/>
        </w:rPr>
        <w:t xml:space="preserve">licensing of European </w:t>
      </w:r>
      <w:r w:rsidR="00EC2C05">
        <w:rPr>
          <w:szCs w:val="24"/>
          <w:u w:val="single"/>
        </w:rPr>
        <w:t>AV</w:t>
      </w:r>
      <w:r w:rsidRPr="00B91221">
        <w:rPr>
          <w:szCs w:val="24"/>
          <w:u w:val="single"/>
        </w:rPr>
        <w:t xml:space="preserve"> works</w:t>
      </w:r>
      <w:r w:rsidRPr="00B91221">
        <w:rPr>
          <w:szCs w:val="24"/>
        </w:rPr>
        <w:t xml:space="preserve"> and the </w:t>
      </w:r>
      <w:r w:rsidRPr="00B91221">
        <w:rPr>
          <w:szCs w:val="24"/>
          <w:u w:val="single"/>
        </w:rPr>
        <w:t>digitisation and making available of out-of-commerce works</w:t>
      </w:r>
      <w:r w:rsidRPr="00B91221">
        <w:rPr>
          <w:szCs w:val="24"/>
        </w:rPr>
        <w:t xml:space="preserve">. </w:t>
      </w:r>
      <w:r>
        <w:rPr>
          <w:szCs w:val="24"/>
        </w:rPr>
        <w:t xml:space="preserve">As indicated in the Communication of December 2015, </w:t>
      </w:r>
      <w:r w:rsidRPr="00D8762E">
        <w:rPr>
          <w:szCs w:val="24"/>
        </w:rPr>
        <w:t>accompanying measures aimed at ensuring a wider access to creative content online will be proposed in the context of the 'Creative Europe' programme</w:t>
      </w:r>
      <w:r>
        <w:rPr>
          <w:szCs w:val="24"/>
        </w:rPr>
        <w:t xml:space="preserve"> and are therefore not covered by this IA</w:t>
      </w:r>
      <w:r w:rsidRPr="00D8762E">
        <w:rPr>
          <w:szCs w:val="24"/>
        </w:rPr>
        <w:t>.</w:t>
      </w:r>
      <w:r w:rsidRPr="00B91221">
        <w:rPr>
          <w:szCs w:val="24"/>
        </w:rPr>
        <w:t xml:space="preserve"> </w:t>
      </w:r>
    </w:p>
    <w:p w:rsidR="008B5793" w:rsidRPr="001F36A0" w:rsidRDefault="008B5793" w:rsidP="001F36A0">
      <w:pPr>
        <w:pStyle w:val="Text1"/>
        <w:numPr>
          <w:ilvl w:val="0"/>
          <w:numId w:val="37"/>
        </w:numPr>
        <w:ind w:left="426" w:hanging="426"/>
        <w:rPr>
          <w:szCs w:val="24"/>
        </w:rPr>
      </w:pPr>
      <w:r>
        <w:rPr>
          <w:szCs w:val="24"/>
        </w:rPr>
        <w:t xml:space="preserve">In relation to </w:t>
      </w:r>
      <w:r w:rsidRPr="00070F6E">
        <w:rPr>
          <w:b/>
          <w:szCs w:val="24"/>
        </w:rPr>
        <w:t>exceptions</w:t>
      </w:r>
      <w:r>
        <w:rPr>
          <w:szCs w:val="24"/>
        </w:rPr>
        <w:t>, this IA looks into the exceptions</w:t>
      </w:r>
      <w:r w:rsidRPr="00F849BA">
        <w:rPr>
          <w:szCs w:val="24"/>
        </w:rPr>
        <w:t xml:space="preserve"> which are relevant for access to kn</w:t>
      </w:r>
      <w:r>
        <w:rPr>
          <w:szCs w:val="24"/>
        </w:rPr>
        <w:t xml:space="preserve">owledge, education and research, which have been </w:t>
      </w:r>
      <w:r>
        <w:rPr>
          <w:rFonts w:cs="Arial"/>
          <w:szCs w:val="24"/>
        </w:rPr>
        <w:t>substantially affected by technological developments</w:t>
      </w:r>
      <w:r>
        <w:rPr>
          <w:szCs w:val="24"/>
        </w:rPr>
        <w:t xml:space="preserve"> and have a cross-border dimension. It </w:t>
      </w:r>
      <w:r w:rsidRPr="00B91221">
        <w:rPr>
          <w:szCs w:val="24"/>
        </w:rPr>
        <w:t xml:space="preserve">examines whether new exceptions are required </w:t>
      </w:r>
      <w:r>
        <w:rPr>
          <w:szCs w:val="24"/>
        </w:rPr>
        <w:t xml:space="preserve">in EU rules </w:t>
      </w:r>
      <w:r w:rsidRPr="00B91221">
        <w:rPr>
          <w:szCs w:val="24"/>
        </w:rPr>
        <w:t xml:space="preserve">to cover </w:t>
      </w:r>
      <w:r w:rsidRPr="00B91221">
        <w:rPr>
          <w:szCs w:val="24"/>
          <w:u w:val="single"/>
        </w:rPr>
        <w:t>digital uses in teaching activities</w:t>
      </w:r>
      <w:r w:rsidRPr="00B91221">
        <w:rPr>
          <w:szCs w:val="24"/>
        </w:rPr>
        <w:t xml:space="preserve">, </w:t>
      </w:r>
      <w:r w:rsidRPr="00B91221">
        <w:rPr>
          <w:szCs w:val="24"/>
          <w:u w:val="single"/>
        </w:rPr>
        <w:t>text and data mining</w:t>
      </w:r>
      <w:r w:rsidRPr="00B91221">
        <w:rPr>
          <w:szCs w:val="24"/>
        </w:rPr>
        <w:t xml:space="preserve"> and </w:t>
      </w:r>
      <w:r w:rsidRPr="00B91221">
        <w:rPr>
          <w:szCs w:val="24"/>
          <w:u w:val="single"/>
        </w:rPr>
        <w:t>preservation activities by cultural heritage institutions</w:t>
      </w:r>
      <w:r w:rsidR="001F36A0">
        <w:rPr>
          <w:szCs w:val="24"/>
          <w:u w:val="single"/>
        </w:rPr>
        <w:t xml:space="preserve"> </w:t>
      </w:r>
      <w:r w:rsidR="001F36A0">
        <w:rPr>
          <w:szCs w:val="24"/>
        </w:rPr>
        <w:t>(</w:t>
      </w:r>
      <w:r w:rsidR="001F36A0">
        <w:rPr>
          <w:bCs/>
          <w:szCs w:val="24"/>
        </w:rPr>
        <w:t xml:space="preserve">i.e. </w:t>
      </w:r>
      <w:r w:rsidR="001F36A0" w:rsidRPr="000033FD">
        <w:rPr>
          <w:color w:val="000000"/>
          <w:szCs w:val="24"/>
        </w:rPr>
        <w:t>publicly accessible libraries, educational establishments and museums, as well as archives and film or audio heritage institutions</w:t>
      </w:r>
      <w:r w:rsidR="001F36A0">
        <w:rPr>
          <w:szCs w:val="24"/>
        </w:rPr>
        <w:t>)</w:t>
      </w:r>
      <w:r w:rsidRPr="001F36A0">
        <w:rPr>
          <w:szCs w:val="24"/>
        </w:rPr>
        <w:t>. Legislative measures are also being considered to introduce a new exception allowing people with print disabilities to access books and other print material in formats that are accessible to them. They are not considered in this IA as they relate to the implementation of EU international obligations (Marrakesh Treaty</w:t>
      </w:r>
      <w:r w:rsidRPr="00D8238E">
        <w:rPr>
          <w:rStyle w:val="FootnoteReference"/>
          <w:szCs w:val="24"/>
        </w:rPr>
        <w:footnoteReference w:id="21"/>
      </w:r>
      <w:r w:rsidRPr="001F36A0">
        <w:rPr>
          <w:szCs w:val="24"/>
        </w:rPr>
        <w:t xml:space="preserve">). </w:t>
      </w:r>
    </w:p>
    <w:p w:rsidR="008B5793" w:rsidRPr="00A51A37" w:rsidRDefault="008B5793" w:rsidP="007D6CF3">
      <w:pPr>
        <w:pStyle w:val="Text1"/>
        <w:numPr>
          <w:ilvl w:val="0"/>
          <w:numId w:val="37"/>
        </w:numPr>
        <w:ind w:left="426" w:hanging="426"/>
        <w:rPr>
          <w:szCs w:val="24"/>
        </w:rPr>
      </w:pPr>
      <w:r w:rsidRPr="00070F6E">
        <w:rPr>
          <w:szCs w:val="24"/>
        </w:rPr>
        <w:t xml:space="preserve">On the </w:t>
      </w:r>
      <w:r w:rsidR="00252BA3" w:rsidRPr="008012CB">
        <w:rPr>
          <w:b/>
          <w:szCs w:val="24"/>
        </w:rPr>
        <w:t>functioning copyright market place</w:t>
      </w:r>
      <w:r w:rsidR="00252BA3" w:rsidRPr="008012CB">
        <w:rPr>
          <w:szCs w:val="24"/>
        </w:rPr>
        <w:t>, the IA concentrates on issues related to the distribution of value in the online copyright value chain, thus responding to the objective stated</w:t>
      </w:r>
      <w:r w:rsidR="00EB0F8D" w:rsidRPr="008012CB">
        <w:rPr>
          <w:szCs w:val="24"/>
        </w:rPr>
        <w:t xml:space="preserve"> in section 4 "achieving a well</w:t>
      </w:r>
      <w:r w:rsidR="00252BA3" w:rsidRPr="008012CB">
        <w:rPr>
          <w:szCs w:val="24"/>
        </w:rPr>
        <w:t xml:space="preserve">-functioning market place for copyright" of the Communication of December 2015. The IA addresses problems faced "upstream" by </w:t>
      </w:r>
      <w:r w:rsidR="00687496">
        <w:rPr>
          <w:szCs w:val="24"/>
        </w:rPr>
        <w:t>r</w:t>
      </w:r>
      <w:r w:rsidR="00007677">
        <w:rPr>
          <w:szCs w:val="24"/>
        </w:rPr>
        <w:t>ightholders</w:t>
      </w:r>
      <w:r w:rsidR="00EB0F8D" w:rsidRPr="008012CB">
        <w:rPr>
          <w:szCs w:val="24"/>
        </w:rPr>
        <w:t xml:space="preserve"> when trying to licens</w:t>
      </w:r>
      <w:r w:rsidR="00252BA3" w:rsidRPr="008012CB">
        <w:rPr>
          <w:szCs w:val="24"/>
        </w:rPr>
        <w:t>e their content to online service providers (use of protected content by online service providers storing and giving access to user uploaded content and rights in publications) and those faced "downstream" by creators when negotiating contracts for the exploitation of their works (fair remuneration in contracts of authors and performers).</w:t>
      </w:r>
      <w:r>
        <w:rPr>
          <w:szCs w:val="24"/>
        </w:rPr>
        <w:t xml:space="preserve"> </w:t>
      </w:r>
    </w:p>
    <w:p w:rsidR="0032552E" w:rsidRPr="009E1150" w:rsidRDefault="00831409" w:rsidP="00CE35F9">
      <w:pPr>
        <w:pStyle w:val="Heading1"/>
        <w:numPr>
          <w:ilvl w:val="0"/>
          <w:numId w:val="1"/>
        </w:numPr>
        <w:spacing w:before="240" w:after="240"/>
        <w:ind w:left="851" w:hanging="851"/>
      </w:pPr>
      <w:bookmarkStart w:id="13" w:name="_Toc461114699"/>
      <w:r>
        <w:t xml:space="preserve">Ensuring </w:t>
      </w:r>
      <w:r w:rsidRPr="00404843">
        <w:t>wider</w:t>
      </w:r>
      <w:r>
        <w:t xml:space="preserve"> access to content</w:t>
      </w:r>
      <w:bookmarkEnd w:id="13"/>
    </w:p>
    <w:p w:rsidR="0032552E" w:rsidRPr="009E1150" w:rsidRDefault="0032552E" w:rsidP="00CE35F9">
      <w:pPr>
        <w:pStyle w:val="Heading2"/>
        <w:numPr>
          <w:ilvl w:val="1"/>
          <w:numId w:val="1"/>
        </w:numPr>
        <w:spacing w:before="0" w:after="240"/>
        <w:rPr>
          <w:rFonts w:ascii="Times New Roman Bold" w:hAnsi="Times New Roman Bold"/>
          <w:smallCaps/>
        </w:rPr>
      </w:pPr>
      <w:bookmarkStart w:id="14" w:name="_Toc461114700"/>
      <w:r w:rsidRPr="009E1150">
        <w:rPr>
          <w:rFonts w:ascii="Times New Roman Bold" w:hAnsi="Times New Roman Bold"/>
          <w:smallCaps/>
        </w:rPr>
        <w:t>Introduction</w:t>
      </w:r>
      <w:bookmarkEnd w:id="14"/>
    </w:p>
    <w:p w:rsidR="005B3A4B" w:rsidRDefault="0032552E" w:rsidP="00CF38F1">
      <w:pPr>
        <w:pStyle w:val="Heading3"/>
      </w:pPr>
      <w:bookmarkStart w:id="15" w:name="_Toc461114701"/>
      <w:r w:rsidRPr="00251316">
        <w:t>Background</w:t>
      </w:r>
      <w:bookmarkEnd w:id="15"/>
    </w:p>
    <w:p w:rsidR="00E65360" w:rsidRDefault="005B3A4B" w:rsidP="005D7A30">
      <w:pPr>
        <w:autoSpaceDE w:val="0"/>
        <w:autoSpaceDN w:val="0"/>
        <w:adjustRightInd w:val="0"/>
        <w:spacing w:after="120" w:line="240" w:lineRule="auto"/>
        <w:jc w:val="both"/>
        <w:rPr>
          <w:rFonts w:ascii="Times New Roman" w:hAnsi="Times New Roman"/>
          <w:bCs/>
          <w:noProof/>
          <w:sz w:val="24"/>
          <w:szCs w:val="24"/>
          <w:lang w:eastAsia="en-GB"/>
        </w:rPr>
      </w:pPr>
      <w:r w:rsidRPr="00252BA3">
        <w:rPr>
          <w:rFonts w:ascii="Times New Roman" w:eastAsia="Calibri" w:hAnsi="Times New Roman" w:cs="Times New Roman"/>
          <w:sz w:val="24"/>
          <w:szCs w:val="20"/>
          <w:lang w:eastAsia="en-GB"/>
        </w:rPr>
        <w:t>Digital</w:t>
      </w:r>
      <w:r>
        <w:rPr>
          <w:rFonts w:ascii="Times New Roman" w:hAnsi="Times New Roman" w:cs="Times New Roman"/>
          <w:sz w:val="24"/>
          <w:szCs w:val="24"/>
          <w:lang w:eastAsia="en-GB"/>
        </w:rPr>
        <w:t xml:space="preserve"> technologies have facilitated </w:t>
      </w:r>
      <w:r w:rsidR="0067541F">
        <w:rPr>
          <w:rFonts w:ascii="Times New Roman" w:hAnsi="Times New Roman" w:cs="Times New Roman"/>
          <w:sz w:val="24"/>
          <w:szCs w:val="24"/>
          <w:lang w:eastAsia="en-GB"/>
        </w:rPr>
        <w:t xml:space="preserve">the distribution of and </w:t>
      </w:r>
      <w:r>
        <w:rPr>
          <w:rFonts w:ascii="Times New Roman" w:hAnsi="Times New Roman" w:cs="Times New Roman"/>
          <w:sz w:val="24"/>
          <w:szCs w:val="24"/>
          <w:lang w:eastAsia="en-GB"/>
        </w:rPr>
        <w:t xml:space="preserve">access to copyright-protected content, with </w:t>
      </w:r>
      <w:r w:rsidR="0067541F">
        <w:rPr>
          <w:rFonts w:ascii="Times New Roman" w:hAnsi="Times New Roman" w:cs="Times New Roman"/>
          <w:sz w:val="24"/>
          <w:szCs w:val="24"/>
          <w:lang w:eastAsia="en-GB"/>
        </w:rPr>
        <w:t>49</w:t>
      </w:r>
      <w:r w:rsidR="000B17FD">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of EU citizens </w:t>
      </w:r>
      <w:r w:rsidR="0067541F">
        <w:rPr>
          <w:rFonts w:ascii="Times New Roman" w:hAnsi="Times New Roman" w:cs="Times New Roman"/>
          <w:sz w:val="24"/>
          <w:szCs w:val="24"/>
          <w:lang w:eastAsia="en-GB"/>
        </w:rPr>
        <w:t xml:space="preserve">accessing music or </w:t>
      </w:r>
      <w:r w:rsidR="00E72A2F">
        <w:rPr>
          <w:rFonts w:ascii="Times New Roman" w:hAnsi="Times New Roman" w:cs="Times New Roman"/>
          <w:sz w:val="24"/>
          <w:szCs w:val="24"/>
          <w:lang w:eastAsia="en-GB"/>
        </w:rPr>
        <w:t xml:space="preserve">AV </w:t>
      </w:r>
      <w:r w:rsidR="0067541F">
        <w:rPr>
          <w:rFonts w:ascii="Times New Roman" w:hAnsi="Times New Roman" w:cs="Times New Roman"/>
          <w:sz w:val="24"/>
          <w:szCs w:val="24"/>
          <w:lang w:eastAsia="en-GB"/>
        </w:rPr>
        <w:t>content online.</w:t>
      </w:r>
      <w:r w:rsidR="00A44C38">
        <w:rPr>
          <w:rStyle w:val="FootnoteReference"/>
          <w:rFonts w:ascii="Times New Roman" w:hAnsi="Times New Roman" w:cs="Times New Roman"/>
          <w:sz w:val="24"/>
          <w:szCs w:val="24"/>
          <w:lang w:eastAsia="en-GB"/>
        </w:rPr>
        <w:footnoteReference w:id="22"/>
      </w:r>
      <w:r w:rsidR="0067541F">
        <w:rPr>
          <w:rFonts w:ascii="Times New Roman" w:hAnsi="Times New Roman" w:cs="Times New Roman"/>
          <w:sz w:val="24"/>
          <w:szCs w:val="24"/>
          <w:lang w:eastAsia="en-GB"/>
        </w:rPr>
        <w:t xml:space="preserve"> </w:t>
      </w:r>
      <w:r w:rsidR="00857F56">
        <w:rPr>
          <w:rFonts w:ascii="Times New Roman" w:hAnsi="Times New Roman" w:cs="Times New Roman"/>
          <w:sz w:val="24"/>
          <w:szCs w:val="24"/>
          <w:lang w:eastAsia="en-GB"/>
        </w:rPr>
        <w:t xml:space="preserve">The Internet </w:t>
      </w:r>
      <w:r w:rsidR="00AA364E">
        <w:rPr>
          <w:rFonts w:ascii="Times New Roman" w:hAnsi="Times New Roman" w:cs="Times New Roman"/>
          <w:sz w:val="24"/>
          <w:szCs w:val="24"/>
          <w:lang w:eastAsia="en-GB"/>
        </w:rPr>
        <w:t xml:space="preserve">has </w:t>
      </w:r>
      <w:r w:rsidR="00857F56">
        <w:rPr>
          <w:rFonts w:ascii="Times New Roman" w:hAnsi="Times New Roman" w:cs="Times New Roman"/>
          <w:sz w:val="24"/>
          <w:szCs w:val="24"/>
          <w:lang w:eastAsia="en-GB"/>
        </w:rPr>
        <w:t xml:space="preserve">favoured the entry of new market players </w:t>
      </w:r>
      <w:r w:rsidR="00AA364E">
        <w:rPr>
          <w:rFonts w:ascii="Times New Roman" w:hAnsi="Times New Roman" w:cs="Times New Roman"/>
          <w:sz w:val="24"/>
          <w:szCs w:val="24"/>
          <w:lang w:eastAsia="en-GB"/>
        </w:rPr>
        <w:t xml:space="preserve">and the development of new services </w:t>
      </w:r>
      <w:r w:rsidR="0029392A">
        <w:rPr>
          <w:rFonts w:ascii="Times New Roman" w:hAnsi="Times New Roman" w:cs="Times New Roman"/>
          <w:sz w:val="24"/>
          <w:szCs w:val="24"/>
          <w:lang w:eastAsia="en-GB"/>
        </w:rPr>
        <w:t>(e.g. music streaming services, V</w:t>
      </w:r>
      <w:r w:rsidR="00F3076F">
        <w:rPr>
          <w:rFonts w:ascii="Times New Roman" w:hAnsi="Times New Roman" w:cs="Times New Roman"/>
          <w:sz w:val="24"/>
          <w:szCs w:val="24"/>
          <w:lang w:eastAsia="en-GB"/>
        </w:rPr>
        <w:t xml:space="preserve">ideo on Demand – VoD - </w:t>
      </w:r>
      <w:r w:rsidR="0029392A">
        <w:rPr>
          <w:rFonts w:ascii="Times New Roman" w:hAnsi="Times New Roman" w:cs="Times New Roman"/>
          <w:sz w:val="24"/>
          <w:szCs w:val="24"/>
          <w:lang w:eastAsia="en-GB"/>
        </w:rPr>
        <w:t>platforms, etc</w:t>
      </w:r>
      <w:r w:rsidR="00020E60">
        <w:rPr>
          <w:rFonts w:ascii="Times New Roman" w:hAnsi="Times New Roman" w:cs="Times New Roman"/>
          <w:sz w:val="24"/>
          <w:szCs w:val="24"/>
          <w:lang w:eastAsia="en-GB"/>
        </w:rPr>
        <w:t>.</w:t>
      </w:r>
      <w:r w:rsidR="0029392A">
        <w:rPr>
          <w:rFonts w:ascii="Times New Roman" w:hAnsi="Times New Roman" w:cs="Times New Roman"/>
          <w:sz w:val="24"/>
          <w:szCs w:val="24"/>
          <w:lang w:eastAsia="en-GB"/>
        </w:rPr>
        <w:t xml:space="preserve">) </w:t>
      </w:r>
      <w:r w:rsidR="00AA364E">
        <w:rPr>
          <w:rFonts w:ascii="Times New Roman" w:hAnsi="Times New Roman" w:cs="Times New Roman"/>
          <w:sz w:val="24"/>
          <w:szCs w:val="24"/>
          <w:lang w:eastAsia="en-GB"/>
        </w:rPr>
        <w:t>providing access to a</w:t>
      </w:r>
      <w:r w:rsidR="00857F56">
        <w:rPr>
          <w:rFonts w:ascii="Times New Roman" w:hAnsi="Times New Roman" w:cs="Times New Roman"/>
          <w:sz w:val="24"/>
          <w:szCs w:val="24"/>
          <w:lang w:eastAsia="en-GB"/>
        </w:rPr>
        <w:t xml:space="preserve"> </w:t>
      </w:r>
      <w:r w:rsidR="00AA364E">
        <w:rPr>
          <w:rFonts w:ascii="Times New Roman" w:hAnsi="Times New Roman" w:cs="Times New Roman"/>
          <w:sz w:val="24"/>
          <w:szCs w:val="24"/>
          <w:lang w:eastAsia="en-GB"/>
        </w:rPr>
        <w:t xml:space="preserve">large quantity and </w:t>
      </w:r>
      <w:r w:rsidR="00857F56">
        <w:rPr>
          <w:rFonts w:ascii="Times New Roman" w:hAnsi="Times New Roman" w:cs="Times New Roman"/>
          <w:sz w:val="24"/>
          <w:szCs w:val="24"/>
          <w:lang w:eastAsia="en-GB"/>
        </w:rPr>
        <w:t>variety of content online</w:t>
      </w:r>
      <w:r w:rsidR="00AA364E">
        <w:rPr>
          <w:rFonts w:ascii="Times New Roman" w:hAnsi="Times New Roman" w:cs="Times New Roman"/>
          <w:sz w:val="24"/>
          <w:szCs w:val="24"/>
          <w:lang w:eastAsia="en-GB"/>
        </w:rPr>
        <w:t xml:space="preserve">. It has also provided </w:t>
      </w:r>
      <w:r w:rsidR="00857F56">
        <w:rPr>
          <w:rFonts w:ascii="Times New Roman" w:hAnsi="Times New Roman" w:cs="Times New Roman"/>
          <w:sz w:val="24"/>
          <w:szCs w:val="24"/>
          <w:lang w:eastAsia="en-GB"/>
        </w:rPr>
        <w:t xml:space="preserve">a growth opportunity for traditional players. </w:t>
      </w:r>
      <w:r w:rsidR="00D7609A">
        <w:rPr>
          <w:rFonts w:ascii="Times New Roman" w:hAnsi="Times New Roman" w:cs="Times New Roman"/>
          <w:sz w:val="24"/>
          <w:szCs w:val="24"/>
          <w:lang w:eastAsia="en-GB"/>
        </w:rPr>
        <w:t>TV</w:t>
      </w:r>
      <w:r w:rsidR="00857F56">
        <w:rPr>
          <w:rFonts w:ascii="Times New Roman" w:hAnsi="Times New Roman" w:cs="Times New Roman"/>
          <w:sz w:val="24"/>
          <w:szCs w:val="24"/>
          <w:lang w:eastAsia="en-GB"/>
        </w:rPr>
        <w:t xml:space="preserve"> still remains the most </w:t>
      </w:r>
      <w:r w:rsidR="00857F56">
        <w:rPr>
          <w:rFonts w:ascii="Times New Roman" w:hAnsi="Times New Roman"/>
          <w:bCs/>
          <w:noProof/>
          <w:sz w:val="24"/>
          <w:szCs w:val="24"/>
          <w:lang w:eastAsia="en-GB"/>
        </w:rPr>
        <w:t>important channel to access AV content,</w:t>
      </w:r>
      <w:r w:rsidR="00A44C38">
        <w:rPr>
          <w:rStyle w:val="FootnoteReference"/>
          <w:rFonts w:ascii="Times New Roman" w:hAnsi="Times New Roman"/>
          <w:bCs/>
          <w:noProof/>
          <w:sz w:val="24"/>
          <w:szCs w:val="24"/>
          <w:lang w:eastAsia="en-GB"/>
        </w:rPr>
        <w:footnoteReference w:id="23"/>
      </w:r>
      <w:r w:rsidR="00857F56">
        <w:rPr>
          <w:rFonts w:ascii="Times New Roman" w:hAnsi="Times New Roman"/>
          <w:bCs/>
          <w:noProof/>
          <w:sz w:val="24"/>
          <w:szCs w:val="24"/>
          <w:lang w:eastAsia="en-GB"/>
        </w:rPr>
        <w:t xml:space="preserve"> </w:t>
      </w:r>
      <w:r w:rsidR="00F042A4">
        <w:rPr>
          <w:rFonts w:ascii="Times New Roman" w:hAnsi="Times New Roman"/>
          <w:bCs/>
          <w:noProof/>
          <w:sz w:val="24"/>
          <w:szCs w:val="24"/>
          <w:lang w:eastAsia="en-GB"/>
        </w:rPr>
        <w:t>but both broadcasters and retransmission</w:t>
      </w:r>
      <w:r w:rsidR="00020E60">
        <w:rPr>
          <w:rStyle w:val="FootnoteReference"/>
          <w:rFonts w:ascii="Times New Roman" w:hAnsi="Times New Roman"/>
          <w:bCs/>
          <w:noProof/>
          <w:sz w:val="24"/>
          <w:szCs w:val="24"/>
          <w:lang w:eastAsia="en-GB"/>
        </w:rPr>
        <w:footnoteReference w:id="24"/>
      </w:r>
      <w:r w:rsidR="00F042A4">
        <w:rPr>
          <w:rFonts w:ascii="Times New Roman" w:hAnsi="Times New Roman"/>
          <w:bCs/>
          <w:noProof/>
          <w:sz w:val="24"/>
          <w:szCs w:val="24"/>
          <w:lang w:eastAsia="en-GB"/>
        </w:rPr>
        <w:t xml:space="preserve"> service providers (e.g. cable operators) are </w:t>
      </w:r>
      <w:r w:rsidR="00857F56">
        <w:rPr>
          <w:rFonts w:ascii="Times New Roman" w:hAnsi="Times New Roman"/>
          <w:bCs/>
          <w:noProof/>
          <w:sz w:val="24"/>
          <w:szCs w:val="24"/>
          <w:lang w:eastAsia="en-GB"/>
        </w:rPr>
        <w:t xml:space="preserve">increasingly investing in the development of </w:t>
      </w:r>
      <w:r w:rsidR="00CD4A3B">
        <w:rPr>
          <w:rFonts w:ascii="Times New Roman" w:hAnsi="Times New Roman"/>
          <w:bCs/>
          <w:noProof/>
          <w:sz w:val="24"/>
          <w:szCs w:val="24"/>
          <w:lang w:eastAsia="en-GB"/>
        </w:rPr>
        <w:t xml:space="preserve">digital and </w:t>
      </w:r>
      <w:r w:rsidR="0029392A">
        <w:rPr>
          <w:rFonts w:ascii="Times New Roman" w:hAnsi="Times New Roman"/>
          <w:bCs/>
          <w:noProof/>
          <w:sz w:val="24"/>
          <w:szCs w:val="24"/>
          <w:lang w:eastAsia="en-GB"/>
        </w:rPr>
        <w:t>online services in order to improve consumers' experience</w:t>
      </w:r>
      <w:r w:rsidR="00481C8A">
        <w:rPr>
          <w:rFonts w:ascii="Times New Roman" w:hAnsi="Times New Roman"/>
          <w:bCs/>
          <w:noProof/>
          <w:sz w:val="24"/>
          <w:szCs w:val="24"/>
          <w:lang w:eastAsia="en-GB"/>
        </w:rPr>
        <w:t xml:space="preserve"> and offer </w:t>
      </w:r>
      <w:r w:rsidR="00FD7AF3">
        <w:rPr>
          <w:rFonts w:ascii="Times New Roman" w:hAnsi="Times New Roman"/>
          <w:bCs/>
          <w:noProof/>
          <w:sz w:val="24"/>
          <w:szCs w:val="24"/>
          <w:lang w:eastAsia="en-GB"/>
        </w:rPr>
        <w:t xml:space="preserve">more </w:t>
      </w:r>
      <w:r w:rsidR="00481C8A">
        <w:rPr>
          <w:rFonts w:ascii="Times New Roman" w:hAnsi="Times New Roman"/>
          <w:bCs/>
          <w:noProof/>
          <w:sz w:val="24"/>
          <w:szCs w:val="24"/>
          <w:lang w:eastAsia="en-GB"/>
        </w:rPr>
        <w:t>flexibility</w:t>
      </w:r>
      <w:r w:rsidR="0029392A">
        <w:rPr>
          <w:rFonts w:ascii="Times New Roman" w:hAnsi="Times New Roman"/>
          <w:bCs/>
          <w:noProof/>
          <w:sz w:val="24"/>
          <w:szCs w:val="24"/>
          <w:lang w:eastAsia="en-GB"/>
        </w:rPr>
        <w:t xml:space="preserve">. </w:t>
      </w:r>
      <w:r w:rsidR="00F042A4">
        <w:rPr>
          <w:rFonts w:ascii="Times New Roman" w:hAnsi="Times New Roman"/>
          <w:bCs/>
          <w:noProof/>
          <w:sz w:val="24"/>
          <w:szCs w:val="24"/>
          <w:lang w:eastAsia="en-GB"/>
        </w:rPr>
        <w:t xml:space="preserve">Digital technologies also offer new opportunities to cultural heritage institutions (CHIs) willing to </w:t>
      </w:r>
      <w:r w:rsidR="00AA364E">
        <w:rPr>
          <w:rFonts w:ascii="Times New Roman" w:hAnsi="Times New Roman"/>
          <w:bCs/>
          <w:noProof/>
          <w:sz w:val="24"/>
          <w:szCs w:val="24"/>
          <w:lang w:eastAsia="en-GB"/>
        </w:rPr>
        <w:t xml:space="preserve">digitise and </w:t>
      </w:r>
      <w:r w:rsidR="00F042A4">
        <w:rPr>
          <w:rFonts w:ascii="Times New Roman" w:hAnsi="Times New Roman"/>
          <w:bCs/>
          <w:noProof/>
          <w:sz w:val="24"/>
          <w:szCs w:val="24"/>
          <w:lang w:eastAsia="en-GB"/>
        </w:rPr>
        <w:t xml:space="preserve">disseminate parts of their collections that would otherwise remain confined to their premises </w:t>
      </w:r>
      <w:r w:rsidR="00AA364E">
        <w:rPr>
          <w:rFonts w:ascii="Times New Roman" w:hAnsi="Times New Roman"/>
          <w:bCs/>
          <w:noProof/>
          <w:sz w:val="24"/>
          <w:szCs w:val="24"/>
          <w:lang w:eastAsia="en-GB"/>
        </w:rPr>
        <w:t>with limited access to the public</w:t>
      </w:r>
      <w:r w:rsidR="00F042A4">
        <w:rPr>
          <w:rFonts w:ascii="Times New Roman" w:hAnsi="Times New Roman"/>
          <w:bCs/>
          <w:noProof/>
          <w:sz w:val="24"/>
          <w:szCs w:val="24"/>
          <w:lang w:eastAsia="en-GB"/>
        </w:rPr>
        <w:t xml:space="preserve">. </w:t>
      </w:r>
    </w:p>
    <w:p w:rsidR="007E49BD" w:rsidRDefault="00341D63" w:rsidP="005D7A30">
      <w:pPr>
        <w:autoSpaceDE w:val="0"/>
        <w:autoSpaceDN w:val="0"/>
        <w:adjustRightInd w:val="0"/>
        <w:spacing w:after="120" w:line="240" w:lineRule="auto"/>
        <w:jc w:val="both"/>
        <w:rPr>
          <w:rFonts w:ascii="Times New Roman" w:hAnsi="Times New Roman"/>
          <w:bCs/>
          <w:noProof/>
          <w:sz w:val="24"/>
          <w:szCs w:val="24"/>
          <w:lang w:eastAsia="en-GB"/>
        </w:rPr>
      </w:pPr>
      <w:r w:rsidRPr="00025CE0">
        <w:rPr>
          <w:rFonts w:ascii="Times New Roman" w:hAnsi="Times New Roman"/>
          <w:bCs/>
          <w:noProof/>
          <w:sz w:val="24"/>
          <w:szCs w:val="24"/>
          <w:lang w:eastAsia="en-GB"/>
        </w:rPr>
        <w:t xml:space="preserve">Despite </w:t>
      </w:r>
      <w:r w:rsidR="00E72A2F">
        <w:rPr>
          <w:rFonts w:ascii="Times New Roman" w:hAnsi="Times New Roman"/>
          <w:bCs/>
          <w:noProof/>
          <w:sz w:val="24"/>
          <w:szCs w:val="24"/>
          <w:lang w:eastAsia="en-GB"/>
        </w:rPr>
        <w:t>t</w:t>
      </w:r>
      <w:r w:rsidRPr="00025CE0">
        <w:rPr>
          <w:rFonts w:ascii="Times New Roman" w:hAnsi="Times New Roman"/>
          <w:bCs/>
          <w:noProof/>
          <w:sz w:val="24"/>
          <w:szCs w:val="24"/>
          <w:lang w:eastAsia="en-GB"/>
        </w:rPr>
        <w:t>he rapidly growing variety of online services available to citizens</w:t>
      </w:r>
      <w:r>
        <w:rPr>
          <w:rFonts w:ascii="Times New Roman" w:hAnsi="Times New Roman"/>
          <w:bCs/>
          <w:noProof/>
          <w:sz w:val="24"/>
          <w:szCs w:val="24"/>
          <w:lang w:eastAsia="en-GB"/>
        </w:rPr>
        <w:t>,</w:t>
      </w:r>
      <w:r>
        <w:rPr>
          <w:bCs/>
          <w:noProof/>
          <w:szCs w:val="24"/>
          <w:vertAlign w:val="superscript"/>
          <w:lang w:eastAsia="en-GB"/>
        </w:rPr>
        <w:t xml:space="preserve"> </w:t>
      </w:r>
      <w:r w:rsidRPr="00025CE0">
        <w:rPr>
          <w:rFonts w:ascii="Times New Roman" w:hAnsi="Times New Roman"/>
          <w:bCs/>
          <w:noProof/>
          <w:sz w:val="24"/>
          <w:szCs w:val="24"/>
          <w:lang w:eastAsia="en-GB"/>
        </w:rPr>
        <w:t>cross-border access</w:t>
      </w:r>
      <w:r w:rsidR="004135C6">
        <w:rPr>
          <w:rFonts w:ascii="Times New Roman" w:hAnsi="Times New Roman"/>
          <w:bCs/>
          <w:noProof/>
          <w:sz w:val="24"/>
          <w:szCs w:val="24"/>
          <w:lang w:eastAsia="en-GB"/>
        </w:rPr>
        <w:t xml:space="preserve"> to </w:t>
      </w:r>
      <w:r w:rsidRPr="00025CE0">
        <w:rPr>
          <w:rFonts w:ascii="Times New Roman" w:hAnsi="Times New Roman"/>
          <w:bCs/>
          <w:noProof/>
          <w:sz w:val="24"/>
          <w:szCs w:val="24"/>
          <w:lang w:eastAsia="en-GB"/>
        </w:rPr>
        <w:t xml:space="preserve">and </w:t>
      </w:r>
      <w:r>
        <w:rPr>
          <w:rFonts w:ascii="Times New Roman" w:hAnsi="Times New Roman"/>
          <w:bCs/>
          <w:noProof/>
          <w:sz w:val="24"/>
          <w:szCs w:val="24"/>
          <w:lang w:eastAsia="en-GB"/>
        </w:rPr>
        <w:t xml:space="preserve">availability </w:t>
      </w:r>
      <w:r w:rsidRPr="00025CE0">
        <w:rPr>
          <w:rFonts w:ascii="Times New Roman" w:hAnsi="Times New Roman"/>
          <w:bCs/>
          <w:noProof/>
          <w:sz w:val="24"/>
          <w:szCs w:val="24"/>
          <w:lang w:eastAsia="en-GB"/>
        </w:rPr>
        <w:t xml:space="preserve">of digital content </w:t>
      </w:r>
      <w:r w:rsidR="004135C6">
        <w:rPr>
          <w:rFonts w:ascii="Times New Roman" w:hAnsi="Times New Roman"/>
          <w:bCs/>
          <w:noProof/>
          <w:sz w:val="24"/>
          <w:szCs w:val="24"/>
          <w:lang w:eastAsia="en-GB"/>
        </w:rPr>
        <w:t>(</w:t>
      </w:r>
      <w:r w:rsidR="00D97A17">
        <w:rPr>
          <w:rFonts w:ascii="Times New Roman" w:hAnsi="Times New Roman"/>
          <w:bCs/>
          <w:noProof/>
          <w:sz w:val="24"/>
          <w:szCs w:val="24"/>
          <w:lang w:eastAsia="en-GB"/>
        </w:rPr>
        <w:t>both in terms of</w:t>
      </w:r>
      <w:r w:rsidR="004135C6">
        <w:rPr>
          <w:rFonts w:ascii="Times New Roman" w:hAnsi="Times New Roman"/>
          <w:bCs/>
          <w:noProof/>
          <w:sz w:val="24"/>
          <w:szCs w:val="24"/>
          <w:lang w:eastAsia="en-GB"/>
        </w:rPr>
        <w:t xml:space="preserve"> content provided by online services </w:t>
      </w:r>
      <w:r w:rsidR="004135C6" w:rsidRPr="005D7A30">
        <w:rPr>
          <w:rFonts w:ascii="Times New Roman" w:hAnsi="Times New Roman" w:cs="Times New Roman"/>
          <w:sz w:val="24"/>
        </w:rPr>
        <w:t>in</w:t>
      </w:r>
      <w:r w:rsidR="004135C6">
        <w:rPr>
          <w:rFonts w:ascii="Times New Roman" w:hAnsi="Times New Roman"/>
          <w:bCs/>
          <w:noProof/>
          <w:sz w:val="24"/>
          <w:szCs w:val="24"/>
          <w:lang w:eastAsia="en-GB"/>
        </w:rPr>
        <w:t xml:space="preserve"> other </w:t>
      </w:r>
      <w:r w:rsidR="00B82096">
        <w:rPr>
          <w:rFonts w:ascii="Times New Roman" w:hAnsi="Times New Roman"/>
          <w:bCs/>
          <w:noProof/>
          <w:sz w:val="24"/>
          <w:szCs w:val="24"/>
          <w:lang w:eastAsia="en-GB"/>
        </w:rPr>
        <w:t>MS</w:t>
      </w:r>
      <w:r w:rsidR="004135C6">
        <w:rPr>
          <w:rFonts w:ascii="Times New Roman" w:hAnsi="Times New Roman"/>
          <w:bCs/>
          <w:noProof/>
          <w:sz w:val="24"/>
          <w:szCs w:val="24"/>
          <w:lang w:eastAsia="en-GB"/>
        </w:rPr>
        <w:t xml:space="preserve"> and of content produced in other </w:t>
      </w:r>
      <w:r w:rsidR="00B82096">
        <w:rPr>
          <w:rFonts w:ascii="Times New Roman" w:hAnsi="Times New Roman"/>
          <w:bCs/>
          <w:noProof/>
          <w:sz w:val="24"/>
          <w:szCs w:val="24"/>
          <w:lang w:eastAsia="en-GB"/>
        </w:rPr>
        <w:t>MS</w:t>
      </w:r>
      <w:r w:rsidR="004135C6">
        <w:rPr>
          <w:rFonts w:ascii="Times New Roman" w:hAnsi="Times New Roman"/>
          <w:bCs/>
          <w:noProof/>
          <w:sz w:val="24"/>
          <w:szCs w:val="24"/>
          <w:lang w:eastAsia="en-GB"/>
        </w:rPr>
        <w:t>)</w:t>
      </w:r>
      <w:r w:rsidR="005D47B2">
        <w:rPr>
          <w:rFonts w:ascii="Times New Roman" w:hAnsi="Times New Roman"/>
          <w:bCs/>
          <w:noProof/>
          <w:sz w:val="24"/>
          <w:szCs w:val="24"/>
          <w:lang w:eastAsia="en-GB"/>
        </w:rPr>
        <w:t xml:space="preserve"> v</w:t>
      </w:r>
      <w:r w:rsidR="005D47B2" w:rsidRPr="00025CE0">
        <w:rPr>
          <w:rFonts w:ascii="Times New Roman" w:hAnsi="Times New Roman"/>
          <w:bCs/>
          <w:noProof/>
          <w:sz w:val="24"/>
          <w:szCs w:val="24"/>
          <w:lang w:eastAsia="en-GB"/>
        </w:rPr>
        <w:t>ar</w:t>
      </w:r>
      <w:r w:rsidR="008719B8">
        <w:rPr>
          <w:rFonts w:ascii="Times New Roman" w:hAnsi="Times New Roman"/>
          <w:bCs/>
          <w:noProof/>
          <w:sz w:val="24"/>
          <w:szCs w:val="24"/>
          <w:lang w:eastAsia="en-GB"/>
        </w:rPr>
        <w:t>y</w:t>
      </w:r>
      <w:r w:rsidR="00E65360">
        <w:rPr>
          <w:rFonts w:ascii="Times New Roman" w:hAnsi="Times New Roman"/>
          <w:bCs/>
          <w:noProof/>
          <w:sz w:val="24"/>
          <w:szCs w:val="24"/>
          <w:lang w:eastAsia="en-GB"/>
        </w:rPr>
        <w:t>.</w:t>
      </w:r>
      <w:r w:rsidR="005D47B2">
        <w:rPr>
          <w:rFonts w:ascii="Times New Roman" w:hAnsi="Times New Roman"/>
          <w:bCs/>
          <w:noProof/>
          <w:sz w:val="24"/>
          <w:szCs w:val="24"/>
          <w:lang w:eastAsia="en-GB"/>
        </w:rPr>
        <w:t xml:space="preserve"> </w:t>
      </w:r>
      <w:r w:rsidR="00707A2F">
        <w:rPr>
          <w:rFonts w:ascii="Times New Roman" w:hAnsi="Times New Roman"/>
          <w:bCs/>
          <w:noProof/>
          <w:sz w:val="24"/>
          <w:szCs w:val="24"/>
          <w:lang w:eastAsia="en-GB"/>
        </w:rPr>
        <w:t xml:space="preserve">While broadcasters play an </w:t>
      </w:r>
      <w:r w:rsidR="00707A2F" w:rsidRPr="00252BA3">
        <w:rPr>
          <w:rFonts w:ascii="Times New Roman" w:eastAsia="Calibri" w:hAnsi="Times New Roman" w:cs="Times New Roman"/>
          <w:sz w:val="24"/>
          <w:szCs w:val="20"/>
          <w:lang w:eastAsia="en-GB"/>
        </w:rPr>
        <w:t>important</w:t>
      </w:r>
      <w:r w:rsidR="00707A2F">
        <w:rPr>
          <w:rFonts w:ascii="Times New Roman" w:hAnsi="Times New Roman"/>
          <w:bCs/>
          <w:noProof/>
          <w:sz w:val="24"/>
          <w:szCs w:val="24"/>
          <w:lang w:eastAsia="en-GB"/>
        </w:rPr>
        <w:t xml:space="preserve"> role in informing, entertaining and educating the general public, their programmes often remain unavailable online to European citizens</w:t>
      </w:r>
      <w:r w:rsidR="005D47B2">
        <w:rPr>
          <w:rFonts w:ascii="Times New Roman" w:hAnsi="Times New Roman"/>
          <w:bCs/>
          <w:noProof/>
          <w:sz w:val="24"/>
          <w:szCs w:val="24"/>
          <w:lang w:eastAsia="en-GB"/>
        </w:rPr>
        <w:t xml:space="preserve"> living in </w:t>
      </w:r>
      <w:r w:rsidR="00C116DA">
        <w:rPr>
          <w:rFonts w:ascii="Times New Roman" w:hAnsi="Times New Roman"/>
          <w:bCs/>
          <w:noProof/>
          <w:sz w:val="24"/>
          <w:szCs w:val="24"/>
          <w:lang w:eastAsia="en-GB"/>
        </w:rPr>
        <w:t>other</w:t>
      </w:r>
      <w:r w:rsidR="005D47B2">
        <w:rPr>
          <w:rFonts w:ascii="Times New Roman" w:hAnsi="Times New Roman"/>
          <w:bCs/>
          <w:noProof/>
          <w:sz w:val="24"/>
          <w:szCs w:val="24"/>
          <w:lang w:eastAsia="en-GB"/>
        </w:rPr>
        <w:t xml:space="preserve"> MS</w:t>
      </w:r>
      <w:r w:rsidR="00707A2F">
        <w:rPr>
          <w:rFonts w:ascii="Times New Roman" w:hAnsi="Times New Roman"/>
          <w:bCs/>
          <w:noProof/>
          <w:sz w:val="24"/>
          <w:szCs w:val="24"/>
          <w:lang w:eastAsia="en-GB"/>
        </w:rPr>
        <w:t xml:space="preserve">. </w:t>
      </w:r>
      <w:r w:rsidR="005D47B2">
        <w:rPr>
          <w:rFonts w:ascii="Times New Roman" w:hAnsi="Times New Roman"/>
          <w:bCs/>
          <w:noProof/>
          <w:sz w:val="24"/>
          <w:szCs w:val="24"/>
          <w:lang w:eastAsia="en-GB"/>
        </w:rPr>
        <w:t>In addition</w:t>
      </w:r>
      <w:r w:rsidR="00085FB6">
        <w:rPr>
          <w:rFonts w:ascii="Times New Roman" w:hAnsi="Times New Roman"/>
          <w:bCs/>
          <w:noProof/>
          <w:sz w:val="24"/>
          <w:szCs w:val="24"/>
          <w:lang w:eastAsia="en-GB"/>
        </w:rPr>
        <w:t>,</w:t>
      </w:r>
      <w:r w:rsidR="005D47B2">
        <w:rPr>
          <w:rFonts w:ascii="Times New Roman" w:hAnsi="Times New Roman"/>
          <w:bCs/>
          <w:noProof/>
          <w:sz w:val="24"/>
          <w:szCs w:val="24"/>
          <w:lang w:eastAsia="en-GB"/>
        </w:rPr>
        <w:t xml:space="preserve"> </w:t>
      </w:r>
      <w:r w:rsidR="00085FB6">
        <w:rPr>
          <w:rFonts w:ascii="Times New Roman" w:hAnsi="Times New Roman"/>
          <w:bCs/>
          <w:noProof/>
          <w:sz w:val="24"/>
          <w:szCs w:val="24"/>
          <w:lang w:eastAsia="en-GB"/>
        </w:rPr>
        <w:t>the variety of TV / radio channels from other</w:t>
      </w:r>
      <w:r w:rsidR="009043A2">
        <w:rPr>
          <w:rFonts w:ascii="Times New Roman" w:hAnsi="Times New Roman"/>
          <w:bCs/>
          <w:noProof/>
          <w:sz w:val="24"/>
          <w:szCs w:val="24"/>
          <w:lang w:eastAsia="en-GB"/>
        </w:rPr>
        <w:t xml:space="preserve"> </w:t>
      </w:r>
      <w:r w:rsidR="00085FB6">
        <w:rPr>
          <w:rFonts w:ascii="Times New Roman" w:hAnsi="Times New Roman"/>
          <w:bCs/>
          <w:noProof/>
          <w:sz w:val="24"/>
          <w:szCs w:val="24"/>
          <w:lang w:eastAsia="en-GB"/>
        </w:rPr>
        <w:t>MS</w:t>
      </w:r>
      <w:r w:rsidR="005D47B2">
        <w:rPr>
          <w:rFonts w:ascii="Times New Roman" w:hAnsi="Times New Roman"/>
          <w:bCs/>
          <w:noProof/>
          <w:sz w:val="24"/>
          <w:szCs w:val="24"/>
          <w:lang w:eastAsia="en-GB"/>
        </w:rPr>
        <w:t xml:space="preserve"> </w:t>
      </w:r>
      <w:r w:rsidR="00085FB6">
        <w:rPr>
          <w:rFonts w:ascii="Times New Roman" w:hAnsi="Times New Roman"/>
          <w:bCs/>
          <w:noProof/>
          <w:sz w:val="24"/>
          <w:szCs w:val="24"/>
          <w:lang w:eastAsia="en-GB"/>
        </w:rPr>
        <w:t>provide</w:t>
      </w:r>
      <w:r w:rsidR="005D47B2">
        <w:rPr>
          <w:rFonts w:ascii="Times New Roman" w:hAnsi="Times New Roman"/>
          <w:bCs/>
          <w:noProof/>
          <w:sz w:val="24"/>
          <w:szCs w:val="24"/>
          <w:lang w:eastAsia="en-GB"/>
        </w:rPr>
        <w:t xml:space="preserve">d by retransmission services </w:t>
      </w:r>
      <w:r w:rsidR="00085FB6">
        <w:rPr>
          <w:rFonts w:ascii="Times New Roman" w:hAnsi="Times New Roman"/>
          <w:bCs/>
          <w:noProof/>
          <w:sz w:val="24"/>
          <w:szCs w:val="24"/>
          <w:lang w:eastAsia="en-GB"/>
        </w:rPr>
        <w:t>differ</w:t>
      </w:r>
      <w:r w:rsidR="005D47B2">
        <w:rPr>
          <w:rFonts w:ascii="Times New Roman" w:hAnsi="Times New Roman"/>
          <w:bCs/>
          <w:noProof/>
          <w:sz w:val="24"/>
          <w:szCs w:val="24"/>
          <w:lang w:eastAsia="en-GB"/>
        </w:rPr>
        <w:t>s</w:t>
      </w:r>
      <w:r w:rsidR="00085FB6">
        <w:rPr>
          <w:rFonts w:ascii="Times New Roman" w:hAnsi="Times New Roman"/>
          <w:bCs/>
          <w:noProof/>
          <w:sz w:val="24"/>
          <w:szCs w:val="24"/>
          <w:lang w:eastAsia="en-GB"/>
        </w:rPr>
        <w:t xml:space="preserve"> across the EU.</w:t>
      </w:r>
      <w:r w:rsidR="00564CB8">
        <w:rPr>
          <w:rStyle w:val="FootnoteReference"/>
          <w:rFonts w:ascii="Times New Roman" w:hAnsi="Times New Roman"/>
          <w:bCs/>
          <w:noProof/>
          <w:sz w:val="24"/>
          <w:szCs w:val="24"/>
          <w:lang w:eastAsia="en-GB"/>
        </w:rPr>
        <w:footnoteReference w:id="25"/>
      </w:r>
      <w:r w:rsidR="00085FB6">
        <w:rPr>
          <w:rFonts w:ascii="Times New Roman" w:hAnsi="Times New Roman"/>
          <w:bCs/>
          <w:noProof/>
          <w:sz w:val="24"/>
          <w:szCs w:val="24"/>
          <w:lang w:eastAsia="en-GB"/>
        </w:rPr>
        <w:t xml:space="preserve"> </w:t>
      </w:r>
      <w:r w:rsidR="00ED42C0">
        <w:rPr>
          <w:rFonts w:ascii="Times New Roman" w:hAnsi="Times New Roman"/>
          <w:bCs/>
          <w:noProof/>
          <w:sz w:val="24"/>
          <w:szCs w:val="24"/>
          <w:lang w:eastAsia="en-GB"/>
        </w:rPr>
        <w:t xml:space="preserve">Also, </w:t>
      </w:r>
      <w:r w:rsidR="005D47B2">
        <w:rPr>
          <w:rFonts w:ascii="Times New Roman" w:hAnsi="Times New Roman"/>
          <w:bCs/>
          <w:noProof/>
          <w:sz w:val="24"/>
          <w:szCs w:val="24"/>
          <w:lang w:eastAsia="en-GB"/>
        </w:rPr>
        <w:t xml:space="preserve">European </w:t>
      </w:r>
      <w:r w:rsidR="007E49BD">
        <w:rPr>
          <w:rFonts w:ascii="Times New Roman" w:hAnsi="Times New Roman"/>
          <w:bCs/>
          <w:noProof/>
          <w:sz w:val="24"/>
          <w:szCs w:val="24"/>
          <w:lang w:eastAsia="en-GB"/>
        </w:rPr>
        <w:t>films, documentaries and series</w:t>
      </w:r>
      <w:r w:rsidR="005D47B2">
        <w:rPr>
          <w:rFonts w:ascii="Times New Roman" w:hAnsi="Times New Roman"/>
          <w:bCs/>
          <w:noProof/>
          <w:sz w:val="24"/>
          <w:szCs w:val="24"/>
          <w:lang w:eastAsia="en-GB"/>
        </w:rPr>
        <w:t xml:space="preserve"> are often under-represented in the catalogues of VoD platforms. </w:t>
      </w:r>
      <w:r w:rsidR="003F3796">
        <w:rPr>
          <w:rFonts w:ascii="Times New Roman" w:hAnsi="Times New Roman"/>
          <w:bCs/>
          <w:noProof/>
          <w:sz w:val="24"/>
          <w:szCs w:val="24"/>
          <w:lang w:eastAsia="en-GB"/>
        </w:rPr>
        <w:t>Finally, o</w:t>
      </w:r>
      <w:r w:rsidR="00085FB6">
        <w:rPr>
          <w:rFonts w:ascii="Times New Roman" w:hAnsi="Times New Roman"/>
          <w:bCs/>
          <w:noProof/>
          <w:sz w:val="24"/>
          <w:szCs w:val="24"/>
          <w:lang w:eastAsia="en-GB"/>
        </w:rPr>
        <w:t xml:space="preserve">nly a limited part of the collections of CHIs are available online and across borders. </w:t>
      </w:r>
      <w:r w:rsidR="005A6640">
        <w:rPr>
          <w:rFonts w:ascii="Times New Roman" w:hAnsi="Times New Roman"/>
          <w:bCs/>
          <w:noProof/>
          <w:sz w:val="24"/>
          <w:szCs w:val="24"/>
          <w:lang w:eastAsia="en-GB"/>
        </w:rPr>
        <w:t xml:space="preserve"> </w:t>
      </w:r>
      <w:r w:rsidR="00707A2F">
        <w:rPr>
          <w:rFonts w:ascii="Times New Roman" w:hAnsi="Times New Roman"/>
          <w:bCs/>
          <w:noProof/>
          <w:sz w:val="24"/>
          <w:szCs w:val="24"/>
          <w:lang w:eastAsia="en-GB"/>
        </w:rPr>
        <w:t xml:space="preserve"> </w:t>
      </w:r>
    </w:p>
    <w:p w:rsidR="004A181F" w:rsidRDefault="00BB773D" w:rsidP="005D7A30">
      <w:pPr>
        <w:autoSpaceDE w:val="0"/>
        <w:autoSpaceDN w:val="0"/>
        <w:adjustRightInd w:val="0"/>
        <w:spacing w:after="120" w:line="240" w:lineRule="auto"/>
        <w:jc w:val="both"/>
        <w:rPr>
          <w:rFonts w:ascii="Times New Roman" w:hAnsi="Times New Roman" w:cs="Times New Roman"/>
          <w:bCs/>
          <w:noProof/>
          <w:sz w:val="24"/>
          <w:szCs w:val="24"/>
          <w:lang w:eastAsia="en-GB"/>
        </w:rPr>
      </w:pPr>
      <w:r w:rsidRPr="00BB773D">
        <w:rPr>
          <w:rFonts w:ascii="Times New Roman" w:hAnsi="Times New Roman" w:cs="Times New Roman"/>
          <w:bCs/>
          <w:noProof/>
          <w:sz w:val="24"/>
          <w:szCs w:val="24"/>
          <w:lang w:eastAsia="en-GB"/>
        </w:rPr>
        <w:t>The existence of barriers to the portability and cross-border access to cont</w:t>
      </w:r>
      <w:r w:rsidR="004A181F">
        <w:rPr>
          <w:rFonts w:ascii="Times New Roman" w:hAnsi="Times New Roman" w:cs="Times New Roman"/>
          <w:bCs/>
          <w:noProof/>
          <w:sz w:val="24"/>
          <w:szCs w:val="24"/>
          <w:lang w:eastAsia="en-GB"/>
        </w:rPr>
        <w:t>ent</w:t>
      </w:r>
      <w:r w:rsidR="00481C8A">
        <w:rPr>
          <w:rFonts w:ascii="Times New Roman" w:hAnsi="Times New Roman" w:cs="Times New Roman"/>
          <w:bCs/>
          <w:noProof/>
          <w:sz w:val="24"/>
          <w:szCs w:val="24"/>
          <w:lang w:eastAsia="en-GB"/>
        </w:rPr>
        <w:t xml:space="preserve"> </w:t>
      </w:r>
      <w:r w:rsidRPr="00BB773D">
        <w:rPr>
          <w:rFonts w:ascii="Times New Roman" w:hAnsi="Times New Roman" w:cs="Times New Roman"/>
          <w:bCs/>
          <w:noProof/>
          <w:sz w:val="24"/>
          <w:szCs w:val="24"/>
          <w:lang w:eastAsia="en-GB"/>
        </w:rPr>
        <w:t xml:space="preserve">was highlighted in the </w:t>
      </w:r>
      <w:r w:rsidR="0032552E" w:rsidRPr="00BB773D">
        <w:rPr>
          <w:rFonts w:ascii="Times New Roman" w:hAnsi="Times New Roman" w:cs="Times New Roman"/>
          <w:bCs/>
          <w:noProof/>
          <w:sz w:val="24"/>
          <w:szCs w:val="24"/>
          <w:lang w:eastAsia="en-GB"/>
        </w:rPr>
        <w:t>Digital Single Market</w:t>
      </w:r>
      <w:r w:rsidR="00C047FA">
        <w:rPr>
          <w:rFonts w:ascii="Times New Roman" w:hAnsi="Times New Roman" w:cs="Times New Roman"/>
          <w:bCs/>
          <w:noProof/>
          <w:sz w:val="24"/>
          <w:szCs w:val="24"/>
          <w:lang w:eastAsia="en-GB"/>
        </w:rPr>
        <w:t xml:space="preserve"> (DSM)</w:t>
      </w:r>
      <w:r w:rsidR="0032552E" w:rsidRPr="00BB773D">
        <w:rPr>
          <w:rFonts w:ascii="Times New Roman" w:hAnsi="Times New Roman" w:cs="Times New Roman"/>
          <w:bCs/>
          <w:noProof/>
          <w:sz w:val="24"/>
          <w:szCs w:val="24"/>
          <w:lang w:eastAsia="en-GB"/>
        </w:rPr>
        <w:t xml:space="preserve"> Strategy.</w:t>
      </w:r>
      <w:r w:rsidR="0032552E" w:rsidRPr="002B1892">
        <w:rPr>
          <w:rFonts w:ascii="Times New Roman" w:hAnsi="Times New Roman" w:cs="Times New Roman"/>
          <w:bCs/>
          <w:noProof/>
          <w:sz w:val="24"/>
          <w:szCs w:val="24"/>
          <w:vertAlign w:val="superscript"/>
          <w:lang w:eastAsia="en-GB"/>
        </w:rPr>
        <w:footnoteReference w:id="26"/>
      </w:r>
      <w:r w:rsidR="0032552E" w:rsidRPr="00BB773D">
        <w:rPr>
          <w:rFonts w:ascii="Times New Roman" w:hAnsi="Times New Roman" w:cs="Times New Roman"/>
          <w:bCs/>
          <w:noProof/>
          <w:sz w:val="24"/>
          <w:szCs w:val="24"/>
          <w:lang w:eastAsia="en-GB"/>
        </w:rPr>
        <w:t xml:space="preserve"> </w:t>
      </w:r>
      <w:r w:rsidR="002B1892">
        <w:rPr>
          <w:rFonts w:ascii="Times New Roman" w:hAnsi="Times New Roman" w:cs="Times New Roman"/>
          <w:bCs/>
          <w:noProof/>
          <w:sz w:val="24"/>
          <w:szCs w:val="24"/>
          <w:lang w:eastAsia="en-GB"/>
        </w:rPr>
        <w:t xml:space="preserve">The Commission presented a legislative proposal </w:t>
      </w:r>
      <w:r w:rsidR="004A181F">
        <w:rPr>
          <w:rFonts w:ascii="Times New Roman" w:hAnsi="Times New Roman" w:cs="Times New Roman"/>
          <w:bCs/>
          <w:noProof/>
          <w:sz w:val="24"/>
          <w:szCs w:val="24"/>
          <w:lang w:eastAsia="en-GB"/>
        </w:rPr>
        <w:t>on portability in December 2015</w:t>
      </w:r>
      <w:r w:rsidR="002B1892">
        <w:rPr>
          <w:rStyle w:val="FootnoteReference"/>
          <w:rFonts w:ascii="Times New Roman" w:hAnsi="Times New Roman" w:cs="Times New Roman"/>
          <w:bCs/>
          <w:noProof/>
          <w:sz w:val="24"/>
          <w:szCs w:val="24"/>
          <w:lang w:eastAsia="en-GB"/>
        </w:rPr>
        <w:footnoteReference w:id="27"/>
      </w:r>
      <w:r w:rsidR="004A181F">
        <w:rPr>
          <w:rFonts w:ascii="Times New Roman" w:hAnsi="Times New Roman" w:cs="Times New Roman"/>
          <w:bCs/>
          <w:noProof/>
          <w:sz w:val="24"/>
          <w:szCs w:val="24"/>
          <w:lang w:eastAsia="en-GB"/>
        </w:rPr>
        <w:t xml:space="preserve"> and </w:t>
      </w:r>
      <w:r w:rsidR="00FD7AF3">
        <w:rPr>
          <w:rFonts w:ascii="Times New Roman" w:hAnsi="Times New Roman" w:cs="Times New Roman"/>
          <w:bCs/>
          <w:noProof/>
          <w:sz w:val="24"/>
          <w:szCs w:val="24"/>
          <w:lang w:eastAsia="en-GB"/>
        </w:rPr>
        <w:t xml:space="preserve">proposed </w:t>
      </w:r>
      <w:r w:rsidR="004A181F">
        <w:rPr>
          <w:rFonts w:ascii="Times New Roman" w:hAnsi="Times New Roman" w:cs="Times New Roman"/>
          <w:bCs/>
          <w:noProof/>
          <w:sz w:val="24"/>
          <w:szCs w:val="24"/>
          <w:lang w:eastAsia="en-GB"/>
        </w:rPr>
        <w:t>a "</w:t>
      </w:r>
      <w:r w:rsidR="004A181F" w:rsidRPr="004A181F">
        <w:rPr>
          <w:rFonts w:ascii="Times New Roman" w:hAnsi="Times New Roman" w:cs="Times New Roman"/>
          <w:bCs/>
          <w:noProof/>
          <w:sz w:val="24"/>
          <w:szCs w:val="24"/>
          <w:lang w:eastAsia="en-GB"/>
        </w:rPr>
        <w:t xml:space="preserve">gradual approach to removing obstacles to </w:t>
      </w:r>
      <w:r w:rsidR="004A181F" w:rsidRPr="00705E14">
        <w:rPr>
          <w:rFonts w:ascii="Times New Roman" w:hAnsi="Times New Roman" w:cs="Times New Roman"/>
          <w:bCs/>
          <w:noProof/>
          <w:sz w:val="24"/>
          <w:szCs w:val="24"/>
          <w:lang w:eastAsia="en-GB"/>
        </w:rPr>
        <w:t>cross-</w:t>
      </w:r>
      <w:r w:rsidR="004A181F" w:rsidRPr="005D7A30">
        <w:rPr>
          <w:rFonts w:ascii="Times New Roman" w:hAnsi="Times New Roman" w:cs="Times New Roman"/>
          <w:sz w:val="24"/>
        </w:rPr>
        <w:t>border</w:t>
      </w:r>
      <w:r w:rsidR="004A181F" w:rsidRPr="00705E14">
        <w:rPr>
          <w:rFonts w:ascii="Times New Roman" w:hAnsi="Times New Roman" w:cs="Times New Roman"/>
          <w:bCs/>
          <w:noProof/>
          <w:sz w:val="24"/>
          <w:szCs w:val="24"/>
          <w:lang w:eastAsia="en-GB"/>
        </w:rPr>
        <w:t xml:space="preserve"> access to content and to the circulation of works" in the Communication</w:t>
      </w:r>
      <w:r w:rsidR="001D7FC5" w:rsidRPr="00705E14">
        <w:rPr>
          <w:rFonts w:ascii="Times New Roman" w:hAnsi="Times New Roman" w:cs="Times New Roman"/>
          <w:bCs/>
          <w:noProof/>
          <w:sz w:val="24"/>
          <w:szCs w:val="24"/>
          <w:lang w:eastAsia="en-GB"/>
        </w:rPr>
        <w:t xml:space="preserve"> "Towards a modern, </w:t>
      </w:r>
      <w:r w:rsidR="001D7FC5" w:rsidRPr="00252BA3">
        <w:rPr>
          <w:rFonts w:ascii="Times New Roman" w:eastAsia="Calibri" w:hAnsi="Times New Roman" w:cs="Times New Roman"/>
          <w:sz w:val="24"/>
          <w:szCs w:val="20"/>
          <w:lang w:eastAsia="en-GB"/>
        </w:rPr>
        <w:t>more</w:t>
      </w:r>
      <w:r w:rsidR="001D7FC5" w:rsidRPr="00705E14">
        <w:rPr>
          <w:rFonts w:ascii="Times New Roman" w:hAnsi="Times New Roman" w:cs="Times New Roman"/>
          <w:bCs/>
          <w:noProof/>
          <w:sz w:val="24"/>
          <w:szCs w:val="24"/>
          <w:lang w:eastAsia="en-GB"/>
        </w:rPr>
        <w:t xml:space="preserve"> European </w:t>
      </w:r>
      <w:r w:rsidR="001D7FC5" w:rsidRPr="005D7A30">
        <w:rPr>
          <w:rFonts w:ascii="Times New Roman" w:hAnsi="Times New Roman"/>
          <w:bCs/>
          <w:noProof/>
          <w:sz w:val="24"/>
          <w:szCs w:val="24"/>
          <w:lang w:eastAsia="en-GB"/>
        </w:rPr>
        <w:t>copyright</w:t>
      </w:r>
      <w:r w:rsidR="001D7FC5" w:rsidRPr="00705E14">
        <w:rPr>
          <w:rFonts w:ascii="Times New Roman" w:hAnsi="Times New Roman" w:cs="Times New Roman"/>
          <w:bCs/>
          <w:noProof/>
          <w:sz w:val="24"/>
          <w:szCs w:val="24"/>
          <w:lang w:eastAsia="en-GB"/>
        </w:rPr>
        <w:t xml:space="preserve"> framework"</w:t>
      </w:r>
      <w:r w:rsidR="004A181F" w:rsidRPr="00705E14">
        <w:rPr>
          <w:rFonts w:ascii="Times New Roman" w:hAnsi="Times New Roman" w:cs="Times New Roman"/>
          <w:bCs/>
          <w:noProof/>
          <w:sz w:val="24"/>
          <w:szCs w:val="24"/>
          <w:lang w:eastAsia="en-GB"/>
        </w:rPr>
        <w:t xml:space="preserve"> adopted at the same time.</w:t>
      </w:r>
      <w:r w:rsidR="00CD7651" w:rsidRPr="00705E14">
        <w:rPr>
          <w:rStyle w:val="FootnoteReference"/>
          <w:rFonts w:ascii="Times New Roman" w:hAnsi="Times New Roman" w:cs="Times New Roman"/>
          <w:bCs/>
          <w:noProof/>
          <w:sz w:val="24"/>
          <w:szCs w:val="24"/>
          <w:lang w:eastAsia="en-GB"/>
        </w:rPr>
        <w:footnoteReference w:id="28"/>
      </w:r>
      <w:r w:rsidR="004A181F" w:rsidRPr="00705E14">
        <w:rPr>
          <w:rFonts w:ascii="Times New Roman" w:hAnsi="Times New Roman" w:cs="Times New Roman"/>
          <w:color w:val="000000"/>
          <w:sz w:val="23"/>
          <w:szCs w:val="23"/>
        </w:rPr>
        <w:t xml:space="preserve"> </w:t>
      </w:r>
      <w:r w:rsidR="00FD7AF3">
        <w:rPr>
          <w:rFonts w:ascii="Times New Roman" w:hAnsi="Times New Roman" w:cs="Times New Roman"/>
          <w:color w:val="000000"/>
          <w:sz w:val="23"/>
          <w:szCs w:val="23"/>
        </w:rPr>
        <w:t xml:space="preserve">In this context, </w:t>
      </w:r>
      <w:r w:rsidR="00FD7AF3">
        <w:rPr>
          <w:rFonts w:ascii="Times New Roman" w:hAnsi="Times New Roman" w:cs="Times New Roman"/>
          <w:bCs/>
          <w:noProof/>
          <w:sz w:val="24"/>
          <w:szCs w:val="24"/>
          <w:lang w:eastAsia="en-GB"/>
        </w:rPr>
        <w:t>t</w:t>
      </w:r>
      <w:r w:rsidR="00CD7651" w:rsidRPr="00705E14">
        <w:rPr>
          <w:rFonts w:ascii="Times New Roman" w:hAnsi="Times New Roman" w:cs="Times New Roman"/>
          <w:bCs/>
          <w:noProof/>
          <w:sz w:val="24"/>
          <w:szCs w:val="24"/>
          <w:lang w:eastAsia="en-GB"/>
        </w:rPr>
        <w:t>hree</w:t>
      </w:r>
      <w:r w:rsidR="00135289" w:rsidRPr="00705E14">
        <w:rPr>
          <w:rFonts w:ascii="Times New Roman" w:hAnsi="Times New Roman" w:cs="Times New Roman"/>
          <w:bCs/>
          <w:noProof/>
          <w:sz w:val="24"/>
          <w:szCs w:val="24"/>
          <w:lang w:eastAsia="en-GB"/>
        </w:rPr>
        <w:t xml:space="preserve"> </w:t>
      </w:r>
      <w:r w:rsidR="001D7FC5" w:rsidRPr="00705E14">
        <w:rPr>
          <w:rFonts w:ascii="Times New Roman" w:hAnsi="Times New Roman" w:cs="Times New Roman"/>
          <w:bCs/>
          <w:noProof/>
          <w:sz w:val="24"/>
          <w:szCs w:val="24"/>
          <w:lang w:eastAsia="en-GB"/>
        </w:rPr>
        <w:t>fields</w:t>
      </w:r>
      <w:r w:rsidR="00135289" w:rsidRPr="00705E14">
        <w:rPr>
          <w:rFonts w:ascii="Times New Roman" w:hAnsi="Times New Roman" w:cs="Times New Roman"/>
          <w:bCs/>
          <w:noProof/>
          <w:sz w:val="24"/>
          <w:szCs w:val="24"/>
          <w:lang w:eastAsia="en-GB"/>
        </w:rPr>
        <w:t xml:space="preserve"> of</w:t>
      </w:r>
      <w:r w:rsidR="00CD7651" w:rsidRPr="00705E14">
        <w:rPr>
          <w:rFonts w:ascii="Times New Roman" w:hAnsi="Times New Roman" w:cs="Times New Roman"/>
          <w:bCs/>
          <w:noProof/>
          <w:sz w:val="24"/>
          <w:szCs w:val="24"/>
          <w:lang w:eastAsia="en-GB"/>
        </w:rPr>
        <w:t xml:space="preserve"> possible</w:t>
      </w:r>
      <w:r w:rsidR="00135289" w:rsidRPr="00705E14">
        <w:rPr>
          <w:rFonts w:ascii="Times New Roman" w:hAnsi="Times New Roman" w:cs="Times New Roman"/>
          <w:bCs/>
          <w:noProof/>
          <w:sz w:val="24"/>
          <w:szCs w:val="24"/>
          <w:lang w:eastAsia="en-GB"/>
        </w:rPr>
        <w:t xml:space="preserve"> EU</w:t>
      </w:r>
      <w:r w:rsidR="00CD7651" w:rsidRPr="00705E14">
        <w:rPr>
          <w:rFonts w:ascii="Times New Roman" w:hAnsi="Times New Roman" w:cs="Times New Roman"/>
          <w:bCs/>
          <w:noProof/>
          <w:sz w:val="24"/>
          <w:szCs w:val="24"/>
          <w:lang w:eastAsia="en-GB"/>
        </w:rPr>
        <w:t xml:space="preserve"> legislative</w:t>
      </w:r>
      <w:r w:rsidR="00135289" w:rsidRPr="00705E14">
        <w:rPr>
          <w:rFonts w:ascii="Times New Roman" w:hAnsi="Times New Roman" w:cs="Times New Roman"/>
          <w:bCs/>
          <w:noProof/>
          <w:sz w:val="24"/>
          <w:szCs w:val="24"/>
          <w:lang w:eastAsia="en-GB"/>
        </w:rPr>
        <w:t xml:space="preserve"> intervention</w:t>
      </w:r>
      <w:r w:rsidR="009E2530" w:rsidRPr="00705E14">
        <w:rPr>
          <w:rFonts w:ascii="Times New Roman" w:hAnsi="Times New Roman" w:cs="Times New Roman"/>
          <w:bCs/>
          <w:noProof/>
          <w:sz w:val="24"/>
          <w:szCs w:val="24"/>
          <w:lang w:eastAsia="en-GB"/>
        </w:rPr>
        <w:t xml:space="preserve"> </w:t>
      </w:r>
      <w:r w:rsidR="00135289" w:rsidRPr="00705E14">
        <w:rPr>
          <w:rFonts w:ascii="Times New Roman" w:hAnsi="Times New Roman" w:cs="Times New Roman"/>
          <w:bCs/>
          <w:noProof/>
          <w:sz w:val="24"/>
          <w:szCs w:val="24"/>
          <w:lang w:eastAsia="en-GB"/>
        </w:rPr>
        <w:t>were</w:t>
      </w:r>
      <w:r w:rsidR="00135289">
        <w:rPr>
          <w:rFonts w:ascii="Times New Roman" w:hAnsi="Times New Roman" w:cs="Times New Roman"/>
          <w:bCs/>
          <w:noProof/>
          <w:sz w:val="24"/>
          <w:szCs w:val="24"/>
          <w:lang w:eastAsia="en-GB"/>
        </w:rPr>
        <w:t xml:space="preserve"> identified</w:t>
      </w:r>
      <w:r w:rsidR="002B1892" w:rsidRPr="002B1892">
        <w:rPr>
          <w:rFonts w:ascii="Times New Roman" w:hAnsi="Times New Roman" w:cs="Times New Roman"/>
          <w:bCs/>
          <w:noProof/>
          <w:sz w:val="24"/>
          <w:szCs w:val="24"/>
          <w:lang w:eastAsia="en-GB"/>
        </w:rPr>
        <w:t xml:space="preserve">: </w:t>
      </w:r>
      <w:r w:rsidR="00FD7AF3">
        <w:rPr>
          <w:rFonts w:ascii="Times New Roman" w:hAnsi="Times New Roman" w:cs="Times New Roman"/>
          <w:bCs/>
          <w:noProof/>
          <w:sz w:val="24"/>
          <w:szCs w:val="24"/>
          <w:lang w:eastAsia="en-GB"/>
        </w:rPr>
        <w:t xml:space="preserve">improving </w:t>
      </w:r>
      <w:r w:rsidR="002B1892" w:rsidRPr="002B1892">
        <w:rPr>
          <w:rFonts w:ascii="Times New Roman" w:hAnsi="Times New Roman" w:cs="Times New Roman"/>
          <w:bCs/>
          <w:noProof/>
          <w:sz w:val="24"/>
          <w:szCs w:val="24"/>
          <w:lang w:eastAsia="en-GB"/>
        </w:rPr>
        <w:t xml:space="preserve">cross-border distribution of </w:t>
      </w:r>
      <w:r w:rsidR="006A7BC8">
        <w:rPr>
          <w:rFonts w:ascii="Times New Roman" w:hAnsi="Times New Roman" w:cs="Times New Roman"/>
          <w:bCs/>
          <w:noProof/>
          <w:sz w:val="24"/>
          <w:szCs w:val="24"/>
          <w:lang w:eastAsia="en-GB"/>
        </w:rPr>
        <w:t>TV</w:t>
      </w:r>
      <w:r w:rsidR="002B1892" w:rsidRPr="002B1892">
        <w:rPr>
          <w:rFonts w:ascii="Times New Roman" w:hAnsi="Times New Roman" w:cs="Times New Roman"/>
          <w:bCs/>
          <w:noProof/>
          <w:sz w:val="24"/>
          <w:szCs w:val="24"/>
          <w:lang w:eastAsia="en-GB"/>
        </w:rPr>
        <w:t xml:space="preserve"> and radio programmes online; facilitation of licensing agreements</w:t>
      </w:r>
      <w:r w:rsidR="00CD5F85">
        <w:rPr>
          <w:rFonts w:ascii="Times New Roman" w:hAnsi="Times New Roman" w:cs="Times New Roman"/>
          <w:bCs/>
          <w:noProof/>
          <w:sz w:val="24"/>
          <w:szCs w:val="24"/>
          <w:lang w:eastAsia="en-GB"/>
        </w:rPr>
        <w:t xml:space="preserve"> for the </w:t>
      </w:r>
      <w:r w:rsidR="009053C5">
        <w:rPr>
          <w:rFonts w:ascii="Times New Roman" w:hAnsi="Times New Roman" w:cs="Times New Roman"/>
          <w:bCs/>
          <w:noProof/>
          <w:sz w:val="24"/>
          <w:szCs w:val="24"/>
          <w:lang w:eastAsia="en-GB"/>
        </w:rPr>
        <w:t xml:space="preserve">online </w:t>
      </w:r>
      <w:r w:rsidR="00CD5F85">
        <w:rPr>
          <w:rFonts w:ascii="Times New Roman" w:hAnsi="Times New Roman" w:cs="Times New Roman"/>
          <w:bCs/>
          <w:noProof/>
          <w:sz w:val="24"/>
          <w:szCs w:val="24"/>
          <w:lang w:eastAsia="en-GB"/>
        </w:rPr>
        <w:t xml:space="preserve">availability of </w:t>
      </w:r>
      <w:r w:rsidR="002821B6">
        <w:rPr>
          <w:rFonts w:ascii="Times New Roman" w:hAnsi="Times New Roman" w:cs="Times New Roman"/>
          <w:bCs/>
          <w:noProof/>
          <w:sz w:val="24"/>
          <w:szCs w:val="24"/>
          <w:lang w:eastAsia="en-GB"/>
        </w:rPr>
        <w:t xml:space="preserve">European </w:t>
      </w:r>
      <w:r w:rsidR="00CD5F85">
        <w:rPr>
          <w:rFonts w:ascii="Times New Roman" w:hAnsi="Times New Roman" w:cs="Times New Roman"/>
          <w:bCs/>
          <w:noProof/>
          <w:sz w:val="24"/>
          <w:szCs w:val="24"/>
          <w:lang w:eastAsia="en-GB"/>
        </w:rPr>
        <w:t xml:space="preserve">AV </w:t>
      </w:r>
      <w:r w:rsidR="00CD5F85" w:rsidRPr="00705E14">
        <w:rPr>
          <w:rFonts w:ascii="Times New Roman" w:hAnsi="Times New Roman" w:cs="Times New Roman"/>
          <w:bCs/>
          <w:noProof/>
          <w:sz w:val="24"/>
          <w:szCs w:val="24"/>
          <w:lang w:eastAsia="en-GB"/>
        </w:rPr>
        <w:t>works</w:t>
      </w:r>
      <w:r w:rsidR="00CD7651" w:rsidRPr="00705E14">
        <w:rPr>
          <w:rFonts w:ascii="Times New Roman" w:hAnsi="Times New Roman" w:cs="Times New Roman"/>
          <w:bCs/>
          <w:noProof/>
          <w:sz w:val="24"/>
          <w:szCs w:val="24"/>
          <w:lang w:eastAsia="en-GB"/>
        </w:rPr>
        <w:t xml:space="preserve"> and </w:t>
      </w:r>
      <w:r w:rsidR="002B1892" w:rsidRPr="00705E14">
        <w:rPr>
          <w:rFonts w:ascii="Times New Roman" w:hAnsi="Times New Roman" w:cs="Times New Roman"/>
          <w:bCs/>
          <w:noProof/>
          <w:sz w:val="24"/>
          <w:szCs w:val="24"/>
          <w:lang w:eastAsia="en-GB"/>
        </w:rPr>
        <w:t xml:space="preserve">digitisation and making available of </w:t>
      </w:r>
      <w:r w:rsidR="00CD4A3B" w:rsidRPr="00705E14">
        <w:rPr>
          <w:rFonts w:ascii="Times New Roman" w:hAnsi="Times New Roman" w:cs="Times New Roman"/>
          <w:bCs/>
          <w:noProof/>
          <w:sz w:val="24"/>
          <w:szCs w:val="24"/>
          <w:lang w:eastAsia="en-GB"/>
        </w:rPr>
        <w:t>out-of-commerce (</w:t>
      </w:r>
      <w:r w:rsidR="00D15CCB" w:rsidRPr="00D15CCB">
        <w:rPr>
          <w:rFonts w:ascii="Times New Roman" w:hAnsi="Times New Roman" w:cs="Times New Roman"/>
          <w:bCs/>
          <w:noProof/>
          <w:sz w:val="24"/>
          <w:szCs w:val="24"/>
          <w:lang w:eastAsia="en-GB"/>
        </w:rPr>
        <w:t>OoC</w:t>
      </w:r>
      <w:r w:rsidR="00CD4A3B" w:rsidRPr="00705E14">
        <w:rPr>
          <w:rFonts w:ascii="Times New Roman" w:hAnsi="Times New Roman" w:cs="Times New Roman"/>
          <w:bCs/>
          <w:noProof/>
          <w:sz w:val="24"/>
          <w:szCs w:val="24"/>
          <w:lang w:eastAsia="en-GB"/>
        </w:rPr>
        <w:t>)</w:t>
      </w:r>
      <w:r w:rsidR="00526766" w:rsidRPr="00705E14">
        <w:rPr>
          <w:rFonts w:ascii="Times New Roman" w:hAnsi="Times New Roman" w:cs="Times New Roman"/>
          <w:bCs/>
          <w:noProof/>
          <w:sz w:val="24"/>
          <w:szCs w:val="24"/>
          <w:lang w:eastAsia="en-GB"/>
        </w:rPr>
        <w:t xml:space="preserve"> </w:t>
      </w:r>
      <w:r w:rsidR="002B1892" w:rsidRPr="00705E14">
        <w:rPr>
          <w:rFonts w:ascii="Times New Roman" w:hAnsi="Times New Roman" w:cs="Times New Roman"/>
          <w:bCs/>
          <w:noProof/>
          <w:sz w:val="24"/>
          <w:szCs w:val="24"/>
          <w:lang w:eastAsia="en-GB"/>
        </w:rPr>
        <w:t>works across the EU.</w:t>
      </w:r>
      <w:r w:rsidR="00AA2AE7" w:rsidRPr="00705E14">
        <w:rPr>
          <w:rStyle w:val="FootnoteReference"/>
          <w:rFonts w:ascii="Times New Roman" w:hAnsi="Times New Roman" w:cs="Times New Roman"/>
          <w:bCs/>
          <w:noProof/>
          <w:sz w:val="24"/>
          <w:szCs w:val="24"/>
          <w:lang w:eastAsia="en-GB"/>
        </w:rPr>
        <w:footnoteReference w:id="29"/>
      </w:r>
      <w:r w:rsidR="00E8263F" w:rsidRPr="00705E14">
        <w:rPr>
          <w:rFonts w:ascii="Times New Roman" w:hAnsi="Times New Roman" w:cs="Times New Roman"/>
          <w:bCs/>
          <w:noProof/>
          <w:sz w:val="24"/>
          <w:szCs w:val="24"/>
          <w:lang w:eastAsia="en-GB"/>
        </w:rPr>
        <w:t xml:space="preserve"> </w:t>
      </w:r>
      <w:r w:rsidR="001D7FC5" w:rsidRPr="00705E14">
        <w:rPr>
          <w:rFonts w:ascii="Times New Roman" w:hAnsi="Times New Roman" w:cs="Times New Roman"/>
          <w:bCs/>
          <w:noProof/>
          <w:sz w:val="24"/>
          <w:szCs w:val="24"/>
          <w:lang w:eastAsia="en-GB"/>
        </w:rPr>
        <w:t xml:space="preserve">The present section of the IA refers to these fields. </w:t>
      </w:r>
    </w:p>
    <w:p w:rsidR="00F72D32" w:rsidRPr="003E327F" w:rsidRDefault="00FD7AF3" w:rsidP="005D7A30">
      <w:pPr>
        <w:autoSpaceDE w:val="0"/>
        <w:autoSpaceDN w:val="0"/>
        <w:adjustRightInd w:val="0"/>
        <w:spacing w:after="120" w:line="240" w:lineRule="auto"/>
        <w:jc w:val="both"/>
        <w:rPr>
          <w:noProof/>
          <w:lang w:eastAsia="en-GB"/>
        </w:rPr>
      </w:pPr>
      <w:r>
        <w:rPr>
          <w:rFonts w:ascii="Times New Roman" w:hAnsi="Times New Roman"/>
          <w:bCs/>
          <w:noProof/>
          <w:sz w:val="24"/>
          <w:szCs w:val="24"/>
          <w:lang w:eastAsia="en-GB"/>
        </w:rPr>
        <w:t>T</w:t>
      </w:r>
      <w:r w:rsidR="00F72D32">
        <w:rPr>
          <w:rFonts w:ascii="Times New Roman" w:hAnsi="Times New Roman"/>
          <w:bCs/>
          <w:noProof/>
          <w:sz w:val="24"/>
          <w:szCs w:val="24"/>
          <w:lang w:eastAsia="en-GB"/>
        </w:rPr>
        <w:t>he Commission has carried out an evaluation of the Satellite and Cable Directive</w:t>
      </w:r>
      <w:r w:rsidR="003E327F">
        <w:rPr>
          <w:rStyle w:val="FootnoteReference"/>
          <w:rFonts w:ascii="Times New Roman" w:hAnsi="Times New Roman" w:cs="Times New Roman"/>
          <w:sz w:val="24"/>
          <w:szCs w:val="24"/>
          <w:lang w:eastAsia="en-GB"/>
        </w:rPr>
        <w:footnoteReference w:id="30"/>
      </w:r>
      <w:r w:rsidR="00F72D32">
        <w:rPr>
          <w:rFonts w:ascii="Times New Roman" w:hAnsi="Times New Roman"/>
          <w:bCs/>
          <w:noProof/>
          <w:sz w:val="24"/>
          <w:szCs w:val="24"/>
          <w:lang w:eastAsia="en-GB"/>
        </w:rPr>
        <w:t xml:space="preserve"> and in particular of the effectiveness and relevance of the principle of "country of origin" applicable to satellite transmissions and of the mandatory collective management applicable to cable retransmissions. Even though this evaluation, being limited to particular technologies of transmission (satellite an cable), is not directly relevant for the measures considered in this IA (online transmissions),</w:t>
      </w:r>
      <w:r>
        <w:rPr>
          <w:rStyle w:val="FootnoteReference"/>
          <w:rFonts w:ascii="Times New Roman" w:hAnsi="Times New Roman"/>
          <w:bCs/>
          <w:noProof/>
          <w:sz w:val="24"/>
          <w:szCs w:val="24"/>
          <w:lang w:eastAsia="en-GB"/>
        </w:rPr>
        <w:footnoteReference w:id="31"/>
      </w:r>
      <w:r w:rsidR="00F72D32">
        <w:rPr>
          <w:rFonts w:ascii="Times New Roman" w:hAnsi="Times New Roman"/>
          <w:bCs/>
          <w:noProof/>
          <w:sz w:val="24"/>
          <w:szCs w:val="24"/>
          <w:lang w:eastAsia="en-GB"/>
        </w:rPr>
        <w:t xml:space="preserve"> </w:t>
      </w:r>
      <w:r>
        <w:rPr>
          <w:rFonts w:ascii="Times New Roman" w:hAnsi="Times New Roman"/>
          <w:bCs/>
          <w:noProof/>
          <w:sz w:val="24"/>
          <w:szCs w:val="24"/>
          <w:lang w:eastAsia="en-GB"/>
        </w:rPr>
        <w:t>its</w:t>
      </w:r>
      <w:r w:rsidR="00F72D32">
        <w:rPr>
          <w:rFonts w:ascii="Times New Roman" w:hAnsi="Times New Roman"/>
          <w:bCs/>
          <w:noProof/>
          <w:sz w:val="24"/>
          <w:szCs w:val="24"/>
          <w:lang w:eastAsia="en-GB"/>
        </w:rPr>
        <w:t xml:space="preserve"> main findings have been taken into acccount where meaningful parallels could be drawn.</w:t>
      </w:r>
    </w:p>
    <w:p w:rsidR="00D7609A" w:rsidRDefault="00085FB6" w:rsidP="005D7A30">
      <w:pPr>
        <w:autoSpaceDE w:val="0"/>
        <w:autoSpaceDN w:val="0"/>
        <w:adjustRightInd w:val="0"/>
        <w:spacing w:after="120" w:line="240" w:lineRule="auto"/>
        <w:jc w:val="both"/>
        <w:rPr>
          <w:rFonts w:ascii="Times New Roman" w:hAnsi="Times New Roman" w:cs="Times New Roman"/>
          <w:bCs/>
          <w:noProof/>
          <w:sz w:val="24"/>
          <w:szCs w:val="24"/>
          <w:lang w:eastAsia="en-GB"/>
        </w:rPr>
      </w:pPr>
      <w:r w:rsidRPr="00705E14">
        <w:rPr>
          <w:rFonts w:ascii="Times New Roman" w:hAnsi="Times New Roman" w:cs="Times New Roman"/>
          <w:bCs/>
          <w:noProof/>
          <w:sz w:val="24"/>
          <w:szCs w:val="24"/>
          <w:lang w:eastAsia="en-GB"/>
        </w:rPr>
        <w:t xml:space="preserve">In </w:t>
      </w:r>
      <w:r w:rsidR="00F72D32">
        <w:rPr>
          <w:rFonts w:ascii="Times New Roman" w:hAnsi="Times New Roman" w:cs="Times New Roman"/>
          <w:bCs/>
          <w:noProof/>
          <w:sz w:val="24"/>
          <w:szCs w:val="24"/>
          <w:lang w:eastAsia="en-GB"/>
        </w:rPr>
        <w:t>the online environment</w:t>
      </w:r>
      <w:r w:rsidRPr="00705E14">
        <w:rPr>
          <w:rFonts w:ascii="Times New Roman" w:hAnsi="Times New Roman" w:cs="Times New Roman"/>
          <w:bCs/>
          <w:noProof/>
          <w:sz w:val="24"/>
          <w:szCs w:val="24"/>
          <w:lang w:eastAsia="en-GB"/>
        </w:rPr>
        <w:t xml:space="preserve">, players engaged in the distribution and dissemination of content </w:t>
      </w:r>
      <w:r w:rsidR="00ED7774" w:rsidRPr="00705E14">
        <w:rPr>
          <w:rFonts w:ascii="Times New Roman" w:hAnsi="Times New Roman" w:cs="Times New Roman"/>
          <w:bCs/>
          <w:noProof/>
          <w:sz w:val="24"/>
          <w:szCs w:val="24"/>
          <w:lang w:eastAsia="en-GB"/>
        </w:rPr>
        <w:t>(notably broad</w:t>
      </w:r>
      <w:r w:rsidR="009628FA" w:rsidRPr="00705E14">
        <w:rPr>
          <w:rFonts w:ascii="Times New Roman" w:hAnsi="Times New Roman" w:cs="Times New Roman"/>
          <w:bCs/>
          <w:noProof/>
          <w:sz w:val="24"/>
          <w:szCs w:val="24"/>
          <w:lang w:eastAsia="en-GB"/>
        </w:rPr>
        <w:t>casters, retransmission service providers</w:t>
      </w:r>
      <w:r w:rsidR="00ED7774" w:rsidRPr="00705E14">
        <w:rPr>
          <w:rFonts w:ascii="Times New Roman" w:hAnsi="Times New Roman" w:cs="Times New Roman"/>
          <w:bCs/>
          <w:noProof/>
          <w:sz w:val="24"/>
          <w:szCs w:val="24"/>
          <w:lang w:eastAsia="en-GB"/>
        </w:rPr>
        <w:t>, V</w:t>
      </w:r>
      <w:r w:rsidR="00481C8A" w:rsidRPr="00705E14">
        <w:rPr>
          <w:rFonts w:ascii="Times New Roman" w:hAnsi="Times New Roman" w:cs="Times New Roman"/>
          <w:bCs/>
          <w:noProof/>
          <w:sz w:val="24"/>
          <w:szCs w:val="24"/>
          <w:lang w:eastAsia="en-GB"/>
        </w:rPr>
        <w:t>o</w:t>
      </w:r>
      <w:r w:rsidR="00ED7774" w:rsidRPr="00705E14">
        <w:rPr>
          <w:rFonts w:ascii="Times New Roman" w:hAnsi="Times New Roman" w:cs="Times New Roman"/>
          <w:bCs/>
          <w:noProof/>
          <w:sz w:val="24"/>
          <w:szCs w:val="24"/>
          <w:lang w:eastAsia="en-GB"/>
        </w:rPr>
        <w:t xml:space="preserve">D platforms, but also </w:t>
      </w:r>
      <w:r w:rsidR="00481C8A" w:rsidRPr="00705E14">
        <w:rPr>
          <w:rFonts w:ascii="Times New Roman" w:hAnsi="Times New Roman" w:cs="Times New Roman"/>
          <w:bCs/>
          <w:noProof/>
          <w:sz w:val="24"/>
          <w:szCs w:val="24"/>
          <w:lang w:eastAsia="en-GB"/>
        </w:rPr>
        <w:t>CHIs</w:t>
      </w:r>
      <w:r w:rsidR="00D97A17" w:rsidRPr="00705E14">
        <w:rPr>
          <w:rFonts w:ascii="Times New Roman" w:hAnsi="Times New Roman" w:cs="Times New Roman"/>
          <w:bCs/>
          <w:noProof/>
          <w:sz w:val="24"/>
          <w:szCs w:val="24"/>
          <w:lang w:eastAsia="en-GB"/>
        </w:rPr>
        <w:t xml:space="preserve"> as far as the access to the heri</w:t>
      </w:r>
      <w:r w:rsidR="0078317E" w:rsidRPr="00705E14">
        <w:rPr>
          <w:rFonts w:ascii="Times New Roman" w:hAnsi="Times New Roman" w:cs="Times New Roman"/>
          <w:bCs/>
          <w:noProof/>
          <w:sz w:val="24"/>
          <w:szCs w:val="24"/>
          <w:lang w:eastAsia="en-GB"/>
        </w:rPr>
        <w:t>ta</w:t>
      </w:r>
      <w:r w:rsidR="00D97A17" w:rsidRPr="00705E14">
        <w:rPr>
          <w:rFonts w:ascii="Times New Roman" w:hAnsi="Times New Roman" w:cs="Times New Roman"/>
          <w:bCs/>
          <w:noProof/>
          <w:sz w:val="24"/>
          <w:szCs w:val="24"/>
          <w:lang w:eastAsia="en-GB"/>
        </w:rPr>
        <w:t>ge is concerned</w:t>
      </w:r>
      <w:r w:rsidR="00ED7774" w:rsidRPr="00705E14">
        <w:rPr>
          <w:rFonts w:ascii="Times New Roman" w:hAnsi="Times New Roman" w:cs="Times New Roman"/>
          <w:bCs/>
          <w:noProof/>
          <w:sz w:val="24"/>
          <w:szCs w:val="24"/>
          <w:lang w:eastAsia="en-GB"/>
        </w:rPr>
        <w:t xml:space="preserve">) </w:t>
      </w:r>
      <w:r w:rsidR="00CD4F67" w:rsidRPr="00705E14">
        <w:rPr>
          <w:rFonts w:ascii="Times New Roman" w:hAnsi="Times New Roman" w:cs="Times New Roman"/>
          <w:bCs/>
          <w:noProof/>
          <w:sz w:val="24"/>
          <w:szCs w:val="24"/>
          <w:lang w:eastAsia="en-GB"/>
        </w:rPr>
        <w:t xml:space="preserve">may </w:t>
      </w:r>
      <w:r w:rsidR="00ED7774" w:rsidRPr="00705E14">
        <w:rPr>
          <w:rFonts w:ascii="Times New Roman" w:hAnsi="Times New Roman" w:cs="Times New Roman"/>
          <w:bCs/>
          <w:noProof/>
          <w:sz w:val="24"/>
          <w:szCs w:val="24"/>
          <w:lang w:eastAsia="en-GB"/>
        </w:rPr>
        <w:t>face significant difficulties when trying to clear the rights for the online exploitation of protected wo</w:t>
      </w:r>
      <w:r w:rsidR="00F66C0E" w:rsidRPr="00705E14">
        <w:rPr>
          <w:rFonts w:ascii="Times New Roman" w:hAnsi="Times New Roman" w:cs="Times New Roman"/>
          <w:bCs/>
          <w:noProof/>
          <w:sz w:val="24"/>
          <w:szCs w:val="24"/>
          <w:lang w:eastAsia="en-GB"/>
        </w:rPr>
        <w:t>rks</w:t>
      </w:r>
      <w:r w:rsidR="002B4731" w:rsidRPr="00705E14">
        <w:rPr>
          <w:rFonts w:ascii="Times New Roman" w:hAnsi="Times New Roman" w:cs="Times New Roman"/>
          <w:bCs/>
          <w:noProof/>
          <w:sz w:val="24"/>
          <w:szCs w:val="24"/>
          <w:lang w:eastAsia="en-GB"/>
        </w:rPr>
        <w:t xml:space="preserve"> across the EU</w:t>
      </w:r>
      <w:r w:rsidR="00ED7774" w:rsidRPr="00705E14">
        <w:rPr>
          <w:rFonts w:ascii="Times New Roman" w:hAnsi="Times New Roman" w:cs="Times New Roman"/>
          <w:bCs/>
          <w:noProof/>
          <w:sz w:val="24"/>
          <w:szCs w:val="24"/>
          <w:lang w:eastAsia="en-GB"/>
        </w:rPr>
        <w:t>.</w:t>
      </w:r>
      <w:r w:rsidR="00A44C38" w:rsidRPr="00705E14">
        <w:rPr>
          <w:rStyle w:val="FootnoteReference"/>
          <w:rFonts w:ascii="Times New Roman" w:hAnsi="Times New Roman" w:cs="Times New Roman"/>
          <w:bCs/>
          <w:noProof/>
          <w:sz w:val="24"/>
          <w:szCs w:val="24"/>
          <w:lang w:eastAsia="en-GB"/>
        </w:rPr>
        <w:footnoteReference w:id="32"/>
      </w:r>
      <w:r w:rsidR="00ED7774" w:rsidRPr="00705E14">
        <w:rPr>
          <w:rFonts w:ascii="Times New Roman" w:hAnsi="Times New Roman" w:cs="Times New Roman"/>
          <w:bCs/>
          <w:noProof/>
          <w:sz w:val="24"/>
          <w:szCs w:val="24"/>
          <w:lang w:eastAsia="en-GB"/>
        </w:rPr>
        <w:t xml:space="preserve"> </w:t>
      </w:r>
      <w:r w:rsidR="00D7609A" w:rsidRPr="00705E14">
        <w:rPr>
          <w:rFonts w:ascii="Times New Roman" w:hAnsi="Times New Roman" w:cs="Times New Roman"/>
          <w:bCs/>
          <w:noProof/>
          <w:sz w:val="24"/>
          <w:szCs w:val="24"/>
          <w:lang w:eastAsia="en-GB"/>
        </w:rPr>
        <w:t>Also, VoD platforms willing to enrich their catalogue with European AV works often face problems</w:t>
      </w:r>
      <w:r w:rsidR="00D7609A">
        <w:rPr>
          <w:rFonts w:ascii="Times New Roman" w:hAnsi="Times New Roman" w:cs="Times New Roman"/>
          <w:bCs/>
          <w:noProof/>
          <w:sz w:val="24"/>
          <w:szCs w:val="24"/>
          <w:lang w:eastAsia="en-GB"/>
        </w:rPr>
        <w:t xml:space="preserve"> to acquire online rights. Fina</w:t>
      </w:r>
      <w:r w:rsidR="001805CC">
        <w:rPr>
          <w:rFonts w:ascii="Times New Roman" w:hAnsi="Times New Roman" w:cs="Times New Roman"/>
          <w:bCs/>
          <w:noProof/>
          <w:sz w:val="24"/>
          <w:szCs w:val="24"/>
          <w:lang w:eastAsia="en-GB"/>
        </w:rPr>
        <w:t>lly, Oo</w:t>
      </w:r>
      <w:r w:rsidR="006A7BC8">
        <w:rPr>
          <w:rFonts w:ascii="Times New Roman" w:hAnsi="Times New Roman" w:cs="Times New Roman"/>
          <w:bCs/>
          <w:noProof/>
          <w:sz w:val="24"/>
          <w:szCs w:val="24"/>
          <w:lang w:eastAsia="en-GB"/>
        </w:rPr>
        <w:t xml:space="preserve">C works held in the collections of </w:t>
      </w:r>
      <w:r w:rsidR="007E49BD">
        <w:rPr>
          <w:rFonts w:ascii="Times New Roman" w:hAnsi="Times New Roman" w:cs="Times New Roman"/>
          <w:bCs/>
          <w:noProof/>
          <w:sz w:val="24"/>
          <w:szCs w:val="24"/>
          <w:lang w:eastAsia="en-GB"/>
        </w:rPr>
        <w:t xml:space="preserve">CHIs </w:t>
      </w:r>
      <w:r w:rsidR="006A7BC8">
        <w:rPr>
          <w:rFonts w:ascii="Times New Roman" w:hAnsi="Times New Roman" w:cs="Times New Roman"/>
          <w:bCs/>
          <w:noProof/>
          <w:sz w:val="24"/>
          <w:szCs w:val="24"/>
          <w:lang w:eastAsia="en-GB"/>
        </w:rPr>
        <w:t>often remain unavailable online, due</w:t>
      </w:r>
      <w:r w:rsidR="00FD7AF3">
        <w:rPr>
          <w:rFonts w:ascii="Times New Roman" w:hAnsi="Times New Roman" w:cs="Times New Roman"/>
          <w:bCs/>
          <w:noProof/>
          <w:sz w:val="24"/>
          <w:szCs w:val="24"/>
          <w:lang w:eastAsia="en-GB"/>
        </w:rPr>
        <w:t>, in part,</w:t>
      </w:r>
      <w:r w:rsidR="006A7BC8">
        <w:rPr>
          <w:rFonts w:ascii="Times New Roman" w:hAnsi="Times New Roman" w:cs="Times New Roman"/>
          <w:bCs/>
          <w:noProof/>
          <w:sz w:val="24"/>
          <w:szCs w:val="24"/>
          <w:lang w:eastAsia="en-GB"/>
        </w:rPr>
        <w:t xml:space="preserve"> to </w:t>
      </w:r>
      <w:r w:rsidR="00CD4F67">
        <w:rPr>
          <w:rFonts w:ascii="Times New Roman" w:hAnsi="Times New Roman" w:cs="Times New Roman"/>
          <w:bCs/>
          <w:noProof/>
          <w:sz w:val="24"/>
          <w:szCs w:val="24"/>
          <w:lang w:eastAsia="en-GB"/>
        </w:rPr>
        <w:t xml:space="preserve">significant </w:t>
      </w:r>
      <w:r w:rsidR="006A7BC8">
        <w:rPr>
          <w:rFonts w:ascii="Times New Roman" w:hAnsi="Times New Roman" w:cs="Times New Roman"/>
          <w:bCs/>
          <w:noProof/>
          <w:sz w:val="24"/>
          <w:szCs w:val="24"/>
          <w:lang w:eastAsia="en-GB"/>
        </w:rPr>
        <w:t xml:space="preserve">difficulties in the clearance of rights. </w:t>
      </w:r>
    </w:p>
    <w:p w:rsidR="00FB5224" w:rsidRDefault="00ED7774" w:rsidP="005D7A30">
      <w:pPr>
        <w:autoSpaceDE w:val="0"/>
        <w:autoSpaceDN w:val="0"/>
        <w:adjustRightInd w:val="0"/>
        <w:spacing w:after="120" w:line="240" w:lineRule="auto"/>
        <w:jc w:val="both"/>
        <w:rPr>
          <w:rFonts w:ascii="Times New Roman" w:hAnsi="Times New Roman"/>
          <w:bCs/>
          <w:noProof/>
          <w:sz w:val="24"/>
          <w:szCs w:val="24"/>
          <w:lang w:eastAsia="en-GB"/>
        </w:rPr>
      </w:pPr>
      <w:r>
        <w:rPr>
          <w:rFonts w:ascii="Times New Roman" w:hAnsi="Times New Roman"/>
          <w:bCs/>
          <w:noProof/>
          <w:sz w:val="24"/>
          <w:szCs w:val="24"/>
          <w:lang w:eastAsia="en-GB"/>
        </w:rPr>
        <w:t>This</w:t>
      </w:r>
      <w:r w:rsidR="00627831">
        <w:rPr>
          <w:rFonts w:ascii="Times New Roman" w:hAnsi="Times New Roman"/>
          <w:bCs/>
          <w:noProof/>
          <w:sz w:val="24"/>
          <w:szCs w:val="24"/>
          <w:lang w:eastAsia="en-GB"/>
        </w:rPr>
        <w:t xml:space="preserve"> </w:t>
      </w:r>
      <w:r w:rsidR="00627831" w:rsidRPr="005D7A30">
        <w:rPr>
          <w:rFonts w:ascii="Times New Roman" w:hAnsi="Times New Roman" w:cs="Times New Roman"/>
          <w:bCs/>
          <w:noProof/>
          <w:sz w:val="24"/>
          <w:szCs w:val="24"/>
          <w:lang w:eastAsia="en-GB"/>
        </w:rPr>
        <w:t>section</w:t>
      </w:r>
      <w:r w:rsidR="00627831">
        <w:rPr>
          <w:rFonts w:ascii="Times New Roman" w:hAnsi="Times New Roman"/>
          <w:bCs/>
          <w:noProof/>
          <w:sz w:val="24"/>
          <w:szCs w:val="24"/>
          <w:lang w:eastAsia="en-GB"/>
        </w:rPr>
        <w:t xml:space="preserve"> of the IA examines how the </w:t>
      </w:r>
      <w:r w:rsidR="005D5D35">
        <w:rPr>
          <w:rFonts w:ascii="Times New Roman" w:hAnsi="Times New Roman"/>
          <w:bCs/>
          <w:noProof/>
          <w:sz w:val="24"/>
          <w:szCs w:val="24"/>
          <w:lang w:eastAsia="en-GB"/>
        </w:rPr>
        <w:t>clearance</w:t>
      </w:r>
      <w:r w:rsidR="00627831">
        <w:rPr>
          <w:rFonts w:ascii="Times New Roman" w:hAnsi="Times New Roman"/>
          <w:bCs/>
          <w:noProof/>
          <w:sz w:val="24"/>
          <w:szCs w:val="24"/>
          <w:lang w:eastAsia="en-GB"/>
        </w:rPr>
        <w:t xml:space="preserve"> of rights can be facilitated to improve the online availability of content across the EU.</w:t>
      </w:r>
      <w:r w:rsidR="002536E7">
        <w:rPr>
          <w:rFonts w:ascii="Times New Roman" w:hAnsi="Times New Roman"/>
          <w:bCs/>
          <w:noProof/>
          <w:sz w:val="24"/>
          <w:szCs w:val="24"/>
          <w:lang w:eastAsia="en-GB"/>
        </w:rPr>
        <w:t xml:space="preserve"> </w:t>
      </w:r>
    </w:p>
    <w:p w:rsidR="0032552E" w:rsidRPr="0056758B" w:rsidRDefault="0032552E" w:rsidP="00CF38F1">
      <w:pPr>
        <w:pStyle w:val="Heading3"/>
      </w:pPr>
      <w:bookmarkStart w:id="16" w:name="_Toc461114702"/>
      <w:r w:rsidRPr="009E1150">
        <w:t>Why should the EU act?</w:t>
      </w:r>
      <w:bookmarkEnd w:id="16"/>
      <w:r w:rsidRPr="009E1150">
        <w:t xml:space="preserve"> </w:t>
      </w:r>
    </w:p>
    <w:p w:rsidR="0032552E" w:rsidRPr="005D7A30" w:rsidRDefault="0032552E" w:rsidP="005D7A30">
      <w:pPr>
        <w:autoSpaceDE w:val="0"/>
        <w:autoSpaceDN w:val="0"/>
        <w:adjustRightInd w:val="0"/>
        <w:spacing w:after="120" w:line="240" w:lineRule="auto"/>
        <w:jc w:val="both"/>
        <w:rPr>
          <w:rFonts w:ascii="Times New Roman" w:hAnsi="Times New Roman" w:cs="Times New Roman"/>
          <w:b/>
          <w:bCs/>
          <w:noProof/>
          <w:sz w:val="24"/>
          <w:szCs w:val="24"/>
          <w:lang w:eastAsia="en-GB"/>
        </w:rPr>
      </w:pPr>
      <w:r w:rsidRPr="005D7A30">
        <w:rPr>
          <w:rFonts w:ascii="Times New Roman" w:hAnsi="Times New Roman" w:cs="Times New Roman"/>
          <w:b/>
          <w:bCs/>
          <w:noProof/>
          <w:sz w:val="24"/>
          <w:szCs w:val="24"/>
          <w:lang w:eastAsia="en-GB"/>
        </w:rPr>
        <w:t>Legal basis</w:t>
      </w:r>
    </w:p>
    <w:p w:rsidR="0032552E" w:rsidRDefault="0032552E" w:rsidP="0032552E">
      <w:pPr>
        <w:autoSpaceDE w:val="0"/>
        <w:autoSpaceDN w:val="0"/>
        <w:adjustRightInd w:val="0"/>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The EU's right to act follows from Article 114 of the Treaty on the Functioning of the European Union (TFEU</w:t>
      </w:r>
      <w:r w:rsidR="00AC0F96">
        <w:rPr>
          <w:rFonts w:ascii="Times New Roman" w:hAnsi="Times New Roman" w:cs="Times New Roman"/>
          <w:sz w:val="24"/>
          <w:szCs w:val="24"/>
          <w:lang w:eastAsia="en-GB"/>
        </w:rPr>
        <w:t>)</w:t>
      </w:r>
      <w:r w:rsidRPr="009E1150">
        <w:rPr>
          <w:rFonts w:ascii="Times New Roman" w:hAnsi="Times New Roman" w:cs="Times New Roman"/>
          <w:sz w:val="24"/>
          <w:szCs w:val="24"/>
          <w:lang w:eastAsia="en-GB"/>
        </w:rPr>
        <w:t xml:space="preserve">, which confers on the EU the power to adopt measures for the </w:t>
      </w:r>
      <w:r w:rsidRPr="005D7A30">
        <w:rPr>
          <w:rFonts w:ascii="Times New Roman" w:hAnsi="Times New Roman" w:cs="Times New Roman"/>
          <w:bCs/>
          <w:noProof/>
          <w:sz w:val="24"/>
          <w:szCs w:val="24"/>
          <w:lang w:eastAsia="en-GB"/>
        </w:rPr>
        <w:t>establishment</w:t>
      </w:r>
      <w:r w:rsidRPr="009E1150">
        <w:rPr>
          <w:rFonts w:ascii="Times New Roman" w:hAnsi="Times New Roman" w:cs="Times New Roman"/>
          <w:sz w:val="24"/>
          <w:szCs w:val="24"/>
          <w:lang w:eastAsia="en-GB"/>
        </w:rPr>
        <w:t xml:space="preserve"> and functioning of the internal market and has provided </w:t>
      </w:r>
      <w:r w:rsidR="002B4731">
        <w:rPr>
          <w:rFonts w:ascii="Times New Roman" w:hAnsi="Times New Roman" w:cs="Times New Roman"/>
          <w:sz w:val="24"/>
          <w:szCs w:val="24"/>
          <w:lang w:eastAsia="en-GB"/>
        </w:rPr>
        <w:t xml:space="preserve">a </w:t>
      </w:r>
      <w:r w:rsidRPr="009E1150">
        <w:rPr>
          <w:rFonts w:ascii="Times New Roman" w:hAnsi="Times New Roman" w:cs="Times New Roman"/>
          <w:sz w:val="24"/>
          <w:szCs w:val="24"/>
          <w:lang w:eastAsia="en-GB"/>
        </w:rPr>
        <w:t xml:space="preserve">legal basis for a wide range of EU instruments in the area of copyright. </w:t>
      </w:r>
    </w:p>
    <w:p w:rsidR="002536E7" w:rsidRDefault="002536E7" w:rsidP="002536E7">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rights relevant for online dissemination of content (</w:t>
      </w:r>
      <w:r>
        <w:rPr>
          <w:rFonts w:ascii="Times New Roman" w:hAnsi="Times New Roman"/>
          <w:sz w:val="24"/>
          <w:szCs w:val="24"/>
          <w:lang w:eastAsia="en-GB"/>
        </w:rPr>
        <w:t>notably the reproduction</w:t>
      </w:r>
      <w:r w:rsidR="00F71535">
        <w:rPr>
          <w:rFonts w:ascii="Times New Roman" w:hAnsi="Times New Roman"/>
          <w:sz w:val="24"/>
          <w:szCs w:val="24"/>
          <w:lang w:eastAsia="en-GB"/>
        </w:rPr>
        <w:t xml:space="preserve"> </w:t>
      </w:r>
      <w:r>
        <w:rPr>
          <w:rFonts w:ascii="Times New Roman" w:hAnsi="Times New Roman"/>
          <w:sz w:val="24"/>
          <w:szCs w:val="24"/>
          <w:lang w:eastAsia="en-GB"/>
        </w:rPr>
        <w:t>and making available rights)</w:t>
      </w:r>
      <w:r>
        <w:rPr>
          <w:rFonts w:ascii="Times New Roman" w:hAnsi="Times New Roman" w:cs="Times New Roman"/>
          <w:sz w:val="24"/>
          <w:szCs w:val="24"/>
          <w:lang w:eastAsia="en-GB"/>
        </w:rPr>
        <w:t xml:space="preserve"> have been harmonised in the InfoSoc Directive.</w:t>
      </w:r>
      <w:r w:rsidR="00085FB6">
        <w:rPr>
          <w:rStyle w:val="FootnoteReference"/>
          <w:rFonts w:ascii="Times New Roman" w:hAnsi="Times New Roman" w:cs="Times New Roman"/>
          <w:sz w:val="24"/>
          <w:szCs w:val="24"/>
          <w:lang w:eastAsia="en-GB"/>
        </w:rPr>
        <w:footnoteReference w:id="33"/>
      </w:r>
      <w:r>
        <w:rPr>
          <w:rFonts w:ascii="Times New Roman" w:hAnsi="Times New Roman" w:cs="Times New Roman"/>
          <w:sz w:val="24"/>
          <w:szCs w:val="24"/>
          <w:lang w:eastAsia="en-GB"/>
        </w:rPr>
        <w:t xml:space="preserve"> </w:t>
      </w:r>
    </w:p>
    <w:p w:rsidR="004B41BC" w:rsidRDefault="004B41BC" w:rsidP="0032552E">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definition of harmonised rules simplifying</w:t>
      </w:r>
      <w:r w:rsidR="002536E7">
        <w:rPr>
          <w:rFonts w:ascii="Times New Roman" w:hAnsi="Times New Roman" w:cs="Times New Roman"/>
          <w:sz w:val="24"/>
          <w:szCs w:val="24"/>
          <w:lang w:eastAsia="en-GB"/>
        </w:rPr>
        <w:t>, where appropriate,</w:t>
      </w:r>
      <w:r>
        <w:rPr>
          <w:rFonts w:ascii="Times New Roman" w:hAnsi="Times New Roman" w:cs="Times New Roman"/>
          <w:sz w:val="24"/>
          <w:szCs w:val="24"/>
          <w:lang w:eastAsia="en-GB"/>
        </w:rPr>
        <w:t xml:space="preserve"> the licensing of rights for online transmissions </w:t>
      </w:r>
      <w:r w:rsidR="00085FB6">
        <w:rPr>
          <w:rFonts w:ascii="Times New Roman" w:hAnsi="Times New Roman" w:cs="Times New Roman"/>
          <w:sz w:val="24"/>
          <w:szCs w:val="24"/>
          <w:lang w:eastAsia="en-GB"/>
        </w:rPr>
        <w:t>and retransmissions</w:t>
      </w:r>
      <w:r w:rsidR="007D4E66">
        <w:rPr>
          <w:rFonts w:ascii="Times New Roman" w:hAnsi="Times New Roman" w:cs="Times New Roman"/>
          <w:sz w:val="24"/>
          <w:szCs w:val="24"/>
          <w:lang w:eastAsia="en-GB"/>
        </w:rPr>
        <w:t xml:space="preserve"> of TV and radio programmes</w:t>
      </w:r>
      <w:r w:rsidR="00085FB6">
        <w:rPr>
          <w:rFonts w:ascii="Times New Roman" w:hAnsi="Times New Roman" w:cs="Times New Roman"/>
          <w:sz w:val="24"/>
          <w:szCs w:val="24"/>
          <w:lang w:eastAsia="en-GB"/>
        </w:rPr>
        <w:t>,</w:t>
      </w:r>
      <w:r w:rsidR="001805CC">
        <w:rPr>
          <w:rFonts w:ascii="Times New Roman" w:hAnsi="Times New Roman" w:cs="Times New Roman"/>
          <w:sz w:val="24"/>
          <w:szCs w:val="24"/>
          <w:lang w:eastAsia="en-GB"/>
        </w:rPr>
        <w:t xml:space="preserve"> and for the dissemination of Oo</w:t>
      </w:r>
      <w:r w:rsidR="00085FB6">
        <w:rPr>
          <w:rFonts w:ascii="Times New Roman" w:hAnsi="Times New Roman" w:cs="Times New Roman"/>
          <w:sz w:val="24"/>
          <w:szCs w:val="24"/>
          <w:lang w:eastAsia="en-GB"/>
        </w:rPr>
        <w:t xml:space="preserve">C works by CHIs, </w:t>
      </w:r>
      <w:r>
        <w:rPr>
          <w:rFonts w:ascii="Times New Roman" w:hAnsi="Times New Roman" w:cs="Times New Roman"/>
          <w:sz w:val="24"/>
          <w:szCs w:val="24"/>
          <w:lang w:eastAsia="en-GB"/>
        </w:rPr>
        <w:t>would contribute to improv</w:t>
      </w:r>
      <w:r w:rsidR="00E577A9">
        <w:rPr>
          <w:rFonts w:ascii="Times New Roman" w:hAnsi="Times New Roman" w:cs="Times New Roman"/>
          <w:sz w:val="24"/>
          <w:szCs w:val="24"/>
          <w:lang w:eastAsia="en-GB"/>
        </w:rPr>
        <w:t>ing</w:t>
      </w:r>
      <w:r>
        <w:rPr>
          <w:rFonts w:ascii="Times New Roman" w:hAnsi="Times New Roman" w:cs="Times New Roman"/>
          <w:sz w:val="24"/>
          <w:szCs w:val="24"/>
          <w:lang w:eastAsia="en-GB"/>
        </w:rPr>
        <w:t xml:space="preserve"> the functioning of the Digital Single Market, </w:t>
      </w:r>
      <w:r w:rsidRPr="005D7A30">
        <w:rPr>
          <w:rFonts w:ascii="Times New Roman" w:hAnsi="Times New Roman" w:cs="Times New Roman"/>
          <w:bCs/>
          <w:noProof/>
          <w:sz w:val="24"/>
          <w:szCs w:val="24"/>
          <w:lang w:eastAsia="en-GB"/>
        </w:rPr>
        <w:t>and</w:t>
      </w:r>
      <w:r>
        <w:rPr>
          <w:rFonts w:ascii="Times New Roman" w:hAnsi="Times New Roman" w:cs="Times New Roman"/>
          <w:sz w:val="24"/>
          <w:szCs w:val="24"/>
          <w:lang w:eastAsia="en-GB"/>
        </w:rPr>
        <w:t xml:space="preserve"> in particular the distribution of and access to digital content.</w:t>
      </w:r>
      <w:r w:rsidR="00E577A9">
        <w:rPr>
          <w:rFonts w:ascii="Times New Roman" w:hAnsi="Times New Roman" w:cs="Times New Roman"/>
          <w:sz w:val="24"/>
          <w:szCs w:val="24"/>
          <w:lang w:eastAsia="en-GB"/>
        </w:rPr>
        <w:t xml:space="preserve"> </w:t>
      </w:r>
      <w:r w:rsidR="007D4E66">
        <w:rPr>
          <w:rFonts w:ascii="Times New Roman" w:hAnsi="Times New Roman" w:cs="Times New Roman"/>
          <w:sz w:val="24"/>
          <w:szCs w:val="24"/>
          <w:lang w:eastAsia="en-GB"/>
        </w:rPr>
        <w:t>The same applies as regards the facilitation of negotiations to acquire online rights for AV content notably as regards rights for the exploitation in different territories.</w:t>
      </w:r>
    </w:p>
    <w:p w:rsidR="0061118E" w:rsidRPr="0061118E" w:rsidRDefault="009628FA"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Furthermore,</w:t>
      </w:r>
      <w:r w:rsidR="0032552E" w:rsidRPr="009E1150">
        <w:rPr>
          <w:rFonts w:ascii="Times New Roman" w:hAnsi="Times New Roman" w:cs="Times New Roman"/>
          <w:sz w:val="24"/>
          <w:szCs w:val="24"/>
          <w:lang w:eastAsia="en-GB"/>
        </w:rPr>
        <w:t xml:space="preserve"> Article 167(4) TFEU provides that the EU shall take cultural aspects into account in its action under other provisions of the Treaties, in particular in order to respect and to promote the diversity of its</w:t>
      </w:r>
      <w:r w:rsidR="0032552E">
        <w:rPr>
          <w:rFonts w:ascii="Times New Roman" w:hAnsi="Times New Roman" w:cs="Times New Roman"/>
          <w:sz w:val="24"/>
          <w:szCs w:val="24"/>
          <w:lang w:eastAsia="en-GB"/>
        </w:rPr>
        <w:t xml:space="preserve"> cultures. All proposed options</w:t>
      </w:r>
      <w:r w:rsidR="0032552E" w:rsidRPr="009E1150">
        <w:rPr>
          <w:rFonts w:ascii="Times New Roman" w:hAnsi="Times New Roman" w:cs="Times New Roman"/>
          <w:sz w:val="24"/>
          <w:szCs w:val="24"/>
          <w:lang w:eastAsia="en-GB"/>
        </w:rPr>
        <w:t xml:space="preserve"> take into account the implications of EU action for cultural diversity. </w:t>
      </w:r>
      <w:bookmarkStart w:id="17" w:name="_Toc378243988"/>
      <w:bookmarkStart w:id="18" w:name="_Toc392007520"/>
      <w:bookmarkStart w:id="19" w:name="_Toc414456181"/>
      <w:bookmarkStart w:id="20" w:name="_Toc414456450"/>
      <w:bookmarkStart w:id="21" w:name="_Toc427309274"/>
    </w:p>
    <w:p w:rsidR="0032552E" w:rsidRPr="0035525D" w:rsidRDefault="0032552E" w:rsidP="005D7A30">
      <w:pPr>
        <w:autoSpaceDE w:val="0"/>
        <w:autoSpaceDN w:val="0"/>
        <w:adjustRightInd w:val="0"/>
        <w:spacing w:after="120" w:line="240" w:lineRule="auto"/>
        <w:jc w:val="both"/>
      </w:pPr>
      <w:r w:rsidRPr="005D7A30">
        <w:rPr>
          <w:rFonts w:ascii="Times New Roman" w:hAnsi="Times New Roman" w:cs="Times New Roman"/>
          <w:b/>
          <w:bCs/>
          <w:noProof/>
          <w:sz w:val="24"/>
          <w:szCs w:val="24"/>
          <w:lang w:eastAsia="en-GB"/>
        </w:rPr>
        <w:t xml:space="preserve">Subsidiarity and </w:t>
      </w:r>
      <w:bookmarkEnd w:id="17"/>
      <w:bookmarkEnd w:id="18"/>
      <w:bookmarkEnd w:id="19"/>
      <w:bookmarkEnd w:id="20"/>
      <w:bookmarkEnd w:id="21"/>
      <w:r w:rsidRPr="005D7A30">
        <w:rPr>
          <w:rFonts w:ascii="Times New Roman" w:hAnsi="Times New Roman" w:cs="Times New Roman"/>
          <w:b/>
          <w:bCs/>
          <w:noProof/>
          <w:sz w:val="24"/>
          <w:szCs w:val="24"/>
          <w:lang w:eastAsia="en-GB"/>
        </w:rPr>
        <w:t>added value</w:t>
      </w:r>
    </w:p>
    <w:p w:rsidR="00B05EDE" w:rsidRDefault="00A55180" w:rsidP="00252BA3">
      <w:pPr>
        <w:autoSpaceDE w:val="0"/>
        <w:autoSpaceDN w:val="0"/>
        <w:adjustRightInd w:val="0"/>
        <w:spacing w:after="120" w:line="240" w:lineRule="auto"/>
        <w:jc w:val="both"/>
        <w:rPr>
          <w:rFonts w:ascii="Times New Roman" w:hAnsi="Times New Roman" w:cs="Times New Roman"/>
          <w:sz w:val="24"/>
          <w:szCs w:val="24"/>
        </w:rPr>
      </w:pPr>
      <w:r w:rsidRPr="009628FA">
        <w:rPr>
          <w:rFonts w:ascii="Times New Roman" w:hAnsi="Times New Roman" w:cs="Times New Roman"/>
          <w:sz w:val="24"/>
          <w:szCs w:val="24"/>
        </w:rPr>
        <w:t>The problems</w:t>
      </w:r>
      <w:r w:rsidR="009628FA" w:rsidRPr="009628FA">
        <w:rPr>
          <w:rFonts w:ascii="Times New Roman" w:hAnsi="Times New Roman" w:cs="Times New Roman"/>
          <w:sz w:val="24"/>
          <w:szCs w:val="24"/>
        </w:rPr>
        <w:t xml:space="preserve"> identified in this section of the IA </w:t>
      </w:r>
      <w:r w:rsidR="009628FA">
        <w:rPr>
          <w:rFonts w:ascii="Times New Roman" w:hAnsi="Times New Roman" w:cs="Times New Roman"/>
          <w:sz w:val="24"/>
          <w:szCs w:val="24"/>
        </w:rPr>
        <w:t>have an important cross-border dimension</w:t>
      </w:r>
      <w:r w:rsidR="00B05EDE">
        <w:rPr>
          <w:rFonts w:ascii="Times New Roman" w:hAnsi="Times New Roman" w:cs="Times New Roman"/>
          <w:sz w:val="24"/>
          <w:szCs w:val="24"/>
        </w:rPr>
        <w:t xml:space="preserve">: broadcasters face difficulties </w:t>
      </w:r>
      <w:r w:rsidR="00312B4F">
        <w:rPr>
          <w:rFonts w:ascii="Times New Roman" w:hAnsi="Times New Roman" w:cs="Times New Roman"/>
          <w:sz w:val="24"/>
          <w:szCs w:val="24"/>
        </w:rPr>
        <w:t>in particular when clearing rights for making their content available</w:t>
      </w:r>
      <w:r w:rsidR="002536E7">
        <w:rPr>
          <w:rFonts w:ascii="Times New Roman" w:hAnsi="Times New Roman" w:cs="Times New Roman"/>
          <w:sz w:val="24"/>
          <w:szCs w:val="24"/>
        </w:rPr>
        <w:t xml:space="preserve"> online</w:t>
      </w:r>
      <w:r w:rsidR="00312B4F">
        <w:rPr>
          <w:rFonts w:ascii="Times New Roman" w:hAnsi="Times New Roman" w:cs="Times New Roman"/>
          <w:sz w:val="24"/>
          <w:szCs w:val="24"/>
        </w:rPr>
        <w:t xml:space="preserve"> across borders; similarly, the </w:t>
      </w:r>
      <w:r w:rsidR="00D7609A">
        <w:rPr>
          <w:rFonts w:ascii="Times New Roman" w:hAnsi="Times New Roman" w:cs="Times New Roman"/>
          <w:sz w:val="24"/>
          <w:szCs w:val="24"/>
        </w:rPr>
        <w:t xml:space="preserve">acquisition </w:t>
      </w:r>
      <w:r w:rsidR="00312B4F">
        <w:rPr>
          <w:rFonts w:ascii="Times New Roman" w:hAnsi="Times New Roman" w:cs="Times New Roman"/>
          <w:sz w:val="24"/>
          <w:szCs w:val="24"/>
        </w:rPr>
        <w:t xml:space="preserve">of rights </w:t>
      </w:r>
      <w:r w:rsidR="007D4E66">
        <w:rPr>
          <w:rFonts w:ascii="Times New Roman" w:hAnsi="Times New Roman" w:cs="Times New Roman"/>
          <w:sz w:val="24"/>
          <w:szCs w:val="24"/>
        </w:rPr>
        <w:t>can be</w:t>
      </w:r>
      <w:r w:rsidR="00312B4F">
        <w:rPr>
          <w:rFonts w:ascii="Times New Roman" w:hAnsi="Times New Roman" w:cs="Times New Roman"/>
          <w:sz w:val="24"/>
          <w:szCs w:val="24"/>
        </w:rPr>
        <w:t xml:space="preserve"> complex for retransmission services </w:t>
      </w:r>
      <w:r w:rsidR="00935D54">
        <w:rPr>
          <w:rFonts w:ascii="Times New Roman" w:hAnsi="Times New Roman" w:cs="Times New Roman"/>
          <w:sz w:val="24"/>
          <w:szCs w:val="24"/>
        </w:rPr>
        <w:t xml:space="preserve">other than cable operators </w:t>
      </w:r>
      <w:r w:rsidR="00312B4F">
        <w:rPr>
          <w:rFonts w:ascii="Times New Roman" w:hAnsi="Times New Roman" w:cs="Times New Roman"/>
          <w:sz w:val="24"/>
          <w:szCs w:val="24"/>
        </w:rPr>
        <w:t xml:space="preserve">when they offer channels from other MS. </w:t>
      </w:r>
      <w:r w:rsidR="00157826">
        <w:rPr>
          <w:rFonts w:ascii="Times New Roman" w:eastAsia="Calibri" w:hAnsi="Times New Roman" w:cs="Times New Roman"/>
          <w:sz w:val="24"/>
          <w:szCs w:val="24"/>
        </w:rPr>
        <w:t>MS</w:t>
      </w:r>
      <w:r w:rsidR="007B60D7" w:rsidRPr="00AD57F7">
        <w:rPr>
          <w:rFonts w:ascii="Times New Roman" w:eastAsia="Calibri" w:hAnsi="Times New Roman" w:cs="Times New Roman"/>
          <w:sz w:val="24"/>
          <w:szCs w:val="24"/>
        </w:rPr>
        <w:t xml:space="preserve"> cannot intervene by legislation in order to establish a uniform regime </w:t>
      </w:r>
      <w:r w:rsidR="00157826">
        <w:rPr>
          <w:rFonts w:ascii="Times New Roman" w:eastAsia="Calibri" w:hAnsi="Times New Roman" w:cs="Times New Roman"/>
          <w:sz w:val="24"/>
          <w:szCs w:val="24"/>
        </w:rPr>
        <w:t>applicable to</w:t>
      </w:r>
      <w:r w:rsidR="007B60D7" w:rsidRPr="00AD57F7">
        <w:rPr>
          <w:rFonts w:ascii="Times New Roman" w:eastAsia="Calibri" w:hAnsi="Times New Roman" w:cs="Times New Roman"/>
          <w:sz w:val="24"/>
          <w:szCs w:val="24"/>
        </w:rPr>
        <w:t xml:space="preserve"> the </w:t>
      </w:r>
      <w:r w:rsidR="00157826">
        <w:rPr>
          <w:rFonts w:ascii="Times New Roman" w:eastAsia="Calibri" w:hAnsi="Times New Roman" w:cs="Times New Roman"/>
          <w:sz w:val="24"/>
          <w:szCs w:val="24"/>
        </w:rPr>
        <w:t>licensing</w:t>
      </w:r>
      <w:r w:rsidR="007B60D7" w:rsidRPr="00AD57F7">
        <w:rPr>
          <w:rFonts w:ascii="Times New Roman" w:eastAsia="Calibri" w:hAnsi="Times New Roman" w:cs="Times New Roman"/>
          <w:sz w:val="24"/>
          <w:szCs w:val="24"/>
        </w:rPr>
        <w:t xml:space="preserve"> of rights (which have been harmonised at EU level) for cross-border transmissions of TV and radio programmes. </w:t>
      </w:r>
      <w:r w:rsidR="00157826" w:rsidRPr="00AD57F7">
        <w:rPr>
          <w:rFonts w:ascii="Times New Roman" w:eastAsia="Calibri" w:hAnsi="Times New Roman" w:cs="Times New Roman"/>
          <w:sz w:val="24"/>
          <w:szCs w:val="24"/>
        </w:rPr>
        <w:t xml:space="preserve">Concerning the exercise of </w:t>
      </w:r>
      <w:r w:rsidR="00157826" w:rsidRPr="00AD57F7">
        <w:rPr>
          <w:rFonts w:ascii="Times New Roman" w:hAnsi="Times New Roman" w:cs="Times New Roman"/>
          <w:sz w:val="24"/>
          <w:szCs w:val="24"/>
        </w:rPr>
        <w:t>retransmission rights,</w:t>
      </w:r>
      <w:r w:rsidR="00157826">
        <w:t xml:space="preserve"> </w:t>
      </w:r>
      <w:r w:rsidR="00157826">
        <w:rPr>
          <w:rFonts w:ascii="Times New Roman" w:hAnsi="Times New Roman" w:cs="Times New Roman"/>
          <w:sz w:val="24"/>
          <w:szCs w:val="24"/>
        </w:rPr>
        <w:t>n</w:t>
      </w:r>
      <w:r w:rsidR="00BA1B74">
        <w:rPr>
          <w:rFonts w:ascii="Times New Roman" w:hAnsi="Times New Roman" w:cs="Times New Roman"/>
          <w:sz w:val="24"/>
          <w:szCs w:val="24"/>
        </w:rPr>
        <w:t xml:space="preserve">ational solutions </w:t>
      </w:r>
      <w:r w:rsidR="007D4E66">
        <w:rPr>
          <w:rFonts w:ascii="Times New Roman" w:hAnsi="Times New Roman" w:cs="Times New Roman"/>
          <w:sz w:val="24"/>
          <w:szCs w:val="24"/>
        </w:rPr>
        <w:t>may</w:t>
      </w:r>
      <w:r w:rsidR="00BA1B74">
        <w:rPr>
          <w:rFonts w:ascii="Times New Roman" w:hAnsi="Times New Roman" w:cs="Times New Roman"/>
          <w:sz w:val="24"/>
          <w:szCs w:val="24"/>
        </w:rPr>
        <w:t xml:space="preserve"> </w:t>
      </w:r>
      <w:r w:rsidR="00E577A9">
        <w:rPr>
          <w:rFonts w:ascii="Times New Roman" w:hAnsi="Times New Roman" w:cs="Times New Roman"/>
          <w:sz w:val="24"/>
          <w:szCs w:val="24"/>
        </w:rPr>
        <w:t xml:space="preserve">generate </w:t>
      </w:r>
      <w:r w:rsidR="00BA1B74">
        <w:rPr>
          <w:rFonts w:ascii="Times New Roman" w:hAnsi="Times New Roman" w:cs="Times New Roman"/>
          <w:sz w:val="24"/>
          <w:szCs w:val="24"/>
        </w:rPr>
        <w:t xml:space="preserve">further fragmentation in the Digital Single Market. </w:t>
      </w:r>
      <w:r w:rsidR="00157826" w:rsidRPr="00AD57F7">
        <w:rPr>
          <w:rFonts w:ascii="Times New Roman" w:eastAsia="Calibri" w:hAnsi="Times New Roman" w:cs="Times New Roman"/>
          <w:sz w:val="24"/>
          <w:szCs w:val="24"/>
        </w:rPr>
        <w:t xml:space="preserve">Only intervention at EU level can ensure legal certainty for all retransmission operators and </w:t>
      </w:r>
      <w:r w:rsidR="00687496">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00157826" w:rsidRPr="00AD57F7">
        <w:rPr>
          <w:rFonts w:ascii="Times New Roman" w:eastAsia="Calibri" w:hAnsi="Times New Roman" w:cs="Times New Roman"/>
          <w:sz w:val="24"/>
          <w:szCs w:val="24"/>
        </w:rPr>
        <w:t xml:space="preserve">. </w:t>
      </w:r>
    </w:p>
    <w:p w:rsidR="00D16292" w:rsidRPr="00705E14" w:rsidRDefault="00A33FCD" w:rsidP="005D7A30">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As regards the onlin</w:t>
      </w:r>
      <w:r w:rsidR="007F3587">
        <w:rPr>
          <w:rFonts w:ascii="Times New Roman" w:hAnsi="Times New Roman" w:cs="Times New Roman"/>
          <w:sz w:val="24"/>
          <w:szCs w:val="24"/>
        </w:rPr>
        <w:t>e availability of E</w:t>
      </w:r>
      <w:r w:rsidR="002821B6">
        <w:rPr>
          <w:rFonts w:ascii="Times New Roman" w:hAnsi="Times New Roman" w:cs="Times New Roman"/>
          <w:sz w:val="24"/>
          <w:szCs w:val="24"/>
        </w:rPr>
        <w:t>uropean</w:t>
      </w:r>
      <w:r w:rsidR="007F3587">
        <w:rPr>
          <w:rFonts w:ascii="Times New Roman" w:hAnsi="Times New Roman" w:cs="Times New Roman"/>
          <w:sz w:val="24"/>
          <w:szCs w:val="24"/>
        </w:rPr>
        <w:t xml:space="preserve"> AV works, </w:t>
      </w:r>
      <w:r w:rsidR="002821B6">
        <w:rPr>
          <w:rFonts w:ascii="Times New Roman" w:hAnsi="Times New Roman" w:cs="Times New Roman"/>
          <w:sz w:val="24"/>
          <w:szCs w:val="24"/>
        </w:rPr>
        <w:t>MS</w:t>
      </w:r>
      <w:r w:rsidR="007F3587">
        <w:rPr>
          <w:rFonts w:ascii="Times New Roman" w:hAnsi="Times New Roman" w:cs="Times New Roman"/>
          <w:sz w:val="24"/>
          <w:szCs w:val="24"/>
        </w:rPr>
        <w:t xml:space="preserve">' action </w:t>
      </w:r>
      <w:r w:rsidR="002821B6">
        <w:rPr>
          <w:rFonts w:ascii="Times New Roman" w:hAnsi="Times New Roman" w:cs="Times New Roman"/>
          <w:sz w:val="24"/>
          <w:szCs w:val="24"/>
        </w:rPr>
        <w:t xml:space="preserve">may </w:t>
      </w:r>
      <w:r w:rsidR="007F3587">
        <w:rPr>
          <w:rFonts w:ascii="Times New Roman" w:hAnsi="Times New Roman" w:cs="Times New Roman"/>
          <w:sz w:val="24"/>
          <w:szCs w:val="24"/>
        </w:rPr>
        <w:t xml:space="preserve">not be sufficient </w:t>
      </w:r>
      <w:r w:rsidR="007F3587" w:rsidRPr="00705E14">
        <w:rPr>
          <w:rFonts w:ascii="Times New Roman" w:hAnsi="Times New Roman" w:cs="Times New Roman"/>
          <w:sz w:val="24"/>
          <w:szCs w:val="24"/>
        </w:rPr>
        <w:t xml:space="preserve">to improve </w:t>
      </w:r>
      <w:r w:rsidR="007F3587" w:rsidRPr="00705E14">
        <w:rPr>
          <w:rFonts w:ascii="Times New Roman" w:hAnsi="Times New Roman" w:cs="Times New Roman"/>
          <w:sz w:val="24"/>
          <w:szCs w:val="24"/>
          <w:lang w:eastAsia="en-GB"/>
        </w:rPr>
        <w:t>the</w:t>
      </w:r>
      <w:r w:rsidR="007F3587" w:rsidRPr="00705E14">
        <w:rPr>
          <w:rFonts w:ascii="Times New Roman" w:hAnsi="Times New Roman" w:cs="Times New Roman"/>
          <w:sz w:val="24"/>
          <w:szCs w:val="24"/>
        </w:rPr>
        <w:t xml:space="preserve"> online availability of European (including non-national) AV works. </w:t>
      </w:r>
      <w:r w:rsidR="00F042A4" w:rsidRPr="00705E14">
        <w:rPr>
          <w:rFonts w:ascii="Times New Roman" w:hAnsi="Times New Roman" w:cs="Times New Roman"/>
          <w:sz w:val="24"/>
          <w:szCs w:val="24"/>
        </w:rPr>
        <w:t>The dialogue between the relevant stakeholders and n</w:t>
      </w:r>
      <w:r w:rsidR="007F3587" w:rsidRPr="00705E14">
        <w:rPr>
          <w:rFonts w:ascii="Times New Roman" w:hAnsi="Times New Roman" w:cs="Times New Roman"/>
          <w:sz w:val="24"/>
          <w:szCs w:val="24"/>
        </w:rPr>
        <w:t>egotiations for the licensing of online rights need to be encouraged at EU level in order to have an impact on the diversity of the content offered by online services, and in particular on the presence of European works</w:t>
      </w:r>
      <w:r w:rsidR="007C008A" w:rsidRPr="00705E14">
        <w:rPr>
          <w:rFonts w:ascii="Times New Roman" w:hAnsi="Times New Roman" w:cs="Times New Roman"/>
          <w:sz w:val="24"/>
          <w:szCs w:val="24"/>
        </w:rPr>
        <w:t xml:space="preserve"> in catalogues of these</w:t>
      </w:r>
      <w:r w:rsidR="009E2530" w:rsidRPr="00705E14">
        <w:rPr>
          <w:rFonts w:ascii="Times New Roman" w:hAnsi="Times New Roman" w:cs="Times New Roman"/>
          <w:sz w:val="24"/>
          <w:szCs w:val="24"/>
        </w:rPr>
        <w:t xml:space="preserve"> services</w:t>
      </w:r>
      <w:r w:rsidR="007F3587" w:rsidRPr="00705E14">
        <w:rPr>
          <w:rFonts w:ascii="Times New Roman" w:hAnsi="Times New Roman" w:cs="Times New Roman"/>
          <w:sz w:val="24"/>
          <w:szCs w:val="24"/>
        </w:rPr>
        <w:t>.</w:t>
      </w:r>
      <w:r w:rsidR="004C29CA">
        <w:rPr>
          <w:rStyle w:val="FootnoteReference"/>
          <w:rFonts w:ascii="Times New Roman Bold" w:hAnsi="Times New Roman Bold"/>
          <w:smallCaps/>
        </w:rPr>
        <w:footnoteReference w:id="34"/>
      </w:r>
    </w:p>
    <w:p w:rsidR="004A03F2" w:rsidRDefault="001805CC" w:rsidP="004A03F2">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Regarding Oo</w:t>
      </w:r>
      <w:r w:rsidR="004A03F2" w:rsidRPr="00705E14">
        <w:rPr>
          <w:rFonts w:ascii="Times New Roman" w:hAnsi="Times New Roman" w:cs="Times New Roman"/>
          <w:sz w:val="24"/>
          <w:szCs w:val="24"/>
        </w:rPr>
        <w:t>C works, EU action responds to the need to facilitate the making available to the public of the heritage held</w:t>
      </w:r>
      <w:r w:rsidR="004A03F2" w:rsidRPr="00A33FCD">
        <w:rPr>
          <w:rFonts w:ascii="Times New Roman" w:hAnsi="Times New Roman" w:cs="Times New Roman"/>
          <w:sz w:val="24"/>
          <w:szCs w:val="24"/>
        </w:rPr>
        <w:t xml:space="preserve"> in CHIs, including across borders. Without EU intervention, such actions would be limited by national borders </w:t>
      </w:r>
      <w:r w:rsidR="004A03F2">
        <w:rPr>
          <w:rFonts w:ascii="Times New Roman" w:hAnsi="Times New Roman" w:cs="Times New Roman"/>
          <w:sz w:val="24"/>
          <w:szCs w:val="24"/>
        </w:rPr>
        <w:t>(</w:t>
      </w:r>
      <w:r w:rsidR="004A03F2" w:rsidRPr="00A33FCD">
        <w:rPr>
          <w:rFonts w:ascii="Times New Roman" w:hAnsi="Times New Roman" w:cs="Times New Roman"/>
          <w:sz w:val="24"/>
          <w:szCs w:val="24"/>
        </w:rPr>
        <w:t>and would happen only in some MS</w:t>
      </w:r>
      <w:r w:rsidR="004A03F2">
        <w:rPr>
          <w:rFonts w:ascii="Times New Roman" w:hAnsi="Times New Roman" w:cs="Times New Roman"/>
          <w:sz w:val="24"/>
          <w:szCs w:val="24"/>
        </w:rPr>
        <w:t>, or at a varying pace)</w:t>
      </w:r>
      <w:r w:rsidR="004A03F2" w:rsidRPr="00A33FCD">
        <w:rPr>
          <w:rFonts w:ascii="Times New Roman" w:hAnsi="Times New Roman" w:cs="Times New Roman"/>
          <w:sz w:val="24"/>
          <w:szCs w:val="24"/>
        </w:rPr>
        <w:t>.</w:t>
      </w:r>
      <w:r w:rsidR="004A03F2">
        <w:rPr>
          <w:rFonts w:ascii="Times New Roman" w:hAnsi="Times New Roman" w:cs="Times New Roman"/>
          <w:sz w:val="24"/>
          <w:szCs w:val="24"/>
        </w:rPr>
        <w:t xml:space="preserve"> CHIs pointed to the importance to solve the cross-border aspect of this problem, as also did right holder signatories to the Memorandum of Understanding </w:t>
      </w:r>
      <w:r w:rsidR="004A03F2" w:rsidRPr="00213FF2">
        <w:rPr>
          <w:rFonts w:ascii="Times New Roman" w:hAnsi="Times New Roman" w:cs="Times New Roman"/>
          <w:sz w:val="24"/>
          <w:szCs w:val="24"/>
        </w:rPr>
        <w:t>on Key Principles on the Digitisation and Making Available of Out-of-Commerce Works, signed on 20 September 2011</w:t>
      </w:r>
      <w:r w:rsidR="004A03F2">
        <w:rPr>
          <w:rFonts w:ascii="Times New Roman" w:hAnsi="Times New Roman" w:cs="Times New Roman"/>
          <w:sz w:val="24"/>
          <w:szCs w:val="24"/>
        </w:rPr>
        <w:t>.</w:t>
      </w:r>
    </w:p>
    <w:p w:rsidR="0032552E" w:rsidRDefault="0032552E" w:rsidP="00CF38F1">
      <w:pPr>
        <w:pStyle w:val="Heading3"/>
      </w:pPr>
      <w:bookmarkStart w:id="22" w:name="_Toc461114703"/>
      <w:r w:rsidRPr="009E1150">
        <w:t>What should be achieved?</w:t>
      </w:r>
      <w:bookmarkEnd w:id="22"/>
      <w:r w:rsidRPr="009E1150">
        <w:t xml:space="preserve"> </w:t>
      </w:r>
    </w:p>
    <w:p w:rsidR="008F4224" w:rsidRPr="00252BA3" w:rsidRDefault="0032552E" w:rsidP="00252BA3">
      <w:pPr>
        <w:autoSpaceDE w:val="0"/>
        <w:autoSpaceDN w:val="0"/>
        <w:adjustRightInd w:val="0"/>
        <w:spacing w:after="120" w:line="240" w:lineRule="auto"/>
        <w:jc w:val="both"/>
        <w:rPr>
          <w:rFonts w:ascii="Times New Roman" w:hAnsi="Times New Roman" w:cs="Times New Roman"/>
          <w:sz w:val="24"/>
          <w:szCs w:val="24"/>
        </w:rPr>
      </w:pPr>
      <w:r w:rsidRPr="00252BA3">
        <w:rPr>
          <w:rFonts w:ascii="Times New Roman" w:hAnsi="Times New Roman" w:cs="Times New Roman"/>
          <w:sz w:val="24"/>
          <w:szCs w:val="24"/>
        </w:rPr>
        <w:t xml:space="preserve">The general objective of EU intervention is to </w:t>
      </w:r>
      <w:r w:rsidR="008F4224" w:rsidRPr="00252BA3">
        <w:rPr>
          <w:rFonts w:ascii="Times New Roman" w:hAnsi="Times New Roman" w:cs="Times New Roman"/>
          <w:sz w:val="24"/>
          <w:szCs w:val="24"/>
        </w:rPr>
        <w:t xml:space="preserve">allow for wider online access </w:t>
      </w:r>
      <w:r w:rsidR="00312B4F" w:rsidRPr="00252BA3">
        <w:rPr>
          <w:rFonts w:ascii="Times New Roman" w:hAnsi="Times New Roman" w:cs="Times New Roman"/>
          <w:sz w:val="24"/>
          <w:szCs w:val="24"/>
        </w:rPr>
        <w:t xml:space="preserve">to protected content by users across the EU, in particular in the following areas: </w:t>
      </w:r>
      <w:r w:rsidR="003E327F" w:rsidRPr="00252BA3">
        <w:rPr>
          <w:rFonts w:ascii="Times New Roman" w:hAnsi="Times New Roman" w:cs="Times New Roman"/>
          <w:sz w:val="24"/>
          <w:szCs w:val="24"/>
        </w:rPr>
        <w:t xml:space="preserve">transmissions and retransmissions of </w:t>
      </w:r>
      <w:r w:rsidR="00312B4F" w:rsidRPr="00252BA3">
        <w:rPr>
          <w:rFonts w:ascii="Times New Roman" w:hAnsi="Times New Roman" w:cs="Times New Roman"/>
          <w:sz w:val="24"/>
          <w:szCs w:val="24"/>
        </w:rPr>
        <w:t>TV and radio programmes; E</w:t>
      </w:r>
      <w:r w:rsidR="007F3587" w:rsidRPr="00252BA3">
        <w:rPr>
          <w:rFonts w:ascii="Times New Roman" w:hAnsi="Times New Roman" w:cs="Times New Roman"/>
          <w:sz w:val="24"/>
          <w:szCs w:val="24"/>
        </w:rPr>
        <w:t>uropean</w:t>
      </w:r>
      <w:r w:rsidR="00312B4F" w:rsidRPr="00252BA3">
        <w:rPr>
          <w:rFonts w:ascii="Times New Roman" w:hAnsi="Times New Roman" w:cs="Times New Roman"/>
          <w:sz w:val="24"/>
          <w:szCs w:val="24"/>
        </w:rPr>
        <w:t xml:space="preserve"> AV works and cultural heritage. </w:t>
      </w:r>
    </w:p>
    <w:p w:rsidR="0032552E" w:rsidRPr="00252BA3" w:rsidRDefault="00312B4F" w:rsidP="00252BA3">
      <w:pPr>
        <w:autoSpaceDE w:val="0"/>
        <w:autoSpaceDN w:val="0"/>
        <w:adjustRightInd w:val="0"/>
        <w:spacing w:after="120" w:line="240" w:lineRule="auto"/>
        <w:jc w:val="both"/>
        <w:rPr>
          <w:rFonts w:ascii="Times New Roman" w:hAnsi="Times New Roman" w:cs="Times New Roman"/>
          <w:sz w:val="24"/>
          <w:szCs w:val="24"/>
        </w:rPr>
      </w:pPr>
      <w:r w:rsidRPr="00252BA3">
        <w:rPr>
          <w:rFonts w:ascii="Times New Roman" w:hAnsi="Times New Roman" w:cs="Times New Roman"/>
          <w:sz w:val="24"/>
          <w:szCs w:val="24"/>
        </w:rPr>
        <w:t xml:space="preserve">EU action aims at removing the copyright-related obstacles and </w:t>
      </w:r>
      <w:r w:rsidR="00DA41F7" w:rsidRPr="00252BA3">
        <w:rPr>
          <w:rFonts w:ascii="Times New Roman" w:hAnsi="Times New Roman" w:cs="Times New Roman"/>
          <w:sz w:val="24"/>
          <w:szCs w:val="24"/>
        </w:rPr>
        <w:t xml:space="preserve">at </w:t>
      </w:r>
      <w:r w:rsidRPr="00252BA3">
        <w:rPr>
          <w:rFonts w:ascii="Times New Roman" w:hAnsi="Times New Roman" w:cs="Times New Roman"/>
          <w:sz w:val="24"/>
          <w:szCs w:val="24"/>
        </w:rPr>
        <w:t>crea</w:t>
      </w:r>
      <w:r w:rsidR="007F3587" w:rsidRPr="00252BA3">
        <w:rPr>
          <w:rFonts w:ascii="Times New Roman" w:hAnsi="Times New Roman" w:cs="Times New Roman"/>
          <w:sz w:val="24"/>
          <w:szCs w:val="24"/>
        </w:rPr>
        <w:t xml:space="preserve">ting the conditions allowing </w:t>
      </w:r>
      <w:r w:rsidR="00DA41F7" w:rsidRPr="00252BA3">
        <w:rPr>
          <w:rFonts w:ascii="Times New Roman" w:hAnsi="Times New Roman" w:cs="Times New Roman"/>
          <w:sz w:val="24"/>
          <w:szCs w:val="24"/>
        </w:rPr>
        <w:t xml:space="preserve">broadcasters, service providers and CHIs </w:t>
      </w:r>
      <w:r w:rsidR="007F3587" w:rsidRPr="00252BA3">
        <w:rPr>
          <w:rFonts w:ascii="Times New Roman" w:hAnsi="Times New Roman" w:cs="Times New Roman"/>
          <w:sz w:val="24"/>
          <w:szCs w:val="24"/>
        </w:rPr>
        <w:t>to</w:t>
      </w:r>
      <w:r w:rsidR="00C837B0" w:rsidRPr="00252BA3">
        <w:rPr>
          <w:rFonts w:ascii="Times New Roman" w:hAnsi="Times New Roman" w:cs="Times New Roman"/>
          <w:sz w:val="24"/>
          <w:szCs w:val="24"/>
        </w:rPr>
        <w:t xml:space="preserve"> </w:t>
      </w:r>
      <w:r w:rsidRPr="00252BA3">
        <w:rPr>
          <w:rFonts w:ascii="Times New Roman" w:hAnsi="Times New Roman" w:cs="Times New Roman"/>
          <w:sz w:val="24"/>
          <w:szCs w:val="24"/>
        </w:rPr>
        <w:t>offer wider online access to content across the EU. The specific objectives are therefore defined in terms of faci</w:t>
      </w:r>
      <w:r w:rsidR="00C837B0" w:rsidRPr="00252BA3">
        <w:rPr>
          <w:rFonts w:ascii="Times New Roman" w:hAnsi="Times New Roman" w:cs="Times New Roman"/>
          <w:sz w:val="24"/>
          <w:szCs w:val="24"/>
        </w:rPr>
        <w:t xml:space="preserve">litating </w:t>
      </w:r>
      <w:r w:rsidR="00185C5F" w:rsidRPr="00252BA3">
        <w:rPr>
          <w:rFonts w:ascii="Times New Roman" w:hAnsi="Times New Roman" w:cs="Times New Roman"/>
          <w:sz w:val="24"/>
          <w:szCs w:val="24"/>
        </w:rPr>
        <w:t>clearance</w:t>
      </w:r>
      <w:r w:rsidR="00252BA3">
        <w:rPr>
          <w:rFonts w:ascii="Times New Roman" w:hAnsi="Times New Roman" w:cs="Times New Roman"/>
          <w:sz w:val="24"/>
          <w:szCs w:val="24"/>
        </w:rPr>
        <w:t xml:space="preserve"> of rights </w:t>
      </w:r>
      <w:r w:rsidR="00DF75D7" w:rsidRPr="00252BA3">
        <w:rPr>
          <w:rFonts w:ascii="Times New Roman" w:hAnsi="Times New Roman" w:cs="Times New Roman"/>
          <w:sz w:val="24"/>
          <w:szCs w:val="24"/>
        </w:rPr>
        <w:t xml:space="preserve">(and </w:t>
      </w:r>
      <w:r w:rsidR="00C837B0" w:rsidRPr="00252BA3">
        <w:rPr>
          <w:rFonts w:ascii="Times New Roman" w:hAnsi="Times New Roman" w:cs="Times New Roman"/>
          <w:sz w:val="24"/>
          <w:szCs w:val="24"/>
        </w:rPr>
        <w:t>negotiation</w:t>
      </w:r>
      <w:r w:rsidR="00DF75D7" w:rsidRPr="00252BA3">
        <w:rPr>
          <w:rFonts w:ascii="Times New Roman" w:hAnsi="Times New Roman" w:cs="Times New Roman"/>
          <w:sz w:val="24"/>
          <w:szCs w:val="24"/>
        </w:rPr>
        <w:t>)</w:t>
      </w:r>
      <w:r w:rsidR="00C837B0" w:rsidRPr="00252BA3">
        <w:rPr>
          <w:rFonts w:ascii="Times New Roman" w:hAnsi="Times New Roman" w:cs="Times New Roman"/>
          <w:sz w:val="24"/>
          <w:szCs w:val="24"/>
        </w:rPr>
        <w:t xml:space="preserve"> between the relevant parties. </w:t>
      </w:r>
    </w:p>
    <w:p w:rsidR="00912B26" w:rsidRPr="00C66E5F" w:rsidRDefault="003E327F" w:rsidP="00C66E5F">
      <w:pPr>
        <w:pStyle w:val="Default"/>
        <w:jc w:val="both"/>
        <w:rPr>
          <w:szCs w:val="28"/>
        </w:rPr>
      </w:pPr>
      <w:r>
        <w:rPr>
          <w:noProof/>
          <w:szCs w:val="28"/>
          <w:lang w:eastAsia="en-GB"/>
        </w:rPr>
        <w:drawing>
          <wp:inline distT="0" distB="0" distL="0" distR="0" wp14:anchorId="687352F3" wp14:editId="2B42123D">
            <wp:extent cx="5759939" cy="367011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384" cy="3671668"/>
                    </a:xfrm>
                    <a:prstGeom prst="rect">
                      <a:avLst/>
                    </a:prstGeom>
                    <a:noFill/>
                  </pic:spPr>
                </pic:pic>
              </a:graphicData>
            </a:graphic>
          </wp:inline>
        </w:drawing>
      </w:r>
    </w:p>
    <w:p w:rsidR="0032552E" w:rsidRPr="0056758B" w:rsidRDefault="0032552E" w:rsidP="00CF38F1">
      <w:pPr>
        <w:pStyle w:val="Heading3"/>
      </w:pPr>
      <w:bookmarkStart w:id="23" w:name="_Ref452125762"/>
      <w:bookmarkStart w:id="24" w:name="_Toc461114704"/>
      <w:r w:rsidRPr="009E1150">
        <w:t>Methodology</w:t>
      </w:r>
      <w:bookmarkEnd w:id="23"/>
      <w:bookmarkEnd w:id="24"/>
    </w:p>
    <w:p w:rsidR="00DF02FF" w:rsidRPr="005D7A30" w:rsidRDefault="0032552E" w:rsidP="005D7A30">
      <w:pPr>
        <w:autoSpaceDE w:val="0"/>
        <w:autoSpaceDN w:val="0"/>
        <w:adjustRightInd w:val="0"/>
        <w:spacing w:after="120" w:line="240" w:lineRule="auto"/>
        <w:jc w:val="both"/>
        <w:rPr>
          <w:rFonts w:ascii="Times New Roman" w:hAnsi="Times New Roman" w:cs="Times New Roman"/>
          <w:b/>
          <w:bCs/>
          <w:noProof/>
          <w:sz w:val="24"/>
          <w:szCs w:val="24"/>
          <w:lang w:eastAsia="en-GB"/>
        </w:rPr>
      </w:pPr>
      <w:r w:rsidRPr="005D7A30">
        <w:rPr>
          <w:rFonts w:ascii="Times New Roman" w:hAnsi="Times New Roman" w:cs="Times New Roman"/>
          <w:b/>
          <w:bCs/>
          <w:noProof/>
          <w:sz w:val="24"/>
          <w:szCs w:val="24"/>
          <w:lang w:eastAsia="en-GB"/>
        </w:rPr>
        <w:t>Problem definition</w:t>
      </w:r>
    </w:p>
    <w:p w:rsidR="00380CF9" w:rsidRDefault="00F57D70" w:rsidP="00921222">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As </w:t>
      </w:r>
      <w:r>
        <w:rPr>
          <w:rFonts w:ascii="Times New Roman" w:hAnsi="Times New Roman" w:cs="Times New Roman"/>
          <w:sz w:val="24"/>
          <w:szCs w:val="24"/>
        </w:rPr>
        <w:t>illustrated</w:t>
      </w:r>
      <w:r>
        <w:rPr>
          <w:rFonts w:ascii="Times New Roman" w:hAnsi="Times New Roman" w:cs="Times New Roman"/>
          <w:sz w:val="24"/>
          <w:szCs w:val="24"/>
          <w:lang w:eastAsia="en-GB"/>
        </w:rPr>
        <w:t xml:space="preserve"> in the problem tree presented below, the</w:t>
      </w:r>
      <w:r w:rsidRPr="009E1150">
        <w:rPr>
          <w:rFonts w:ascii="Times New Roman" w:hAnsi="Times New Roman" w:cs="Times New Roman"/>
          <w:sz w:val="24"/>
          <w:szCs w:val="24"/>
          <w:lang w:eastAsia="en-GB"/>
        </w:rPr>
        <w:t xml:space="preserve"> </w:t>
      </w:r>
      <w:r w:rsidR="0032552E" w:rsidRPr="009E1150">
        <w:rPr>
          <w:rFonts w:ascii="Times New Roman" w:hAnsi="Times New Roman" w:cs="Times New Roman"/>
          <w:sz w:val="24"/>
          <w:szCs w:val="24"/>
          <w:lang w:eastAsia="en-GB"/>
        </w:rPr>
        <w:t xml:space="preserve">problems </w:t>
      </w:r>
      <w:r w:rsidR="00D419E7">
        <w:rPr>
          <w:rFonts w:ascii="Times New Roman" w:hAnsi="Times New Roman" w:cs="Times New Roman"/>
          <w:sz w:val="24"/>
          <w:szCs w:val="24"/>
          <w:lang w:eastAsia="en-GB"/>
        </w:rPr>
        <w:t>reported in</w:t>
      </w:r>
      <w:r w:rsidR="0032552E" w:rsidRPr="009E1150">
        <w:rPr>
          <w:rFonts w:ascii="Times New Roman" w:hAnsi="Times New Roman" w:cs="Times New Roman"/>
          <w:sz w:val="24"/>
          <w:szCs w:val="24"/>
          <w:lang w:eastAsia="en-GB"/>
        </w:rPr>
        <w:t xml:space="preserve"> this section of the IA are </w:t>
      </w:r>
      <w:r w:rsidR="00462810">
        <w:rPr>
          <w:rFonts w:ascii="Times New Roman" w:hAnsi="Times New Roman" w:cs="Times New Roman"/>
          <w:sz w:val="24"/>
          <w:szCs w:val="24"/>
          <w:lang w:eastAsia="en-GB"/>
        </w:rPr>
        <w:t>all</w:t>
      </w:r>
      <w:r w:rsidR="00D419E7">
        <w:rPr>
          <w:rFonts w:ascii="Times New Roman" w:hAnsi="Times New Roman" w:cs="Times New Roman"/>
          <w:sz w:val="24"/>
          <w:szCs w:val="24"/>
          <w:lang w:eastAsia="en-GB"/>
        </w:rPr>
        <w:t xml:space="preserve"> directly </w:t>
      </w:r>
      <w:r w:rsidR="00462810">
        <w:rPr>
          <w:rFonts w:ascii="Times New Roman" w:hAnsi="Times New Roman" w:cs="Times New Roman"/>
          <w:sz w:val="24"/>
          <w:szCs w:val="24"/>
          <w:lang w:eastAsia="en-GB"/>
        </w:rPr>
        <w:t xml:space="preserve">related to </w:t>
      </w:r>
      <w:r w:rsidR="00462810" w:rsidRPr="00C32C45">
        <w:rPr>
          <w:rFonts w:ascii="Times New Roman" w:hAnsi="Times New Roman" w:cs="Times New Roman"/>
          <w:sz w:val="24"/>
          <w:szCs w:val="24"/>
          <w:u w:val="single"/>
          <w:lang w:eastAsia="en-GB"/>
        </w:rPr>
        <w:t xml:space="preserve">difficulties encountered </w:t>
      </w:r>
      <w:r w:rsidR="00FA0934" w:rsidRPr="00C32C45">
        <w:rPr>
          <w:rFonts w:ascii="Times New Roman" w:hAnsi="Times New Roman" w:cs="Times New Roman"/>
          <w:sz w:val="24"/>
          <w:szCs w:val="24"/>
          <w:u w:val="single"/>
          <w:lang w:eastAsia="en-GB"/>
        </w:rPr>
        <w:t xml:space="preserve">with </w:t>
      </w:r>
      <w:r w:rsidR="00894434" w:rsidRPr="00C32C45">
        <w:rPr>
          <w:rFonts w:ascii="Times New Roman" w:hAnsi="Times New Roman" w:cs="Times New Roman"/>
          <w:sz w:val="24"/>
          <w:szCs w:val="24"/>
          <w:u w:val="single"/>
          <w:lang w:eastAsia="en-GB"/>
        </w:rPr>
        <w:t xml:space="preserve">the </w:t>
      </w:r>
      <w:r w:rsidR="00185C5F" w:rsidRPr="00C32C45">
        <w:rPr>
          <w:rFonts w:ascii="Times New Roman" w:hAnsi="Times New Roman" w:cs="Times New Roman"/>
          <w:sz w:val="24"/>
          <w:szCs w:val="24"/>
          <w:u w:val="single"/>
          <w:lang w:eastAsia="en-GB"/>
        </w:rPr>
        <w:t>clearance</w:t>
      </w:r>
      <w:r w:rsidR="00FA0934" w:rsidRPr="00C32C45">
        <w:rPr>
          <w:rFonts w:ascii="Times New Roman" w:hAnsi="Times New Roman" w:cs="Times New Roman"/>
          <w:sz w:val="24"/>
          <w:szCs w:val="24"/>
          <w:u w:val="single"/>
          <w:lang w:eastAsia="en-GB"/>
        </w:rPr>
        <w:t xml:space="preserve"> of rights</w:t>
      </w:r>
      <w:r w:rsidR="00FA0934">
        <w:rPr>
          <w:rFonts w:ascii="Times New Roman" w:hAnsi="Times New Roman" w:cs="Times New Roman"/>
          <w:sz w:val="24"/>
          <w:szCs w:val="24"/>
          <w:lang w:eastAsia="en-GB"/>
        </w:rPr>
        <w:t xml:space="preserve">: </w:t>
      </w:r>
      <w:r w:rsidR="00F12A7D">
        <w:rPr>
          <w:rFonts w:ascii="Times New Roman" w:hAnsi="Times New Roman" w:cs="Times New Roman"/>
          <w:sz w:val="24"/>
          <w:szCs w:val="24"/>
          <w:lang w:eastAsia="en-GB"/>
        </w:rPr>
        <w:t xml:space="preserve">broadcasters </w:t>
      </w:r>
      <w:r w:rsidR="00DF02FF">
        <w:rPr>
          <w:rFonts w:ascii="Times New Roman" w:hAnsi="Times New Roman" w:cs="Times New Roman"/>
          <w:sz w:val="24"/>
          <w:szCs w:val="24"/>
          <w:lang w:eastAsia="en-GB"/>
        </w:rPr>
        <w:t xml:space="preserve">when acquiring the rights for </w:t>
      </w:r>
      <w:r w:rsidR="003D174B">
        <w:rPr>
          <w:rFonts w:ascii="Times New Roman" w:hAnsi="Times New Roman" w:cs="Times New Roman"/>
          <w:sz w:val="24"/>
          <w:szCs w:val="24"/>
          <w:lang w:eastAsia="en-GB"/>
        </w:rPr>
        <w:t xml:space="preserve">their </w:t>
      </w:r>
      <w:r w:rsidR="00DF02FF">
        <w:rPr>
          <w:rFonts w:ascii="Times New Roman" w:hAnsi="Times New Roman" w:cs="Times New Roman"/>
          <w:sz w:val="24"/>
          <w:szCs w:val="24"/>
          <w:lang w:eastAsia="en-GB"/>
        </w:rPr>
        <w:t>online services available across borders;</w:t>
      </w:r>
      <w:r w:rsidR="00FA0934">
        <w:rPr>
          <w:rFonts w:ascii="Times New Roman" w:hAnsi="Times New Roman" w:cs="Times New Roman"/>
          <w:sz w:val="24"/>
          <w:szCs w:val="24"/>
          <w:lang w:eastAsia="en-GB"/>
        </w:rPr>
        <w:t xml:space="preserve"> retransmissions services </w:t>
      </w:r>
      <w:r w:rsidR="00894434">
        <w:rPr>
          <w:rFonts w:ascii="Times New Roman" w:hAnsi="Times New Roman" w:cs="Times New Roman"/>
          <w:sz w:val="24"/>
          <w:szCs w:val="24"/>
          <w:lang w:eastAsia="en-GB"/>
        </w:rPr>
        <w:t>(</w:t>
      </w:r>
      <w:r w:rsidR="001344B8">
        <w:rPr>
          <w:rFonts w:ascii="Times New Roman" w:hAnsi="Times New Roman" w:cs="Times New Roman"/>
          <w:sz w:val="24"/>
          <w:szCs w:val="24"/>
          <w:lang w:eastAsia="en-GB"/>
        </w:rPr>
        <w:t>different from but functioning like</w:t>
      </w:r>
      <w:r w:rsidR="00894434">
        <w:rPr>
          <w:rFonts w:ascii="Times New Roman" w:hAnsi="Times New Roman" w:cs="Times New Roman"/>
          <w:sz w:val="24"/>
          <w:szCs w:val="24"/>
          <w:lang w:eastAsia="en-GB"/>
        </w:rPr>
        <w:t xml:space="preserve"> cable operators) </w:t>
      </w:r>
      <w:r w:rsidR="00DF02FF">
        <w:rPr>
          <w:rFonts w:ascii="Times New Roman" w:hAnsi="Times New Roman" w:cs="Times New Roman"/>
          <w:sz w:val="24"/>
          <w:szCs w:val="24"/>
          <w:lang w:eastAsia="en-GB"/>
        </w:rPr>
        <w:t xml:space="preserve">for the </w:t>
      </w:r>
      <w:r w:rsidR="007F508D">
        <w:rPr>
          <w:rFonts w:ascii="Times New Roman" w:hAnsi="Times New Roman" w:cs="Times New Roman"/>
          <w:sz w:val="24"/>
          <w:szCs w:val="24"/>
          <w:lang w:eastAsia="en-GB"/>
        </w:rPr>
        <w:t xml:space="preserve">clearance </w:t>
      </w:r>
      <w:r w:rsidR="00DF02FF">
        <w:rPr>
          <w:rFonts w:ascii="Times New Roman" w:hAnsi="Times New Roman" w:cs="Times New Roman"/>
          <w:sz w:val="24"/>
          <w:szCs w:val="24"/>
          <w:lang w:eastAsia="en-GB"/>
        </w:rPr>
        <w:t xml:space="preserve">of rights for </w:t>
      </w:r>
      <w:r w:rsidR="00894434">
        <w:rPr>
          <w:rFonts w:ascii="Times New Roman" w:hAnsi="Times New Roman" w:cs="Times New Roman"/>
          <w:sz w:val="24"/>
          <w:szCs w:val="24"/>
          <w:lang w:eastAsia="en-GB"/>
        </w:rPr>
        <w:t>retransmissions of TV and radio programmes</w:t>
      </w:r>
      <w:r w:rsidR="00DF02FF">
        <w:rPr>
          <w:rFonts w:ascii="Times New Roman" w:hAnsi="Times New Roman" w:cs="Times New Roman"/>
          <w:sz w:val="24"/>
          <w:szCs w:val="24"/>
          <w:lang w:eastAsia="en-GB"/>
        </w:rPr>
        <w:t xml:space="preserve"> from other MS</w:t>
      </w:r>
      <w:r w:rsidR="00894434">
        <w:rPr>
          <w:rFonts w:ascii="Times New Roman" w:hAnsi="Times New Roman" w:cs="Times New Roman"/>
          <w:sz w:val="24"/>
          <w:szCs w:val="24"/>
          <w:lang w:eastAsia="en-GB"/>
        </w:rPr>
        <w:t xml:space="preserve">; </w:t>
      </w:r>
      <w:r w:rsidR="00A44C38">
        <w:rPr>
          <w:rFonts w:ascii="Times New Roman" w:hAnsi="Times New Roman" w:cs="Times New Roman"/>
          <w:sz w:val="24"/>
          <w:szCs w:val="24"/>
          <w:lang w:eastAsia="en-GB"/>
        </w:rPr>
        <w:t xml:space="preserve">VoD platforms in obtaining online rights of European AV works; </w:t>
      </w:r>
      <w:r w:rsidR="00085FB6">
        <w:rPr>
          <w:rFonts w:ascii="Times New Roman" w:hAnsi="Times New Roman" w:cs="Times New Roman"/>
          <w:sz w:val="24"/>
          <w:szCs w:val="24"/>
          <w:lang w:eastAsia="en-GB"/>
        </w:rPr>
        <w:t>CHIs clearing the rights for digi</w:t>
      </w:r>
      <w:r w:rsidR="001805CC">
        <w:rPr>
          <w:rFonts w:ascii="Times New Roman" w:hAnsi="Times New Roman" w:cs="Times New Roman"/>
          <w:sz w:val="24"/>
          <w:szCs w:val="24"/>
          <w:lang w:eastAsia="en-GB"/>
        </w:rPr>
        <w:t>tisation and dissemination of Oo</w:t>
      </w:r>
      <w:r w:rsidR="00085FB6">
        <w:rPr>
          <w:rFonts w:ascii="Times New Roman" w:hAnsi="Times New Roman" w:cs="Times New Roman"/>
          <w:sz w:val="24"/>
          <w:szCs w:val="24"/>
          <w:lang w:eastAsia="en-GB"/>
        </w:rPr>
        <w:t>C works in their collections</w:t>
      </w:r>
      <w:r w:rsidR="00FA0934">
        <w:rPr>
          <w:rFonts w:ascii="Times New Roman" w:hAnsi="Times New Roman" w:cs="Times New Roman"/>
          <w:sz w:val="24"/>
          <w:szCs w:val="24"/>
          <w:lang w:eastAsia="en-GB"/>
        </w:rPr>
        <w:t xml:space="preserve">. </w:t>
      </w:r>
    </w:p>
    <w:p w:rsidR="005D7A30" w:rsidRDefault="00DF75D7" w:rsidP="00D419E7">
      <w:pPr>
        <w:spacing w:after="120" w:line="240" w:lineRule="auto"/>
        <w:jc w:val="both"/>
        <w:rPr>
          <w:rFonts w:ascii="Times New Roman" w:hAnsi="Times New Roman" w:cs="Times New Roman"/>
          <w:sz w:val="24"/>
          <w:szCs w:val="24"/>
          <w:lang w:eastAsia="en-GB"/>
        </w:rPr>
      </w:pPr>
      <w:r w:rsidRPr="00DF75D7">
        <w:rPr>
          <w:noProof/>
          <w:lang w:eastAsia="en-GB"/>
        </w:rPr>
        <w:drawing>
          <wp:inline distT="0" distB="0" distL="0" distR="0" wp14:anchorId="20C27F76" wp14:editId="60A0886A">
            <wp:extent cx="5760720" cy="34824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482400"/>
                    </a:xfrm>
                    <a:prstGeom prst="rect">
                      <a:avLst/>
                    </a:prstGeom>
                  </pic:spPr>
                </pic:pic>
              </a:graphicData>
            </a:graphic>
          </wp:inline>
        </w:drawing>
      </w:r>
    </w:p>
    <w:p w:rsidR="00CC7E7C" w:rsidRDefault="00F57D70" w:rsidP="00A50C6E">
      <w:pPr>
        <w:autoSpaceDE w:val="0"/>
        <w:autoSpaceDN w:val="0"/>
        <w:adjustRightInd w:val="0"/>
        <w:spacing w:before="240"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w:t>
      </w:r>
      <w:r>
        <w:rPr>
          <w:rFonts w:ascii="Times New Roman" w:hAnsi="Times New Roman" w:cs="Times New Roman"/>
          <w:sz w:val="24"/>
          <w:szCs w:val="24"/>
        </w:rPr>
        <w:t>specific</w:t>
      </w:r>
      <w:r>
        <w:rPr>
          <w:rFonts w:ascii="Times New Roman" w:hAnsi="Times New Roman" w:cs="Times New Roman"/>
          <w:sz w:val="24"/>
          <w:szCs w:val="24"/>
          <w:lang w:eastAsia="en-GB"/>
        </w:rPr>
        <w:t xml:space="preserve"> drivers and consequences are explained in the following sub-sections</w:t>
      </w:r>
      <w:r w:rsidR="00CC7E7C">
        <w:rPr>
          <w:rFonts w:ascii="Times New Roman" w:hAnsi="Times New Roman" w:cs="Times New Roman"/>
          <w:sz w:val="24"/>
          <w:szCs w:val="24"/>
          <w:lang w:eastAsia="en-GB"/>
        </w:rPr>
        <w:t xml:space="preserve">. However certain overarching </w:t>
      </w:r>
      <w:r w:rsidR="009E2D3A">
        <w:rPr>
          <w:rFonts w:ascii="Times New Roman" w:hAnsi="Times New Roman" w:cs="Times New Roman"/>
          <w:sz w:val="24"/>
          <w:szCs w:val="24"/>
          <w:lang w:eastAsia="en-GB"/>
        </w:rPr>
        <w:t>elements</w:t>
      </w:r>
      <w:r w:rsidR="00CC7E7C">
        <w:rPr>
          <w:rFonts w:ascii="Times New Roman" w:hAnsi="Times New Roman" w:cs="Times New Roman"/>
          <w:sz w:val="24"/>
          <w:szCs w:val="24"/>
          <w:lang w:eastAsia="en-GB"/>
        </w:rPr>
        <w:t xml:space="preserve"> are presented here as they apply to different contexts. </w:t>
      </w:r>
    </w:p>
    <w:p w:rsidR="00FC609C" w:rsidRDefault="00CC7E7C" w:rsidP="005D7A30">
      <w:pPr>
        <w:autoSpaceDE w:val="0"/>
        <w:autoSpaceDN w:val="0"/>
        <w:adjustRightInd w:val="0"/>
        <w:spacing w:after="120" w:line="240" w:lineRule="auto"/>
        <w:jc w:val="both"/>
        <w:rPr>
          <w:rFonts w:ascii="Times New Roman" w:hAnsi="Times New Roman"/>
          <w:bCs/>
          <w:noProof/>
          <w:sz w:val="24"/>
          <w:szCs w:val="24"/>
        </w:rPr>
      </w:pPr>
      <w:r>
        <w:rPr>
          <w:rFonts w:ascii="Times New Roman" w:hAnsi="Times New Roman" w:cs="Times New Roman"/>
          <w:sz w:val="24"/>
          <w:szCs w:val="24"/>
          <w:lang w:eastAsia="en-GB"/>
        </w:rPr>
        <w:t xml:space="preserve">The </w:t>
      </w:r>
      <w:r w:rsidRPr="00C32C45">
        <w:rPr>
          <w:rFonts w:ascii="Times New Roman" w:hAnsi="Times New Roman"/>
          <w:bCs/>
          <w:noProof/>
          <w:sz w:val="24"/>
          <w:szCs w:val="24"/>
          <w:u w:val="single"/>
          <w:lang w:eastAsia="en-GB"/>
        </w:rPr>
        <w:t>territoriality of copyright</w:t>
      </w:r>
      <w:r>
        <w:rPr>
          <w:rStyle w:val="FootnoteReference"/>
          <w:rFonts w:ascii="Times New Roman" w:hAnsi="Times New Roman"/>
          <w:bCs/>
          <w:noProof/>
          <w:sz w:val="24"/>
          <w:szCs w:val="24"/>
          <w:lang w:eastAsia="en-GB"/>
        </w:rPr>
        <w:footnoteReference w:id="35"/>
      </w:r>
      <w:r>
        <w:rPr>
          <w:rFonts w:ascii="Times New Roman" w:hAnsi="Times New Roman"/>
          <w:bCs/>
          <w:noProof/>
          <w:sz w:val="24"/>
          <w:szCs w:val="24"/>
          <w:lang w:eastAsia="en-GB"/>
        </w:rPr>
        <w:t xml:space="preserve"> and the </w:t>
      </w:r>
      <w:r w:rsidR="009E2D3A">
        <w:rPr>
          <w:rFonts w:ascii="Times New Roman" w:hAnsi="Times New Roman"/>
          <w:bCs/>
          <w:noProof/>
          <w:sz w:val="24"/>
          <w:szCs w:val="24"/>
          <w:lang w:eastAsia="en-GB"/>
        </w:rPr>
        <w:t>specific licensing practices existing</w:t>
      </w:r>
      <w:r>
        <w:rPr>
          <w:rFonts w:ascii="Times New Roman" w:hAnsi="Times New Roman"/>
          <w:bCs/>
          <w:noProof/>
          <w:sz w:val="24"/>
          <w:szCs w:val="24"/>
          <w:lang w:eastAsia="en-GB"/>
        </w:rPr>
        <w:t xml:space="preserve"> for certain ty</w:t>
      </w:r>
      <w:r w:rsidR="008719B8">
        <w:rPr>
          <w:rFonts w:ascii="Times New Roman" w:hAnsi="Times New Roman"/>
          <w:bCs/>
          <w:noProof/>
          <w:sz w:val="24"/>
          <w:szCs w:val="24"/>
          <w:lang w:eastAsia="en-GB"/>
        </w:rPr>
        <w:t>p</w:t>
      </w:r>
      <w:r>
        <w:rPr>
          <w:rFonts w:ascii="Times New Roman" w:hAnsi="Times New Roman"/>
          <w:bCs/>
          <w:noProof/>
          <w:sz w:val="24"/>
          <w:szCs w:val="24"/>
          <w:lang w:eastAsia="en-GB"/>
        </w:rPr>
        <w:t xml:space="preserve">es of works </w:t>
      </w:r>
      <w:r w:rsidR="009E2D3A">
        <w:rPr>
          <w:rFonts w:ascii="Times New Roman" w:hAnsi="Times New Roman"/>
          <w:bCs/>
          <w:noProof/>
          <w:sz w:val="24"/>
          <w:szCs w:val="24"/>
          <w:lang w:eastAsia="en-GB"/>
        </w:rPr>
        <w:t>are</w:t>
      </w:r>
      <w:r>
        <w:rPr>
          <w:rFonts w:ascii="Times New Roman" w:hAnsi="Times New Roman"/>
          <w:bCs/>
          <w:noProof/>
          <w:sz w:val="24"/>
          <w:szCs w:val="24"/>
          <w:lang w:eastAsia="en-GB"/>
        </w:rPr>
        <w:t xml:space="preserve"> one of the drivers contributing to the complexity of rights clearance in cross-border contexts. </w:t>
      </w:r>
      <w:r w:rsidR="001344B8">
        <w:rPr>
          <w:rFonts w:ascii="Times New Roman" w:hAnsi="Times New Roman" w:cs="Times New Roman"/>
          <w:sz w:val="24"/>
          <w:szCs w:val="24"/>
          <w:lang w:eastAsia="en-GB"/>
        </w:rPr>
        <w:t>A</w:t>
      </w:r>
      <w:r w:rsidR="0007648B">
        <w:rPr>
          <w:rFonts w:ascii="Times New Roman" w:hAnsi="Times New Roman" w:cs="Times New Roman"/>
          <w:sz w:val="24"/>
          <w:szCs w:val="24"/>
          <w:lang w:eastAsia="en-GB"/>
        </w:rPr>
        <w:t xml:space="preserve"> service provider that is making the content available online in more than one MS must have the </w:t>
      </w:r>
      <w:r w:rsidR="001344B8">
        <w:rPr>
          <w:rFonts w:ascii="Times New Roman" w:hAnsi="Times New Roman" w:cs="Times New Roman"/>
          <w:sz w:val="24"/>
          <w:szCs w:val="24"/>
          <w:lang w:eastAsia="en-GB"/>
        </w:rPr>
        <w:t xml:space="preserve">relevant </w:t>
      </w:r>
      <w:r w:rsidR="0007648B">
        <w:rPr>
          <w:rFonts w:ascii="Times New Roman" w:hAnsi="Times New Roman" w:cs="Times New Roman"/>
          <w:sz w:val="24"/>
          <w:szCs w:val="24"/>
          <w:lang w:eastAsia="en-GB"/>
        </w:rPr>
        <w:t xml:space="preserve">rights to use such content for the relevant territories. </w:t>
      </w:r>
      <w:r w:rsidR="002D1307">
        <w:rPr>
          <w:rFonts w:ascii="Times New Roman" w:hAnsi="Times New Roman"/>
          <w:bCs/>
          <w:noProof/>
          <w:sz w:val="24"/>
          <w:szCs w:val="24"/>
          <w:lang w:eastAsia="en-GB"/>
        </w:rPr>
        <w:t xml:space="preserve"> </w:t>
      </w:r>
      <w:r w:rsidR="002D1307" w:rsidRPr="00025CE0">
        <w:rPr>
          <w:rFonts w:ascii="Times New Roman" w:hAnsi="Times New Roman"/>
          <w:bCs/>
          <w:noProof/>
          <w:sz w:val="24"/>
          <w:szCs w:val="24"/>
          <w:lang w:eastAsia="en-GB"/>
        </w:rPr>
        <w:t xml:space="preserve">Where the </w:t>
      </w:r>
      <w:r w:rsidR="001020DF">
        <w:rPr>
          <w:rFonts w:ascii="Times New Roman" w:hAnsi="Times New Roman"/>
          <w:bCs/>
          <w:noProof/>
          <w:sz w:val="24"/>
          <w:szCs w:val="24"/>
          <w:lang w:eastAsia="en-GB"/>
        </w:rPr>
        <w:t xml:space="preserve">relevant </w:t>
      </w:r>
      <w:r w:rsidR="002D1307" w:rsidRPr="00025CE0">
        <w:rPr>
          <w:rFonts w:ascii="Times New Roman" w:hAnsi="Times New Roman"/>
          <w:bCs/>
          <w:noProof/>
          <w:sz w:val="24"/>
          <w:szCs w:val="24"/>
          <w:lang w:eastAsia="en-GB"/>
        </w:rPr>
        <w:t xml:space="preserve">rights for all the relevant territories are held by one single </w:t>
      </w:r>
      <w:r w:rsidR="002D1307">
        <w:rPr>
          <w:rFonts w:ascii="Times New Roman" w:hAnsi="Times New Roman"/>
          <w:bCs/>
          <w:noProof/>
          <w:sz w:val="24"/>
          <w:szCs w:val="24"/>
          <w:lang w:eastAsia="en-GB"/>
        </w:rPr>
        <w:t>right holder/</w:t>
      </w:r>
      <w:r w:rsidR="002D1307" w:rsidRPr="00025CE0">
        <w:rPr>
          <w:rFonts w:ascii="Times New Roman" w:hAnsi="Times New Roman"/>
          <w:bCs/>
          <w:noProof/>
          <w:sz w:val="24"/>
          <w:szCs w:val="24"/>
          <w:lang w:eastAsia="en-GB"/>
        </w:rPr>
        <w:t>distributor, the service provider can obtain a multi-territorial licence covering all territories.</w:t>
      </w:r>
      <w:r w:rsidR="002D1307">
        <w:rPr>
          <w:rFonts w:ascii="Times New Roman" w:hAnsi="Times New Roman"/>
          <w:bCs/>
          <w:noProof/>
          <w:sz w:val="24"/>
          <w:szCs w:val="24"/>
          <w:lang w:eastAsia="en-GB"/>
        </w:rPr>
        <w:t xml:space="preserve"> </w:t>
      </w:r>
      <w:r w:rsidR="00B17CA8" w:rsidRPr="00C32C45">
        <w:rPr>
          <w:rFonts w:ascii="Times New Roman" w:hAnsi="Times New Roman"/>
          <w:bCs/>
          <w:noProof/>
          <w:sz w:val="24"/>
          <w:szCs w:val="24"/>
        </w:rPr>
        <w:t xml:space="preserve">As regards the </w:t>
      </w:r>
      <w:r w:rsidR="00211A3E" w:rsidRPr="00C32C45">
        <w:rPr>
          <w:rFonts w:ascii="Times New Roman" w:hAnsi="Times New Roman"/>
          <w:bCs/>
          <w:noProof/>
          <w:sz w:val="24"/>
          <w:szCs w:val="24"/>
        </w:rPr>
        <w:t xml:space="preserve">online </w:t>
      </w:r>
      <w:r w:rsidR="00B17CA8" w:rsidRPr="00C32C45">
        <w:rPr>
          <w:rFonts w:ascii="Times New Roman" w:hAnsi="Times New Roman"/>
          <w:bCs/>
          <w:noProof/>
          <w:sz w:val="24"/>
          <w:szCs w:val="24"/>
        </w:rPr>
        <w:t xml:space="preserve">rights </w:t>
      </w:r>
      <w:r w:rsidR="00211A3E" w:rsidRPr="00C32C45">
        <w:rPr>
          <w:rFonts w:ascii="Times New Roman" w:hAnsi="Times New Roman"/>
          <w:bCs/>
          <w:noProof/>
          <w:sz w:val="24"/>
          <w:szCs w:val="24"/>
        </w:rPr>
        <w:t>in</w:t>
      </w:r>
      <w:r w:rsidR="00B17CA8" w:rsidRPr="00C32C45">
        <w:rPr>
          <w:rFonts w:ascii="Times New Roman" w:hAnsi="Times New Roman"/>
          <w:bCs/>
          <w:noProof/>
          <w:sz w:val="24"/>
          <w:szCs w:val="24"/>
        </w:rPr>
        <w:t xml:space="preserve"> musical works, some CMOs license rights on a territorial basis,</w:t>
      </w:r>
      <w:r w:rsidR="00B17CA8" w:rsidRPr="00036141">
        <w:rPr>
          <w:rFonts w:ascii="Times New Roman" w:hAnsi="Times New Roman" w:cs="Times New Roman"/>
          <w:noProof/>
          <w:vertAlign w:val="superscript"/>
        </w:rPr>
        <w:footnoteReference w:id="36"/>
      </w:r>
      <w:r w:rsidR="00B17CA8" w:rsidRPr="00C32C45">
        <w:rPr>
          <w:rFonts w:ascii="Times New Roman" w:hAnsi="Times New Roman"/>
          <w:bCs/>
          <w:noProof/>
          <w:sz w:val="24"/>
          <w:szCs w:val="24"/>
        </w:rPr>
        <w:t xml:space="preserve"> while a number of music publishers and CMOs grant multi-territorial licences.</w:t>
      </w:r>
      <w:r w:rsidR="00B17CA8" w:rsidRPr="00036141">
        <w:rPr>
          <w:rFonts w:ascii="Times New Roman" w:hAnsi="Times New Roman" w:cs="Times New Roman"/>
          <w:noProof/>
          <w:vertAlign w:val="superscript"/>
        </w:rPr>
        <w:footnoteReference w:id="37"/>
      </w:r>
      <w:r w:rsidR="00B17CA8" w:rsidRPr="00C32C45">
        <w:rPr>
          <w:rFonts w:ascii="Times New Roman" w:hAnsi="Times New Roman"/>
          <w:bCs/>
          <w:noProof/>
          <w:sz w:val="24"/>
          <w:szCs w:val="24"/>
        </w:rPr>
        <w:t xml:space="preserve"> The multi-territorial licensing of </w:t>
      </w:r>
      <w:r w:rsidR="00211A3E" w:rsidRPr="00C32C45">
        <w:rPr>
          <w:rFonts w:ascii="Times New Roman" w:hAnsi="Times New Roman"/>
          <w:bCs/>
          <w:noProof/>
          <w:sz w:val="24"/>
          <w:szCs w:val="24"/>
        </w:rPr>
        <w:t>these rights</w:t>
      </w:r>
      <w:r w:rsidR="00B17CA8" w:rsidRPr="00C32C45">
        <w:rPr>
          <w:rFonts w:ascii="Times New Roman" w:hAnsi="Times New Roman"/>
          <w:bCs/>
          <w:noProof/>
          <w:sz w:val="24"/>
          <w:szCs w:val="24"/>
        </w:rPr>
        <w:t xml:space="preserve"> is facilitated by </w:t>
      </w:r>
      <w:r w:rsidR="00C116DA" w:rsidRPr="00C32C45">
        <w:rPr>
          <w:rFonts w:ascii="Times New Roman" w:hAnsi="Times New Roman"/>
          <w:bCs/>
          <w:noProof/>
          <w:sz w:val="24"/>
          <w:szCs w:val="24"/>
        </w:rPr>
        <w:t xml:space="preserve">the CRM </w:t>
      </w:r>
      <w:r w:rsidR="00C116DA" w:rsidRPr="00036141">
        <w:rPr>
          <w:rFonts w:ascii="Times New Roman" w:hAnsi="Times New Roman"/>
          <w:bCs/>
          <w:noProof/>
          <w:sz w:val="24"/>
          <w:szCs w:val="24"/>
        </w:rPr>
        <w:t>Directive</w:t>
      </w:r>
      <w:r w:rsidR="00B17CA8" w:rsidRPr="00036141">
        <w:rPr>
          <w:rFonts w:ascii="Times New Roman" w:hAnsi="Times New Roman"/>
          <w:bCs/>
          <w:noProof/>
          <w:sz w:val="24"/>
          <w:szCs w:val="24"/>
        </w:rPr>
        <w:t>.</w:t>
      </w:r>
      <w:r w:rsidR="00B17CA8" w:rsidRPr="00036141">
        <w:rPr>
          <w:rFonts w:ascii="Times New Roman" w:hAnsi="Times New Roman" w:cs="Times New Roman"/>
          <w:noProof/>
          <w:sz w:val="24"/>
          <w:szCs w:val="24"/>
          <w:vertAlign w:val="superscript"/>
        </w:rPr>
        <w:footnoteReference w:id="38"/>
      </w:r>
      <w:r w:rsidR="00B17CA8" w:rsidRPr="00036141">
        <w:rPr>
          <w:rFonts w:ascii="Times New Roman" w:hAnsi="Times New Roman"/>
          <w:bCs/>
          <w:noProof/>
          <w:sz w:val="24"/>
          <w:szCs w:val="24"/>
        </w:rPr>
        <w:t xml:space="preserve"> Multi-territorial licensing is widely used for the rights held by record producers.</w:t>
      </w:r>
      <w:r w:rsidR="009E2D3A" w:rsidRPr="00036141">
        <w:rPr>
          <w:rFonts w:ascii="Times New Roman" w:hAnsi="Times New Roman"/>
          <w:bCs/>
          <w:noProof/>
          <w:sz w:val="24"/>
          <w:szCs w:val="24"/>
        </w:rPr>
        <w:t xml:space="preserve"> </w:t>
      </w:r>
      <w:r w:rsidR="00FC609C" w:rsidRPr="00036141">
        <w:rPr>
          <w:rFonts w:ascii="Times New Roman" w:hAnsi="Times New Roman"/>
          <w:bCs/>
          <w:noProof/>
          <w:sz w:val="24"/>
          <w:szCs w:val="24"/>
        </w:rPr>
        <w:t xml:space="preserve">AV content is mainly licensed and distributed on a territorial basis. </w:t>
      </w:r>
      <w:r w:rsidR="00FC609C" w:rsidRPr="00036141">
        <w:rPr>
          <w:rFonts w:ascii="Times New Roman" w:eastAsia="Times New Roman" w:hAnsi="Times New Roman"/>
          <w:bCs/>
          <w:noProof/>
          <w:sz w:val="24"/>
          <w:szCs w:val="24"/>
        </w:rPr>
        <w:t>AV</w:t>
      </w:r>
      <w:r w:rsidR="00FC609C" w:rsidRPr="00036141">
        <w:rPr>
          <w:rFonts w:ascii="Times New Roman" w:hAnsi="Times New Roman"/>
          <w:bCs/>
          <w:noProof/>
          <w:sz w:val="24"/>
          <w:szCs w:val="24"/>
        </w:rPr>
        <w:t xml:space="preserve"> producers of premium content</w:t>
      </w:r>
      <w:r w:rsidR="00FC609C" w:rsidRPr="00036141">
        <w:rPr>
          <w:rStyle w:val="FootnoteReference"/>
          <w:rFonts w:ascii="Times New Roman" w:hAnsi="Times New Roman"/>
          <w:bCs/>
          <w:noProof/>
          <w:sz w:val="24"/>
          <w:szCs w:val="24"/>
          <w:lang w:eastAsia="en-GB"/>
        </w:rPr>
        <w:footnoteReference w:id="39"/>
      </w:r>
      <w:r w:rsidR="00FC609C" w:rsidRPr="00C32C45">
        <w:rPr>
          <w:rFonts w:ascii="Times New Roman" w:hAnsi="Times New Roman"/>
          <w:bCs/>
          <w:noProof/>
          <w:sz w:val="24"/>
          <w:szCs w:val="24"/>
        </w:rPr>
        <w:t xml:space="preserve"> </w:t>
      </w:r>
      <w:r w:rsidR="00FC609C">
        <w:rPr>
          <w:rFonts w:ascii="Times New Roman" w:hAnsi="Times New Roman"/>
          <w:bCs/>
          <w:noProof/>
          <w:sz w:val="24"/>
          <w:szCs w:val="24"/>
        </w:rPr>
        <w:t>often</w:t>
      </w:r>
      <w:r w:rsidR="00FC609C" w:rsidRPr="00C32C45">
        <w:rPr>
          <w:rFonts w:ascii="Times New Roman" w:hAnsi="Times New Roman"/>
          <w:bCs/>
          <w:noProof/>
          <w:sz w:val="24"/>
          <w:szCs w:val="24"/>
        </w:rPr>
        <w:t xml:space="preserve"> grant an exclusive licence to a single distributor/broadcaster/service provider in each MS. </w:t>
      </w:r>
      <w:r w:rsidR="00FC609C">
        <w:rPr>
          <w:rFonts w:ascii="Times New Roman" w:hAnsi="Times New Roman" w:cs="Times New Roman"/>
          <w:iCs/>
          <w:sz w:val="24"/>
          <w:szCs w:val="24"/>
        </w:rPr>
        <w:t xml:space="preserve">This form of licensing is considered important by the </w:t>
      </w:r>
      <w:r w:rsidR="00F506EA">
        <w:rPr>
          <w:rFonts w:ascii="Times New Roman" w:hAnsi="Times New Roman" w:cs="Times New Roman"/>
          <w:iCs/>
          <w:sz w:val="24"/>
          <w:szCs w:val="24"/>
        </w:rPr>
        <w:t xml:space="preserve">AV </w:t>
      </w:r>
      <w:r w:rsidR="00FC609C">
        <w:rPr>
          <w:rFonts w:ascii="Times New Roman" w:hAnsi="Times New Roman" w:cs="Times New Roman"/>
          <w:iCs/>
          <w:sz w:val="24"/>
          <w:szCs w:val="24"/>
        </w:rPr>
        <w:t xml:space="preserve">industry </w:t>
      </w:r>
      <w:r w:rsidR="00E55269">
        <w:rPr>
          <w:rFonts w:ascii="Times New Roman" w:hAnsi="Times New Roman" w:cs="Times New Roman"/>
          <w:iCs/>
          <w:sz w:val="24"/>
          <w:szCs w:val="24"/>
        </w:rPr>
        <w:t xml:space="preserve">for </w:t>
      </w:r>
      <w:r w:rsidR="00FC609C">
        <w:rPr>
          <w:rFonts w:ascii="Times New Roman" w:hAnsi="Times New Roman" w:cs="Times New Roman"/>
          <w:iCs/>
          <w:sz w:val="24"/>
          <w:szCs w:val="24"/>
        </w:rPr>
        <w:t xml:space="preserve">the financing of </w:t>
      </w:r>
      <w:r w:rsidR="00E55269">
        <w:rPr>
          <w:rFonts w:ascii="Times New Roman" w:hAnsi="Times New Roman" w:cs="Times New Roman"/>
          <w:iCs/>
          <w:sz w:val="24"/>
          <w:szCs w:val="24"/>
        </w:rPr>
        <w:t xml:space="preserve">AV </w:t>
      </w:r>
      <w:r w:rsidR="00FC609C">
        <w:rPr>
          <w:rFonts w:ascii="Times New Roman" w:hAnsi="Times New Roman" w:cs="Times New Roman"/>
          <w:iCs/>
          <w:sz w:val="24"/>
          <w:szCs w:val="24"/>
        </w:rPr>
        <w:t xml:space="preserve">works, with rights being often pre-sold at the pre-production stage. In exchange for an upfront payment to the film producers, distributors and/or broadcasters often obtain exclusive exploitation rights in a specific territory for a defined period of time. </w:t>
      </w:r>
      <w:r w:rsidR="001805CC">
        <w:rPr>
          <w:rFonts w:ascii="Times New Roman" w:hAnsi="Times New Roman"/>
          <w:bCs/>
          <w:noProof/>
          <w:sz w:val="24"/>
          <w:szCs w:val="24"/>
        </w:rPr>
        <w:t>As regards Oo</w:t>
      </w:r>
      <w:r w:rsidR="00FC609C" w:rsidRPr="00C32C45">
        <w:rPr>
          <w:rFonts w:ascii="Times New Roman" w:hAnsi="Times New Roman"/>
          <w:bCs/>
          <w:noProof/>
          <w:sz w:val="24"/>
          <w:szCs w:val="24"/>
        </w:rPr>
        <w:t>C works in heritage collections, existing solutions,</w:t>
      </w:r>
      <w:r w:rsidR="00FC609C" w:rsidRPr="00705E14">
        <w:rPr>
          <w:rStyle w:val="FootnoteReference"/>
          <w:rFonts w:ascii="Times New Roman" w:hAnsi="Times New Roman"/>
          <w:bCs/>
          <w:noProof/>
          <w:sz w:val="24"/>
          <w:szCs w:val="24"/>
          <w:lang w:eastAsia="en-GB"/>
        </w:rPr>
        <w:footnoteReference w:id="40"/>
      </w:r>
      <w:r w:rsidR="00FC609C" w:rsidRPr="00C32C45">
        <w:rPr>
          <w:rFonts w:ascii="Times New Roman" w:hAnsi="Times New Roman"/>
          <w:bCs/>
          <w:noProof/>
          <w:sz w:val="24"/>
          <w:szCs w:val="24"/>
        </w:rPr>
        <w:t xml:space="preserve"> where available, are also territorially confined.</w:t>
      </w:r>
    </w:p>
    <w:p w:rsidR="009E2D3A" w:rsidRPr="00C32C45" w:rsidRDefault="009E2D3A" w:rsidP="005D7A30">
      <w:pPr>
        <w:autoSpaceDE w:val="0"/>
        <w:autoSpaceDN w:val="0"/>
        <w:adjustRightInd w:val="0"/>
        <w:spacing w:after="120" w:line="240" w:lineRule="auto"/>
        <w:jc w:val="both"/>
        <w:rPr>
          <w:rFonts w:ascii="Times New Roman" w:hAnsi="Times New Roman"/>
          <w:bCs/>
          <w:noProof/>
          <w:sz w:val="24"/>
          <w:szCs w:val="24"/>
        </w:rPr>
      </w:pPr>
      <w:r>
        <w:rPr>
          <w:rFonts w:ascii="Times New Roman" w:hAnsi="Times New Roman"/>
          <w:bCs/>
          <w:noProof/>
          <w:sz w:val="24"/>
          <w:szCs w:val="24"/>
          <w:lang w:eastAsia="en-GB"/>
        </w:rPr>
        <w:t xml:space="preserve">Beyond licensing issues, the limited availability of content online across borders is also the result of </w:t>
      </w:r>
      <w:r w:rsidRPr="00C32C45">
        <w:rPr>
          <w:rFonts w:ascii="Times New Roman" w:hAnsi="Times New Roman"/>
          <w:bCs/>
          <w:noProof/>
          <w:sz w:val="24"/>
          <w:szCs w:val="24"/>
          <w:u w:val="single"/>
          <w:lang w:eastAsia="en-GB"/>
        </w:rPr>
        <w:t>decisions taken by service providers</w:t>
      </w:r>
      <w:r w:rsidRPr="00705E14">
        <w:rPr>
          <w:rFonts w:ascii="Times New Roman" w:hAnsi="Times New Roman"/>
          <w:bCs/>
          <w:noProof/>
          <w:sz w:val="24"/>
          <w:szCs w:val="24"/>
          <w:lang w:eastAsia="en-GB"/>
        </w:rPr>
        <w:t xml:space="preserve"> (which may be related to commercial strategies, regulatory requirements, </w:t>
      </w:r>
      <w:r w:rsidRPr="00705E14">
        <w:rPr>
          <w:rFonts w:ascii="Times New Roman" w:eastAsia="Times New Roman" w:hAnsi="Times New Roman"/>
          <w:bCs/>
          <w:noProof/>
          <w:sz w:val="24"/>
          <w:szCs w:val="24"/>
          <w:lang w:eastAsia="en-GB"/>
        </w:rPr>
        <w:t>technological or financial constraints</w:t>
      </w:r>
      <w:r w:rsidRPr="00705E14">
        <w:rPr>
          <w:rFonts w:ascii="Times New Roman" w:hAnsi="Times New Roman"/>
          <w:bCs/>
          <w:noProof/>
          <w:sz w:val="24"/>
          <w:szCs w:val="24"/>
          <w:lang w:eastAsia="en-GB"/>
        </w:rPr>
        <w:t xml:space="preserve">, etc.). </w:t>
      </w:r>
      <w:r w:rsidRPr="00705E14">
        <w:rPr>
          <w:rFonts w:ascii="Times New Roman" w:eastAsia="Times New Roman" w:hAnsi="Times New Roman"/>
          <w:bCs/>
          <w:noProof/>
          <w:sz w:val="24"/>
          <w:szCs w:val="24"/>
          <w:lang w:eastAsia="en-GB"/>
        </w:rPr>
        <w:t xml:space="preserve">As a result, there are </w:t>
      </w:r>
      <w:r w:rsidRPr="005D7A30">
        <w:rPr>
          <w:rFonts w:ascii="Times New Roman" w:hAnsi="Times New Roman"/>
          <w:bCs/>
          <w:noProof/>
          <w:sz w:val="24"/>
          <w:szCs w:val="24"/>
          <w:lang w:eastAsia="en-GB"/>
        </w:rPr>
        <w:t>instances</w:t>
      </w:r>
      <w:r w:rsidRPr="00705E14">
        <w:rPr>
          <w:rFonts w:ascii="Times New Roman" w:eastAsia="Times New Roman" w:hAnsi="Times New Roman"/>
          <w:bCs/>
          <w:noProof/>
          <w:sz w:val="24"/>
          <w:szCs w:val="24"/>
          <w:lang w:eastAsia="en-GB"/>
        </w:rPr>
        <w:t xml:space="preserve"> where even if multi-territorial licences are granted by </w:t>
      </w:r>
      <w:r w:rsidR="00687496">
        <w:rPr>
          <w:rFonts w:ascii="Times New Roman" w:eastAsia="Times New Roman" w:hAnsi="Times New Roman"/>
          <w:bCs/>
          <w:noProof/>
          <w:sz w:val="24"/>
          <w:szCs w:val="24"/>
          <w:lang w:eastAsia="en-GB"/>
        </w:rPr>
        <w:t>r</w:t>
      </w:r>
      <w:r w:rsidR="00007677">
        <w:rPr>
          <w:rFonts w:ascii="Times New Roman" w:eastAsia="Times New Roman" w:hAnsi="Times New Roman"/>
          <w:bCs/>
          <w:noProof/>
          <w:sz w:val="24"/>
          <w:szCs w:val="24"/>
          <w:lang w:eastAsia="en-GB"/>
        </w:rPr>
        <w:t>ightholders</w:t>
      </w:r>
      <w:r w:rsidRPr="00705E14">
        <w:rPr>
          <w:rFonts w:ascii="Times New Roman" w:eastAsia="Times New Roman" w:hAnsi="Times New Roman"/>
          <w:bCs/>
          <w:noProof/>
          <w:sz w:val="24"/>
          <w:szCs w:val="24"/>
          <w:lang w:eastAsia="en-GB"/>
        </w:rPr>
        <w:t xml:space="preserve"> or even if agreements between </w:t>
      </w:r>
      <w:r w:rsidR="00687496">
        <w:rPr>
          <w:rFonts w:ascii="Times New Roman" w:eastAsia="Times New Roman" w:hAnsi="Times New Roman"/>
          <w:bCs/>
          <w:noProof/>
          <w:sz w:val="24"/>
          <w:szCs w:val="24"/>
          <w:lang w:eastAsia="en-GB"/>
        </w:rPr>
        <w:t>r</w:t>
      </w:r>
      <w:r w:rsidR="00007677">
        <w:rPr>
          <w:rFonts w:ascii="Times New Roman" w:eastAsia="Times New Roman" w:hAnsi="Times New Roman"/>
          <w:bCs/>
          <w:noProof/>
          <w:sz w:val="24"/>
          <w:szCs w:val="24"/>
          <w:lang w:eastAsia="en-GB"/>
        </w:rPr>
        <w:t>ightholders</w:t>
      </w:r>
      <w:r w:rsidRPr="00705E14">
        <w:rPr>
          <w:rFonts w:ascii="Times New Roman" w:eastAsia="Times New Roman" w:hAnsi="Times New Roman"/>
          <w:bCs/>
          <w:noProof/>
          <w:sz w:val="24"/>
          <w:szCs w:val="24"/>
          <w:lang w:eastAsia="en-GB"/>
        </w:rPr>
        <w:t xml:space="preserve"> and service providers do not include limitations </w:t>
      </w:r>
      <w:r w:rsidRPr="00C91956">
        <w:rPr>
          <w:rFonts w:ascii="Times New Roman" w:eastAsia="Times New Roman" w:hAnsi="Times New Roman"/>
          <w:bCs/>
          <w:noProof/>
          <w:sz w:val="24"/>
          <w:szCs w:val="24"/>
          <w:lang w:eastAsia="en-GB"/>
        </w:rPr>
        <w:t>on territorial exploitation</w:t>
      </w:r>
      <w:r w:rsidRPr="00705E14">
        <w:rPr>
          <w:rFonts w:ascii="Times New Roman" w:eastAsia="Times New Roman" w:hAnsi="Times New Roman"/>
          <w:bCs/>
          <w:noProof/>
          <w:sz w:val="24"/>
          <w:szCs w:val="24"/>
          <w:lang w:eastAsia="en-GB"/>
        </w:rPr>
        <w:t>, cross-border access remains a problem. This is however not a problem that can be addressed by copyright specific legislation.</w:t>
      </w:r>
      <w:r w:rsidRPr="00705E14">
        <w:rPr>
          <w:rStyle w:val="FootnoteReference"/>
          <w:rFonts w:ascii="Times New Roman" w:eastAsia="Times New Roman" w:hAnsi="Times New Roman"/>
          <w:bCs/>
          <w:noProof/>
          <w:sz w:val="24"/>
          <w:szCs w:val="24"/>
          <w:lang w:eastAsia="en-GB"/>
        </w:rPr>
        <w:footnoteReference w:id="41"/>
      </w:r>
      <w:r w:rsidRPr="00705E14">
        <w:rPr>
          <w:rFonts w:ascii="Times New Roman" w:eastAsia="Times New Roman" w:hAnsi="Times New Roman"/>
          <w:bCs/>
          <w:noProof/>
          <w:sz w:val="24"/>
          <w:szCs w:val="24"/>
          <w:lang w:eastAsia="en-GB"/>
        </w:rPr>
        <w:t xml:space="preserve"> This section of the IA does not directly address these issues.</w:t>
      </w:r>
    </w:p>
    <w:p w:rsidR="00D419E7" w:rsidRDefault="009A469F" w:rsidP="005D7A30">
      <w:pPr>
        <w:autoSpaceDE w:val="0"/>
        <w:autoSpaceDN w:val="0"/>
        <w:adjustRightInd w:val="0"/>
        <w:spacing w:after="120" w:line="240" w:lineRule="auto"/>
        <w:jc w:val="both"/>
        <w:rPr>
          <w:rFonts w:ascii="Times New Roman" w:hAnsi="Times New Roman"/>
          <w:bCs/>
          <w:noProof/>
          <w:sz w:val="24"/>
          <w:szCs w:val="24"/>
          <w:lang w:eastAsia="en-GB"/>
        </w:rPr>
      </w:pPr>
      <w:r>
        <w:rPr>
          <w:rFonts w:ascii="Times New Roman" w:hAnsi="Times New Roman"/>
          <w:bCs/>
          <w:noProof/>
          <w:sz w:val="24"/>
          <w:szCs w:val="24"/>
          <w:lang w:eastAsia="en-GB"/>
        </w:rPr>
        <w:t>Difficulties in clearing rights for online exploitation</w:t>
      </w:r>
      <w:r w:rsidR="00F042A4">
        <w:rPr>
          <w:rFonts w:ascii="Times New Roman" w:hAnsi="Times New Roman"/>
          <w:bCs/>
          <w:noProof/>
          <w:sz w:val="24"/>
          <w:szCs w:val="24"/>
          <w:lang w:eastAsia="en-GB"/>
        </w:rPr>
        <w:t xml:space="preserve">, </w:t>
      </w:r>
      <w:r w:rsidR="001344B8">
        <w:rPr>
          <w:rFonts w:ascii="Times New Roman" w:hAnsi="Times New Roman"/>
          <w:bCs/>
          <w:noProof/>
          <w:sz w:val="24"/>
          <w:szCs w:val="24"/>
          <w:lang w:eastAsia="en-GB"/>
        </w:rPr>
        <w:t>including</w:t>
      </w:r>
      <w:r>
        <w:rPr>
          <w:rFonts w:ascii="Times New Roman" w:hAnsi="Times New Roman"/>
          <w:bCs/>
          <w:noProof/>
          <w:sz w:val="24"/>
          <w:szCs w:val="24"/>
          <w:lang w:eastAsia="en-GB"/>
        </w:rPr>
        <w:t xml:space="preserve"> across borders</w:t>
      </w:r>
      <w:r w:rsidR="00F042A4">
        <w:rPr>
          <w:rFonts w:ascii="Times New Roman" w:hAnsi="Times New Roman"/>
          <w:bCs/>
          <w:noProof/>
          <w:sz w:val="24"/>
          <w:szCs w:val="24"/>
          <w:lang w:eastAsia="en-GB"/>
        </w:rPr>
        <w:t>,</w:t>
      </w:r>
      <w:r>
        <w:rPr>
          <w:rFonts w:ascii="Times New Roman" w:hAnsi="Times New Roman"/>
          <w:bCs/>
          <w:noProof/>
          <w:sz w:val="24"/>
          <w:szCs w:val="24"/>
          <w:lang w:eastAsia="en-GB"/>
        </w:rPr>
        <w:t xml:space="preserve"> often result in less</w:t>
      </w:r>
      <w:r w:rsidR="00D419E7">
        <w:rPr>
          <w:rFonts w:ascii="Times New Roman" w:hAnsi="Times New Roman"/>
          <w:bCs/>
          <w:noProof/>
          <w:sz w:val="24"/>
          <w:szCs w:val="24"/>
          <w:lang w:eastAsia="en-GB"/>
        </w:rPr>
        <w:t xml:space="preserve"> varied</w:t>
      </w:r>
      <w:r>
        <w:rPr>
          <w:rFonts w:ascii="Times New Roman" w:hAnsi="Times New Roman"/>
          <w:bCs/>
          <w:noProof/>
          <w:sz w:val="24"/>
          <w:szCs w:val="24"/>
          <w:lang w:eastAsia="en-GB"/>
        </w:rPr>
        <w:t xml:space="preserve"> content being available online and</w:t>
      </w:r>
      <w:r w:rsidR="00D419E7">
        <w:rPr>
          <w:rFonts w:ascii="Times New Roman" w:hAnsi="Times New Roman"/>
          <w:bCs/>
          <w:noProof/>
          <w:sz w:val="24"/>
          <w:szCs w:val="24"/>
          <w:lang w:eastAsia="en-GB"/>
        </w:rPr>
        <w:t xml:space="preserve"> </w:t>
      </w:r>
      <w:r>
        <w:rPr>
          <w:rFonts w:ascii="Times New Roman" w:hAnsi="Times New Roman"/>
          <w:bCs/>
          <w:noProof/>
          <w:sz w:val="24"/>
          <w:szCs w:val="24"/>
          <w:lang w:eastAsia="en-GB"/>
        </w:rPr>
        <w:t xml:space="preserve">in consumers facing restrictions when trying to access </w:t>
      </w:r>
      <w:r w:rsidR="001344B8">
        <w:rPr>
          <w:rFonts w:ascii="Times New Roman" w:hAnsi="Times New Roman"/>
          <w:bCs/>
          <w:noProof/>
          <w:sz w:val="24"/>
          <w:szCs w:val="24"/>
          <w:lang w:eastAsia="en-GB"/>
        </w:rPr>
        <w:t xml:space="preserve">content </w:t>
      </w:r>
      <w:r w:rsidR="00D419E7">
        <w:rPr>
          <w:rFonts w:ascii="Times New Roman" w:hAnsi="Times New Roman"/>
          <w:bCs/>
          <w:noProof/>
          <w:sz w:val="24"/>
          <w:szCs w:val="24"/>
          <w:lang w:eastAsia="en-GB"/>
        </w:rPr>
        <w:t>online</w:t>
      </w:r>
      <w:r>
        <w:rPr>
          <w:rFonts w:ascii="Times New Roman" w:hAnsi="Times New Roman"/>
          <w:bCs/>
          <w:noProof/>
          <w:sz w:val="24"/>
          <w:szCs w:val="24"/>
          <w:lang w:eastAsia="en-GB"/>
        </w:rPr>
        <w:t xml:space="preserve">. </w:t>
      </w:r>
      <w:r w:rsidR="00D419E7">
        <w:rPr>
          <w:rFonts w:ascii="Times New Roman" w:hAnsi="Times New Roman"/>
          <w:bCs/>
          <w:noProof/>
          <w:sz w:val="24"/>
          <w:szCs w:val="24"/>
          <w:lang w:eastAsia="en-GB"/>
        </w:rPr>
        <w:t xml:space="preserve">There is however </w:t>
      </w:r>
      <w:r w:rsidR="00D419E7" w:rsidRPr="00C32C45">
        <w:rPr>
          <w:rFonts w:ascii="Times New Roman" w:hAnsi="Times New Roman"/>
          <w:bCs/>
          <w:noProof/>
          <w:sz w:val="24"/>
          <w:szCs w:val="24"/>
          <w:u w:val="single"/>
          <w:lang w:eastAsia="en-GB"/>
        </w:rPr>
        <w:t xml:space="preserve">consumer interest for </w:t>
      </w:r>
      <w:r w:rsidR="00BF7C95" w:rsidRPr="00C32C45">
        <w:rPr>
          <w:rFonts w:ascii="Times New Roman" w:hAnsi="Times New Roman"/>
          <w:bCs/>
          <w:noProof/>
          <w:sz w:val="24"/>
          <w:szCs w:val="24"/>
          <w:u w:val="single"/>
          <w:lang w:eastAsia="en-GB"/>
        </w:rPr>
        <w:t xml:space="preserve">content from other </w:t>
      </w:r>
      <w:r w:rsidR="00B82096">
        <w:rPr>
          <w:rFonts w:ascii="Times New Roman" w:hAnsi="Times New Roman"/>
          <w:bCs/>
          <w:noProof/>
          <w:sz w:val="24"/>
          <w:szCs w:val="24"/>
          <w:u w:val="single"/>
          <w:lang w:eastAsia="en-GB"/>
        </w:rPr>
        <w:t>MS</w:t>
      </w:r>
      <w:r w:rsidR="00223749">
        <w:rPr>
          <w:rFonts w:ascii="Times New Roman" w:hAnsi="Times New Roman"/>
          <w:bCs/>
          <w:noProof/>
          <w:sz w:val="24"/>
          <w:szCs w:val="24"/>
          <w:lang w:eastAsia="en-GB"/>
        </w:rPr>
        <w:t>:</w:t>
      </w:r>
    </w:p>
    <w:p w:rsidR="00223749" w:rsidRPr="00EF6341" w:rsidRDefault="00223749" w:rsidP="007D6CF3">
      <w:pPr>
        <w:pStyle w:val="Text1"/>
        <w:numPr>
          <w:ilvl w:val="0"/>
          <w:numId w:val="37"/>
        </w:numPr>
        <w:ind w:left="426" w:hanging="426"/>
        <w:rPr>
          <w:szCs w:val="24"/>
        </w:rPr>
      </w:pPr>
      <w:r>
        <w:rPr>
          <w:szCs w:val="24"/>
        </w:rPr>
        <w:t>In</w:t>
      </w:r>
      <w:r w:rsidR="00B17CA8">
        <w:rPr>
          <w:szCs w:val="24"/>
        </w:rPr>
        <w:t xml:space="preserve"> the</w:t>
      </w:r>
      <w:r w:rsidRPr="00EF6341">
        <w:rPr>
          <w:szCs w:val="24"/>
        </w:rPr>
        <w:t xml:space="preserve"> Eurobarometer</w:t>
      </w:r>
      <w:r>
        <w:rPr>
          <w:szCs w:val="24"/>
        </w:rPr>
        <w:t xml:space="preserve"> survey carried out in 2011</w:t>
      </w:r>
      <w:r w:rsidR="00B17CA8">
        <w:rPr>
          <w:szCs w:val="24"/>
        </w:rPr>
        <w:t xml:space="preserve"> on cross-border demand for content services</w:t>
      </w:r>
      <w:r w:rsidRPr="00EF6341">
        <w:rPr>
          <w:szCs w:val="24"/>
        </w:rPr>
        <w:t>,</w:t>
      </w:r>
      <w:r>
        <w:rPr>
          <w:rStyle w:val="FootnoteReference"/>
          <w:szCs w:val="24"/>
        </w:rPr>
        <w:footnoteReference w:id="42"/>
      </w:r>
      <w:r w:rsidRPr="00EF6341">
        <w:rPr>
          <w:szCs w:val="24"/>
        </w:rPr>
        <w:t xml:space="preserve"> 19</w:t>
      </w:r>
      <w:r w:rsidR="000B17FD">
        <w:rPr>
          <w:szCs w:val="24"/>
        </w:rPr>
        <w:t xml:space="preserve"> </w:t>
      </w:r>
      <w:r w:rsidRPr="00EF6341">
        <w:rPr>
          <w:szCs w:val="24"/>
        </w:rPr>
        <w:t>% of Europeans indicated they were interested in receiving content from another EU country, with 15</w:t>
      </w:r>
      <w:r w:rsidR="000B17FD">
        <w:rPr>
          <w:szCs w:val="24"/>
        </w:rPr>
        <w:t xml:space="preserve"> </w:t>
      </w:r>
      <w:r w:rsidRPr="00EF6341">
        <w:rPr>
          <w:szCs w:val="24"/>
        </w:rPr>
        <w:t>% interested in TV programmes, 3</w:t>
      </w:r>
      <w:r w:rsidR="000B17FD">
        <w:rPr>
          <w:szCs w:val="24"/>
        </w:rPr>
        <w:t xml:space="preserve"> </w:t>
      </w:r>
      <w:r w:rsidRPr="00EF6341">
        <w:rPr>
          <w:szCs w:val="24"/>
        </w:rPr>
        <w:t>% in on-demand services and 2</w:t>
      </w:r>
      <w:r w:rsidR="000B17FD">
        <w:rPr>
          <w:szCs w:val="24"/>
        </w:rPr>
        <w:t xml:space="preserve"> </w:t>
      </w:r>
      <w:r w:rsidRPr="00EF6341">
        <w:rPr>
          <w:szCs w:val="24"/>
        </w:rPr>
        <w:t>% in other types of content;</w:t>
      </w:r>
    </w:p>
    <w:p w:rsidR="007F508D" w:rsidRDefault="00D419E7" w:rsidP="007D6CF3">
      <w:pPr>
        <w:pStyle w:val="Text1"/>
        <w:numPr>
          <w:ilvl w:val="0"/>
          <w:numId w:val="37"/>
        </w:numPr>
        <w:ind w:left="426" w:hanging="426"/>
        <w:rPr>
          <w:szCs w:val="24"/>
        </w:rPr>
      </w:pPr>
      <w:r>
        <w:rPr>
          <w:szCs w:val="24"/>
        </w:rPr>
        <w:t xml:space="preserve">In </w:t>
      </w:r>
      <w:r w:rsidR="00B17CA8">
        <w:rPr>
          <w:szCs w:val="24"/>
        </w:rPr>
        <w:t xml:space="preserve">the </w:t>
      </w:r>
      <w:r w:rsidRPr="00261EF4">
        <w:rPr>
          <w:szCs w:val="24"/>
        </w:rPr>
        <w:t>Eurobarometer survey</w:t>
      </w:r>
      <w:r w:rsidR="00B17CA8">
        <w:rPr>
          <w:szCs w:val="24"/>
        </w:rPr>
        <w:t xml:space="preserve"> carried out in 2015</w:t>
      </w:r>
      <w:r w:rsidRPr="00261EF4">
        <w:rPr>
          <w:szCs w:val="24"/>
        </w:rPr>
        <w:t xml:space="preserve"> on "Cross-border access to online content"</w:t>
      </w:r>
      <w:r>
        <w:rPr>
          <w:szCs w:val="24"/>
        </w:rPr>
        <w:t>,</w:t>
      </w:r>
      <w:r w:rsidRPr="00EF6341">
        <w:rPr>
          <w:vertAlign w:val="superscript"/>
        </w:rPr>
        <w:footnoteReference w:id="43"/>
      </w:r>
      <w:r w:rsidRPr="00D419E7">
        <w:rPr>
          <w:szCs w:val="24"/>
          <w:vertAlign w:val="superscript"/>
        </w:rPr>
        <w:t xml:space="preserve"> </w:t>
      </w:r>
      <w:r>
        <w:rPr>
          <w:szCs w:val="24"/>
        </w:rPr>
        <w:t xml:space="preserve"> </w:t>
      </w:r>
      <w:r w:rsidRPr="00D419E7">
        <w:rPr>
          <w:szCs w:val="24"/>
        </w:rPr>
        <w:t>almost one in ten Internet users (8</w:t>
      </w:r>
      <w:r w:rsidR="000B17FD">
        <w:rPr>
          <w:szCs w:val="24"/>
        </w:rPr>
        <w:t xml:space="preserve"> </w:t>
      </w:r>
      <w:r w:rsidRPr="00D419E7">
        <w:rPr>
          <w:szCs w:val="24"/>
        </w:rPr>
        <w:t>%) indicated they have tried to access content from an online service meant for users in another MS</w:t>
      </w:r>
      <w:r w:rsidRPr="00261EF4">
        <w:rPr>
          <w:szCs w:val="24"/>
        </w:rPr>
        <w:t>,</w:t>
      </w:r>
      <w:r>
        <w:rPr>
          <w:szCs w:val="24"/>
        </w:rPr>
        <w:t xml:space="preserve"> while 5</w:t>
      </w:r>
      <w:r w:rsidRPr="00261EF4">
        <w:rPr>
          <w:szCs w:val="24"/>
        </w:rPr>
        <w:t xml:space="preserve">0% of respondents who have not tried indicated they would be interested to do so (the most popular type of content being </w:t>
      </w:r>
      <w:r w:rsidR="00F506EA">
        <w:rPr>
          <w:szCs w:val="24"/>
        </w:rPr>
        <w:t>AV</w:t>
      </w:r>
      <w:r w:rsidR="00F506EA" w:rsidRPr="00261EF4">
        <w:rPr>
          <w:szCs w:val="24"/>
        </w:rPr>
        <w:t xml:space="preserve"> </w:t>
      </w:r>
      <w:r w:rsidRPr="00261EF4">
        <w:rPr>
          <w:szCs w:val="24"/>
        </w:rPr>
        <w:t>- 29</w:t>
      </w:r>
      <w:r w:rsidR="000B17FD">
        <w:rPr>
          <w:szCs w:val="24"/>
        </w:rPr>
        <w:t xml:space="preserve"> </w:t>
      </w:r>
      <w:r w:rsidRPr="00261EF4">
        <w:rPr>
          <w:szCs w:val="24"/>
        </w:rPr>
        <w:t>% of respondents)</w:t>
      </w:r>
      <w:r w:rsidR="007F508D">
        <w:rPr>
          <w:szCs w:val="24"/>
        </w:rPr>
        <w:t>;</w:t>
      </w:r>
      <w:r w:rsidRPr="00261EF4">
        <w:rPr>
          <w:szCs w:val="24"/>
        </w:rPr>
        <w:t xml:space="preserve"> </w:t>
      </w:r>
    </w:p>
    <w:p w:rsidR="00183FB7" w:rsidRDefault="007F508D" w:rsidP="007D6CF3">
      <w:pPr>
        <w:pStyle w:val="Text1"/>
        <w:numPr>
          <w:ilvl w:val="0"/>
          <w:numId w:val="37"/>
        </w:numPr>
        <w:ind w:left="426" w:hanging="426"/>
        <w:rPr>
          <w:szCs w:val="24"/>
        </w:rPr>
      </w:pPr>
      <w:r>
        <w:rPr>
          <w:szCs w:val="24"/>
        </w:rPr>
        <w:t>In</w:t>
      </w:r>
      <w:r w:rsidRPr="0079038B">
        <w:rPr>
          <w:szCs w:val="24"/>
        </w:rPr>
        <w:t xml:space="preserve"> the 2014 public consultation on the review of the EU copyright rules </w:t>
      </w:r>
      <w:r>
        <w:rPr>
          <w:szCs w:val="24"/>
        </w:rPr>
        <w:t xml:space="preserve">and in the </w:t>
      </w:r>
      <w:r w:rsidRPr="00C115C4">
        <w:rPr>
          <w:szCs w:val="24"/>
        </w:rPr>
        <w:t>2015 public consultation on the review of the Satellite and Cable Directive</w:t>
      </w:r>
      <w:r>
        <w:rPr>
          <w:szCs w:val="24"/>
        </w:rPr>
        <w:t xml:space="preserve">, </w:t>
      </w:r>
      <w:r w:rsidRPr="0079038B">
        <w:rPr>
          <w:szCs w:val="24"/>
        </w:rPr>
        <w:t>the vast majority of consumers argued in favour of cross-</w:t>
      </w:r>
      <w:r w:rsidRPr="007F508D">
        <w:rPr>
          <w:szCs w:val="24"/>
        </w:rPr>
        <w:t>border access to online content</w:t>
      </w:r>
      <w:r w:rsidR="00183FB7">
        <w:rPr>
          <w:szCs w:val="24"/>
        </w:rPr>
        <w:t>;</w:t>
      </w:r>
      <w:r w:rsidR="00B17CA8">
        <w:rPr>
          <w:rStyle w:val="FootnoteReference"/>
          <w:szCs w:val="24"/>
        </w:rPr>
        <w:footnoteReference w:id="44"/>
      </w:r>
    </w:p>
    <w:p w:rsidR="007F508D" w:rsidRPr="0038400D" w:rsidRDefault="00223749" w:rsidP="007D6CF3">
      <w:pPr>
        <w:pStyle w:val="Text1"/>
        <w:numPr>
          <w:ilvl w:val="0"/>
          <w:numId w:val="37"/>
        </w:numPr>
        <w:ind w:left="426" w:hanging="426"/>
        <w:rPr>
          <w:szCs w:val="24"/>
        </w:rPr>
      </w:pPr>
      <w:r w:rsidRPr="00D419E7">
        <w:rPr>
          <w:rFonts w:eastAsiaTheme="minorHAnsi" w:cstheme="minorBidi"/>
          <w:bCs/>
          <w:noProof/>
          <w:szCs w:val="24"/>
        </w:rPr>
        <w:t xml:space="preserve">In the public consultation on the </w:t>
      </w:r>
      <w:r w:rsidR="007C7354">
        <w:rPr>
          <w:rFonts w:eastAsiaTheme="minorHAnsi" w:cstheme="minorBidi"/>
          <w:bCs/>
          <w:noProof/>
          <w:szCs w:val="24"/>
        </w:rPr>
        <w:t>AVMS</w:t>
      </w:r>
      <w:r w:rsidRPr="00D419E7">
        <w:rPr>
          <w:rFonts w:eastAsiaTheme="minorHAnsi" w:cstheme="minorBidi"/>
          <w:bCs/>
          <w:noProof/>
          <w:szCs w:val="24"/>
        </w:rPr>
        <w:t xml:space="preserve"> Directive, 82</w:t>
      </w:r>
      <w:r w:rsidR="000B17FD">
        <w:rPr>
          <w:rFonts w:eastAsiaTheme="minorHAnsi" w:cstheme="minorBidi"/>
          <w:bCs/>
          <w:noProof/>
          <w:szCs w:val="24"/>
        </w:rPr>
        <w:t xml:space="preserve"> </w:t>
      </w:r>
      <w:r w:rsidRPr="00D419E7">
        <w:rPr>
          <w:rFonts w:eastAsiaTheme="minorHAnsi" w:cstheme="minorBidi"/>
          <w:bCs/>
          <w:noProof/>
          <w:szCs w:val="24"/>
        </w:rPr>
        <w:t xml:space="preserve">% of the respondents who expressed an opinion on the issue of "Promotion of European works" indicated being interested in watching more content produced in another </w:t>
      </w:r>
      <w:r w:rsidR="00B17CA8">
        <w:rPr>
          <w:rFonts w:eastAsiaTheme="minorHAnsi" w:cstheme="minorBidi"/>
          <w:bCs/>
          <w:noProof/>
          <w:szCs w:val="24"/>
        </w:rPr>
        <w:t>MS.</w:t>
      </w:r>
    </w:p>
    <w:p w:rsidR="00FA0934" w:rsidRPr="005D7A30" w:rsidRDefault="0032552E" w:rsidP="005D7A30">
      <w:pPr>
        <w:autoSpaceDE w:val="0"/>
        <w:autoSpaceDN w:val="0"/>
        <w:adjustRightInd w:val="0"/>
        <w:spacing w:after="120" w:line="240" w:lineRule="auto"/>
        <w:jc w:val="both"/>
        <w:rPr>
          <w:rFonts w:ascii="Times New Roman" w:hAnsi="Times New Roman" w:cs="Times New Roman"/>
          <w:b/>
          <w:bCs/>
          <w:noProof/>
          <w:sz w:val="24"/>
          <w:szCs w:val="24"/>
          <w:lang w:eastAsia="en-GB"/>
        </w:rPr>
      </w:pPr>
      <w:r w:rsidRPr="005D7A30">
        <w:rPr>
          <w:rFonts w:ascii="Times New Roman" w:hAnsi="Times New Roman" w:cs="Times New Roman"/>
          <w:b/>
          <w:bCs/>
          <w:noProof/>
          <w:sz w:val="24"/>
          <w:szCs w:val="24"/>
          <w:lang w:eastAsia="en-GB"/>
        </w:rPr>
        <w:t>Identification of policy options</w:t>
      </w:r>
    </w:p>
    <w:p w:rsidR="008D56E1" w:rsidRDefault="003C5D61" w:rsidP="005D7A30">
      <w:pPr>
        <w:autoSpaceDE w:val="0"/>
        <w:autoSpaceDN w:val="0"/>
        <w:adjustRightInd w:val="0"/>
        <w:spacing w:after="120" w:line="240" w:lineRule="auto"/>
        <w:jc w:val="both"/>
        <w:rPr>
          <w:rFonts w:ascii="Times New Roman" w:hAnsi="Times New Roman" w:cs="Times New Roman"/>
          <w:sz w:val="24"/>
          <w:szCs w:val="24"/>
          <w:lang w:eastAsia="en-GB"/>
        </w:rPr>
      </w:pPr>
      <w:r w:rsidRPr="003C5D61">
        <w:rPr>
          <w:rFonts w:ascii="Times New Roman" w:hAnsi="Times New Roman" w:cs="Times New Roman"/>
          <w:sz w:val="24"/>
          <w:szCs w:val="24"/>
          <w:lang w:eastAsia="en-GB"/>
        </w:rPr>
        <w:t xml:space="preserve">The policy options have been developed in relation to the specific issues at stake in each area. </w:t>
      </w:r>
      <w:r w:rsidR="008D56E1">
        <w:rPr>
          <w:rFonts w:ascii="Times New Roman" w:hAnsi="Times New Roman" w:cs="Times New Roman"/>
          <w:sz w:val="24"/>
          <w:szCs w:val="24"/>
          <w:lang w:eastAsia="en-GB"/>
        </w:rPr>
        <w:t xml:space="preserve">Different licensing regimes, </w:t>
      </w:r>
      <w:r w:rsidR="008D56E1" w:rsidRPr="005D7A30">
        <w:rPr>
          <w:rFonts w:ascii="Times New Roman" w:hAnsi="Times New Roman"/>
          <w:bCs/>
          <w:noProof/>
          <w:sz w:val="24"/>
          <w:szCs w:val="24"/>
          <w:lang w:eastAsia="en-GB"/>
        </w:rPr>
        <w:t>considered</w:t>
      </w:r>
      <w:r w:rsidR="008D56E1">
        <w:rPr>
          <w:rFonts w:ascii="Times New Roman" w:hAnsi="Times New Roman" w:cs="Times New Roman"/>
          <w:sz w:val="24"/>
          <w:szCs w:val="24"/>
          <w:lang w:eastAsia="en-GB"/>
        </w:rPr>
        <w:t xml:space="preserve"> as enabling mechanisms to facilitate the clearance of rights, are examined in the legislative options.  </w:t>
      </w:r>
    </w:p>
    <w:p w:rsidR="00CF6B0A" w:rsidRDefault="003F656B" w:rsidP="005D7A30">
      <w:pPr>
        <w:autoSpaceDE w:val="0"/>
        <w:autoSpaceDN w:val="0"/>
        <w:adjustRightInd w:val="0"/>
        <w:spacing w:after="120" w:line="240" w:lineRule="auto"/>
        <w:jc w:val="both"/>
        <w:rPr>
          <w:rFonts w:ascii="Times New Roman" w:hAnsi="Times New Roman" w:cs="Times New Roman"/>
          <w:i/>
          <w:sz w:val="24"/>
          <w:szCs w:val="24"/>
          <w:lang w:eastAsia="en-GB"/>
        </w:rPr>
      </w:pPr>
      <w:r w:rsidRPr="00AD57F7">
        <w:rPr>
          <w:rFonts w:ascii="Times New Roman" w:hAnsi="Times New Roman" w:cs="Times New Roman"/>
          <w:i/>
          <w:sz w:val="24"/>
          <w:szCs w:val="24"/>
          <w:lang w:eastAsia="en-GB"/>
        </w:rPr>
        <w:t>Views from stakeholders</w:t>
      </w:r>
      <w:r w:rsidR="00CF6B0A">
        <w:rPr>
          <w:rFonts w:ascii="Times New Roman" w:hAnsi="Times New Roman" w:cs="Times New Roman"/>
          <w:i/>
          <w:sz w:val="24"/>
          <w:szCs w:val="24"/>
          <w:lang w:eastAsia="en-GB"/>
        </w:rPr>
        <w:t xml:space="preserve">, </w:t>
      </w:r>
      <w:r w:rsidRPr="00AD57F7">
        <w:rPr>
          <w:rFonts w:ascii="Times New Roman" w:hAnsi="Times New Roman" w:cs="Times New Roman"/>
          <w:i/>
          <w:sz w:val="24"/>
          <w:szCs w:val="24"/>
          <w:lang w:eastAsia="en-GB"/>
        </w:rPr>
        <w:t>European Parliament</w:t>
      </w:r>
      <w:r w:rsidR="00CF6B0A">
        <w:rPr>
          <w:rFonts w:ascii="Times New Roman" w:hAnsi="Times New Roman" w:cs="Times New Roman"/>
          <w:i/>
          <w:sz w:val="24"/>
          <w:szCs w:val="24"/>
          <w:lang w:eastAsia="en-GB"/>
        </w:rPr>
        <w:t xml:space="preserve"> and</w:t>
      </w:r>
      <w:r w:rsidR="00CF6B0A" w:rsidRPr="00A91DA7">
        <w:rPr>
          <w:rFonts w:ascii="Times New Roman" w:hAnsi="Times New Roman" w:cs="Times New Roman"/>
          <w:i/>
          <w:sz w:val="24"/>
          <w:szCs w:val="24"/>
          <w:lang w:eastAsia="en-GB"/>
        </w:rPr>
        <w:t xml:space="preserve"> Member States </w:t>
      </w:r>
    </w:p>
    <w:p w:rsidR="00CF6B0A" w:rsidRDefault="003F656B"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views from the different stakeholders are reported after the de</w:t>
      </w:r>
      <w:r w:rsidR="006B0365">
        <w:rPr>
          <w:rFonts w:ascii="Times New Roman" w:hAnsi="Times New Roman" w:cs="Times New Roman"/>
          <w:sz w:val="24"/>
          <w:szCs w:val="24"/>
          <w:lang w:eastAsia="en-GB"/>
        </w:rPr>
        <w:t>scription of each policy option</w:t>
      </w:r>
      <w:r>
        <w:rPr>
          <w:rFonts w:ascii="Times New Roman" w:hAnsi="Times New Roman" w:cs="Times New Roman"/>
          <w:sz w:val="24"/>
          <w:szCs w:val="24"/>
          <w:lang w:eastAsia="en-GB"/>
        </w:rPr>
        <w:t xml:space="preserve">. </w:t>
      </w:r>
    </w:p>
    <w:p w:rsidR="006B0365" w:rsidRDefault="00C63638" w:rsidP="00AD57F7">
      <w:pPr>
        <w:autoSpaceDE w:val="0"/>
        <w:autoSpaceDN w:val="0"/>
        <w:adjustRightInd w:val="0"/>
        <w:spacing w:before="24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In its resolution of 9 July 2015</w:t>
      </w:r>
      <w:r>
        <w:rPr>
          <w:rStyle w:val="FootnoteReference"/>
          <w:rFonts w:ascii="Times New Roman" w:hAnsi="Times New Roman" w:cs="Times New Roman"/>
          <w:sz w:val="24"/>
          <w:szCs w:val="24"/>
          <w:lang w:eastAsia="en-GB"/>
        </w:rPr>
        <w:footnoteReference w:id="45"/>
      </w:r>
      <w:r>
        <w:rPr>
          <w:rFonts w:ascii="Times New Roman" w:hAnsi="Times New Roman" w:cs="Times New Roman"/>
          <w:sz w:val="24"/>
          <w:szCs w:val="24"/>
          <w:lang w:eastAsia="en-GB"/>
        </w:rPr>
        <w:t xml:space="preserve">, the European Parliament (EP) urged the Commission “to propose adequate solutions for better cross-border accessibility of services and copyright content for consumers” while acknowledging the importance of territoriality. </w:t>
      </w:r>
    </w:p>
    <w:p w:rsidR="006B0365" w:rsidRDefault="003E5613" w:rsidP="00AD57F7">
      <w:pPr>
        <w:autoSpaceDE w:val="0"/>
        <w:autoSpaceDN w:val="0"/>
        <w:adjustRightInd w:val="0"/>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 number of MS</w:t>
      </w:r>
      <w:r w:rsidRPr="00D462EB">
        <w:rPr>
          <w:rStyle w:val="FootnoteReference"/>
          <w:rFonts w:ascii="Times New Roman" w:hAnsi="Times New Roman" w:cs="Times New Roman"/>
        </w:rPr>
        <w:footnoteReference w:id="46"/>
      </w:r>
      <w:r>
        <w:rPr>
          <w:rFonts w:ascii="Times New Roman" w:hAnsi="Times New Roman" w:cs="Times New Roman"/>
          <w:sz w:val="24"/>
          <w:szCs w:val="24"/>
          <w:lang w:eastAsia="en-GB"/>
        </w:rPr>
        <w:t xml:space="preserve"> support the objective of enabling </w:t>
      </w:r>
      <w:r w:rsidRPr="003E5613">
        <w:rPr>
          <w:rFonts w:ascii="Times New Roman" w:hAnsi="Times New Roman" w:cs="Times New Roman"/>
          <w:sz w:val="24"/>
          <w:szCs w:val="24"/>
          <w:lang w:eastAsia="en-GB"/>
        </w:rPr>
        <w:t>more cross-border access to online transmissions of TV and radio programmes</w:t>
      </w:r>
      <w:r>
        <w:rPr>
          <w:rFonts w:ascii="Times New Roman" w:hAnsi="Times New Roman" w:cs="Times New Roman"/>
          <w:sz w:val="24"/>
          <w:szCs w:val="24"/>
          <w:lang w:eastAsia="en-GB"/>
        </w:rPr>
        <w:t xml:space="preserve"> but call for caution, </w:t>
      </w:r>
      <w:r w:rsidRPr="003E5613">
        <w:rPr>
          <w:rFonts w:ascii="Times New Roman" w:hAnsi="Times New Roman" w:cs="Times New Roman"/>
          <w:sz w:val="24"/>
          <w:szCs w:val="24"/>
          <w:lang w:eastAsia="en-GB"/>
        </w:rPr>
        <w:t>as in the</w:t>
      </w:r>
      <w:r>
        <w:rPr>
          <w:rFonts w:ascii="Times New Roman" w:hAnsi="Times New Roman" w:cs="Times New Roman"/>
          <w:sz w:val="24"/>
          <w:szCs w:val="24"/>
          <w:lang w:eastAsia="en-GB"/>
        </w:rPr>
        <w:t>ir view</w:t>
      </w:r>
      <w:r w:rsidRPr="003E5613">
        <w:rPr>
          <w:rFonts w:ascii="Times New Roman" w:hAnsi="Times New Roman" w:cs="Times New Roman"/>
          <w:sz w:val="24"/>
          <w:szCs w:val="24"/>
          <w:lang w:eastAsia="en-GB"/>
        </w:rPr>
        <w:t xml:space="preserve"> a </w:t>
      </w:r>
      <w:r w:rsidR="00D0634C">
        <w:rPr>
          <w:rFonts w:ascii="Times New Roman" w:hAnsi="Times New Roman" w:cs="Times New Roman"/>
          <w:sz w:val="24"/>
          <w:szCs w:val="24"/>
          <w:lang w:eastAsia="en-GB"/>
        </w:rPr>
        <w:t xml:space="preserve">possible </w:t>
      </w:r>
      <w:r w:rsidRPr="003E5613">
        <w:rPr>
          <w:rFonts w:ascii="Times New Roman" w:hAnsi="Times New Roman" w:cs="Times New Roman"/>
          <w:sz w:val="24"/>
          <w:szCs w:val="24"/>
          <w:lang w:eastAsia="en-GB"/>
        </w:rPr>
        <w:t>intervention should not undermine contractual freedom, a high level of protection of intellectual property and the exclusivity of rights</w:t>
      </w:r>
      <w:r>
        <w:rPr>
          <w:rFonts w:ascii="Times New Roman" w:hAnsi="Times New Roman" w:cs="Times New Roman"/>
          <w:sz w:val="24"/>
          <w:szCs w:val="24"/>
          <w:lang w:eastAsia="en-GB"/>
        </w:rPr>
        <w:t xml:space="preserve">. </w:t>
      </w:r>
    </w:p>
    <w:p w:rsidR="006B0365" w:rsidRDefault="003E5613" w:rsidP="00AD57F7">
      <w:pPr>
        <w:pStyle w:val="PlainText"/>
        <w:spacing w:after="240"/>
        <w:jc w:val="both"/>
        <w:rPr>
          <w:rFonts w:ascii="Times New Roman" w:hAnsi="Times New Roman"/>
          <w:sz w:val="24"/>
          <w:szCs w:val="24"/>
        </w:rPr>
      </w:pPr>
      <w:r>
        <w:rPr>
          <w:rFonts w:ascii="Times New Roman" w:hAnsi="Times New Roman"/>
          <w:sz w:val="24"/>
          <w:szCs w:val="24"/>
        </w:rPr>
        <w:t>Concerning retransmissions of TV and radio programmes, a</w:t>
      </w:r>
      <w:r w:rsidRPr="00734980">
        <w:rPr>
          <w:rFonts w:ascii="Times New Roman" w:hAnsi="Times New Roman"/>
          <w:sz w:val="24"/>
          <w:szCs w:val="24"/>
        </w:rPr>
        <w:t xml:space="preserve"> number of MS are in favour of si</w:t>
      </w:r>
      <w:r>
        <w:rPr>
          <w:rFonts w:ascii="Times New Roman" w:hAnsi="Times New Roman"/>
          <w:sz w:val="24"/>
          <w:szCs w:val="24"/>
        </w:rPr>
        <w:t>mplifying rights clearance for</w:t>
      </w:r>
      <w:r w:rsidRPr="00734980">
        <w:rPr>
          <w:rFonts w:ascii="Times New Roman" w:hAnsi="Times New Roman"/>
          <w:sz w:val="24"/>
          <w:szCs w:val="24"/>
        </w:rPr>
        <w:t xml:space="preserve"> services comparable to cable, though some have concerns and in particular underline the necess</w:t>
      </w:r>
      <w:r w:rsidR="006B0365">
        <w:rPr>
          <w:rFonts w:ascii="Times New Roman" w:hAnsi="Times New Roman"/>
          <w:sz w:val="24"/>
          <w:szCs w:val="24"/>
        </w:rPr>
        <w:t>ity to ensure fair competition.</w:t>
      </w:r>
    </w:p>
    <w:p w:rsidR="0041106B" w:rsidRPr="00734980" w:rsidRDefault="0041106B" w:rsidP="003E5613">
      <w:pPr>
        <w:spacing w:line="240" w:lineRule="auto"/>
        <w:jc w:val="both"/>
        <w:rPr>
          <w:rFonts w:ascii="Times New Roman" w:hAnsi="Times New Roman" w:cs="Times New Roman"/>
          <w:color w:val="1F497D"/>
          <w:sz w:val="24"/>
          <w:szCs w:val="24"/>
        </w:rPr>
      </w:pPr>
      <w:r w:rsidRPr="00AD57F7">
        <w:rPr>
          <w:rFonts w:ascii="Times New Roman" w:hAnsi="Times New Roman" w:cs="Times New Roman"/>
          <w:sz w:val="24"/>
          <w:szCs w:val="24"/>
        </w:rPr>
        <w:t xml:space="preserve">On out-of-commerce works, </w:t>
      </w:r>
      <w:r w:rsidR="00B252E2">
        <w:rPr>
          <w:rFonts w:ascii="Times New Roman" w:hAnsi="Times New Roman"/>
          <w:color w:val="000000"/>
          <w:sz w:val="24"/>
          <w:szCs w:val="20"/>
          <w:lang w:eastAsia="en-GB"/>
        </w:rPr>
        <w:t>o</w:t>
      </w:r>
      <w:r w:rsidR="00B252E2" w:rsidRPr="00AD57F7">
        <w:rPr>
          <w:rFonts w:ascii="Times New Roman" w:hAnsi="Times New Roman"/>
          <w:color w:val="000000"/>
          <w:sz w:val="24"/>
          <w:szCs w:val="20"/>
          <w:lang w:eastAsia="en-GB"/>
        </w:rPr>
        <w:t>nly a few MS provided views on the need of EU action in this area</w:t>
      </w:r>
      <w:r w:rsidR="0008294D">
        <w:rPr>
          <w:rFonts w:ascii="Times New Roman" w:hAnsi="Times New Roman"/>
          <w:color w:val="000000"/>
          <w:sz w:val="24"/>
          <w:szCs w:val="20"/>
          <w:lang w:eastAsia="en-GB"/>
        </w:rPr>
        <w:t>,</w:t>
      </w:r>
      <w:r w:rsidR="00B252E2" w:rsidRPr="00AD57F7">
        <w:rPr>
          <w:rStyle w:val="FootnoteReference"/>
          <w:rFonts w:ascii="Times New Roman" w:hAnsi="Times New Roman"/>
          <w:color w:val="000000"/>
          <w:sz w:val="24"/>
          <w:szCs w:val="20"/>
          <w:lang w:eastAsia="en-GB"/>
        </w:rPr>
        <w:footnoteReference w:id="47"/>
      </w:r>
      <w:r w:rsidR="00B252E2" w:rsidRPr="00AD57F7">
        <w:rPr>
          <w:rFonts w:ascii="Times New Roman" w:hAnsi="Times New Roman"/>
          <w:color w:val="000000"/>
          <w:sz w:val="24"/>
          <w:szCs w:val="20"/>
          <w:lang w:eastAsia="en-GB"/>
        </w:rPr>
        <w:t xml:space="preserve"> generally to explain national systems and favouring contractual mechanisms. In recent Council Conclusions,</w:t>
      </w:r>
      <w:r w:rsidR="00B252E2" w:rsidRPr="00AD57F7">
        <w:rPr>
          <w:rStyle w:val="FootnoteReference"/>
          <w:rFonts w:ascii="Times New Roman" w:hAnsi="Times New Roman"/>
          <w:color w:val="000000"/>
          <w:sz w:val="24"/>
          <w:szCs w:val="20"/>
          <w:lang w:eastAsia="en-GB"/>
        </w:rPr>
        <w:footnoteReference w:id="48"/>
      </w:r>
      <w:r w:rsidR="00B252E2" w:rsidRPr="00AD57F7">
        <w:rPr>
          <w:rFonts w:ascii="Times New Roman" w:hAnsi="Times New Roman"/>
          <w:color w:val="000000"/>
          <w:sz w:val="24"/>
          <w:szCs w:val="20"/>
          <w:lang w:eastAsia="en-GB"/>
        </w:rPr>
        <w:t xml:space="preserve"> they have simply taken note of the Commission’s intention</w:t>
      </w:r>
      <w:r w:rsidR="00B252E2" w:rsidRPr="00AD57F7">
        <w:rPr>
          <w:rStyle w:val="FootnoteReference"/>
          <w:rFonts w:ascii="Times New Roman" w:hAnsi="Times New Roman"/>
          <w:color w:val="000000"/>
          <w:sz w:val="24"/>
          <w:szCs w:val="20"/>
          <w:lang w:eastAsia="en-GB"/>
        </w:rPr>
        <w:footnoteReference w:id="49"/>
      </w:r>
      <w:r w:rsidR="00B252E2" w:rsidRPr="00AD57F7">
        <w:rPr>
          <w:rFonts w:ascii="Times New Roman" w:hAnsi="Times New Roman"/>
          <w:color w:val="000000"/>
          <w:sz w:val="24"/>
          <w:szCs w:val="20"/>
          <w:lang w:eastAsia="en-GB"/>
        </w:rPr>
        <w:t xml:space="preserve"> to assess options and consider legislative initiatives in this area.</w:t>
      </w:r>
    </w:p>
    <w:p w:rsidR="001D5DE0" w:rsidRDefault="001D5DE0">
      <w:pPr>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br w:type="page"/>
      </w:r>
    </w:p>
    <w:p w:rsidR="00256231" w:rsidRPr="005D7A30" w:rsidRDefault="0032552E" w:rsidP="005D7A30">
      <w:pPr>
        <w:autoSpaceDE w:val="0"/>
        <w:autoSpaceDN w:val="0"/>
        <w:adjustRightInd w:val="0"/>
        <w:spacing w:after="120" w:line="240" w:lineRule="auto"/>
        <w:jc w:val="both"/>
        <w:rPr>
          <w:rFonts w:ascii="Times New Roman" w:hAnsi="Times New Roman" w:cs="Times New Roman"/>
          <w:b/>
          <w:bCs/>
          <w:noProof/>
          <w:sz w:val="24"/>
          <w:szCs w:val="24"/>
          <w:lang w:eastAsia="en-GB"/>
        </w:rPr>
      </w:pPr>
      <w:r w:rsidRPr="005D7A30">
        <w:rPr>
          <w:rFonts w:ascii="Times New Roman" w:hAnsi="Times New Roman" w:cs="Times New Roman"/>
          <w:b/>
          <w:bCs/>
          <w:noProof/>
          <w:sz w:val="24"/>
          <w:szCs w:val="24"/>
          <w:lang w:eastAsia="en-GB"/>
        </w:rPr>
        <w:t>Impacts of policy options</w:t>
      </w:r>
    </w:p>
    <w:p w:rsidR="0032552E" w:rsidRDefault="0032552E" w:rsidP="0079038B">
      <w:pPr>
        <w:spacing w:before="120" w:after="120" w:line="240" w:lineRule="auto"/>
        <w:jc w:val="both"/>
        <w:rPr>
          <w:rFonts w:ascii="Times New Roman" w:hAnsi="Times New Roman" w:cs="Times New Roman"/>
          <w:i/>
          <w:sz w:val="24"/>
          <w:szCs w:val="24"/>
          <w:lang w:eastAsia="en-GB"/>
        </w:rPr>
      </w:pPr>
      <w:r w:rsidRPr="009E1150">
        <w:rPr>
          <w:rFonts w:ascii="Times New Roman" w:hAnsi="Times New Roman" w:cs="Times New Roman"/>
          <w:i/>
          <w:sz w:val="24"/>
          <w:szCs w:val="24"/>
          <w:lang w:eastAsia="en-GB"/>
        </w:rPr>
        <w:t>Stakeholders affected</w:t>
      </w:r>
    </w:p>
    <w:p w:rsidR="00CA16FA" w:rsidRDefault="00465363"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p</w:t>
      </w:r>
      <w:r w:rsidRPr="00CA16FA">
        <w:rPr>
          <w:rFonts w:ascii="Times New Roman" w:hAnsi="Times New Roman" w:cs="Times New Roman"/>
          <w:sz w:val="24"/>
          <w:szCs w:val="24"/>
          <w:lang w:eastAsia="en-GB"/>
        </w:rPr>
        <w:t xml:space="preserve">olicy </w:t>
      </w:r>
      <w:r w:rsidR="00853A85" w:rsidRPr="00CA16FA">
        <w:rPr>
          <w:rFonts w:ascii="Times New Roman" w:hAnsi="Times New Roman" w:cs="Times New Roman"/>
          <w:sz w:val="24"/>
          <w:szCs w:val="24"/>
          <w:lang w:eastAsia="en-GB"/>
        </w:rPr>
        <w:t>options related to online</w:t>
      </w:r>
      <w:r w:rsidR="00853A85">
        <w:rPr>
          <w:rFonts w:ascii="Times New Roman" w:hAnsi="Times New Roman" w:cs="Times New Roman"/>
          <w:sz w:val="24"/>
          <w:szCs w:val="24"/>
          <w:lang w:eastAsia="en-GB"/>
        </w:rPr>
        <w:t xml:space="preserve"> transmission</w:t>
      </w:r>
      <w:r w:rsidR="00F8295C">
        <w:rPr>
          <w:rFonts w:ascii="Times New Roman" w:hAnsi="Times New Roman" w:cs="Times New Roman"/>
          <w:sz w:val="24"/>
          <w:szCs w:val="24"/>
          <w:lang w:eastAsia="en-GB"/>
        </w:rPr>
        <w:t xml:space="preserve">s and retransmissions </w:t>
      </w:r>
      <w:r w:rsidR="00853A85">
        <w:rPr>
          <w:rFonts w:ascii="Times New Roman" w:hAnsi="Times New Roman" w:cs="Times New Roman"/>
          <w:sz w:val="24"/>
          <w:szCs w:val="24"/>
          <w:lang w:eastAsia="en-GB"/>
        </w:rPr>
        <w:t>of TV and radio programmes</w:t>
      </w:r>
      <w:r>
        <w:rPr>
          <w:rFonts w:ascii="Times New Roman" w:hAnsi="Times New Roman" w:cs="Times New Roman"/>
          <w:sz w:val="24"/>
          <w:szCs w:val="24"/>
          <w:lang w:eastAsia="en-GB"/>
        </w:rPr>
        <w:t xml:space="preserve"> </w:t>
      </w:r>
      <w:r w:rsidR="00CA16FA">
        <w:rPr>
          <w:rFonts w:ascii="Times New Roman" w:hAnsi="Times New Roman" w:cs="Times New Roman"/>
          <w:sz w:val="24"/>
          <w:szCs w:val="24"/>
          <w:lang w:eastAsia="en-GB"/>
        </w:rPr>
        <w:t xml:space="preserve">would </w:t>
      </w:r>
      <w:r w:rsidR="00F8295C">
        <w:rPr>
          <w:rFonts w:ascii="Times New Roman" w:hAnsi="Times New Roman" w:cs="Times New Roman"/>
          <w:sz w:val="24"/>
          <w:szCs w:val="24"/>
          <w:lang w:eastAsia="en-GB"/>
        </w:rPr>
        <w:t>affect,</w:t>
      </w:r>
      <w:r>
        <w:rPr>
          <w:rFonts w:ascii="Times New Roman" w:hAnsi="Times New Roman" w:cs="Times New Roman"/>
          <w:sz w:val="24"/>
          <w:szCs w:val="24"/>
          <w:lang w:eastAsia="en-GB"/>
        </w:rPr>
        <w:t xml:space="preserve"> on </w:t>
      </w:r>
      <w:r w:rsidR="00F8295C">
        <w:rPr>
          <w:rFonts w:ascii="Times New Roman" w:hAnsi="Times New Roman" w:cs="Times New Roman"/>
          <w:sz w:val="24"/>
          <w:szCs w:val="24"/>
          <w:lang w:eastAsia="en-GB"/>
        </w:rPr>
        <w:t>the one hand, broadcasters</w:t>
      </w:r>
      <w:r w:rsidR="00D0037C">
        <w:rPr>
          <w:rFonts w:ascii="Times New Roman" w:hAnsi="Times New Roman" w:cs="Times New Roman"/>
          <w:sz w:val="24"/>
          <w:szCs w:val="24"/>
          <w:lang w:eastAsia="en-GB"/>
        </w:rPr>
        <w:t xml:space="preserve"> (TV and </w:t>
      </w:r>
      <w:r w:rsidR="00F8295C">
        <w:rPr>
          <w:rFonts w:ascii="Times New Roman" w:hAnsi="Times New Roman" w:cs="Times New Roman"/>
          <w:sz w:val="24"/>
          <w:szCs w:val="24"/>
          <w:lang w:eastAsia="en-GB"/>
        </w:rPr>
        <w:t>radio</w:t>
      </w:r>
      <w:r w:rsidR="00D0037C">
        <w:rPr>
          <w:rFonts w:ascii="Times New Roman" w:hAnsi="Times New Roman" w:cs="Times New Roman"/>
          <w:sz w:val="24"/>
          <w:szCs w:val="24"/>
          <w:lang w:eastAsia="en-GB"/>
        </w:rPr>
        <w:t>)</w:t>
      </w:r>
      <w:r w:rsidR="00F8295C">
        <w:rPr>
          <w:rFonts w:ascii="Times New Roman" w:hAnsi="Times New Roman" w:cs="Times New Roman"/>
          <w:sz w:val="24"/>
          <w:szCs w:val="24"/>
          <w:lang w:eastAsia="en-GB"/>
        </w:rPr>
        <w:t>, retransmission service p</w:t>
      </w:r>
      <w:r>
        <w:rPr>
          <w:rFonts w:ascii="Times New Roman" w:hAnsi="Times New Roman" w:cs="Times New Roman"/>
          <w:sz w:val="24"/>
          <w:szCs w:val="24"/>
          <w:lang w:eastAsia="en-GB"/>
        </w:rPr>
        <w:t>roviders</w:t>
      </w:r>
      <w:r w:rsidR="00DF75D7">
        <w:rPr>
          <w:rFonts w:ascii="Times New Roman" w:hAnsi="Times New Roman" w:cs="Times New Roman"/>
          <w:sz w:val="24"/>
          <w:szCs w:val="24"/>
          <w:lang w:eastAsia="en-GB"/>
        </w:rPr>
        <w:t xml:space="preserve"> and</w:t>
      </w:r>
      <w:r>
        <w:rPr>
          <w:rFonts w:ascii="Times New Roman" w:hAnsi="Times New Roman" w:cs="Times New Roman"/>
          <w:sz w:val="24"/>
          <w:szCs w:val="24"/>
          <w:lang w:eastAsia="en-GB"/>
        </w:rPr>
        <w:t xml:space="preserve"> other online service providers, and on the other hand, all </w:t>
      </w:r>
      <w:r w:rsidR="00687496">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F8295C">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whose works are used in TV and radio programmes (mainly </w:t>
      </w:r>
      <w:r w:rsidR="00F8295C">
        <w:rPr>
          <w:rFonts w:ascii="Times New Roman" w:hAnsi="Times New Roman" w:cs="Times New Roman"/>
          <w:sz w:val="24"/>
          <w:szCs w:val="24"/>
          <w:lang w:eastAsia="en-GB"/>
        </w:rPr>
        <w:t xml:space="preserve">in the AV, music and visual art </w:t>
      </w:r>
      <w:r w:rsidR="00E74A85">
        <w:rPr>
          <w:rFonts w:ascii="Times New Roman" w:hAnsi="Times New Roman" w:cs="Times New Roman"/>
          <w:sz w:val="24"/>
          <w:szCs w:val="24"/>
          <w:lang w:eastAsia="en-GB"/>
        </w:rPr>
        <w:t>sector</w:t>
      </w:r>
      <w:r w:rsidR="00F8295C">
        <w:rPr>
          <w:rFonts w:ascii="Times New Roman" w:hAnsi="Times New Roman" w:cs="Times New Roman"/>
          <w:sz w:val="24"/>
          <w:szCs w:val="24"/>
          <w:lang w:eastAsia="en-GB"/>
        </w:rPr>
        <w:t>s</w:t>
      </w:r>
      <w:r>
        <w:rPr>
          <w:rFonts w:ascii="Times New Roman" w:hAnsi="Times New Roman" w:cs="Times New Roman"/>
          <w:sz w:val="24"/>
          <w:szCs w:val="24"/>
          <w:lang w:eastAsia="en-GB"/>
        </w:rPr>
        <w:t>)</w:t>
      </w:r>
      <w:r w:rsidR="00526766">
        <w:rPr>
          <w:rFonts w:ascii="Times New Roman" w:hAnsi="Times New Roman" w:cs="Times New Roman"/>
          <w:sz w:val="24"/>
          <w:szCs w:val="24"/>
          <w:lang w:eastAsia="en-GB"/>
        </w:rPr>
        <w:t xml:space="preserve">. </w:t>
      </w:r>
      <w:r w:rsidR="00E74A85">
        <w:rPr>
          <w:rFonts w:ascii="Times New Roman" w:hAnsi="Times New Roman" w:cs="Times New Roman"/>
          <w:sz w:val="24"/>
          <w:szCs w:val="24"/>
          <w:lang w:eastAsia="en-GB"/>
        </w:rPr>
        <w:t xml:space="preserve"> </w:t>
      </w:r>
    </w:p>
    <w:p w:rsidR="00465363" w:rsidRDefault="00465363"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Regarding the </w:t>
      </w:r>
      <w:r w:rsidR="00F8295C">
        <w:rPr>
          <w:rFonts w:ascii="Times New Roman" w:hAnsi="Times New Roman" w:cs="Times New Roman"/>
          <w:sz w:val="24"/>
          <w:szCs w:val="24"/>
          <w:lang w:eastAsia="en-GB"/>
        </w:rPr>
        <w:t xml:space="preserve">availability of </w:t>
      </w:r>
      <w:r w:rsidR="00F8295C" w:rsidRPr="00CA16FA">
        <w:rPr>
          <w:rFonts w:ascii="Times New Roman" w:hAnsi="Times New Roman" w:cs="Times New Roman"/>
          <w:sz w:val="24"/>
          <w:szCs w:val="24"/>
          <w:lang w:eastAsia="en-GB"/>
        </w:rPr>
        <w:t xml:space="preserve">works in </w:t>
      </w:r>
      <w:r w:rsidR="00F8295C">
        <w:rPr>
          <w:rFonts w:ascii="Times New Roman" w:hAnsi="Times New Roman" w:cs="Times New Roman"/>
          <w:sz w:val="24"/>
          <w:szCs w:val="24"/>
          <w:lang w:eastAsia="en-GB"/>
        </w:rPr>
        <w:t>Vo</w:t>
      </w:r>
      <w:r>
        <w:rPr>
          <w:rFonts w:ascii="Times New Roman" w:hAnsi="Times New Roman" w:cs="Times New Roman"/>
          <w:sz w:val="24"/>
          <w:szCs w:val="24"/>
          <w:lang w:eastAsia="en-GB"/>
        </w:rPr>
        <w:t xml:space="preserve">D platforms, the policy options examined in the IA would affect all types of stakeholders in the AV sector (authors, producers, distributors, broadcasters, </w:t>
      </w:r>
      <w:r w:rsidR="00A44C38">
        <w:rPr>
          <w:rFonts w:ascii="Times New Roman" w:hAnsi="Times New Roman" w:cs="Times New Roman"/>
          <w:sz w:val="24"/>
          <w:szCs w:val="24"/>
          <w:lang w:eastAsia="en-GB"/>
        </w:rPr>
        <w:t>VoD platforms</w:t>
      </w:r>
      <w:r>
        <w:rPr>
          <w:rFonts w:ascii="Times New Roman" w:hAnsi="Times New Roman" w:cs="Times New Roman"/>
          <w:sz w:val="24"/>
          <w:szCs w:val="24"/>
          <w:lang w:eastAsia="en-GB"/>
        </w:rPr>
        <w:t>, etc</w:t>
      </w:r>
      <w:r w:rsidR="007E43CD">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p>
    <w:p w:rsidR="00085FB6" w:rsidRDefault="00465363"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policy </w:t>
      </w:r>
      <w:r w:rsidR="00085FB6">
        <w:rPr>
          <w:rFonts w:ascii="Times New Roman" w:hAnsi="Times New Roman" w:cs="Times New Roman"/>
          <w:sz w:val="24"/>
          <w:szCs w:val="24"/>
          <w:lang w:eastAsia="en-GB"/>
        </w:rPr>
        <w:t>options considered in rel</w:t>
      </w:r>
      <w:r w:rsidR="001805CC">
        <w:rPr>
          <w:rFonts w:ascii="Times New Roman" w:hAnsi="Times New Roman" w:cs="Times New Roman"/>
          <w:sz w:val="24"/>
          <w:szCs w:val="24"/>
          <w:lang w:eastAsia="en-GB"/>
        </w:rPr>
        <w:t>ation to Oo</w:t>
      </w:r>
      <w:r w:rsidR="00085FB6">
        <w:rPr>
          <w:rFonts w:ascii="Times New Roman" w:hAnsi="Times New Roman" w:cs="Times New Roman"/>
          <w:sz w:val="24"/>
          <w:szCs w:val="24"/>
          <w:lang w:eastAsia="en-GB"/>
        </w:rPr>
        <w:t xml:space="preserve">C works would have an impact on CHIs such as libraries, archives, museums and film heritage institutions, and on </w:t>
      </w:r>
      <w:r w:rsidR="00687496">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085FB6">
        <w:rPr>
          <w:rFonts w:ascii="Times New Roman" w:hAnsi="Times New Roman" w:cs="Times New Roman"/>
          <w:sz w:val="24"/>
          <w:szCs w:val="24"/>
          <w:lang w:eastAsia="en-GB"/>
        </w:rPr>
        <w:t xml:space="preserve"> in all sectors (th</w:t>
      </w:r>
      <w:r w:rsidR="00D15CCB">
        <w:rPr>
          <w:rFonts w:ascii="Times New Roman" w:hAnsi="Times New Roman" w:cs="Times New Roman"/>
          <w:sz w:val="24"/>
          <w:szCs w:val="24"/>
          <w:lang w:eastAsia="en-GB"/>
        </w:rPr>
        <w:t>e collections of CHIs contain Oo</w:t>
      </w:r>
      <w:r w:rsidR="00085FB6">
        <w:rPr>
          <w:rFonts w:ascii="Times New Roman" w:hAnsi="Times New Roman" w:cs="Times New Roman"/>
          <w:sz w:val="24"/>
          <w:szCs w:val="24"/>
          <w:lang w:eastAsia="en-GB"/>
        </w:rPr>
        <w:t xml:space="preserve">C which can be books, phonograms, AV works, </w:t>
      </w:r>
      <w:r w:rsidR="00D0037C">
        <w:rPr>
          <w:rFonts w:ascii="Times New Roman" w:hAnsi="Times New Roman" w:cs="Times New Roman"/>
          <w:sz w:val="24"/>
          <w:szCs w:val="24"/>
          <w:lang w:eastAsia="en-GB"/>
        </w:rPr>
        <w:t xml:space="preserve">photographs, </w:t>
      </w:r>
      <w:r w:rsidR="00085FB6">
        <w:rPr>
          <w:rFonts w:ascii="Times New Roman" w:hAnsi="Times New Roman" w:cs="Times New Roman"/>
          <w:sz w:val="24"/>
          <w:szCs w:val="24"/>
          <w:lang w:eastAsia="en-GB"/>
        </w:rPr>
        <w:t>etc</w:t>
      </w:r>
      <w:r w:rsidR="00183FB7">
        <w:rPr>
          <w:rFonts w:ascii="Times New Roman" w:hAnsi="Times New Roman" w:cs="Times New Roman"/>
          <w:sz w:val="24"/>
          <w:szCs w:val="24"/>
          <w:lang w:eastAsia="en-GB"/>
        </w:rPr>
        <w:t>.</w:t>
      </w:r>
      <w:r w:rsidR="00085FB6">
        <w:rPr>
          <w:rFonts w:ascii="Times New Roman" w:hAnsi="Times New Roman" w:cs="Times New Roman"/>
          <w:sz w:val="24"/>
          <w:szCs w:val="24"/>
          <w:lang w:eastAsia="en-GB"/>
        </w:rPr>
        <w:t xml:space="preserve">). </w:t>
      </w:r>
    </w:p>
    <w:p w:rsidR="002D45CE" w:rsidRDefault="00E74A85"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Impacts on consumers/users are assessed for each policy</w:t>
      </w:r>
      <w:r w:rsidR="00526766">
        <w:rPr>
          <w:rFonts w:ascii="Times New Roman" w:hAnsi="Times New Roman" w:cs="Times New Roman"/>
          <w:sz w:val="24"/>
          <w:szCs w:val="24"/>
          <w:lang w:eastAsia="en-GB"/>
        </w:rPr>
        <w:t xml:space="preserve"> options, mostly in terms of access to and availability of online content</w:t>
      </w:r>
      <w:r>
        <w:rPr>
          <w:rFonts w:ascii="Times New Roman" w:hAnsi="Times New Roman" w:cs="Times New Roman"/>
          <w:sz w:val="24"/>
          <w:szCs w:val="24"/>
          <w:lang w:eastAsia="en-GB"/>
        </w:rPr>
        <w:t xml:space="preserve">. </w:t>
      </w:r>
    </w:p>
    <w:p w:rsidR="00474767" w:rsidRDefault="00474767" w:rsidP="005D7A30">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Obligations and costs for MS resulting from the preferred policy options are presented in Annex 3. </w:t>
      </w:r>
    </w:p>
    <w:p w:rsidR="0032552E" w:rsidRPr="009E1150" w:rsidRDefault="0032552E" w:rsidP="0079038B">
      <w:pPr>
        <w:spacing w:before="120" w:after="120" w:line="240" w:lineRule="auto"/>
        <w:jc w:val="both"/>
        <w:rPr>
          <w:rFonts w:ascii="Times New Roman" w:hAnsi="Times New Roman" w:cs="Times New Roman"/>
          <w:i/>
          <w:sz w:val="24"/>
          <w:szCs w:val="24"/>
          <w:lang w:eastAsia="en-GB"/>
        </w:rPr>
      </w:pPr>
      <w:r w:rsidRPr="009E1150">
        <w:rPr>
          <w:rFonts w:ascii="Times New Roman" w:hAnsi="Times New Roman" w:cs="Times New Roman"/>
          <w:i/>
          <w:sz w:val="24"/>
          <w:szCs w:val="24"/>
          <w:lang w:eastAsia="en-GB"/>
        </w:rPr>
        <w:t>Type of impacts and availability of data</w:t>
      </w:r>
    </w:p>
    <w:p w:rsidR="00D93D3B" w:rsidRPr="00322EF5" w:rsidRDefault="0032552E" w:rsidP="00C32C45">
      <w:pPr>
        <w:pStyle w:val="Text1"/>
        <w:ind w:left="0"/>
      </w:pPr>
      <w:r w:rsidRPr="008652EE">
        <w:t xml:space="preserve">Only the most significant and likely impacts are reported in this IA. </w:t>
      </w:r>
      <w:r w:rsidR="00402DAF">
        <w:t xml:space="preserve">The impacts are assessed by group of stakeholders </w:t>
      </w:r>
      <w:r w:rsidR="00402DAF" w:rsidRPr="009E1150">
        <w:rPr>
          <w:szCs w:val="24"/>
        </w:rPr>
        <w:t>(</w:t>
      </w:r>
      <w:r w:rsidR="00402DAF">
        <w:rPr>
          <w:szCs w:val="24"/>
        </w:rPr>
        <w:t>e.g. broadcasters, service providers,</w:t>
      </w:r>
      <w:r w:rsidR="00402DAF" w:rsidRPr="009E1150">
        <w:rPr>
          <w:szCs w:val="24"/>
        </w:rPr>
        <w:t xml:space="preserve"> rightholders)</w:t>
      </w:r>
      <w:r w:rsidR="00322EF5">
        <w:rPr>
          <w:szCs w:val="24"/>
        </w:rPr>
        <w:t xml:space="preserve">, focusing mainly on economic impacts, notably </w:t>
      </w:r>
      <w:r w:rsidR="00322EF5">
        <w:t xml:space="preserve">transaction costs and licensing revenues. </w:t>
      </w:r>
      <w:r w:rsidR="00402DAF">
        <w:rPr>
          <w:szCs w:val="24"/>
        </w:rPr>
        <w:t>In addition, broad social impacts (</w:t>
      </w:r>
      <w:r w:rsidR="00322EF5">
        <w:rPr>
          <w:szCs w:val="24"/>
        </w:rPr>
        <w:t xml:space="preserve">e.g. </w:t>
      </w:r>
      <w:r w:rsidR="00402DAF">
        <w:rPr>
          <w:szCs w:val="24"/>
        </w:rPr>
        <w:t xml:space="preserve">impacts on </w:t>
      </w:r>
      <w:r w:rsidR="00402DAF" w:rsidRPr="009E1150">
        <w:rPr>
          <w:szCs w:val="24"/>
        </w:rPr>
        <w:t>cultural diversity</w:t>
      </w:r>
      <w:r w:rsidR="00402DAF">
        <w:rPr>
          <w:szCs w:val="24"/>
        </w:rPr>
        <w:t xml:space="preserve">) and impacts on fundamental rights are assessed separately. </w:t>
      </w:r>
      <w:r w:rsidR="00322EF5" w:rsidRPr="009E1150">
        <w:rPr>
          <w:szCs w:val="24"/>
        </w:rPr>
        <w:t xml:space="preserve">All policy options considered in </w:t>
      </w:r>
      <w:r w:rsidR="00322EF5">
        <w:rPr>
          <w:szCs w:val="24"/>
        </w:rPr>
        <w:t>this section of the IA</w:t>
      </w:r>
      <w:r w:rsidR="00322EF5" w:rsidRPr="009E1150">
        <w:rPr>
          <w:szCs w:val="24"/>
        </w:rPr>
        <w:t xml:space="preserve"> may have an impact on copyright as a property right (Article 17(2) of the Charter of Fundamental Rights</w:t>
      </w:r>
      <w:r w:rsidR="00E6341E">
        <w:rPr>
          <w:szCs w:val="24"/>
        </w:rPr>
        <w:t xml:space="preserve"> of the European Union</w:t>
      </w:r>
      <w:r w:rsidR="00BE5314">
        <w:rPr>
          <w:szCs w:val="24"/>
        </w:rPr>
        <w:t xml:space="preserve"> – "The Charter"</w:t>
      </w:r>
      <w:r w:rsidR="00322EF5" w:rsidRPr="009E1150">
        <w:rPr>
          <w:szCs w:val="24"/>
        </w:rPr>
        <w:t>)</w:t>
      </w:r>
      <w:r w:rsidR="004D059D">
        <w:rPr>
          <w:rStyle w:val="FootnoteReference"/>
          <w:szCs w:val="24"/>
        </w:rPr>
        <w:footnoteReference w:id="50"/>
      </w:r>
      <w:r w:rsidR="00322EF5">
        <w:rPr>
          <w:szCs w:val="24"/>
        </w:rPr>
        <w:t xml:space="preserve"> and on the freedom to conduct a business (Article 16)</w:t>
      </w:r>
      <w:r w:rsidR="00322EF5" w:rsidRPr="009E1150">
        <w:rPr>
          <w:szCs w:val="24"/>
        </w:rPr>
        <w:t xml:space="preserve">. In addition, impacts on </w:t>
      </w:r>
      <w:r w:rsidR="00322EF5">
        <w:rPr>
          <w:szCs w:val="24"/>
        </w:rPr>
        <w:t xml:space="preserve">freedom of information (Article 11), </w:t>
      </w:r>
      <w:r w:rsidR="00322EF5" w:rsidRPr="00E36AA9">
        <w:t>freedom of the art</w:t>
      </w:r>
      <w:r w:rsidR="00322EF5">
        <w:t>s and sciences (Article 13), and right to</w:t>
      </w:r>
      <w:r w:rsidR="00322EF5" w:rsidRPr="00E36AA9">
        <w:t xml:space="preserve"> education</w:t>
      </w:r>
      <w:r w:rsidR="00322EF5">
        <w:t xml:space="preserve"> (Article 14) are examined where appropriate. </w:t>
      </w:r>
      <w:r w:rsidR="00322EF5" w:rsidRPr="00871CDA">
        <w:t>Impacts on third countries or on the environment are not elaborated upon as the</w:t>
      </w:r>
      <w:r w:rsidR="00322EF5">
        <w:t xml:space="preserve"> policy</w:t>
      </w:r>
      <w:r w:rsidR="00322EF5" w:rsidRPr="00871CDA">
        <w:t xml:space="preserve"> options presented </w:t>
      </w:r>
      <w:r w:rsidR="00322EF5">
        <w:t xml:space="preserve">in this section of the IA </w:t>
      </w:r>
      <w:r w:rsidR="00322EF5" w:rsidRPr="00871CDA">
        <w:t>are considered not to have any substantial impact on them.</w:t>
      </w:r>
      <w:r w:rsidR="00DF75D7">
        <w:t xml:space="preserve"> </w:t>
      </w:r>
      <w:r w:rsidR="00DF75D7">
        <w:rPr>
          <w:szCs w:val="24"/>
        </w:rPr>
        <w:t>No significant impacts on employment have been identified.</w:t>
      </w:r>
    </w:p>
    <w:p w:rsidR="00DF5BDB" w:rsidRDefault="00DF5BDB" w:rsidP="005D7A30">
      <w:pPr>
        <w:autoSpaceDE w:val="0"/>
        <w:autoSpaceDN w:val="0"/>
        <w:adjustRightInd w:val="0"/>
        <w:spacing w:after="120" w:line="240" w:lineRule="auto"/>
        <w:jc w:val="both"/>
        <w:rPr>
          <w:rFonts w:ascii="Times New Roman" w:eastAsia="Calibri" w:hAnsi="Times New Roman" w:cs="Times New Roman"/>
          <w:sz w:val="24"/>
          <w:lang w:eastAsia="en-GB"/>
        </w:rPr>
      </w:pPr>
      <w:r w:rsidRPr="005D7A30">
        <w:rPr>
          <w:rFonts w:ascii="Times New Roman" w:hAnsi="Times New Roman" w:cs="Times New Roman"/>
          <w:sz w:val="24"/>
          <w:szCs w:val="24"/>
          <w:lang w:eastAsia="en-GB"/>
        </w:rPr>
        <w:t>Whereas</w:t>
      </w:r>
      <w:r>
        <w:rPr>
          <w:rFonts w:ascii="Times New Roman" w:eastAsia="Calibri" w:hAnsi="Times New Roman" w:cs="Times New Roman"/>
          <w:sz w:val="24"/>
          <w:lang w:eastAsia="en-GB"/>
        </w:rPr>
        <w:t xml:space="preserve"> general market data is widely available on the different sectors and distribution channels examined in this section of the IA (TV market, VoD market</w:t>
      </w:r>
      <w:r w:rsidR="0080624B">
        <w:rPr>
          <w:rStyle w:val="FootnoteReference"/>
          <w:rFonts w:ascii="Times New Roman" w:eastAsia="Calibri" w:hAnsi="Times New Roman" w:cs="Times New Roman"/>
          <w:sz w:val="24"/>
          <w:lang w:eastAsia="en-GB"/>
        </w:rPr>
        <w:footnoteReference w:id="51"/>
      </w:r>
      <w:r>
        <w:rPr>
          <w:rFonts w:ascii="Times New Roman" w:eastAsia="Calibri" w:hAnsi="Times New Roman" w:cs="Times New Roman"/>
          <w:sz w:val="24"/>
          <w:lang w:eastAsia="en-GB"/>
        </w:rPr>
        <w:t>), specific data related to transaction costs and licensing revenues is not publicly available</w:t>
      </w:r>
      <w:r w:rsidR="00DF75D7">
        <w:rPr>
          <w:rFonts w:ascii="Times New Roman" w:eastAsia="Calibri" w:hAnsi="Times New Roman" w:cs="Times New Roman"/>
          <w:sz w:val="24"/>
          <w:lang w:eastAsia="en-GB"/>
        </w:rPr>
        <w:t>. Other than in a few cases, this data</w:t>
      </w:r>
      <w:r>
        <w:rPr>
          <w:rFonts w:ascii="Times New Roman" w:eastAsia="Calibri" w:hAnsi="Times New Roman" w:cs="Times New Roman"/>
          <w:sz w:val="24"/>
          <w:lang w:eastAsia="en-GB"/>
        </w:rPr>
        <w:t xml:space="preserve"> could not be obtained from stakeholders</w:t>
      </w:r>
      <w:r w:rsidR="00402DAF">
        <w:rPr>
          <w:rFonts w:ascii="Times New Roman" w:eastAsia="Calibri" w:hAnsi="Times New Roman" w:cs="Times New Roman"/>
          <w:sz w:val="24"/>
          <w:lang w:eastAsia="en-GB"/>
        </w:rPr>
        <w:t xml:space="preserve"> despite repeated attempts (through direct requests to stakeholders or dedicated studies</w:t>
      </w:r>
      <w:r w:rsidR="00402DAF">
        <w:rPr>
          <w:rStyle w:val="FootnoteReference"/>
          <w:rFonts w:ascii="Times New Roman" w:eastAsia="Calibri" w:hAnsi="Times New Roman" w:cs="Times New Roman"/>
          <w:sz w:val="24"/>
          <w:lang w:eastAsia="en-GB"/>
        </w:rPr>
        <w:footnoteReference w:id="52"/>
      </w:r>
      <w:r w:rsidR="00402DAF">
        <w:rPr>
          <w:rFonts w:ascii="Times New Roman" w:eastAsia="Calibri" w:hAnsi="Times New Roman" w:cs="Times New Roman"/>
          <w:sz w:val="24"/>
          <w:lang w:eastAsia="en-GB"/>
        </w:rPr>
        <w:t>)</w:t>
      </w:r>
      <w:r>
        <w:rPr>
          <w:rFonts w:ascii="Times New Roman" w:eastAsia="Calibri" w:hAnsi="Times New Roman" w:cs="Times New Roman"/>
          <w:sz w:val="24"/>
          <w:lang w:eastAsia="en-GB"/>
        </w:rPr>
        <w:t>.</w:t>
      </w:r>
    </w:p>
    <w:p w:rsidR="001D5DE0" w:rsidRDefault="001D5DE0">
      <w:pPr>
        <w:rPr>
          <w:rFonts w:ascii="Times New Roman" w:hAnsi="Times New Roman" w:cs="Times New Roman"/>
          <w:i/>
          <w:sz w:val="24"/>
          <w:szCs w:val="24"/>
          <w:lang w:eastAsia="en-GB"/>
        </w:rPr>
      </w:pPr>
      <w:r>
        <w:rPr>
          <w:rFonts w:ascii="Times New Roman" w:hAnsi="Times New Roman" w:cs="Times New Roman"/>
          <w:i/>
          <w:sz w:val="24"/>
          <w:szCs w:val="24"/>
          <w:lang w:eastAsia="en-GB"/>
        </w:rPr>
        <w:br w:type="page"/>
      </w:r>
    </w:p>
    <w:p w:rsidR="0032552E" w:rsidRPr="0079038B" w:rsidRDefault="0032552E" w:rsidP="0079038B">
      <w:pPr>
        <w:spacing w:before="120" w:after="120" w:line="240" w:lineRule="auto"/>
        <w:jc w:val="both"/>
        <w:rPr>
          <w:rFonts w:ascii="Times New Roman" w:hAnsi="Times New Roman" w:cs="Times New Roman"/>
          <w:i/>
          <w:sz w:val="24"/>
          <w:szCs w:val="24"/>
          <w:lang w:eastAsia="en-GB"/>
        </w:rPr>
      </w:pPr>
      <w:r w:rsidRPr="0079038B">
        <w:rPr>
          <w:rFonts w:ascii="Times New Roman" w:hAnsi="Times New Roman" w:cs="Times New Roman"/>
          <w:i/>
          <w:sz w:val="24"/>
          <w:szCs w:val="24"/>
          <w:lang w:eastAsia="en-GB"/>
        </w:rPr>
        <w:t>Impacts on SMEs</w:t>
      </w:r>
      <w:r w:rsidR="00DF5BDB" w:rsidRPr="0079038B">
        <w:rPr>
          <w:rFonts w:ascii="Times New Roman" w:hAnsi="Times New Roman" w:cs="Times New Roman"/>
          <w:i/>
          <w:sz w:val="24"/>
          <w:szCs w:val="24"/>
          <w:lang w:eastAsia="en-GB"/>
        </w:rPr>
        <w:t xml:space="preserve"> </w:t>
      </w:r>
    </w:p>
    <w:p w:rsidR="002D45CE" w:rsidRDefault="0032552E" w:rsidP="005D7A30">
      <w:pPr>
        <w:autoSpaceDE w:val="0"/>
        <w:autoSpaceDN w:val="0"/>
        <w:adjustRightInd w:val="0"/>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The policy options considered </w:t>
      </w:r>
      <w:r>
        <w:rPr>
          <w:rFonts w:ascii="Times New Roman" w:hAnsi="Times New Roman" w:cs="Times New Roman"/>
          <w:sz w:val="24"/>
          <w:szCs w:val="24"/>
          <w:lang w:eastAsia="en-GB"/>
        </w:rPr>
        <w:t xml:space="preserve">in this IA </w:t>
      </w:r>
      <w:r w:rsidRPr="009E1150">
        <w:rPr>
          <w:rFonts w:ascii="Times New Roman" w:hAnsi="Times New Roman" w:cs="Times New Roman"/>
          <w:sz w:val="24"/>
          <w:szCs w:val="24"/>
          <w:lang w:eastAsia="en-GB"/>
        </w:rPr>
        <w:t xml:space="preserve">do not target </w:t>
      </w:r>
      <w:r w:rsidR="00DF5BDB">
        <w:rPr>
          <w:rFonts w:ascii="Times New Roman" w:hAnsi="Times New Roman" w:cs="Times New Roman"/>
          <w:sz w:val="24"/>
          <w:szCs w:val="24"/>
          <w:lang w:eastAsia="en-GB"/>
        </w:rPr>
        <w:t>SMEs</w:t>
      </w:r>
      <w:r w:rsidRPr="009E1150">
        <w:rPr>
          <w:rFonts w:ascii="Times New Roman" w:hAnsi="Times New Roman" w:cs="Times New Roman"/>
          <w:sz w:val="24"/>
          <w:szCs w:val="24"/>
          <w:lang w:eastAsia="en-GB"/>
        </w:rPr>
        <w:t xml:space="preserve"> but </w:t>
      </w:r>
      <w:r>
        <w:rPr>
          <w:rFonts w:ascii="Times New Roman" w:hAnsi="Times New Roman" w:cs="Times New Roman"/>
          <w:sz w:val="24"/>
          <w:szCs w:val="24"/>
          <w:lang w:eastAsia="en-GB"/>
        </w:rPr>
        <w:t xml:space="preserve">may have an impact on them, </w:t>
      </w:r>
      <w:r w:rsidR="003F3796">
        <w:rPr>
          <w:rFonts w:ascii="Times New Roman" w:hAnsi="Times New Roman" w:cs="Times New Roman"/>
          <w:sz w:val="24"/>
          <w:szCs w:val="24"/>
          <w:lang w:eastAsia="en-GB"/>
        </w:rPr>
        <w:t xml:space="preserve">as the </w:t>
      </w:r>
      <w:r w:rsidR="0080624B" w:rsidRPr="005D7A30">
        <w:rPr>
          <w:rFonts w:ascii="Times New Roman" w:eastAsia="Calibri" w:hAnsi="Times New Roman" w:cs="Times New Roman"/>
          <w:sz w:val="24"/>
          <w:lang w:eastAsia="en-GB"/>
        </w:rPr>
        <w:t>large</w:t>
      </w:r>
      <w:r w:rsidR="0080624B">
        <w:rPr>
          <w:rFonts w:ascii="Times New Roman" w:hAnsi="Times New Roman" w:cs="Times New Roman"/>
          <w:sz w:val="24"/>
          <w:szCs w:val="24"/>
          <w:lang w:eastAsia="en-GB"/>
        </w:rPr>
        <w:t xml:space="preserve"> majority of companies that may be affected are SMEs. </w:t>
      </w:r>
      <w:r w:rsidR="0080624B">
        <w:rPr>
          <w:rFonts w:ascii="Times New Roman" w:hAnsi="Times New Roman" w:cs="Times New Roman"/>
          <w:sz w:val="24"/>
          <w:szCs w:val="24"/>
        </w:rPr>
        <w:t>In the sector of programming and broadcasting activities, 98.9</w:t>
      </w:r>
      <w:r w:rsidR="000B17FD">
        <w:rPr>
          <w:rFonts w:ascii="Times New Roman" w:hAnsi="Times New Roman" w:cs="Times New Roman"/>
          <w:sz w:val="24"/>
          <w:szCs w:val="24"/>
        </w:rPr>
        <w:t xml:space="preserve"> </w:t>
      </w:r>
      <w:r w:rsidR="0080624B">
        <w:rPr>
          <w:rFonts w:ascii="Times New Roman" w:hAnsi="Times New Roman" w:cs="Times New Roman"/>
          <w:sz w:val="24"/>
          <w:szCs w:val="24"/>
        </w:rPr>
        <w:t>% of companies are SMEs (85</w:t>
      </w:r>
      <w:r w:rsidR="000B17FD">
        <w:rPr>
          <w:rFonts w:ascii="Times New Roman" w:hAnsi="Times New Roman" w:cs="Times New Roman"/>
          <w:sz w:val="24"/>
          <w:szCs w:val="24"/>
        </w:rPr>
        <w:t xml:space="preserve"> </w:t>
      </w:r>
      <w:r w:rsidR="0080624B">
        <w:rPr>
          <w:rFonts w:ascii="Times New Roman" w:hAnsi="Times New Roman" w:cs="Times New Roman"/>
          <w:sz w:val="24"/>
          <w:szCs w:val="24"/>
        </w:rPr>
        <w:t>% micro-companies) generating 17.9</w:t>
      </w:r>
      <w:r w:rsidR="000B17FD">
        <w:rPr>
          <w:rFonts w:ascii="Times New Roman" w:hAnsi="Times New Roman" w:cs="Times New Roman"/>
          <w:sz w:val="24"/>
          <w:szCs w:val="24"/>
        </w:rPr>
        <w:t xml:space="preserve"> </w:t>
      </w:r>
      <w:r w:rsidR="0080624B">
        <w:rPr>
          <w:rFonts w:ascii="Times New Roman" w:hAnsi="Times New Roman" w:cs="Times New Roman"/>
          <w:sz w:val="24"/>
          <w:szCs w:val="24"/>
        </w:rPr>
        <w:t>% o</w:t>
      </w:r>
      <w:r w:rsidR="003C7857">
        <w:rPr>
          <w:rFonts w:ascii="Times New Roman" w:hAnsi="Times New Roman" w:cs="Times New Roman"/>
          <w:sz w:val="24"/>
          <w:szCs w:val="24"/>
        </w:rPr>
        <w:t>f the value added</w:t>
      </w:r>
      <w:r w:rsidR="00036141">
        <w:rPr>
          <w:rFonts w:ascii="Times New Roman" w:hAnsi="Times New Roman" w:cs="Times New Roman"/>
          <w:sz w:val="24"/>
          <w:szCs w:val="24"/>
        </w:rPr>
        <w:t>.</w:t>
      </w:r>
      <w:r w:rsidR="009371F0">
        <w:rPr>
          <w:rStyle w:val="FootnoteReference"/>
          <w:rFonts w:ascii="Times New Roman" w:hAnsi="Times New Roman" w:cs="Times New Roman"/>
          <w:sz w:val="24"/>
          <w:szCs w:val="24"/>
        </w:rPr>
        <w:footnoteReference w:id="53"/>
      </w:r>
      <w:r w:rsidR="0080624B">
        <w:rPr>
          <w:rFonts w:ascii="Times New Roman" w:hAnsi="Times New Roman" w:cs="Times New Roman"/>
          <w:sz w:val="24"/>
          <w:szCs w:val="24"/>
        </w:rPr>
        <w:t xml:space="preserve"> </w:t>
      </w:r>
      <w:r w:rsidRPr="000319C4">
        <w:rPr>
          <w:rFonts w:ascii="Times New Roman" w:hAnsi="Times New Roman" w:cs="Times New Roman"/>
          <w:sz w:val="24"/>
          <w:szCs w:val="24"/>
          <w:lang w:eastAsia="en-GB"/>
        </w:rPr>
        <w:t>In the sector of film and music production, 99.9</w:t>
      </w:r>
      <w:r w:rsidR="000B17FD">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 of companies are SMEs (96</w:t>
      </w:r>
      <w:r w:rsidR="000B17FD">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 micro-companies) generating 85</w:t>
      </w:r>
      <w:r w:rsidR="000B17FD">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 xml:space="preserve">% of the value added </w:t>
      </w:r>
      <w:r>
        <w:rPr>
          <w:rFonts w:ascii="Times New Roman" w:hAnsi="Times New Roman" w:cs="Times New Roman"/>
          <w:sz w:val="24"/>
          <w:szCs w:val="24"/>
          <w:lang w:eastAsia="en-GB"/>
        </w:rPr>
        <w:t>(32</w:t>
      </w:r>
      <w:r w:rsidR="000B17FD">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by micro-companies)</w:t>
      </w:r>
      <w:r w:rsidRPr="00CD0F0E">
        <w:rPr>
          <w:rFonts w:ascii="Times New Roman" w:hAnsi="Times New Roman" w:cs="Times New Roman"/>
          <w:sz w:val="24"/>
          <w:szCs w:val="24"/>
          <w:lang w:eastAsia="en-GB"/>
        </w:rPr>
        <w:t>.</w:t>
      </w:r>
      <w:r w:rsidRPr="008F24A7">
        <w:rPr>
          <w:rStyle w:val="FootnoteReference"/>
          <w:rFonts w:ascii="Times New Roman" w:hAnsi="Times New Roman" w:cs="Times New Roman"/>
          <w:sz w:val="24"/>
          <w:szCs w:val="24"/>
          <w:lang w:eastAsia="en-GB"/>
        </w:rPr>
        <w:footnoteReference w:id="54"/>
      </w:r>
      <w:r w:rsidRPr="009E1150">
        <w:rPr>
          <w:rFonts w:ascii="Times New Roman" w:hAnsi="Times New Roman" w:cs="Times New Roman"/>
          <w:sz w:val="24"/>
          <w:szCs w:val="24"/>
        </w:rPr>
        <w:t xml:space="preserve"> </w:t>
      </w:r>
    </w:p>
    <w:p w:rsidR="00E7262F" w:rsidRDefault="0080624B" w:rsidP="005D7A30">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D7A30">
        <w:rPr>
          <w:rFonts w:ascii="Times New Roman" w:eastAsia="Calibri" w:hAnsi="Times New Roman" w:cs="Times New Roman"/>
          <w:sz w:val="24"/>
          <w:lang w:eastAsia="en-GB"/>
        </w:rPr>
        <w:t>policy</w:t>
      </w:r>
      <w:r>
        <w:rPr>
          <w:rFonts w:ascii="Times New Roman" w:hAnsi="Times New Roman" w:cs="Times New Roman"/>
          <w:sz w:val="24"/>
          <w:szCs w:val="24"/>
        </w:rPr>
        <w:t xml:space="preserve"> options examined </w:t>
      </w:r>
      <w:r w:rsidRPr="00705E14">
        <w:rPr>
          <w:rFonts w:ascii="Times New Roman" w:hAnsi="Times New Roman" w:cs="Times New Roman"/>
          <w:sz w:val="24"/>
          <w:szCs w:val="24"/>
        </w:rPr>
        <w:t>in this s</w:t>
      </w:r>
      <w:r w:rsidR="00961DB7" w:rsidRPr="00705E14">
        <w:rPr>
          <w:rFonts w:ascii="Times New Roman" w:hAnsi="Times New Roman" w:cs="Times New Roman"/>
          <w:sz w:val="24"/>
          <w:szCs w:val="24"/>
        </w:rPr>
        <w:t xml:space="preserve">ection of the IA are expected to reduce the administrative burden faced by </w:t>
      </w:r>
      <w:r w:rsidR="00D0037C" w:rsidRPr="00705E14">
        <w:rPr>
          <w:rFonts w:ascii="Times New Roman" w:hAnsi="Times New Roman" w:cs="Times New Roman"/>
          <w:sz w:val="24"/>
          <w:szCs w:val="24"/>
        </w:rPr>
        <w:t>TV and</w:t>
      </w:r>
      <w:r w:rsidR="00A44C38" w:rsidRPr="00705E14">
        <w:rPr>
          <w:rFonts w:ascii="Times New Roman" w:hAnsi="Times New Roman" w:cs="Times New Roman"/>
          <w:sz w:val="24"/>
          <w:szCs w:val="24"/>
        </w:rPr>
        <w:t xml:space="preserve"> radio</w:t>
      </w:r>
      <w:r w:rsidR="00961DB7" w:rsidRPr="00705E14">
        <w:rPr>
          <w:rFonts w:ascii="Times New Roman" w:hAnsi="Times New Roman" w:cs="Times New Roman"/>
          <w:sz w:val="24"/>
          <w:szCs w:val="24"/>
        </w:rPr>
        <w:t xml:space="preserve"> </w:t>
      </w:r>
      <w:r w:rsidR="00B41BE6" w:rsidRPr="00705E14">
        <w:rPr>
          <w:rFonts w:ascii="Times New Roman" w:hAnsi="Times New Roman" w:cs="Times New Roman"/>
          <w:sz w:val="24"/>
          <w:szCs w:val="24"/>
        </w:rPr>
        <w:t xml:space="preserve">broadcasters </w:t>
      </w:r>
      <w:r w:rsidR="00D0037C" w:rsidRPr="00705E14">
        <w:rPr>
          <w:rFonts w:ascii="Times New Roman" w:hAnsi="Times New Roman" w:cs="Times New Roman"/>
          <w:sz w:val="24"/>
          <w:szCs w:val="24"/>
        </w:rPr>
        <w:t xml:space="preserve">as well as </w:t>
      </w:r>
      <w:r w:rsidR="00961DB7" w:rsidRPr="00705E14">
        <w:rPr>
          <w:rFonts w:ascii="Times New Roman" w:hAnsi="Times New Roman" w:cs="Times New Roman"/>
          <w:sz w:val="24"/>
          <w:szCs w:val="24"/>
        </w:rPr>
        <w:t xml:space="preserve">service providers </w:t>
      </w:r>
      <w:r w:rsidR="00976801" w:rsidRPr="00705E14">
        <w:rPr>
          <w:rFonts w:ascii="Times New Roman" w:hAnsi="Times New Roman" w:cs="Times New Roman"/>
          <w:sz w:val="24"/>
          <w:szCs w:val="24"/>
        </w:rPr>
        <w:t>willing to obtain</w:t>
      </w:r>
      <w:r w:rsidR="00961DB7" w:rsidRPr="00705E14">
        <w:rPr>
          <w:rFonts w:ascii="Times New Roman" w:hAnsi="Times New Roman" w:cs="Times New Roman"/>
          <w:sz w:val="24"/>
          <w:szCs w:val="24"/>
        </w:rPr>
        <w:t xml:space="preserve"> rights for the online </w:t>
      </w:r>
      <w:r w:rsidR="00085FB6" w:rsidRPr="00705E14">
        <w:rPr>
          <w:rFonts w:ascii="Times New Roman" w:hAnsi="Times New Roman" w:cs="Times New Roman"/>
          <w:sz w:val="24"/>
          <w:szCs w:val="24"/>
        </w:rPr>
        <w:t xml:space="preserve">and/or </w:t>
      </w:r>
      <w:r w:rsidR="00961DB7" w:rsidRPr="00705E14">
        <w:rPr>
          <w:rFonts w:ascii="Times New Roman" w:hAnsi="Times New Roman" w:cs="Times New Roman"/>
          <w:sz w:val="24"/>
          <w:szCs w:val="24"/>
        </w:rPr>
        <w:t xml:space="preserve">cross-border exploitation of works and would therefore be positive for SMEs active in this area. </w:t>
      </w:r>
      <w:r w:rsidR="00E7262F">
        <w:rPr>
          <w:rFonts w:ascii="Times New Roman" w:hAnsi="Times New Roman" w:cs="Times New Roman"/>
          <w:sz w:val="24"/>
          <w:szCs w:val="24"/>
        </w:rPr>
        <w:t xml:space="preserve">Most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00961DB7" w:rsidRPr="00705E14">
        <w:rPr>
          <w:rFonts w:ascii="Times New Roman" w:hAnsi="Times New Roman" w:cs="Times New Roman"/>
          <w:sz w:val="24"/>
          <w:szCs w:val="24"/>
        </w:rPr>
        <w:t xml:space="preserve"> may also benefit from the licensing </w:t>
      </w:r>
      <w:r w:rsidR="00976801" w:rsidRPr="00705E14">
        <w:rPr>
          <w:rFonts w:ascii="Times New Roman" w:hAnsi="Times New Roman" w:cs="Times New Roman"/>
          <w:sz w:val="24"/>
          <w:szCs w:val="24"/>
        </w:rPr>
        <w:t>or negotiation mechanisms</w:t>
      </w:r>
      <w:r w:rsidR="00961DB7" w:rsidRPr="00705E14">
        <w:rPr>
          <w:rFonts w:ascii="Times New Roman" w:hAnsi="Times New Roman" w:cs="Times New Roman"/>
          <w:sz w:val="24"/>
          <w:szCs w:val="24"/>
        </w:rPr>
        <w:t xml:space="preserve"> examined in the different policy options, in particular </w:t>
      </w:r>
      <w:r w:rsidR="00F76CDC" w:rsidRPr="00705E14">
        <w:rPr>
          <w:rFonts w:ascii="Times New Roman" w:hAnsi="Times New Roman" w:cs="Times New Roman"/>
          <w:sz w:val="24"/>
          <w:szCs w:val="24"/>
        </w:rPr>
        <w:t xml:space="preserve">individual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00F76CDC" w:rsidRPr="00705E14">
        <w:rPr>
          <w:rFonts w:ascii="Times New Roman" w:hAnsi="Times New Roman" w:cs="Times New Roman"/>
          <w:sz w:val="24"/>
          <w:szCs w:val="24"/>
        </w:rPr>
        <w:t xml:space="preserve"> or micro-companies</w:t>
      </w:r>
      <w:r w:rsidR="00961DB7" w:rsidRPr="00705E14">
        <w:rPr>
          <w:rFonts w:ascii="Times New Roman" w:hAnsi="Times New Roman" w:cs="Times New Roman"/>
          <w:sz w:val="24"/>
          <w:szCs w:val="24"/>
        </w:rPr>
        <w:t xml:space="preserve"> </w:t>
      </w:r>
      <w:r w:rsidR="00F76CDC" w:rsidRPr="00705E14">
        <w:rPr>
          <w:rFonts w:ascii="Times New Roman" w:hAnsi="Times New Roman" w:cs="Times New Roman"/>
          <w:sz w:val="24"/>
          <w:szCs w:val="24"/>
        </w:rPr>
        <w:t>that</w:t>
      </w:r>
      <w:r w:rsidR="00961DB7" w:rsidRPr="00705E14">
        <w:rPr>
          <w:rFonts w:ascii="Times New Roman" w:hAnsi="Times New Roman" w:cs="Times New Roman"/>
          <w:sz w:val="24"/>
          <w:szCs w:val="24"/>
        </w:rPr>
        <w:t xml:space="preserve"> d</w:t>
      </w:r>
      <w:r w:rsidR="00B41BE6" w:rsidRPr="00705E14">
        <w:rPr>
          <w:rFonts w:ascii="Times New Roman" w:hAnsi="Times New Roman" w:cs="Times New Roman"/>
          <w:sz w:val="24"/>
          <w:szCs w:val="24"/>
        </w:rPr>
        <w:t>o not</w:t>
      </w:r>
      <w:r w:rsidR="00961DB7" w:rsidRPr="00705E14">
        <w:rPr>
          <w:rFonts w:ascii="Times New Roman" w:hAnsi="Times New Roman" w:cs="Times New Roman"/>
          <w:sz w:val="24"/>
          <w:szCs w:val="24"/>
        </w:rPr>
        <w:t xml:space="preserve"> have the capacity to manage individual licensing deals with a high number of service providers</w:t>
      </w:r>
      <w:r w:rsidR="00E7262F">
        <w:rPr>
          <w:rFonts w:ascii="Times New Roman" w:hAnsi="Times New Roman" w:cs="Times New Roman"/>
          <w:sz w:val="24"/>
          <w:szCs w:val="24"/>
        </w:rPr>
        <w:t xml:space="preserve"> and have a limited market power</w:t>
      </w:r>
      <w:r w:rsidR="00976801" w:rsidRPr="00705E14">
        <w:rPr>
          <w:rFonts w:ascii="Times New Roman" w:hAnsi="Times New Roman" w:cs="Times New Roman"/>
          <w:sz w:val="24"/>
          <w:szCs w:val="24"/>
        </w:rPr>
        <w:t xml:space="preserve">. </w:t>
      </w:r>
      <w:r w:rsidR="003C7857" w:rsidRPr="00705E14">
        <w:rPr>
          <w:rFonts w:ascii="Times New Roman" w:hAnsi="Times New Roman" w:cs="Times New Roman"/>
          <w:sz w:val="24"/>
          <w:szCs w:val="24"/>
        </w:rPr>
        <w:t>Furthermore, t</w:t>
      </w:r>
      <w:r w:rsidR="00976801" w:rsidRPr="00705E14">
        <w:rPr>
          <w:rFonts w:ascii="Times New Roman" w:hAnsi="Times New Roman" w:cs="Times New Roman"/>
          <w:sz w:val="24"/>
          <w:szCs w:val="24"/>
        </w:rPr>
        <w:t xml:space="preserve">he </w:t>
      </w:r>
      <w:r w:rsidR="00F76CDC" w:rsidRPr="00705E14">
        <w:rPr>
          <w:rFonts w:ascii="Times New Roman" w:hAnsi="Times New Roman" w:cs="Times New Roman"/>
          <w:sz w:val="24"/>
          <w:szCs w:val="24"/>
        </w:rPr>
        <w:t>policy options examined in the different areas covered by this section of the IA</w:t>
      </w:r>
      <w:r w:rsidR="00976801" w:rsidRPr="00705E14">
        <w:rPr>
          <w:rFonts w:ascii="Times New Roman" w:hAnsi="Times New Roman" w:cs="Times New Roman"/>
          <w:sz w:val="24"/>
          <w:szCs w:val="24"/>
        </w:rPr>
        <w:t xml:space="preserve"> </w:t>
      </w:r>
      <w:r w:rsidR="007A48B1">
        <w:rPr>
          <w:rFonts w:ascii="Times New Roman" w:hAnsi="Times New Roman" w:cs="Times New Roman"/>
          <w:sz w:val="24"/>
          <w:szCs w:val="24"/>
        </w:rPr>
        <w:t>could</w:t>
      </w:r>
      <w:r w:rsidR="00976801" w:rsidRPr="00705E14">
        <w:rPr>
          <w:rFonts w:ascii="Times New Roman" w:hAnsi="Times New Roman" w:cs="Times New Roman"/>
          <w:sz w:val="24"/>
          <w:szCs w:val="24"/>
        </w:rPr>
        <w:t xml:space="preserve"> generate new licensing opportunities for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00F76CDC" w:rsidRPr="00705E14">
        <w:rPr>
          <w:rFonts w:ascii="Times New Roman" w:hAnsi="Times New Roman" w:cs="Times New Roman"/>
          <w:sz w:val="24"/>
          <w:szCs w:val="24"/>
        </w:rPr>
        <w:t xml:space="preserve"> and possibly additional</w:t>
      </w:r>
      <w:r w:rsidR="00F76CDC">
        <w:rPr>
          <w:rFonts w:ascii="Times New Roman" w:hAnsi="Times New Roman" w:cs="Times New Roman"/>
          <w:sz w:val="24"/>
          <w:szCs w:val="24"/>
        </w:rPr>
        <w:t xml:space="preserve"> licensing revenues. </w:t>
      </w:r>
      <w:r w:rsidR="003C7857">
        <w:rPr>
          <w:rFonts w:ascii="Times New Roman" w:hAnsi="Times New Roman" w:cs="Times New Roman"/>
          <w:sz w:val="24"/>
          <w:szCs w:val="24"/>
        </w:rPr>
        <w:t>Therefore</w:t>
      </w:r>
      <w:r w:rsidR="00F76CDC">
        <w:rPr>
          <w:rFonts w:ascii="Times New Roman" w:hAnsi="Times New Roman" w:cs="Times New Roman"/>
          <w:sz w:val="24"/>
          <w:szCs w:val="24"/>
        </w:rPr>
        <w:t xml:space="preserve">, mitigating measures in favour of SMEs have not been deemed necessary. </w:t>
      </w:r>
    </w:p>
    <w:p w:rsidR="0032552E" w:rsidRPr="005D7A30" w:rsidRDefault="0032552E" w:rsidP="005D7A30">
      <w:pPr>
        <w:autoSpaceDE w:val="0"/>
        <w:autoSpaceDN w:val="0"/>
        <w:adjustRightInd w:val="0"/>
        <w:spacing w:after="120" w:line="240" w:lineRule="auto"/>
        <w:jc w:val="both"/>
        <w:rPr>
          <w:rFonts w:ascii="Times New Roman" w:hAnsi="Times New Roman" w:cs="Times New Roman"/>
          <w:b/>
          <w:bCs/>
          <w:noProof/>
          <w:sz w:val="24"/>
          <w:szCs w:val="24"/>
          <w:lang w:eastAsia="en-GB"/>
        </w:rPr>
      </w:pPr>
      <w:r w:rsidRPr="005D7A30">
        <w:rPr>
          <w:rFonts w:ascii="Times New Roman" w:hAnsi="Times New Roman" w:cs="Times New Roman"/>
          <w:b/>
          <w:bCs/>
          <w:noProof/>
          <w:sz w:val="24"/>
          <w:szCs w:val="24"/>
          <w:lang w:eastAsia="en-GB"/>
        </w:rPr>
        <w:t>Comparison of policy options</w:t>
      </w:r>
    </w:p>
    <w:p w:rsidR="0032552E" w:rsidRDefault="0032552E" w:rsidP="0032552E">
      <w:pPr>
        <w:pStyle w:val="Text1"/>
        <w:spacing w:before="0"/>
        <w:ind w:left="0"/>
        <w:rPr>
          <w:color w:val="000000"/>
        </w:rPr>
      </w:pPr>
      <w:r w:rsidRPr="003C7D47">
        <w:rPr>
          <w:color w:val="000000"/>
        </w:rPr>
        <w:t xml:space="preserve">The policy options are compared against the criteria of </w:t>
      </w:r>
      <w:r w:rsidRPr="009E58C4">
        <w:rPr>
          <w:color w:val="000000"/>
          <w:u w:val="single"/>
        </w:rPr>
        <w:t>effectiveness</w:t>
      </w:r>
      <w:r w:rsidRPr="003C7D47">
        <w:rPr>
          <w:color w:val="000000"/>
        </w:rPr>
        <w:t xml:space="preserve"> (i.e. to what extent they fulfil the specific objective), </w:t>
      </w:r>
      <w:r w:rsidRPr="009E58C4">
        <w:rPr>
          <w:color w:val="000000"/>
          <w:u w:val="single"/>
        </w:rPr>
        <w:t>efficiency</w:t>
      </w:r>
      <w:r w:rsidRPr="003C7D47">
        <w:rPr>
          <w:color w:val="000000"/>
        </w:rPr>
        <w:t xml:space="preserve"> (i.e. at what cost they do so), </w:t>
      </w:r>
      <w:r w:rsidRPr="009E58C4">
        <w:rPr>
          <w:color w:val="000000"/>
          <w:u w:val="single"/>
        </w:rPr>
        <w:t>impact on the different groups of stakeholders</w:t>
      </w:r>
      <w:r>
        <w:rPr>
          <w:color w:val="000000"/>
        </w:rPr>
        <w:t xml:space="preserve"> </w:t>
      </w:r>
      <w:r w:rsidRPr="003C7D47">
        <w:rPr>
          <w:color w:val="000000"/>
        </w:rPr>
        <w:t xml:space="preserve">and </w:t>
      </w:r>
      <w:r w:rsidRPr="009E58C4">
        <w:rPr>
          <w:color w:val="000000"/>
          <w:u w:val="single"/>
        </w:rPr>
        <w:t>coherence</w:t>
      </w:r>
      <w:r w:rsidRPr="003C7D47">
        <w:rPr>
          <w:color w:val="000000"/>
        </w:rPr>
        <w:t xml:space="preserve"> with r</w:t>
      </w:r>
      <w:r>
        <w:rPr>
          <w:color w:val="000000"/>
        </w:rPr>
        <w:t xml:space="preserve">egard to cultural diversity, </w:t>
      </w:r>
      <w:r w:rsidRPr="003C7D47">
        <w:rPr>
          <w:color w:val="000000"/>
        </w:rPr>
        <w:t>fundamental rights</w:t>
      </w:r>
      <w:r>
        <w:rPr>
          <w:color w:val="000000"/>
        </w:rPr>
        <w:t xml:space="preserve"> and/or other EU policies</w:t>
      </w:r>
      <w:r w:rsidRPr="003C7D47">
        <w:rPr>
          <w:color w:val="000000"/>
        </w:rPr>
        <w:t xml:space="preserve">.  Each option is rated between "--" (very negative), </w:t>
      </w:r>
      <w:r>
        <w:rPr>
          <w:color w:val="000000"/>
        </w:rPr>
        <w:t xml:space="preserve">"-" (negative), </w:t>
      </w:r>
      <w:r w:rsidRPr="003C7D47">
        <w:rPr>
          <w:color w:val="000000"/>
        </w:rPr>
        <w:t>0 (neutral)</w:t>
      </w:r>
      <w:r>
        <w:rPr>
          <w:color w:val="000000"/>
        </w:rPr>
        <w:t>, "+" (positive)</w:t>
      </w:r>
      <w:r w:rsidRPr="003C7D47">
        <w:rPr>
          <w:color w:val="000000"/>
        </w:rPr>
        <w:t xml:space="preserve"> and "++" (very positive). </w:t>
      </w:r>
    </w:p>
    <w:p w:rsidR="001D5DE0" w:rsidRDefault="001D5DE0" w:rsidP="0032552E">
      <w:pPr>
        <w:pStyle w:val="Text1"/>
        <w:spacing w:before="0"/>
        <w:ind w:left="0"/>
        <w:rPr>
          <w:color w:val="000000"/>
        </w:rPr>
      </w:pPr>
    </w:p>
    <w:p w:rsidR="00C66E5F" w:rsidRPr="00D80005" w:rsidRDefault="00C66E5F" w:rsidP="00CE35F9">
      <w:pPr>
        <w:pStyle w:val="Heading2"/>
        <w:numPr>
          <w:ilvl w:val="1"/>
          <w:numId w:val="1"/>
        </w:numPr>
        <w:spacing w:before="0" w:after="240"/>
        <w:rPr>
          <w:rFonts w:ascii="Times New Roman Bold" w:hAnsi="Times New Roman Bold"/>
          <w:smallCaps/>
        </w:rPr>
      </w:pPr>
      <w:bookmarkStart w:id="25" w:name="_Toc461114705"/>
      <w:r w:rsidRPr="00D80005">
        <w:rPr>
          <w:rFonts w:ascii="Times New Roman Bold" w:hAnsi="Times New Roman Bold"/>
          <w:smallCaps/>
        </w:rPr>
        <w:t>Online transmissions and retransmissions of TV/radio programmes</w:t>
      </w:r>
      <w:bookmarkEnd w:id="25"/>
    </w:p>
    <w:p w:rsidR="0061353F" w:rsidRPr="0079038B" w:rsidRDefault="00C66E5F" w:rsidP="00CF38F1">
      <w:pPr>
        <w:pStyle w:val="Heading3"/>
      </w:pPr>
      <w:bookmarkStart w:id="26" w:name="_Toc461114706"/>
      <w:r w:rsidRPr="00D80005">
        <w:t xml:space="preserve">Background data on the TV </w:t>
      </w:r>
      <w:r w:rsidR="0032447C">
        <w:t xml:space="preserve">and radio </w:t>
      </w:r>
      <w:r w:rsidRPr="00D80005">
        <w:t>sector</w:t>
      </w:r>
      <w:r w:rsidR="0032447C" w:rsidRPr="00036141">
        <w:rPr>
          <w:rStyle w:val="FootnoteReference"/>
          <w:b w:val="0"/>
        </w:rPr>
        <w:footnoteReference w:id="55"/>
      </w:r>
      <w:bookmarkEnd w:id="26"/>
      <w:r w:rsidR="00F43081" w:rsidRPr="00036141">
        <w:rPr>
          <w:b w:val="0"/>
        </w:rPr>
        <w:t xml:space="preserve"> </w:t>
      </w:r>
    </w:p>
    <w:p w:rsidR="00EA43AA" w:rsidRDefault="00EA43AA" w:rsidP="00EA43AA">
      <w:pPr>
        <w:pStyle w:val="Text1"/>
        <w:ind w:left="0"/>
        <w:rPr>
          <w:szCs w:val="24"/>
        </w:rPr>
      </w:pPr>
      <w:r w:rsidRPr="00D80005">
        <w:rPr>
          <w:rFonts w:eastAsia="Arial Unicode MS" w:hAnsi="Arial Unicode MS" w:cs="Arial Unicode MS"/>
        </w:rPr>
        <w:t>Despite the way TV has been transformed by the emergence of digital technologies</w:t>
      </w:r>
      <w:r>
        <w:rPr>
          <w:rFonts w:eastAsia="Arial Unicode MS" w:hAnsi="Arial Unicode MS" w:cs="Arial Unicode MS"/>
        </w:rPr>
        <w:t xml:space="preserve"> and the internet,</w:t>
      </w:r>
      <w:r>
        <w:rPr>
          <w:rStyle w:val="FootnoteReference"/>
          <w:rFonts w:eastAsia="Arial Unicode MS" w:hAnsi="Arial Unicode MS" w:cs="Arial Unicode MS"/>
        </w:rPr>
        <w:footnoteReference w:id="56"/>
      </w:r>
      <w:r>
        <w:rPr>
          <w:rFonts w:eastAsia="Arial Unicode MS" w:hAnsi="Arial Unicode MS" w:cs="Arial Unicode MS"/>
        </w:rPr>
        <w:t xml:space="preserve"> traditional TV remains relevant both economically and as the source of information and entertainment for viewers. In 2014, </w:t>
      </w:r>
      <w:r>
        <w:t>the EU-28 TV market wa</w:t>
      </w:r>
      <w:r w:rsidRPr="009B65A1">
        <w:t>s w</w:t>
      </w:r>
      <w:r>
        <w:t>orth around €86 billion</w:t>
      </w:r>
      <w:r w:rsidRPr="009B65A1">
        <w:t>.</w:t>
      </w:r>
      <w:r>
        <w:rPr>
          <w:rStyle w:val="FootnoteReference"/>
          <w:rFonts w:eastAsia="Arial Unicode MS" w:hAnsi="Arial Unicode MS" w:cs="Arial Unicode MS"/>
        </w:rPr>
        <w:footnoteReference w:id="57"/>
      </w:r>
      <w:r w:rsidRPr="009B65A1">
        <w:t xml:space="preserve"> </w:t>
      </w:r>
      <w:r>
        <w:rPr>
          <w:rFonts w:eastAsia="Arial Unicode MS" w:hAnsi="Arial Unicode MS" w:cs="Arial Unicode MS"/>
        </w:rPr>
        <w:t>In the same year,</w:t>
      </w:r>
      <w:r>
        <w:rPr>
          <w:szCs w:val="24"/>
        </w:rPr>
        <w:t xml:space="preserve"> TV content (linear and time-shifted viewing) equated to 96</w:t>
      </w:r>
      <w:r w:rsidR="000B17FD">
        <w:rPr>
          <w:szCs w:val="24"/>
        </w:rPr>
        <w:t xml:space="preserve"> </w:t>
      </w:r>
      <w:r>
        <w:rPr>
          <w:szCs w:val="24"/>
        </w:rPr>
        <w:t>% of all video consumption in six countries (FR, ES, DE, IT, UK and US).</w:t>
      </w:r>
      <w:r>
        <w:rPr>
          <w:rStyle w:val="FootnoteReference"/>
          <w:rFonts w:eastAsia="Arial Unicode MS" w:hAnsi="Arial Unicode MS" w:cs="Arial Unicode MS"/>
        </w:rPr>
        <w:footnoteReference w:id="58"/>
      </w:r>
      <w:r>
        <w:rPr>
          <w:szCs w:val="24"/>
        </w:rPr>
        <w:t xml:space="preserve"> </w:t>
      </w:r>
    </w:p>
    <w:p w:rsidR="00EA43AA" w:rsidRPr="00726723" w:rsidRDefault="00EA43AA" w:rsidP="00EA43AA">
      <w:pPr>
        <w:pStyle w:val="Text1"/>
        <w:ind w:left="0"/>
        <w:rPr>
          <w:szCs w:val="24"/>
        </w:rPr>
      </w:pPr>
      <w:r>
        <w:rPr>
          <w:szCs w:val="24"/>
        </w:rPr>
        <w:t>9</w:t>
      </w:r>
      <w:r w:rsidRPr="00726723">
        <w:rPr>
          <w:szCs w:val="24"/>
        </w:rPr>
        <w:t>6</w:t>
      </w:r>
      <w:r w:rsidR="000B17FD">
        <w:rPr>
          <w:szCs w:val="24"/>
        </w:rPr>
        <w:t xml:space="preserve"> </w:t>
      </w:r>
      <w:r w:rsidRPr="00726723">
        <w:rPr>
          <w:szCs w:val="24"/>
        </w:rPr>
        <w:t xml:space="preserve">% </w:t>
      </w:r>
      <w:r>
        <w:rPr>
          <w:szCs w:val="24"/>
        </w:rPr>
        <w:t xml:space="preserve">of Europeans </w:t>
      </w:r>
      <w:r w:rsidRPr="00726723">
        <w:rPr>
          <w:szCs w:val="24"/>
        </w:rPr>
        <w:t xml:space="preserve">watch </w:t>
      </w:r>
      <w:r>
        <w:rPr>
          <w:szCs w:val="24"/>
        </w:rPr>
        <w:t>television</w:t>
      </w:r>
      <w:r w:rsidRPr="00726723">
        <w:rPr>
          <w:szCs w:val="24"/>
        </w:rPr>
        <w:t xml:space="preserve"> </w:t>
      </w:r>
      <w:r>
        <w:rPr>
          <w:szCs w:val="24"/>
        </w:rPr>
        <w:t>at least once a week, predominantly on a TV set but increasingly online (in 2014, 20</w:t>
      </w:r>
      <w:r w:rsidR="000B17FD">
        <w:rPr>
          <w:szCs w:val="24"/>
        </w:rPr>
        <w:t xml:space="preserve"> </w:t>
      </w:r>
      <w:r>
        <w:rPr>
          <w:szCs w:val="24"/>
        </w:rPr>
        <w:t>% of Europeans – but 40</w:t>
      </w:r>
      <w:r w:rsidR="000B17FD">
        <w:rPr>
          <w:szCs w:val="24"/>
        </w:rPr>
        <w:t xml:space="preserve"> </w:t>
      </w:r>
      <w:r>
        <w:rPr>
          <w:szCs w:val="24"/>
        </w:rPr>
        <w:t>% of those aged 15-24- watched TV online at least once a week, representing a 3</w:t>
      </w:r>
      <w:r w:rsidR="000B17FD">
        <w:rPr>
          <w:szCs w:val="24"/>
        </w:rPr>
        <w:t xml:space="preserve"> </w:t>
      </w:r>
      <w:r>
        <w:rPr>
          <w:szCs w:val="24"/>
        </w:rPr>
        <w:t>% increase compared to 2012).</w:t>
      </w:r>
      <w:r>
        <w:rPr>
          <w:rStyle w:val="FootnoteReference"/>
          <w:szCs w:val="24"/>
        </w:rPr>
        <w:footnoteReference w:id="59"/>
      </w:r>
      <w:r>
        <w:rPr>
          <w:szCs w:val="24"/>
        </w:rPr>
        <w:t xml:space="preserve"> The average TV viewing time for the whole EU population in 2013 was 223 minutes per day.</w:t>
      </w:r>
      <w:r>
        <w:rPr>
          <w:rStyle w:val="FootnoteReference"/>
          <w:szCs w:val="24"/>
        </w:rPr>
        <w:footnoteReference w:id="60"/>
      </w:r>
      <w:r>
        <w:rPr>
          <w:szCs w:val="24"/>
        </w:rPr>
        <w:t xml:space="preserve"> </w:t>
      </w:r>
      <w:r>
        <w:t>While</w:t>
      </w:r>
      <w:r w:rsidRPr="00B175A6">
        <w:t xml:space="preserve"> viewing patterns are changing, particularly among younger viewers, </w:t>
      </w:r>
      <w:r>
        <w:t>TV programming still represents an important part of their video viewing.</w:t>
      </w:r>
      <w:r>
        <w:rPr>
          <w:rStyle w:val="FootnoteReference"/>
        </w:rPr>
        <w:footnoteReference w:id="61"/>
      </w:r>
    </w:p>
    <w:p w:rsidR="00EA43AA" w:rsidRPr="003D4053" w:rsidRDefault="00EA43AA" w:rsidP="00EA43AA">
      <w:pPr>
        <w:pStyle w:val="Text1"/>
        <w:ind w:left="0"/>
      </w:pPr>
      <w:r>
        <w:t>TV and radio remain the main source of news for a large majority of Europeans, compared to other sources (notably print and online). For example, 72</w:t>
      </w:r>
      <w:r w:rsidR="000B17FD">
        <w:t xml:space="preserve"> </w:t>
      </w:r>
      <w:r>
        <w:t xml:space="preserve">% of consumers in </w:t>
      </w:r>
      <w:r w:rsidR="005E10B7">
        <w:t>FR</w:t>
      </w:r>
      <w:r>
        <w:t>, 69</w:t>
      </w:r>
      <w:r w:rsidR="000B17FD">
        <w:t xml:space="preserve"> </w:t>
      </w:r>
      <w:r>
        <w:t xml:space="preserve">% in </w:t>
      </w:r>
      <w:r w:rsidR="005E10B7">
        <w:t>DE</w:t>
      </w:r>
      <w:r>
        <w:t>, 63</w:t>
      </w:r>
      <w:r w:rsidR="000B17FD">
        <w:t xml:space="preserve"> </w:t>
      </w:r>
      <w:r>
        <w:t xml:space="preserve">% in </w:t>
      </w:r>
      <w:r w:rsidR="005E10B7">
        <w:rPr>
          <w:szCs w:val="24"/>
        </w:rPr>
        <w:t>DK</w:t>
      </w:r>
      <w:r w:rsidR="005E10B7">
        <w:t xml:space="preserve"> </w:t>
      </w:r>
      <w:r>
        <w:t>and 59</w:t>
      </w:r>
      <w:r w:rsidR="000B17FD">
        <w:t xml:space="preserve"> </w:t>
      </w:r>
      <w:r>
        <w:t>% in the UK indicated TV or radio as their main source of news.</w:t>
      </w:r>
      <w:r>
        <w:rPr>
          <w:rStyle w:val="FootnoteReference"/>
        </w:rPr>
        <w:footnoteReference w:id="62"/>
      </w:r>
      <w:r>
        <w:t xml:space="preserve"> </w:t>
      </w:r>
      <w:r w:rsidRPr="00123CFF">
        <w:rPr>
          <w:rFonts w:eastAsia="Times New Roman"/>
          <w:szCs w:val="24"/>
          <w:lang w:val="en-US" w:eastAsia="nl-BE"/>
        </w:rPr>
        <w:t>80</w:t>
      </w:r>
      <w:r w:rsidR="000B17FD">
        <w:rPr>
          <w:rFonts w:eastAsia="Times New Roman"/>
          <w:szCs w:val="24"/>
          <w:lang w:val="en-US" w:eastAsia="nl-BE"/>
        </w:rPr>
        <w:t xml:space="preserve"> </w:t>
      </w:r>
      <w:r w:rsidRPr="00123CFF">
        <w:rPr>
          <w:rFonts w:eastAsia="Times New Roman"/>
          <w:szCs w:val="24"/>
          <w:lang w:val="en-US" w:eastAsia="nl-BE"/>
        </w:rPr>
        <w:t>% of the EU population listens to radio for at least 2 to 3 hours a day – and mostly to local or regional programmes</w:t>
      </w:r>
      <w:r>
        <w:rPr>
          <w:rFonts w:eastAsia="Times New Roman"/>
          <w:szCs w:val="24"/>
          <w:lang w:val="en-US" w:eastAsia="nl-BE"/>
        </w:rPr>
        <w:t xml:space="preserve">. </w:t>
      </w:r>
      <w:r w:rsidRPr="00C66088">
        <w:rPr>
          <w:rFonts w:eastAsia="Times New Roman"/>
          <w:szCs w:val="24"/>
          <w:lang w:val="en-US" w:eastAsia="nl-BE"/>
        </w:rPr>
        <w:t>On average, 6 to 8</w:t>
      </w:r>
      <w:r w:rsidR="000B17FD">
        <w:rPr>
          <w:rFonts w:eastAsia="Times New Roman"/>
          <w:szCs w:val="24"/>
          <w:lang w:val="en-US" w:eastAsia="nl-BE"/>
        </w:rPr>
        <w:t xml:space="preserve"> </w:t>
      </w:r>
      <w:r w:rsidRPr="00C66088">
        <w:rPr>
          <w:rFonts w:eastAsia="Times New Roman"/>
          <w:szCs w:val="24"/>
          <w:lang w:val="en-US" w:eastAsia="nl-BE"/>
        </w:rPr>
        <w:t>% of total listening of radio is done online in Europe.</w:t>
      </w:r>
      <w:r w:rsidRPr="00C66088">
        <w:rPr>
          <w:rFonts w:eastAsia="Times New Roman"/>
          <w:szCs w:val="24"/>
          <w:vertAlign w:val="superscript"/>
          <w:lang w:val="en-US" w:eastAsia="nl-BE"/>
        </w:rPr>
        <w:footnoteReference w:id="63"/>
      </w:r>
    </w:p>
    <w:p w:rsidR="00BC61DE" w:rsidRDefault="00EA43AA" w:rsidP="00EA43AA">
      <w:pPr>
        <w:pStyle w:val="Text1"/>
        <w:ind w:left="0"/>
      </w:pPr>
      <w:r>
        <w:t>A broadcaster may make a TV or radio channel available directly through a traditional terrestrial transmission</w:t>
      </w:r>
      <w:r w:rsidR="00036141">
        <w:t>,</w:t>
      </w:r>
      <w:r>
        <w:rPr>
          <w:rStyle w:val="FootnoteReference"/>
        </w:rPr>
        <w:footnoteReference w:id="64"/>
      </w:r>
      <w:r>
        <w:t xml:space="preserve"> or via a satellite</w:t>
      </w:r>
      <w:r w:rsidR="00036141">
        <w:t>,</w:t>
      </w:r>
      <w:r>
        <w:rPr>
          <w:rStyle w:val="FootnoteReference"/>
        </w:rPr>
        <w:footnoteReference w:id="65"/>
      </w:r>
      <w:r>
        <w:t xml:space="preserve"> cable</w:t>
      </w:r>
      <w:r>
        <w:rPr>
          <w:rStyle w:val="FootnoteReference"/>
        </w:rPr>
        <w:footnoteReference w:id="66"/>
      </w:r>
      <w:r>
        <w:t xml:space="preserve"> or other telecommunications network</w:t>
      </w:r>
      <w:r w:rsidR="00036141">
        <w:t>.</w:t>
      </w:r>
      <w:r>
        <w:rPr>
          <w:rStyle w:val="FootnoteReference"/>
        </w:rPr>
        <w:footnoteReference w:id="67"/>
      </w:r>
      <w:r>
        <w:t xml:space="preserve"> </w:t>
      </w:r>
      <w:r w:rsidRPr="00705E14">
        <w:t xml:space="preserve">TV and radio channels can also be offered online over the open internet. Many satellite, cable </w:t>
      </w:r>
      <w:r w:rsidRPr="00C64666">
        <w:t xml:space="preserve">and </w:t>
      </w:r>
      <w:r w:rsidR="00976269" w:rsidRPr="00C64666">
        <w:t>IPTV</w:t>
      </w:r>
      <w:r w:rsidR="00A2298A">
        <w:t xml:space="preserve"> </w:t>
      </w:r>
      <w:r w:rsidRPr="00705E14">
        <w:t xml:space="preserve">operators offer such services to their subscribers. There are also some online services of this type provided by entities that do not offer satellite, cable or IPTV </w:t>
      </w:r>
      <w:r w:rsidRPr="0099576D">
        <w:t>transmissions.</w:t>
      </w:r>
      <w:r w:rsidRPr="0099576D">
        <w:rPr>
          <w:rStyle w:val="FootnoteReference"/>
        </w:rPr>
        <w:footnoteReference w:id="68"/>
      </w:r>
      <w:r w:rsidR="004766C5">
        <w:t xml:space="preserve"> </w:t>
      </w:r>
      <w:r w:rsidR="005F120C">
        <w:t xml:space="preserve">The </w:t>
      </w:r>
      <w:r w:rsidR="00BC61DE" w:rsidRPr="005D7A30">
        <w:rPr>
          <w:szCs w:val="24"/>
        </w:rPr>
        <w:t>following</w:t>
      </w:r>
      <w:r w:rsidR="00BC61DE">
        <w:t xml:space="preserve"> diagram illustrates the functioning of direct, including online, transmissions of TV and radio programmes (section 3.2.2) and of retransmissions of TV and radio programmes (section 3.2.3). The problems addressed by this IA concern</w:t>
      </w:r>
      <w:r w:rsidR="005F120C">
        <w:t xml:space="preserve"> the</w:t>
      </w:r>
      <w:r w:rsidR="00BC61DE">
        <w:t xml:space="preserve"> transmissions and retransmissions marked by dott</w:t>
      </w:r>
      <w:r w:rsidR="005F120C">
        <w:t>ed lines below.</w:t>
      </w:r>
    </w:p>
    <w:p w:rsidR="00EA43AA" w:rsidRPr="00324BF7" w:rsidRDefault="00BC61DE" w:rsidP="006955B8">
      <w:pPr>
        <w:pStyle w:val="Text1"/>
        <w:ind w:left="0"/>
      </w:pPr>
      <w:r w:rsidRPr="006A46DD">
        <w:rPr>
          <w:noProof/>
        </w:rPr>
        <w:drawing>
          <wp:inline distT="0" distB="0" distL="0" distR="0" wp14:anchorId="099E2D58" wp14:editId="143E2C7D">
            <wp:extent cx="5760720" cy="3666490"/>
            <wp:effectExtent l="19050" t="19050" r="1143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666490"/>
                    </a:xfrm>
                    <a:prstGeom prst="rect">
                      <a:avLst/>
                    </a:prstGeom>
                    <a:ln>
                      <a:solidFill>
                        <a:schemeClr val="tx1">
                          <a:lumMod val="50000"/>
                          <a:lumOff val="50000"/>
                        </a:schemeClr>
                      </a:solidFill>
                    </a:ln>
                  </pic:spPr>
                </pic:pic>
              </a:graphicData>
            </a:graphic>
          </wp:inline>
        </w:drawing>
      </w:r>
    </w:p>
    <w:p w:rsidR="000667CA" w:rsidRDefault="0061118E" w:rsidP="00CF38F1">
      <w:pPr>
        <w:pStyle w:val="Heading3"/>
      </w:pPr>
      <w:bookmarkStart w:id="27" w:name="_Toc461114707"/>
      <w:r w:rsidRPr="0061118E">
        <w:t xml:space="preserve">Online </w:t>
      </w:r>
      <w:r w:rsidR="000C715B">
        <w:t>transmissions of broadcasting organisations</w:t>
      </w:r>
      <w:bookmarkEnd w:id="27"/>
    </w:p>
    <w:p w:rsidR="00603DEB" w:rsidRPr="00603DEB" w:rsidRDefault="004766C5" w:rsidP="00603DEB">
      <w:pPr>
        <w:pStyle w:val="Heading5"/>
        <w:tabs>
          <w:tab w:val="left" w:pos="851"/>
        </w:tabs>
      </w:pPr>
      <w:r>
        <w:t>3.2.2.1.</w:t>
      </w:r>
      <w:r>
        <w:tab/>
      </w:r>
      <w:r w:rsidR="00EA43AA" w:rsidRPr="00305C10">
        <w:t>What is the problem and why is it a problem?</w:t>
      </w:r>
    </w:p>
    <w:p w:rsidR="00EA43AA" w:rsidRPr="0099576D" w:rsidRDefault="00EA43AA" w:rsidP="00EA43AA">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val="en-US" w:eastAsia="en-GB"/>
        </w:rPr>
      </w:pPr>
      <w:r w:rsidRPr="00807CA5">
        <w:rPr>
          <w:rFonts w:ascii="Times New Roman" w:eastAsia="Arial Unicode MS" w:hAnsi="Arial Unicode MS" w:cs="Arial Unicode MS"/>
          <w:b/>
          <w:i/>
          <w:color w:val="000000"/>
          <w:sz w:val="24"/>
          <w:szCs w:val="24"/>
          <w:u w:color="000000"/>
          <w:bdr w:val="nil"/>
          <w:lang w:val="en-US" w:eastAsia="en-GB"/>
        </w:rPr>
        <w:t xml:space="preserve">Problem: </w:t>
      </w:r>
      <w:r w:rsidRPr="00807CA5">
        <w:rPr>
          <w:rFonts w:ascii="Times New Roman" w:eastAsia="Arial Unicode MS" w:hAnsi="Arial Unicode MS" w:cs="Arial Unicode MS"/>
          <w:i/>
          <w:color w:val="000000"/>
          <w:sz w:val="24"/>
          <w:szCs w:val="24"/>
          <w:u w:color="000000"/>
          <w:bdr w:val="nil"/>
          <w:lang w:val="en-US" w:eastAsia="en-GB"/>
        </w:rPr>
        <w:t xml:space="preserve">Broadcasting organisations face practical difficulties with the acquisition of rights </w:t>
      </w:r>
      <w:r w:rsidRPr="0099576D">
        <w:rPr>
          <w:rFonts w:ascii="Times New Roman" w:eastAsia="Arial Unicode MS" w:hAnsi="Arial Unicode MS" w:cs="Arial Unicode MS"/>
          <w:i/>
          <w:color w:val="000000"/>
          <w:sz w:val="24"/>
          <w:szCs w:val="24"/>
          <w:u w:color="000000"/>
          <w:bdr w:val="nil"/>
          <w:lang w:val="en-US" w:eastAsia="en-GB"/>
        </w:rPr>
        <w:t>for their online services when they are offered across borders</w:t>
      </w:r>
    </w:p>
    <w:p w:rsidR="00FC609C" w:rsidRDefault="00FC609C" w:rsidP="005D7A30">
      <w:pPr>
        <w:pStyle w:val="Text1"/>
        <w:ind w:left="0"/>
        <w:rPr>
          <w:rFonts w:eastAsia="Times New Roman"/>
          <w:color w:val="000000"/>
          <w:szCs w:val="24"/>
          <w:u w:color="000000"/>
          <w:bdr w:val="nil"/>
          <w:lang w:val="en-US"/>
        </w:rPr>
      </w:pPr>
      <w:r w:rsidRPr="00C32C45">
        <w:rPr>
          <w:rFonts w:eastAsia="Times New Roman"/>
          <w:color w:val="000000"/>
          <w:szCs w:val="24"/>
          <w:u w:val="single"/>
          <w:bdr w:val="nil"/>
          <w:lang w:val="en-US"/>
        </w:rPr>
        <w:t>Description of the problem</w:t>
      </w:r>
      <w:r w:rsidRPr="00A5595A">
        <w:rPr>
          <w:rFonts w:eastAsia="Times New Roman"/>
          <w:color w:val="000000"/>
          <w:szCs w:val="24"/>
          <w:u w:color="000000"/>
          <w:bdr w:val="nil"/>
          <w:lang w:val="en-US"/>
        </w:rPr>
        <w:t>:</w:t>
      </w:r>
      <w:r w:rsidRPr="0099576D">
        <w:rPr>
          <w:rFonts w:eastAsia="Times New Roman"/>
          <w:color w:val="000000"/>
          <w:szCs w:val="24"/>
          <w:u w:color="000000"/>
          <w:bdr w:val="nil"/>
          <w:lang w:val="en-US"/>
        </w:rPr>
        <w:t xml:space="preserve"> As viewing habits of consumers are changing and demand for access to TV and radio online grows, broadcasters have responded by expanding their services online and allowing </w:t>
      </w:r>
      <w:r w:rsidRPr="005D7A30">
        <w:rPr>
          <w:szCs w:val="24"/>
        </w:rPr>
        <w:t>consumers'</w:t>
      </w:r>
      <w:r w:rsidRPr="0099576D">
        <w:rPr>
          <w:rFonts w:eastAsia="Times New Roman"/>
          <w:color w:val="000000"/>
          <w:szCs w:val="24"/>
          <w:u w:color="000000"/>
          <w:bdr w:val="nil"/>
          <w:lang w:val="en-US"/>
        </w:rPr>
        <w:t xml:space="preserve"> </w:t>
      </w:r>
      <w:r w:rsidRPr="005A4A16">
        <w:t>access</w:t>
      </w:r>
      <w:r w:rsidRPr="0099576D">
        <w:rPr>
          <w:rFonts w:eastAsia="Times New Roman"/>
          <w:color w:val="000000"/>
          <w:szCs w:val="24"/>
          <w:u w:color="000000"/>
          <w:bdr w:val="nil"/>
          <w:lang w:val="en-US"/>
        </w:rPr>
        <w:t xml:space="preserve"> through screens such as tablets and smartphones. The online offerings of broadcasters include </w:t>
      </w:r>
      <w:r w:rsidRPr="0099576D">
        <w:rPr>
          <w:rFonts w:eastAsia="Times New Roman"/>
          <w:color w:val="000000"/>
          <w:szCs w:val="24"/>
          <w:u w:val="single" w:color="000000"/>
          <w:bdr w:val="nil"/>
          <w:lang w:val="en-US"/>
        </w:rPr>
        <w:t>simulcasting services</w:t>
      </w:r>
      <w:r w:rsidRPr="0099576D">
        <w:rPr>
          <w:rFonts w:eastAsia="Times New Roman"/>
          <w:color w:val="000000"/>
          <w:szCs w:val="24"/>
          <w:u w:color="000000"/>
          <w:bdr w:val="nil"/>
          <w:lang w:val="en-US"/>
        </w:rPr>
        <w:t xml:space="preserve"> (TV/radio channels which are transmitted online alongside traditional broadcasting by satellite, cable, terrestrial), </w:t>
      </w:r>
      <w:r w:rsidRPr="005A4A16">
        <w:rPr>
          <w:rFonts w:eastAsia="Times New Roman"/>
          <w:color w:val="000000"/>
          <w:szCs w:val="24"/>
          <w:u w:val="single"/>
          <w:bdr w:val="nil"/>
          <w:lang w:val="en-US"/>
        </w:rPr>
        <w:t>webcasting services</w:t>
      </w:r>
      <w:r w:rsidRPr="0099576D">
        <w:rPr>
          <w:rFonts w:eastAsia="Times New Roman"/>
          <w:color w:val="000000"/>
          <w:szCs w:val="24"/>
          <w:u w:color="000000"/>
          <w:bdr w:val="nil"/>
          <w:lang w:val="en-US"/>
        </w:rPr>
        <w:t xml:space="preserve"> (online only linear channels</w:t>
      </w:r>
      <w:r w:rsidRPr="0099576D">
        <w:rPr>
          <w:rStyle w:val="FootnoteReference"/>
          <w:rFonts w:eastAsia="Times New Roman"/>
          <w:color w:val="000000"/>
          <w:szCs w:val="24"/>
          <w:u w:color="000000"/>
          <w:bdr w:val="nil"/>
          <w:lang w:val="en-US"/>
        </w:rPr>
        <w:footnoteReference w:id="69"/>
      </w:r>
      <w:r w:rsidRPr="00A5595A">
        <w:rPr>
          <w:rFonts w:eastAsia="Times New Roman"/>
          <w:color w:val="000000"/>
          <w:szCs w:val="24"/>
          <w:u w:color="000000"/>
          <w:bdr w:val="nil"/>
          <w:lang w:val="en-US"/>
        </w:rPr>
        <w:t>),</w:t>
      </w:r>
      <w:r w:rsidRPr="00724C5D">
        <w:rPr>
          <w:rFonts w:eastAsia="Times New Roman"/>
          <w:color w:val="000000"/>
          <w:szCs w:val="24"/>
          <w:u w:color="000000"/>
          <w:bdr w:val="nil"/>
          <w:lang w:val="en-US"/>
        </w:rPr>
        <w:t xml:space="preserve"> </w:t>
      </w:r>
      <w:r w:rsidRPr="0099576D">
        <w:rPr>
          <w:rFonts w:eastAsia="Times New Roman"/>
          <w:color w:val="000000"/>
          <w:szCs w:val="24"/>
          <w:u w:color="000000"/>
          <w:bdr w:val="nil"/>
          <w:lang w:val="en-US"/>
        </w:rPr>
        <w:t xml:space="preserve">TV </w:t>
      </w:r>
      <w:r w:rsidRPr="00A5595A">
        <w:rPr>
          <w:rFonts w:eastAsia="Times New Roman"/>
          <w:color w:val="000000"/>
          <w:szCs w:val="24"/>
          <w:u w:val="single" w:color="000000"/>
          <w:bdr w:val="nil"/>
          <w:lang w:val="en-US"/>
        </w:rPr>
        <w:t>catch</w:t>
      </w:r>
      <w:r w:rsidRPr="0099576D">
        <w:rPr>
          <w:rFonts w:eastAsia="Times New Roman"/>
          <w:color w:val="000000"/>
          <w:szCs w:val="24"/>
          <w:u w:val="single" w:color="000000"/>
          <w:bdr w:val="nil"/>
          <w:lang w:val="en-US"/>
        </w:rPr>
        <w:t>-up services</w:t>
      </w:r>
      <w:r w:rsidRPr="0099576D">
        <w:rPr>
          <w:rFonts w:eastAsia="Times New Roman"/>
          <w:color w:val="000000"/>
          <w:szCs w:val="24"/>
          <w:u w:val="single" w:color="000000"/>
          <w:bdr w:val="nil"/>
          <w:vertAlign w:val="superscript"/>
          <w:lang w:val="en-US"/>
        </w:rPr>
        <w:footnoteReference w:id="70"/>
      </w:r>
      <w:r w:rsidRPr="0099576D">
        <w:rPr>
          <w:rFonts w:eastAsia="Times New Roman"/>
          <w:color w:val="000000"/>
          <w:szCs w:val="24"/>
          <w:u w:color="000000"/>
          <w:bdr w:val="nil"/>
          <w:lang w:val="en-US"/>
        </w:rPr>
        <w:t xml:space="preserve"> </w:t>
      </w:r>
      <w:r w:rsidRPr="00A5595A">
        <w:rPr>
          <w:rFonts w:eastAsia="Times New Roman"/>
          <w:color w:val="000000"/>
          <w:szCs w:val="24"/>
          <w:u w:color="000000"/>
          <w:bdr w:val="nil"/>
          <w:lang w:val="en-US"/>
        </w:rPr>
        <w:t xml:space="preserve">and </w:t>
      </w:r>
      <w:r w:rsidRPr="00C32C45">
        <w:rPr>
          <w:rFonts w:eastAsia="Times New Roman"/>
          <w:color w:val="000000"/>
          <w:szCs w:val="24"/>
          <w:u w:val="single"/>
          <w:bdr w:val="nil"/>
          <w:lang w:val="en-US"/>
        </w:rPr>
        <w:t>podcasts</w:t>
      </w:r>
      <w:r w:rsidRPr="0099576D">
        <w:rPr>
          <w:rFonts w:eastAsia="Times New Roman"/>
          <w:color w:val="000000"/>
          <w:szCs w:val="24"/>
          <w:u w:color="000000"/>
          <w:bdr w:val="nil"/>
          <w:lang w:val="en-US"/>
        </w:rPr>
        <w:t>, i.e. radio programmes</w:t>
      </w:r>
      <w:r w:rsidRPr="00A5595A">
        <w:rPr>
          <w:rFonts w:eastAsia="Times New Roman"/>
          <w:color w:val="000000"/>
          <w:szCs w:val="24"/>
          <w:u w:color="000000"/>
          <w:bdr w:val="nil"/>
          <w:lang w:val="en-US"/>
        </w:rPr>
        <w:t xml:space="preserve"> that can be streamed or downloaded</w:t>
      </w:r>
      <w:r w:rsidRPr="0099576D">
        <w:rPr>
          <w:rFonts w:eastAsia="Times New Roman"/>
          <w:color w:val="000000"/>
          <w:szCs w:val="24"/>
          <w:u w:color="000000"/>
          <w:bdr w:val="nil"/>
          <w:lang w:val="en-US"/>
        </w:rPr>
        <w:t xml:space="preserve"> as well</w:t>
      </w:r>
      <w:r w:rsidRPr="00807CA5">
        <w:rPr>
          <w:rFonts w:eastAsia="Times New Roman"/>
          <w:color w:val="000000"/>
          <w:szCs w:val="24"/>
          <w:u w:color="000000"/>
          <w:bdr w:val="nil"/>
          <w:lang w:val="en-US"/>
        </w:rPr>
        <w:t xml:space="preserve"> as other </w:t>
      </w:r>
      <w:r w:rsidRPr="00807CA5">
        <w:rPr>
          <w:rFonts w:eastAsia="Times New Roman"/>
          <w:color w:val="000000"/>
          <w:szCs w:val="24"/>
          <w:u w:val="single" w:color="000000"/>
          <w:bdr w:val="nil"/>
          <w:lang w:val="en-US"/>
        </w:rPr>
        <w:t>on-demand services</w:t>
      </w:r>
      <w:r w:rsidRPr="00807CA5">
        <w:rPr>
          <w:rFonts w:eastAsia="Times New Roman"/>
          <w:color w:val="000000"/>
          <w:szCs w:val="24"/>
          <w:u w:color="000000"/>
          <w:bdr w:val="nil"/>
          <w:lang w:val="en-US"/>
        </w:rPr>
        <w:t xml:space="preserve"> (e.g. </w:t>
      </w:r>
      <w:r w:rsidR="00B82096" w:rsidRPr="00807CA5">
        <w:rPr>
          <w:rFonts w:eastAsia="Times New Roman"/>
          <w:color w:val="000000"/>
          <w:szCs w:val="24"/>
          <w:u w:color="000000"/>
          <w:bdr w:val="nil"/>
          <w:lang w:val="en-US"/>
        </w:rPr>
        <w:t>V</w:t>
      </w:r>
      <w:r w:rsidR="00B82096">
        <w:rPr>
          <w:rFonts w:eastAsia="Times New Roman"/>
          <w:color w:val="000000"/>
          <w:szCs w:val="24"/>
          <w:u w:color="000000"/>
          <w:bdr w:val="nil"/>
          <w:lang w:val="en-US"/>
        </w:rPr>
        <w:t>o</w:t>
      </w:r>
      <w:r w:rsidR="00B82096" w:rsidRPr="00807CA5">
        <w:rPr>
          <w:rFonts w:eastAsia="Times New Roman"/>
          <w:color w:val="000000"/>
          <w:szCs w:val="24"/>
          <w:u w:color="000000"/>
          <w:bdr w:val="nil"/>
          <w:lang w:val="en-US"/>
        </w:rPr>
        <w:t>D</w:t>
      </w:r>
      <w:r w:rsidRPr="00807CA5">
        <w:rPr>
          <w:rFonts w:eastAsia="Times New Roman"/>
          <w:color w:val="000000"/>
          <w:szCs w:val="24"/>
          <w:u w:color="000000"/>
          <w:bdr w:val="nil"/>
          <w:lang w:val="en-US"/>
        </w:rPr>
        <w:t xml:space="preserve">). Simulcasting and catch-up services are often monetised through advertising (although some broadcasters charge for access to these services). </w:t>
      </w:r>
    </w:p>
    <w:p w:rsidR="00FC609C" w:rsidRDefault="00FC609C" w:rsidP="005A4A16">
      <w:pPr>
        <w:pStyle w:val="Text1"/>
        <w:ind w:left="0"/>
        <w:rPr>
          <w:rFonts w:eastAsia="Times New Roman"/>
          <w:color w:val="000000"/>
          <w:szCs w:val="24"/>
          <w:u w:color="000000"/>
          <w:bdr w:val="nil"/>
        </w:rPr>
      </w:pPr>
      <w:r w:rsidRPr="00123CFF">
        <w:rPr>
          <w:rFonts w:eastAsia="Times New Roman"/>
          <w:color w:val="000000"/>
          <w:szCs w:val="24"/>
          <w:u w:color="000000"/>
          <w:bdr w:val="nil"/>
          <w:lang w:val="en-US"/>
        </w:rPr>
        <w:t xml:space="preserve">In order to make their online services available across borders, broadcasters need to </w:t>
      </w:r>
      <w:r w:rsidRPr="00C32C45">
        <w:rPr>
          <w:rFonts w:eastAsia="Times New Roman"/>
          <w:color w:val="000000"/>
          <w:szCs w:val="24"/>
          <w:u w:color="000000"/>
          <w:bdr w:val="nil"/>
          <w:lang w:val="en-US"/>
        </w:rPr>
        <w:t>have</w:t>
      </w:r>
      <w:r w:rsidRPr="00123CFF">
        <w:rPr>
          <w:rFonts w:eastAsia="Times New Roman"/>
          <w:color w:val="000000"/>
          <w:szCs w:val="24"/>
          <w:u w:color="000000"/>
          <w:bdr w:val="nil"/>
          <w:lang w:val="en-US"/>
        </w:rPr>
        <w:t xml:space="preserve"> </w:t>
      </w:r>
      <w:r>
        <w:rPr>
          <w:rFonts w:eastAsia="Times New Roman"/>
          <w:color w:val="000000"/>
          <w:szCs w:val="24"/>
          <w:u w:color="000000"/>
          <w:bdr w:val="nil"/>
          <w:lang w:val="en-US"/>
        </w:rPr>
        <w:t xml:space="preserve">the required </w:t>
      </w:r>
      <w:r w:rsidRPr="00123CFF">
        <w:rPr>
          <w:rFonts w:eastAsia="Times New Roman"/>
          <w:color w:val="000000"/>
          <w:szCs w:val="24"/>
          <w:u w:color="000000"/>
          <w:bdr w:val="nil"/>
          <w:lang w:val="en-US"/>
        </w:rPr>
        <w:t xml:space="preserve">rights for </w:t>
      </w:r>
      <w:r>
        <w:rPr>
          <w:rFonts w:eastAsia="Times New Roman"/>
          <w:color w:val="000000"/>
          <w:szCs w:val="24"/>
          <w:u w:color="000000"/>
          <w:bdr w:val="nil"/>
          <w:lang w:val="en-US"/>
        </w:rPr>
        <w:t>the relevant territories</w:t>
      </w:r>
      <w:r w:rsidRPr="00123CFF">
        <w:rPr>
          <w:rFonts w:eastAsia="Times New Roman"/>
          <w:color w:val="000000"/>
          <w:szCs w:val="24"/>
          <w:u w:color="000000"/>
          <w:bdr w:val="nil"/>
          <w:lang w:val="en-US"/>
        </w:rPr>
        <w:t xml:space="preserve">. This </w:t>
      </w:r>
      <w:r>
        <w:rPr>
          <w:rFonts w:eastAsia="Times New Roman"/>
          <w:color w:val="000000"/>
          <w:szCs w:val="24"/>
          <w:u w:color="000000"/>
          <w:bdr w:val="nil"/>
          <w:lang w:val="en-US"/>
        </w:rPr>
        <w:t xml:space="preserve">may </w:t>
      </w:r>
      <w:r w:rsidRPr="00123CFF">
        <w:rPr>
          <w:rFonts w:eastAsia="Times New Roman"/>
          <w:color w:val="000000"/>
          <w:szCs w:val="24"/>
          <w:u w:color="000000"/>
          <w:bdr w:val="nil"/>
          <w:lang w:val="en-US"/>
        </w:rPr>
        <w:t>require engaging in a complex process for obtaining online rights, generating high transaction costs</w:t>
      </w:r>
      <w:r w:rsidRPr="00C32C45">
        <w:rPr>
          <w:rFonts w:eastAsia="Times New Roman"/>
          <w:color w:val="000000"/>
          <w:szCs w:val="24"/>
          <w:u w:color="000000"/>
          <w:bdr w:val="nil"/>
          <w:lang w:val="en-US"/>
        </w:rPr>
        <w:t xml:space="preserve">, </w:t>
      </w:r>
      <w:r>
        <w:rPr>
          <w:rFonts w:eastAsia="Times New Roman"/>
          <w:color w:val="000000"/>
          <w:szCs w:val="24"/>
          <w:u w:color="000000"/>
          <w:bdr w:val="nil"/>
          <w:lang w:val="en-US"/>
        </w:rPr>
        <w:t xml:space="preserve">and </w:t>
      </w:r>
      <w:r w:rsidRPr="00807CA5">
        <w:rPr>
          <w:rFonts w:eastAsia="Times New Roman"/>
          <w:color w:val="000000"/>
          <w:szCs w:val="24"/>
          <w:u w:color="000000"/>
          <w:bdr w:val="nil"/>
          <w:lang w:val="en-US"/>
        </w:rPr>
        <w:t xml:space="preserve">may reduce broadcaster's incentives to provide </w:t>
      </w:r>
      <w:r w:rsidRPr="00DA6CD1">
        <w:rPr>
          <w:rFonts w:eastAsia="Times New Roman"/>
          <w:color w:val="000000"/>
          <w:szCs w:val="24"/>
          <w:u w:color="000000"/>
          <w:bdr w:val="nil"/>
          <w:lang w:val="en-US"/>
        </w:rPr>
        <w:t xml:space="preserve">cross-border </w:t>
      </w:r>
      <w:r w:rsidRPr="00D218DC">
        <w:rPr>
          <w:rFonts w:eastAsia="Times New Roman"/>
          <w:color w:val="000000"/>
          <w:szCs w:val="24"/>
          <w:u w:color="000000"/>
          <w:bdr w:val="nil"/>
          <w:lang w:val="en-US"/>
        </w:rPr>
        <w:t>services</w:t>
      </w:r>
      <w:r w:rsidRPr="001417B8">
        <w:rPr>
          <w:rFonts w:eastAsia="Times New Roman"/>
          <w:color w:val="000000"/>
          <w:szCs w:val="24"/>
          <w:u w:color="000000"/>
          <w:bdr w:val="nil"/>
          <w:lang w:val="en-US"/>
        </w:rPr>
        <w:t>.</w:t>
      </w:r>
      <w:r>
        <w:rPr>
          <w:rFonts w:eastAsia="Times New Roman"/>
          <w:color w:val="000000"/>
          <w:szCs w:val="24"/>
          <w:u w:color="000000"/>
          <w:bdr w:val="nil"/>
          <w:lang w:val="en-US"/>
        </w:rPr>
        <w:t xml:space="preserve"> Despite requests to the relevant stakeholders, no data could be obtained on transaction costs related to clearing online rights on a cross-border basis.</w:t>
      </w:r>
      <w:r w:rsidRPr="00807CA5">
        <w:rPr>
          <w:rFonts w:eastAsia="Times New Roman"/>
          <w:color w:val="000000"/>
          <w:sz w:val="20"/>
          <w:u w:color="000000"/>
          <w:bdr w:val="nil"/>
          <w:vertAlign w:val="superscript"/>
          <w:lang w:val="en-US"/>
        </w:rPr>
        <w:footnoteReference w:id="71"/>
      </w:r>
      <w:r>
        <w:rPr>
          <w:rFonts w:eastAsia="Times New Roman"/>
          <w:color w:val="000000"/>
          <w:szCs w:val="24"/>
          <w:u w:color="000000"/>
          <w:bdr w:val="nil"/>
          <w:lang w:val="en-US"/>
        </w:rPr>
        <w:t xml:space="preserve"> </w:t>
      </w:r>
      <w:r w:rsidRPr="00807CA5">
        <w:rPr>
          <w:rFonts w:eastAsia="Times New Roman"/>
          <w:color w:val="000000"/>
          <w:szCs w:val="24"/>
          <w:u w:color="000000"/>
          <w:bdr w:val="nil"/>
          <w:lang w:val="en-US"/>
        </w:rPr>
        <w:t>For satellite broadcasting the clearance of rights has been facilitated by the application of the country of origin principle enshrined in the Satellite and Cable Directive</w:t>
      </w:r>
      <w:r>
        <w:rPr>
          <w:rStyle w:val="FootnoteReference"/>
          <w:rFonts w:eastAsia="Times New Roman"/>
          <w:color w:val="000000"/>
          <w:szCs w:val="24"/>
          <w:u w:color="000000"/>
          <w:bdr w:val="nil"/>
          <w:lang w:val="en-US"/>
        </w:rPr>
        <w:footnoteReference w:id="72"/>
      </w:r>
      <w:r w:rsidRPr="00807CA5">
        <w:rPr>
          <w:rFonts w:eastAsia="Times New Roman"/>
          <w:color w:val="000000"/>
          <w:szCs w:val="24"/>
          <w:u w:color="000000"/>
          <w:bdr w:val="nil"/>
          <w:lang w:val="en-US"/>
        </w:rPr>
        <w:t xml:space="preserve"> according to which the act of communication to the public by satellite takes place solely in the </w:t>
      </w:r>
      <w:r>
        <w:rPr>
          <w:rFonts w:eastAsia="Times New Roman"/>
          <w:color w:val="000000"/>
          <w:szCs w:val="24"/>
          <w:u w:color="000000"/>
          <w:bdr w:val="nil"/>
          <w:lang w:val="en-US"/>
        </w:rPr>
        <w:t>MS</w:t>
      </w:r>
      <w:r w:rsidRPr="00807CA5">
        <w:rPr>
          <w:rFonts w:eastAsia="Times New Roman"/>
          <w:color w:val="000000"/>
          <w:szCs w:val="24"/>
          <w:u w:color="000000"/>
          <w:bdr w:val="nil"/>
          <w:lang w:val="en-US"/>
        </w:rPr>
        <w:t xml:space="preserve"> where, under the control and responsibility of the broadcaster, the programme-carrying signal is introduced into an uninterrupted chain of communication leading to the satellite and down towards the earth. Therefore the rights for such satellite transmission must only be cleared for one </w:t>
      </w:r>
      <w:r>
        <w:rPr>
          <w:rFonts w:eastAsia="Times New Roman"/>
          <w:color w:val="000000"/>
          <w:szCs w:val="24"/>
          <w:u w:color="000000"/>
          <w:bdr w:val="nil"/>
          <w:lang w:val="en-US"/>
        </w:rPr>
        <w:t>MS</w:t>
      </w:r>
      <w:r w:rsidRPr="00807CA5">
        <w:rPr>
          <w:rFonts w:eastAsia="Times New Roman"/>
          <w:color w:val="000000"/>
          <w:szCs w:val="24"/>
          <w:u w:color="000000"/>
          <w:bdr w:val="nil"/>
          <w:lang w:val="en-US"/>
        </w:rPr>
        <w:t xml:space="preserve">. This same principle does not apply when </w:t>
      </w:r>
      <w:r>
        <w:rPr>
          <w:rFonts w:eastAsia="Times New Roman"/>
          <w:color w:val="000000"/>
          <w:szCs w:val="24"/>
          <w:u w:color="000000"/>
          <w:bdr w:val="nil"/>
          <w:lang w:val="en-US"/>
        </w:rPr>
        <w:t xml:space="preserve">a </w:t>
      </w:r>
      <w:r w:rsidRPr="00807CA5">
        <w:rPr>
          <w:rFonts w:eastAsia="Times New Roman"/>
          <w:color w:val="000000"/>
          <w:szCs w:val="24"/>
          <w:u w:color="000000"/>
          <w:bdr w:val="nil"/>
          <w:lang w:val="en-US"/>
        </w:rPr>
        <w:t>broadcaster clear</w:t>
      </w:r>
      <w:r>
        <w:rPr>
          <w:rFonts w:eastAsia="Times New Roman"/>
          <w:color w:val="000000"/>
          <w:szCs w:val="24"/>
          <w:u w:color="000000"/>
          <w:bdr w:val="nil"/>
          <w:lang w:val="en-US"/>
        </w:rPr>
        <w:t>s</w:t>
      </w:r>
      <w:r w:rsidRPr="00807CA5">
        <w:rPr>
          <w:rFonts w:eastAsia="Times New Roman"/>
          <w:color w:val="000000"/>
          <w:szCs w:val="24"/>
          <w:u w:color="000000"/>
          <w:bdr w:val="nil"/>
          <w:lang w:val="en-US"/>
        </w:rPr>
        <w:t xml:space="preserve"> rights for </w:t>
      </w:r>
      <w:r>
        <w:rPr>
          <w:rFonts w:eastAsia="Times New Roman"/>
          <w:color w:val="000000"/>
          <w:szCs w:val="24"/>
          <w:u w:color="000000"/>
          <w:bdr w:val="nil"/>
          <w:lang w:val="en-US"/>
        </w:rPr>
        <w:t>its</w:t>
      </w:r>
      <w:r w:rsidRPr="00807CA5">
        <w:rPr>
          <w:rFonts w:eastAsia="Times New Roman"/>
          <w:color w:val="000000"/>
          <w:szCs w:val="24"/>
          <w:u w:color="000000"/>
          <w:bdr w:val="nil"/>
          <w:lang w:val="en-US"/>
        </w:rPr>
        <w:t xml:space="preserve"> online services</w:t>
      </w:r>
      <w:r>
        <w:rPr>
          <w:rFonts w:eastAsia="Times New Roman"/>
          <w:color w:val="000000"/>
          <w:szCs w:val="24"/>
          <w:u w:color="000000"/>
          <w:bdr w:val="nil"/>
          <w:lang w:val="en-US"/>
        </w:rPr>
        <w:t xml:space="preserve">. </w:t>
      </w:r>
    </w:p>
    <w:p w:rsidR="00FC609C" w:rsidRDefault="00FC609C" w:rsidP="005A4A16">
      <w:pPr>
        <w:pStyle w:val="Text1"/>
        <w:ind w:left="0"/>
        <w:rPr>
          <w:rFonts w:eastAsia="Times New Roman"/>
          <w:color w:val="000000"/>
          <w:szCs w:val="24"/>
          <w:u w:color="000000"/>
          <w:bdr w:val="nil"/>
        </w:rPr>
      </w:pPr>
      <w:r>
        <w:rPr>
          <w:rFonts w:eastAsia="Times New Roman"/>
          <w:color w:val="000000"/>
          <w:szCs w:val="24"/>
          <w:u w:color="000000"/>
          <w:bdr w:val="nil"/>
        </w:rPr>
        <w:t>The need to facilitate</w:t>
      </w:r>
      <w:r w:rsidRPr="00807CA5">
        <w:rPr>
          <w:rFonts w:eastAsia="Times New Roman"/>
          <w:color w:val="000000"/>
          <w:szCs w:val="24"/>
          <w:u w:color="000000"/>
          <w:bdr w:val="nil"/>
        </w:rPr>
        <w:t xml:space="preserve"> the clearance of rights for </w:t>
      </w:r>
      <w:r w:rsidRPr="00FB3C9C">
        <w:rPr>
          <w:rFonts w:eastAsia="Times New Roman"/>
          <w:color w:val="000000"/>
          <w:szCs w:val="24"/>
          <w:u w:color="000000"/>
          <w:bdr w:val="nil"/>
        </w:rPr>
        <w:t>broadcast-related online services</w:t>
      </w:r>
      <w:r w:rsidRPr="00807CA5">
        <w:rPr>
          <w:rFonts w:eastAsia="Times New Roman"/>
          <w:color w:val="000000"/>
          <w:szCs w:val="24"/>
          <w:u w:color="000000"/>
          <w:bdr w:val="nil"/>
        </w:rPr>
        <w:t xml:space="preserve"> has been recognised by </w:t>
      </w:r>
      <w:r>
        <w:rPr>
          <w:rFonts w:eastAsia="Times New Roman"/>
          <w:color w:val="000000"/>
          <w:szCs w:val="24"/>
          <w:u w:color="000000"/>
          <w:bdr w:val="nil"/>
        </w:rPr>
        <w:t>stakeholders</w:t>
      </w:r>
      <w:r w:rsidRPr="00807CA5">
        <w:rPr>
          <w:rFonts w:eastAsia="Times New Roman"/>
          <w:color w:val="000000"/>
          <w:szCs w:val="24"/>
          <w:u w:color="000000"/>
          <w:bdr w:val="nil"/>
        </w:rPr>
        <w:t xml:space="preserve"> in the music sector</w:t>
      </w:r>
      <w:r w:rsidRPr="00807CA5">
        <w:rPr>
          <w:rFonts w:eastAsia="Times New Roman"/>
          <w:color w:val="000000"/>
          <w:szCs w:val="24"/>
          <w:u w:color="000000"/>
          <w:bdr w:val="nil"/>
          <w:vertAlign w:val="superscript"/>
        </w:rPr>
        <w:footnoteReference w:id="73"/>
      </w:r>
      <w:r w:rsidRPr="00807CA5">
        <w:rPr>
          <w:rFonts w:eastAsia="Times New Roman"/>
          <w:color w:val="000000"/>
          <w:szCs w:val="24"/>
          <w:u w:color="000000"/>
          <w:bdr w:val="nil"/>
        </w:rPr>
        <w:t xml:space="preserve"> and in the acquis. Article 32 of the CRM Directive introduces </w:t>
      </w:r>
      <w:r>
        <w:rPr>
          <w:rFonts w:eastAsia="Times New Roman"/>
          <w:color w:val="000000"/>
          <w:szCs w:val="24"/>
          <w:u w:color="000000"/>
          <w:bdr w:val="nil"/>
        </w:rPr>
        <w:t xml:space="preserve">a </w:t>
      </w:r>
      <w:r w:rsidRPr="00807CA5">
        <w:rPr>
          <w:rFonts w:eastAsia="Times New Roman"/>
          <w:color w:val="000000"/>
          <w:szCs w:val="24"/>
          <w:u w:color="000000"/>
          <w:bdr w:val="nil"/>
        </w:rPr>
        <w:t xml:space="preserve">derogation from the rules on the multi-territorial licensing of rights in musical works for </w:t>
      </w:r>
      <w:r>
        <w:rPr>
          <w:rFonts w:eastAsia="Times New Roman"/>
          <w:color w:val="000000"/>
          <w:szCs w:val="24"/>
          <w:u w:color="000000"/>
          <w:bdr w:val="nil"/>
        </w:rPr>
        <w:t>the clearance of rights</w:t>
      </w:r>
      <w:r w:rsidRPr="00807CA5">
        <w:rPr>
          <w:rFonts w:eastAsia="Times New Roman"/>
          <w:color w:val="000000"/>
          <w:szCs w:val="24"/>
          <w:u w:color="000000"/>
          <w:bdr w:val="nil"/>
        </w:rPr>
        <w:t xml:space="preserve"> required by broadcaster</w:t>
      </w:r>
      <w:r>
        <w:rPr>
          <w:rFonts w:eastAsia="Times New Roman"/>
          <w:color w:val="000000"/>
          <w:szCs w:val="24"/>
          <w:u w:color="000000"/>
          <w:bdr w:val="nil"/>
        </w:rPr>
        <w:t>s</w:t>
      </w:r>
      <w:r w:rsidRPr="00807CA5">
        <w:rPr>
          <w:rFonts w:eastAsia="Times New Roman"/>
          <w:color w:val="000000"/>
          <w:szCs w:val="24"/>
          <w:u w:color="000000"/>
          <w:bdr w:val="nil"/>
        </w:rPr>
        <w:t xml:space="preserve"> for simulcasting </w:t>
      </w:r>
      <w:r>
        <w:rPr>
          <w:rFonts w:eastAsia="Times New Roman"/>
          <w:color w:val="000000"/>
          <w:szCs w:val="24"/>
          <w:u w:color="000000"/>
          <w:bdr w:val="nil"/>
        </w:rPr>
        <w:t>and other online transmissions</w:t>
      </w:r>
      <w:r w:rsidRPr="00807CA5">
        <w:rPr>
          <w:rFonts w:eastAsia="Times New Roman"/>
          <w:color w:val="000000"/>
          <w:szCs w:val="24"/>
          <w:u w:color="000000"/>
          <w:bdr w:val="nil"/>
        </w:rPr>
        <w:t xml:space="preserve"> which </w:t>
      </w:r>
      <w:r>
        <w:rPr>
          <w:rFonts w:eastAsia="Times New Roman"/>
          <w:color w:val="000000"/>
          <w:szCs w:val="24"/>
          <w:u w:color="000000"/>
          <w:bdr w:val="nil"/>
        </w:rPr>
        <w:t>are</w:t>
      </w:r>
      <w:r w:rsidRPr="00807CA5">
        <w:rPr>
          <w:rFonts w:eastAsia="Times New Roman"/>
          <w:color w:val="000000"/>
          <w:szCs w:val="24"/>
          <w:u w:color="000000"/>
          <w:bdr w:val="nil"/>
        </w:rPr>
        <w:t xml:space="preserve"> ancillary to the initial broadcast of radio or television programme</w:t>
      </w:r>
      <w:r>
        <w:rPr>
          <w:rFonts w:eastAsia="Times New Roman"/>
          <w:color w:val="000000"/>
          <w:szCs w:val="24"/>
          <w:u w:color="000000"/>
          <w:bdr w:val="nil"/>
        </w:rPr>
        <w:t>s</w:t>
      </w:r>
      <w:r w:rsidRPr="00807CA5">
        <w:rPr>
          <w:rFonts w:eastAsia="Times New Roman"/>
          <w:color w:val="000000"/>
          <w:szCs w:val="24"/>
          <w:u w:color="000000"/>
          <w:bdr w:val="nil"/>
        </w:rPr>
        <w:t xml:space="preserve">. The rationale behind this derogation, as explained in recital 48 of the CRM Directive, was to </w:t>
      </w:r>
      <w:r>
        <w:rPr>
          <w:rFonts w:eastAsia="Times New Roman"/>
          <w:color w:val="000000"/>
          <w:szCs w:val="24"/>
          <w:u w:color="000000"/>
          <w:bdr w:val="nil"/>
        </w:rPr>
        <w:t>leave the required flexibility for</w:t>
      </w:r>
      <w:r w:rsidRPr="00807CA5">
        <w:rPr>
          <w:rFonts w:eastAsia="Times New Roman"/>
          <w:color w:val="000000"/>
          <w:szCs w:val="24"/>
          <w:u w:color="000000"/>
          <w:bdr w:val="nil"/>
        </w:rPr>
        <w:t xml:space="preserve"> the licensing of online rights in musical works for such transmissions</w:t>
      </w:r>
      <w:r>
        <w:rPr>
          <w:rFonts w:eastAsia="Times New Roman"/>
          <w:color w:val="000000"/>
          <w:szCs w:val="24"/>
          <w:u w:color="000000"/>
          <w:bdr w:val="nil"/>
        </w:rPr>
        <w:t xml:space="preserve"> to be licensed via local CMOs (rather than by other EU CMOs or "hubs" aggregating rights which may not necessarily be in the same MS as the broadcaster seeking the licence)</w:t>
      </w:r>
      <w:r w:rsidRPr="006F05BC">
        <w:rPr>
          <w:i/>
          <w:color w:val="000000"/>
        </w:rPr>
        <w:t>.</w:t>
      </w:r>
      <w:r w:rsidRPr="002B4D89" w:rsidDel="002B4D89">
        <w:rPr>
          <w:rFonts w:eastAsia="Times New Roman"/>
          <w:color w:val="000000"/>
          <w:szCs w:val="24"/>
          <w:u w:color="000000"/>
          <w:bdr w:val="nil"/>
        </w:rPr>
        <w:t xml:space="preserve"> </w:t>
      </w:r>
    </w:p>
    <w:p w:rsidR="00FC609C" w:rsidRPr="00AD57F7" w:rsidRDefault="00FC609C" w:rsidP="005A4A16">
      <w:pPr>
        <w:pStyle w:val="Text1"/>
        <w:ind w:left="0"/>
        <w:rPr>
          <w:rFonts w:eastAsia="Times New Roman"/>
          <w:color w:val="000000"/>
          <w:szCs w:val="24"/>
          <w:u w:color="000000"/>
          <w:bdr w:val="nil"/>
          <w:lang w:val="en-US"/>
        </w:rPr>
      </w:pPr>
      <w:r w:rsidRPr="00C32C45">
        <w:rPr>
          <w:rFonts w:eastAsia="Arial Unicode MS" w:hAnsi="Arial Unicode MS" w:cs="Arial Unicode MS"/>
          <w:color w:val="000000"/>
          <w:szCs w:val="24"/>
          <w:u w:val="single"/>
          <w:bdr w:val="nil"/>
          <w:lang w:val="en-US"/>
        </w:rPr>
        <w:t xml:space="preserve">Drivers: </w:t>
      </w:r>
      <w:r w:rsidRPr="00C32C45">
        <w:rPr>
          <w:rFonts w:eastAsia="Arial Unicode MS" w:hAnsi="Arial Unicode MS" w:cs="Arial Unicode MS"/>
          <w:color w:val="000000"/>
          <w:szCs w:val="24"/>
          <w:bdr w:val="nil"/>
          <w:lang w:val="en-US"/>
        </w:rPr>
        <w:t>[</w:t>
      </w:r>
      <w:r w:rsidR="00C03C08">
        <w:rPr>
          <w:rFonts w:eastAsia="Arial Unicode MS" w:hAnsi="Arial Unicode MS" w:cs="Arial Unicode MS"/>
          <w:i/>
          <w:color w:val="000000"/>
          <w:szCs w:val="24"/>
          <w:bdr w:val="nil"/>
          <w:lang w:val="en-US"/>
        </w:rPr>
        <w:t>H</w:t>
      </w:r>
      <w:r>
        <w:rPr>
          <w:rFonts w:eastAsia="Arial Unicode MS" w:hAnsi="Arial Unicode MS" w:cs="Arial Unicode MS"/>
          <w:i/>
          <w:color w:val="000000"/>
          <w:szCs w:val="24"/>
          <w:bdr w:val="nil"/>
          <w:lang w:val="en-US"/>
        </w:rPr>
        <w:t>igh number of works and short timeframe</w:t>
      </w:r>
      <w:r>
        <w:rPr>
          <w:rFonts w:eastAsia="Arial Unicode MS" w:hAnsi="Arial Unicode MS" w:cs="Arial Unicode MS"/>
          <w:color w:val="000000"/>
          <w:szCs w:val="24"/>
          <w:bdr w:val="nil"/>
          <w:lang w:val="en-US"/>
        </w:rPr>
        <w:t xml:space="preserve">] </w:t>
      </w:r>
      <w:r w:rsidRPr="00705E14">
        <w:rPr>
          <w:rFonts w:eastAsia="Arial Unicode MS" w:hAnsi="Arial Unicode MS" w:cs="Arial Unicode MS"/>
          <w:color w:val="000000"/>
          <w:szCs w:val="24"/>
          <w:u w:color="000000"/>
          <w:bdr w:val="nil"/>
          <w:lang w:val="en-US"/>
        </w:rPr>
        <w:t xml:space="preserve">In addition to </w:t>
      </w:r>
      <w:r w:rsidRPr="005A4A16">
        <w:rPr>
          <w:rFonts w:eastAsia="Times New Roman"/>
          <w:color w:val="000000"/>
          <w:szCs w:val="24"/>
          <w:u w:color="000000"/>
          <w:bdr w:val="nil"/>
        </w:rPr>
        <w:t>content</w:t>
      </w:r>
      <w:r w:rsidRPr="00705E14">
        <w:rPr>
          <w:rFonts w:eastAsia="Arial Unicode MS" w:hAnsi="Arial Unicode MS" w:cs="Arial Unicode MS"/>
          <w:color w:val="000000"/>
          <w:szCs w:val="24"/>
          <w:u w:color="000000"/>
          <w:bdr w:val="nil"/>
          <w:lang w:val="en-US"/>
        </w:rPr>
        <w:t xml:space="preserve"> such as films, TV series or music produced by other parties (for which rights have to be cleared with the relevant </w:t>
      </w:r>
      <w:r w:rsidR="00687496">
        <w:rPr>
          <w:rFonts w:eastAsia="Arial Unicode MS" w:hAnsi="Arial Unicode MS" w:cs="Arial Unicode MS"/>
          <w:color w:val="000000"/>
          <w:szCs w:val="24"/>
          <w:u w:color="000000"/>
          <w:bdr w:val="nil"/>
          <w:lang w:val="en-US"/>
        </w:rPr>
        <w:t>r</w:t>
      </w:r>
      <w:r w:rsidR="00007677">
        <w:rPr>
          <w:rFonts w:eastAsia="Arial Unicode MS" w:hAnsi="Arial Unicode MS" w:cs="Arial Unicode MS"/>
          <w:color w:val="000000"/>
          <w:szCs w:val="24"/>
          <w:u w:color="000000"/>
          <w:bdr w:val="nil"/>
          <w:lang w:val="en-US"/>
        </w:rPr>
        <w:t>ightholders</w:t>
      </w:r>
      <w:r w:rsidRPr="00705E14">
        <w:rPr>
          <w:rFonts w:eastAsia="Arial Unicode MS" w:hAnsi="Arial Unicode MS" w:cs="Arial Unicode MS"/>
          <w:color w:val="000000"/>
          <w:szCs w:val="24"/>
          <w:u w:color="000000"/>
          <w:bdr w:val="nil"/>
          <w:lang w:val="en-US"/>
        </w:rPr>
        <w:t>), broadcasters on a daily basis transmit a very high number of hours of original TV and radio programmes</w:t>
      </w:r>
      <w:r w:rsidRPr="00705E14">
        <w:rPr>
          <w:color w:val="000000"/>
          <w:szCs w:val="24"/>
          <w:vertAlign w:val="superscript"/>
        </w:rPr>
        <w:footnoteReference w:id="74"/>
      </w:r>
      <w:r w:rsidRPr="00705E14">
        <w:rPr>
          <w:rFonts w:eastAsia="Arial Unicode MS" w:hAnsi="Arial Unicode MS" w:cs="Arial Unicode MS"/>
          <w:color w:val="000000"/>
          <w:szCs w:val="24"/>
          <w:u w:color="000000"/>
          <w:bdr w:val="nil"/>
          <w:lang w:val="en-US"/>
        </w:rPr>
        <w:t xml:space="preserve"> such as news, cultural, political, documentary or entertainment programmes that they produce themselves, which use variety of content protected by copyright</w:t>
      </w:r>
      <w:r w:rsidRPr="00705E14">
        <w:rPr>
          <w:color w:val="000000"/>
          <w:szCs w:val="24"/>
          <w:vertAlign w:val="superscript"/>
        </w:rPr>
        <w:footnoteReference w:id="75"/>
      </w:r>
      <w:r w:rsidRPr="00705E14">
        <w:rPr>
          <w:rFonts w:eastAsia="Arial Unicode MS" w:hAnsi="Arial Unicode MS" w:cs="Arial Unicode MS"/>
          <w:color w:val="000000"/>
          <w:szCs w:val="24"/>
          <w:u w:color="000000"/>
          <w:bdr w:val="nil"/>
          <w:lang w:val="en-US"/>
        </w:rPr>
        <w:t xml:space="preserve"> the rights to which have to be cleared. This results in a complex clearance of rights with a variety of </w:t>
      </w:r>
      <w:r w:rsidR="00010E24">
        <w:rPr>
          <w:rFonts w:eastAsia="Arial Unicode MS" w:hAnsi="Arial Unicode MS" w:cs="Arial Unicode MS"/>
          <w:color w:val="000000"/>
          <w:szCs w:val="24"/>
          <w:u w:color="000000"/>
          <w:bdr w:val="nil"/>
          <w:lang w:val="en-US"/>
        </w:rPr>
        <w:t>r</w:t>
      </w:r>
      <w:r w:rsidR="00007677">
        <w:rPr>
          <w:rFonts w:eastAsia="Arial Unicode MS" w:hAnsi="Arial Unicode MS" w:cs="Arial Unicode MS"/>
          <w:color w:val="000000"/>
          <w:szCs w:val="24"/>
          <w:u w:color="000000"/>
          <w:bdr w:val="nil"/>
          <w:lang w:val="en-US"/>
        </w:rPr>
        <w:t>ightholders</w:t>
      </w:r>
      <w:r w:rsidR="000603AA">
        <w:rPr>
          <w:rFonts w:eastAsia="Arial Unicode MS" w:hAnsi="Arial Unicode MS" w:cs="Arial Unicode MS"/>
          <w:color w:val="000000"/>
          <w:szCs w:val="24"/>
          <w:u w:color="000000"/>
          <w:bdr w:val="nil"/>
          <w:lang w:val="en-US"/>
        </w:rPr>
        <w:t xml:space="preserve">, including </w:t>
      </w:r>
      <w:r w:rsidR="000603AA" w:rsidRPr="000603AA">
        <w:rPr>
          <w:rFonts w:eastAsia="Times New Roman"/>
          <w:color w:val="000000"/>
          <w:szCs w:val="24"/>
          <w:u w:color="000000"/>
          <w:bdr w:val="nil"/>
          <w:lang w:val="en-US"/>
        </w:rPr>
        <w:t>authors (of music, of scripts, of images, of texts), directors, film producer</w:t>
      </w:r>
      <w:r w:rsidR="00020B17">
        <w:rPr>
          <w:rFonts w:eastAsia="Times New Roman"/>
          <w:color w:val="000000"/>
          <w:szCs w:val="24"/>
          <w:u w:color="000000"/>
          <w:bdr w:val="nil"/>
          <w:lang w:val="en-US"/>
        </w:rPr>
        <w:t>s, performers, record producers</w:t>
      </w:r>
      <w:r w:rsidR="000603AA" w:rsidRPr="000603AA">
        <w:rPr>
          <w:rFonts w:eastAsia="Times New Roman"/>
          <w:color w:val="000000"/>
          <w:szCs w:val="24"/>
          <w:u w:color="000000"/>
          <w:bdr w:val="nil"/>
          <w:lang w:val="en-US"/>
        </w:rPr>
        <w:t xml:space="preserve">. </w:t>
      </w:r>
      <w:r w:rsidR="000603AA">
        <w:rPr>
          <w:rFonts w:eastAsia="Times New Roman"/>
          <w:color w:val="000000"/>
          <w:szCs w:val="24"/>
          <w:u w:color="000000"/>
          <w:bdr w:val="nil"/>
          <w:lang w:val="en-US"/>
        </w:rPr>
        <w:t>The overall number of transactions is much higher than for an online content service offering a catalogue of films or music on demand.</w:t>
      </w:r>
      <w:r w:rsidR="000603AA" w:rsidRPr="00D1507D">
        <w:rPr>
          <w:color w:val="000000"/>
          <w:u w:color="000000"/>
          <w:bdr w:val="nil"/>
          <w:lang w:val="en-US"/>
        </w:rPr>
        <w:t xml:space="preserve"> </w:t>
      </w:r>
      <w:r>
        <w:rPr>
          <w:rFonts w:eastAsia="Arial Unicode MS" w:hAnsi="Arial Unicode MS" w:cs="Arial Unicode MS"/>
          <w:bCs/>
          <w:color w:val="000000"/>
          <w:szCs w:val="24"/>
          <w:u w:color="000000"/>
          <w:bdr w:val="nil"/>
        </w:rPr>
        <w:t>M</w:t>
      </w:r>
      <w:r w:rsidRPr="00705E14">
        <w:rPr>
          <w:rFonts w:eastAsia="Arial Unicode MS" w:hAnsi="Arial Unicode MS" w:cs="Arial Unicode MS"/>
          <w:bCs/>
          <w:color w:val="000000"/>
          <w:szCs w:val="24"/>
          <w:u w:color="000000"/>
          <w:bdr w:val="nil"/>
        </w:rPr>
        <w:t>ajor public service</w:t>
      </w:r>
      <w:r w:rsidRPr="0099576D">
        <w:rPr>
          <w:rFonts w:eastAsia="Arial Unicode MS" w:hAnsi="Arial Unicode MS" w:cs="Arial Unicode MS"/>
          <w:bCs/>
          <w:color w:val="000000"/>
          <w:szCs w:val="24"/>
          <w:u w:color="000000"/>
          <w:bdr w:val="nil"/>
        </w:rPr>
        <w:t xml:space="preserve"> broadcaster</w:t>
      </w:r>
      <w:r>
        <w:rPr>
          <w:rFonts w:eastAsia="Arial Unicode MS" w:hAnsi="Arial Unicode MS" w:cs="Arial Unicode MS"/>
          <w:bCs/>
          <w:color w:val="000000"/>
          <w:szCs w:val="24"/>
          <w:u w:color="000000"/>
          <w:bdr w:val="nil"/>
        </w:rPr>
        <w:t>s</w:t>
      </w:r>
      <w:r w:rsidRPr="0099576D">
        <w:rPr>
          <w:rFonts w:eastAsia="Arial Unicode MS" w:hAnsi="Arial Unicode MS" w:cs="Arial Unicode MS"/>
          <w:bCs/>
          <w:color w:val="000000"/>
          <w:szCs w:val="24"/>
          <w:u w:color="000000"/>
          <w:bdr w:val="nil"/>
        </w:rPr>
        <w:t xml:space="preserve"> conclude more than 70,000 contracts with </w:t>
      </w:r>
      <w:r w:rsidR="00010E24">
        <w:rPr>
          <w:rFonts w:eastAsia="Arial Unicode MS" w:hAnsi="Arial Unicode MS" w:cs="Arial Unicode MS"/>
          <w:bCs/>
          <w:color w:val="000000"/>
          <w:szCs w:val="24"/>
          <w:u w:color="000000"/>
          <w:bdr w:val="nil"/>
        </w:rPr>
        <w:t>r</w:t>
      </w:r>
      <w:r w:rsidR="00007677">
        <w:rPr>
          <w:rFonts w:eastAsia="Arial Unicode MS" w:hAnsi="Arial Unicode MS" w:cs="Arial Unicode MS"/>
          <w:bCs/>
          <w:color w:val="000000"/>
          <w:szCs w:val="24"/>
          <w:u w:color="000000"/>
          <w:bdr w:val="nil"/>
        </w:rPr>
        <w:t>ightholders</w:t>
      </w:r>
      <w:r w:rsidRPr="0099576D">
        <w:rPr>
          <w:rFonts w:eastAsia="Arial Unicode MS" w:hAnsi="Arial Unicode MS" w:cs="Arial Unicode MS"/>
          <w:bCs/>
          <w:color w:val="000000"/>
          <w:szCs w:val="24"/>
          <w:u w:color="000000"/>
          <w:bdr w:val="nil"/>
        </w:rPr>
        <w:t xml:space="preserve"> per year.</w:t>
      </w:r>
      <w:r w:rsidRPr="0099576D">
        <w:rPr>
          <w:rFonts w:eastAsia="Arial Unicode MS" w:hAnsi="Arial Unicode MS" w:cs="Arial Unicode MS"/>
          <w:bCs/>
          <w:color w:val="000000"/>
          <w:szCs w:val="24"/>
          <w:u w:color="000000"/>
          <w:bdr w:val="nil"/>
          <w:vertAlign w:val="superscript"/>
        </w:rPr>
        <w:footnoteReference w:id="76"/>
      </w:r>
      <w:r w:rsidRPr="0099576D">
        <w:rPr>
          <w:rFonts w:eastAsia="Arial Unicode MS" w:hAnsi="Arial Unicode MS" w:cs="Arial Unicode MS"/>
          <w:bCs/>
          <w:color w:val="000000"/>
          <w:szCs w:val="24"/>
          <w:u w:color="000000"/>
          <w:bdr w:val="nil"/>
        </w:rPr>
        <w:t xml:space="preserve"> For example, one episode of series produced by a broadcaster may include up to 100 underlying rights.</w:t>
      </w:r>
      <w:bookmarkStart w:id="28" w:name="_Ref452126018"/>
      <w:r w:rsidRPr="0099576D">
        <w:rPr>
          <w:rFonts w:eastAsia="Arial Unicode MS" w:hAnsi="Arial Unicode MS" w:cs="Arial Unicode MS"/>
          <w:bCs/>
          <w:color w:val="000000"/>
          <w:szCs w:val="24"/>
          <w:u w:color="000000"/>
          <w:bdr w:val="nil"/>
          <w:vertAlign w:val="superscript"/>
        </w:rPr>
        <w:footnoteReference w:id="77"/>
      </w:r>
      <w:bookmarkEnd w:id="28"/>
      <w:r w:rsidRPr="0099576D">
        <w:rPr>
          <w:rFonts w:eastAsia="Arial Unicode MS" w:hAnsi="Arial Unicode MS" w:cs="Arial Unicode MS"/>
          <w:bCs/>
          <w:color w:val="000000"/>
          <w:szCs w:val="24"/>
          <w:u w:color="000000"/>
          <w:bdr w:val="nil"/>
        </w:rPr>
        <w:t xml:space="preserve"> </w:t>
      </w:r>
      <w:r w:rsidRPr="0099576D">
        <w:rPr>
          <w:rFonts w:eastAsia="Arial Unicode MS" w:hAnsi="Arial Unicode MS" w:cs="Arial Unicode MS"/>
          <w:color w:val="000000"/>
          <w:szCs w:val="24"/>
          <w:u w:color="000000"/>
          <w:bdr w:val="nil"/>
          <w:lang w:val="en-US"/>
        </w:rPr>
        <w:t>Often the rights need to be cleared in a short time-frame, in particular when preparing programmes such as news or current affairs which represent an important part of broadcasters' transmissions.</w:t>
      </w:r>
      <w:r w:rsidRPr="0099576D">
        <w:rPr>
          <w:color w:val="000000"/>
          <w:szCs w:val="24"/>
          <w:vertAlign w:val="superscript"/>
        </w:rPr>
        <w:footnoteReference w:id="78"/>
      </w:r>
      <w:r w:rsidRPr="0099576D">
        <w:rPr>
          <w:rFonts w:eastAsia="Arial Unicode MS" w:hAnsi="Arial Unicode MS" w:cs="Arial Unicode MS"/>
          <w:color w:val="000000"/>
          <w:szCs w:val="24"/>
          <w:u w:color="000000"/>
          <w:bdr w:val="nil"/>
          <w:lang w:val="en-US"/>
        </w:rPr>
        <w:t xml:space="preserve"> The relevant rights may be held by CMOs (e.g. rights in musical works) or by individual </w:t>
      </w:r>
      <w:r w:rsidR="00010E24">
        <w:rPr>
          <w:rFonts w:eastAsia="Arial Unicode MS" w:hAnsi="Arial Unicode MS" w:cs="Arial Unicode MS"/>
          <w:color w:val="000000"/>
          <w:szCs w:val="24"/>
          <w:u w:color="000000"/>
          <w:bdr w:val="nil"/>
          <w:lang w:val="en-US"/>
        </w:rPr>
        <w:t>r</w:t>
      </w:r>
      <w:r w:rsidR="00007677">
        <w:rPr>
          <w:rFonts w:eastAsia="Arial Unicode MS" w:hAnsi="Arial Unicode MS" w:cs="Arial Unicode MS"/>
          <w:color w:val="000000"/>
          <w:szCs w:val="24"/>
          <w:u w:color="000000"/>
          <w:bdr w:val="nil"/>
          <w:lang w:val="en-US"/>
        </w:rPr>
        <w:t>ightholders</w:t>
      </w:r>
      <w:r w:rsidRPr="0099576D">
        <w:rPr>
          <w:rFonts w:eastAsia="Arial Unicode MS" w:hAnsi="Arial Unicode MS" w:cs="Arial Unicode MS"/>
          <w:color w:val="000000"/>
          <w:szCs w:val="24"/>
          <w:u w:color="000000"/>
          <w:bdr w:val="nil"/>
          <w:lang w:val="en-US"/>
        </w:rPr>
        <w:t xml:space="preserve"> such as producers (e.g. rights in </w:t>
      </w:r>
      <w:r>
        <w:rPr>
          <w:rFonts w:eastAsia="Arial Unicode MS" w:hAnsi="Arial Unicode MS" w:cs="Arial Unicode MS"/>
          <w:color w:val="000000"/>
          <w:szCs w:val="24"/>
          <w:u w:color="000000"/>
          <w:bdr w:val="nil"/>
          <w:lang w:val="en-US"/>
        </w:rPr>
        <w:t>AV</w:t>
      </w:r>
      <w:r w:rsidRPr="0099576D">
        <w:rPr>
          <w:rFonts w:eastAsia="Times New Roman"/>
          <w:color w:val="000000"/>
          <w:szCs w:val="24"/>
          <w:u w:color="000000"/>
          <w:bdr w:val="nil"/>
          <w:lang w:val="en-US"/>
        </w:rPr>
        <w:t xml:space="preserve"> works). With regard to some other works, e.g. pictures and photographs the situation is mixed as some rights are represented by CMOs and some by individual </w:t>
      </w:r>
      <w:r w:rsidR="00010E24">
        <w:rPr>
          <w:rFonts w:eastAsia="Times New Roman"/>
          <w:color w:val="000000"/>
          <w:szCs w:val="24"/>
          <w:u w:color="000000"/>
          <w:bdr w:val="nil"/>
          <w:lang w:val="en-US"/>
        </w:rPr>
        <w:t>r</w:t>
      </w:r>
      <w:r w:rsidR="00007677">
        <w:rPr>
          <w:rFonts w:eastAsia="Times New Roman"/>
          <w:color w:val="000000"/>
          <w:szCs w:val="24"/>
          <w:u w:color="000000"/>
          <w:bdr w:val="nil"/>
          <w:lang w:val="en-US"/>
        </w:rPr>
        <w:t>ightholders</w:t>
      </w:r>
      <w:r w:rsidRPr="0099576D">
        <w:rPr>
          <w:rFonts w:eastAsia="Times New Roman"/>
          <w:color w:val="000000"/>
          <w:szCs w:val="24"/>
          <w:u w:color="000000"/>
          <w:bdr w:val="nil"/>
          <w:lang w:val="en-US"/>
        </w:rPr>
        <w:t xml:space="preserve">. There can be also situations where one work is embedded in another e.g. music in an AV work or a picture in a text which further complicates the rights clearance. This means that in their daily operations </w:t>
      </w:r>
      <w:r w:rsidRPr="00A5595A">
        <w:rPr>
          <w:rFonts w:eastAsia="Times New Roman"/>
          <w:color w:val="000000"/>
          <w:szCs w:val="24"/>
          <w:u w:color="000000"/>
          <w:bdr w:val="nil"/>
          <w:lang w:val="en-US"/>
        </w:rPr>
        <w:t>TV</w:t>
      </w:r>
      <w:r w:rsidRPr="0099576D">
        <w:rPr>
          <w:rFonts w:eastAsia="Times New Roman"/>
          <w:color w:val="000000"/>
          <w:szCs w:val="24"/>
          <w:u w:color="000000"/>
          <w:bdr w:val="nil"/>
          <w:lang w:val="en-US"/>
        </w:rPr>
        <w:t xml:space="preserve"> broadcasters face significant transaction costs related to the clearance of underlying rights for their programmes.</w:t>
      </w:r>
      <w:r w:rsidRPr="0099576D">
        <w:t xml:space="preserve"> </w:t>
      </w:r>
      <w:r w:rsidRPr="00A5595A">
        <w:rPr>
          <w:rFonts w:eastAsia="Times New Roman"/>
          <w:color w:val="000000"/>
          <w:szCs w:val="24"/>
          <w:u w:color="000000"/>
          <w:bdr w:val="nil"/>
          <w:lang w:val="en-US"/>
        </w:rPr>
        <w:t>The transaction costs for</w:t>
      </w:r>
      <w:r w:rsidRPr="00724C5D">
        <w:rPr>
          <w:rFonts w:eastAsia="Times New Roman"/>
          <w:color w:val="000000"/>
          <w:szCs w:val="24"/>
          <w:u w:color="000000"/>
          <w:bdr w:val="nil"/>
          <w:lang w:val="en-US"/>
        </w:rPr>
        <w:t xml:space="preserve"> radio broadcasters are less significant, since (i) radio broadcasts contain fewer types of works protected by copyright (notably, no images or </w:t>
      </w:r>
      <w:r w:rsidR="00F506EA">
        <w:rPr>
          <w:rFonts w:eastAsia="Times New Roman"/>
          <w:color w:val="000000"/>
          <w:szCs w:val="24"/>
          <w:u w:color="000000"/>
          <w:bdr w:val="nil"/>
          <w:lang w:val="en-US"/>
        </w:rPr>
        <w:t>AV</w:t>
      </w:r>
      <w:r w:rsidR="00F506EA" w:rsidRPr="00724C5D">
        <w:rPr>
          <w:rFonts w:eastAsia="Times New Roman"/>
          <w:color w:val="000000"/>
          <w:szCs w:val="24"/>
          <w:u w:color="000000"/>
          <w:bdr w:val="nil"/>
          <w:lang w:val="en-US"/>
        </w:rPr>
        <w:t xml:space="preserve"> </w:t>
      </w:r>
      <w:r w:rsidRPr="00724C5D">
        <w:rPr>
          <w:rFonts w:eastAsia="Times New Roman"/>
          <w:color w:val="000000"/>
          <w:szCs w:val="24"/>
          <w:u w:color="000000"/>
          <w:bdr w:val="nil"/>
          <w:lang w:val="en-US"/>
        </w:rPr>
        <w:t>works) and (ii) there are well-established collective management structures for the main type of copyright-protected work used in radio broadcasts, i.e. music, which mak</w:t>
      </w:r>
      <w:r w:rsidRPr="0099576D">
        <w:rPr>
          <w:rFonts w:eastAsia="Times New Roman"/>
          <w:color w:val="000000"/>
          <w:szCs w:val="24"/>
          <w:u w:color="000000"/>
          <w:bdr w:val="nil"/>
          <w:lang w:val="en-US"/>
        </w:rPr>
        <w:t>es it easier for radio broadcasts to clear rights.</w:t>
      </w:r>
      <w:r>
        <w:rPr>
          <w:rStyle w:val="FootnoteReference"/>
          <w:rFonts w:eastAsia="Arial Unicode MS" w:hAnsi="Arial Unicode MS" w:cs="Arial Unicode MS"/>
          <w:bCs/>
          <w:color w:val="000000"/>
          <w:szCs w:val="24"/>
          <w:u w:color="000000"/>
          <w:bdr w:val="nil"/>
        </w:rPr>
        <w:footnoteReference w:id="79"/>
      </w:r>
    </w:p>
    <w:p w:rsidR="00FC609C" w:rsidRPr="00807CA5" w:rsidRDefault="00236159" w:rsidP="005A4A16">
      <w:pPr>
        <w:pStyle w:val="Text1"/>
        <w:ind w:left="0"/>
        <w:rPr>
          <w:rFonts w:eastAsia="Times New Roman"/>
          <w:color w:val="000000"/>
          <w:szCs w:val="24"/>
          <w:u w:color="000000"/>
          <w:bdr w:val="nil"/>
          <w:lang w:val="en-US"/>
        </w:rPr>
      </w:pPr>
      <w:r>
        <w:rPr>
          <w:rFonts w:eastAsia="Times New Roman"/>
          <w:color w:val="000000"/>
          <w:szCs w:val="24"/>
          <w:u w:color="000000"/>
          <w:bdr w:val="nil"/>
          <w:lang w:val="en-US"/>
        </w:rPr>
        <w:t>[</w:t>
      </w:r>
      <w:r w:rsidRPr="00AD57F7">
        <w:rPr>
          <w:rFonts w:eastAsia="Times New Roman"/>
          <w:i/>
          <w:color w:val="000000"/>
          <w:szCs w:val="24"/>
          <w:u w:color="000000"/>
          <w:bdr w:val="nil"/>
          <w:lang w:val="en-US"/>
        </w:rPr>
        <w:t>Need to clear rights on a territorial basis</w:t>
      </w:r>
      <w:r>
        <w:rPr>
          <w:rFonts w:eastAsia="Times New Roman"/>
          <w:color w:val="000000"/>
          <w:szCs w:val="24"/>
          <w:u w:color="000000"/>
          <w:bdr w:val="nil"/>
          <w:lang w:val="en-US"/>
        </w:rPr>
        <w:t xml:space="preserve">] </w:t>
      </w:r>
      <w:r w:rsidR="00FC609C" w:rsidRPr="00807CA5">
        <w:rPr>
          <w:rFonts w:eastAsia="Times New Roman"/>
          <w:color w:val="000000"/>
          <w:szCs w:val="24"/>
          <w:u w:color="000000"/>
          <w:bdr w:val="nil"/>
          <w:lang w:val="en-US"/>
        </w:rPr>
        <w:t>These costs and the complexity of the task increase significantly if broadcaster</w:t>
      </w:r>
      <w:r>
        <w:rPr>
          <w:rFonts w:eastAsia="Times New Roman"/>
          <w:color w:val="000000"/>
          <w:szCs w:val="24"/>
          <w:u w:color="000000"/>
          <w:bdr w:val="nil"/>
          <w:lang w:val="en-US"/>
        </w:rPr>
        <w:t>s</w:t>
      </w:r>
      <w:r w:rsidR="00FC609C" w:rsidRPr="00807CA5">
        <w:rPr>
          <w:rFonts w:eastAsia="Times New Roman"/>
          <w:color w:val="000000"/>
          <w:szCs w:val="24"/>
          <w:u w:color="000000"/>
          <w:bdr w:val="nil"/>
          <w:lang w:val="en-US"/>
        </w:rPr>
        <w:t xml:space="preserve"> </w:t>
      </w:r>
      <w:r>
        <w:rPr>
          <w:rFonts w:eastAsia="Times New Roman"/>
          <w:color w:val="000000"/>
          <w:szCs w:val="24"/>
          <w:u w:color="000000"/>
          <w:bdr w:val="nil"/>
          <w:lang w:val="en-US"/>
        </w:rPr>
        <w:t xml:space="preserve">want to </w:t>
      </w:r>
      <w:r w:rsidRPr="00123CFF">
        <w:rPr>
          <w:rFonts w:eastAsia="Times New Roman"/>
          <w:color w:val="000000"/>
          <w:szCs w:val="24"/>
          <w:u w:color="000000"/>
          <w:bdr w:val="nil"/>
          <w:lang w:val="en-US"/>
        </w:rPr>
        <w:t>make their online services available across borders</w:t>
      </w:r>
      <w:r>
        <w:rPr>
          <w:rFonts w:eastAsia="Times New Roman"/>
          <w:color w:val="000000"/>
          <w:szCs w:val="24"/>
          <w:u w:color="000000"/>
          <w:bdr w:val="nil"/>
          <w:lang w:val="en-US"/>
        </w:rPr>
        <w:t xml:space="preserve">. </w:t>
      </w:r>
      <w:r w:rsidR="00FC609C" w:rsidRPr="00807CA5">
        <w:rPr>
          <w:rFonts w:eastAsia="Times New Roman"/>
          <w:color w:val="000000"/>
          <w:szCs w:val="24"/>
          <w:u w:color="000000"/>
          <w:bdr w:val="nil"/>
          <w:lang w:val="en-US"/>
        </w:rPr>
        <w:t xml:space="preserve">As described </w:t>
      </w:r>
      <w:r w:rsidR="00FC609C" w:rsidRPr="0035328D">
        <w:rPr>
          <w:rFonts w:eastAsia="Times New Roman"/>
          <w:color w:val="000000"/>
          <w:szCs w:val="24"/>
          <w:u w:color="000000"/>
          <w:bdr w:val="nil"/>
          <w:lang w:val="en-US"/>
        </w:rPr>
        <w:t xml:space="preserve">in section </w:t>
      </w:r>
      <w:r w:rsidR="00FC609C" w:rsidRPr="0035328D">
        <w:rPr>
          <w:rFonts w:eastAsia="Times New Roman"/>
          <w:color w:val="000000"/>
          <w:szCs w:val="24"/>
          <w:u w:color="000000"/>
          <w:bdr w:val="nil"/>
          <w:lang w:val="en-US"/>
        </w:rPr>
        <w:fldChar w:fldCharType="begin"/>
      </w:r>
      <w:r w:rsidR="00FC609C" w:rsidRPr="0035328D">
        <w:rPr>
          <w:rFonts w:eastAsia="Times New Roman"/>
          <w:color w:val="000000"/>
          <w:szCs w:val="24"/>
          <w:u w:color="000000"/>
          <w:bdr w:val="nil"/>
          <w:lang w:val="en-US"/>
        </w:rPr>
        <w:instrText xml:space="preserve"> REF _Ref452125762 \r \h </w:instrText>
      </w:r>
      <w:r w:rsidR="0035328D">
        <w:rPr>
          <w:rFonts w:eastAsia="Times New Roman"/>
          <w:color w:val="000000"/>
          <w:szCs w:val="24"/>
          <w:u w:color="000000"/>
          <w:bdr w:val="nil"/>
          <w:lang w:val="en-US"/>
        </w:rPr>
        <w:instrText xml:space="preserve"> \* MERGEFORMAT </w:instrText>
      </w:r>
      <w:r w:rsidR="00FC609C" w:rsidRPr="0035328D">
        <w:rPr>
          <w:rFonts w:eastAsia="Times New Roman"/>
          <w:color w:val="000000"/>
          <w:szCs w:val="24"/>
          <w:u w:color="000000"/>
          <w:bdr w:val="nil"/>
          <w:lang w:val="en-US"/>
        </w:rPr>
      </w:r>
      <w:r w:rsidR="00FC609C" w:rsidRPr="0035328D">
        <w:rPr>
          <w:rFonts w:eastAsia="Times New Roman"/>
          <w:color w:val="000000"/>
          <w:szCs w:val="24"/>
          <w:u w:color="000000"/>
          <w:bdr w:val="nil"/>
          <w:lang w:val="en-US"/>
        </w:rPr>
        <w:fldChar w:fldCharType="separate"/>
      </w:r>
      <w:r w:rsidR="00F455CF">
        <w:rPr>
          <w:rFonts w:eastAsia="Times New Roman"/>
          <w:color w:val="000000"/>
          <w:szCs w:val="24"/>
          <w:u w:color="000000"/>
          <w:bdr w:val="nil"/>
          <w:lang w:val="en-US"/>
        </w:rPr>
        <w:t>3.1.4</w:t>
      </w:r>
      <w:r w:rsidR="00FC609C" w:rsidRPr="0035328D">
        <w:rPr>
          <w:rFonts w:eastAsia="Times New Roman"/>
          <w:color w:val="000000"/>
          <w:szCs w:val="24"/>
          <w:u w:color="000000"/>
          <w:bdr w:val="nil"/>
          <w:lang w:val="en-US"/>
        </w:rPr>
        <w:fldChar w:fldCharType="end"/>
      </w:r>
      <w:r w:rsidR="00FC609C" w:rsidRPr="0035328D">
        <w:rPr>
          <w:rFonts w:eastAsia="Times New Roman"/>
          <w:color w:val="000000"/>
          <w:szCs w:val="24"/>
          <w:u w:color="000000"/>
          <w:bdr w:val="nil"/>
          <w:lang w:val="en-US"/>
        </w:rPr>
        <w:t xml:space="preserve">, in some cases </w:t>
      </w:r>
      <w:r w:rsidR="00FC609C" w:rsidRPr="0035328D">
        <w:rPr>
          <w:rFonts w:eastAsia="Arial Unicode MS" w:hAnsi="Arial Unicode MS" w:cs="Arial Unicode MS"/>
          <w:color w:val="000000"/>
          <w:szCs w:val="24"/>
          <w:u w:color="000000"/>
          <w:bdr w:val="nil"/>
          <w:lang w:val="en-US"/>
        </w:rPr>
        <w:t>multi</w:t>
      </w:r>
      <w:r w:rsidR="00FC609C" w:rsidRPr="0035328D">
        <w:rPr>
          <w:rFonts w:eastAsia="Times New Roman"/>
          <w:color w:val="000000"/>
          <w:szCs w:val="24"/>
          <w:u w:color="000000"/>
          <w:bdr w:val="nil"/>
          <w:lang w:val="en-US"/>
        </w:rPr>
        <w:t>-territorial licences are available but often broadcasters must clear rights</w:t>
      </w:r>
      <w:r w:rsidR="00FC609C" w:rsidRPr="00807CA5">
        <w:rPr>
          <w:rFonts w:eastAsia="Times New Roman"/>
          <w:color w:val="000000"/>
          <w:szCs w:val="24"/>
          <w:u w:color="000000"/>
          <w:bdr w:val="nil"/>
          <w:lang w:val="en-US"/>
        </w:rPr>
        <w:t xml:space="preserve"> for certain works territory by territory.</w:t>
      </w:r>
      <w:r w:rsidR="00FC609C" w:rsidRPr="00D2064C">
        <w:t xml:space="preserve"> </w:t>
      </w:r>
      <w:r w:rsidR="00FC609C" w:rsidRPr="0099576D">
        <w:rPr>
          <w:rFonts w:eastAsia="Times New Roman"/>
          <w:color w:val="000000"/>
          <w:szCs w:val="24"/>
          <w:u w:color="000000"/>
          <w:bdr w:val="nil"/>
          <w:lang w:val="en-US"/>
        </w:rPr>
        <w:t>A</w:t>
      </w:r>
      <w:r w:rsidR="00FC609C" w:rsidRPr="00A5595A">
        <w:rPr>
          <w:rFonts w:eastAsia="Times New Roman"/>
          <w:color w:val="000000"/>
          <w:szCs w:val="24"/>
          <w:u w:color="000000"/>
          <w:bdr w:val="nil"/>
          <w:lang w:val="en-US"/>
        </w:rPr>
        <w:t>s regards radio broadcasting</w:t>
      </w:r>
      <w:r w:rsidR="00FC609C" w:rsidRPr="00724C5D">
        <w:rPr>
          <w:rFonts w:eastAsia="Times New Roman"/>
          <w:color w:val="000000"/>
          <w:szCs w:val="24"/>
          <w:u w:color="000000"/>
          <w:bdr w:val="nil"/>
          <w:lang w:val="en-US"/>
        </w:rPr>
        <w:t>,</w:t>
      </w:r>
      <w:r w:rsidR="00FC609C" w:rsidRPr="0099576D">
        <w:rPr>
          <w:rFonts w:eastAsia="Times New Roman"/>
          <w:color w:val="000000"/>
          <w:szCs w:val="24"/>
          <w:u w:color="000000"/>
          <w:bdr w:val="nil"/>
          <w:lang w:val="en-US"/>
        </w:rPr>
        <w:t xml:space="preserve"> according to the information provided in meetings with the stakeholders, agreements between radio broadcasters and local CMOs may allow cross-border transmissions up to certain % of audience (e.g. 5 or 7.5</w:t>
      </w:r>
      <w:r w:rsidR="000B17FD">
        <w:rPr>
          <w:rFonts w:eastAsia="Times New Roman"/>
          <w:color w:val="000000"/>
          <w:szCs w:val="24"/>
          <w:u w:color="000000"/>
          <w:bdr w:val="nil"/>
          <w:lang w:val="en-US"/>
        </w:rPr>
        <w:t xml:space="preserve"> </w:t>
      </w:r>
      <w:r w:rsidR="00FC609C" w:rsidRPr="0099576D">
        <w:rPr>
          <w:rFonts w:eastAsia="Times New Roman"/>
          <w:color w:val="000000"/>
          <w:szCs w:val="24"/>
          <w:u w:color="000000"/>
          <w:bdr w:val="nil"/>
          <w:lang w:val="en-US"/>
        </w:rPr>
        <w:t>%) which could explain why there is a broad offer of online radio services.</w:t>
      </w:r>
      <w:r w:rsidR="00FC609C" w:rsidRPr="00807CA5">
        <w:rPr>
          <w:rFonts w:eastAsia="Times New Roman"/>
          <w:color w:val="000000"/>
          <w:szCs w:val="24"/>
          <w:u w:color="000000"/>
          <w:bdr w:val="nil"/>
          <w:lang w:val="en-US"/>
        </w:rPr>
        <w:t xml:space="preserve">  </w:t>
      </w:r>
    </w:p>
    <w:p w:rsidR="00FC609C" w:rsidRPr="0099576D" w:rsidRDefault="00FC609C" w:rsidP="005A4A16">
      <w:pPr>
        <w:pStyle w:val="Text1"/>
        <w:ind w:left="0"/>
        <w:rPr>
          <w:rFonts w:eastAsia="Times New Roman"/>
          <w:color w:val="000000"/>
          <w:szCs w:val="24"/>
          <w:u w:color="000000"/>
          <w:bdr w:val="nil"/>
        </w:rPr>
      </w:pPr>
      <w:r w:rsidRPr="00705E14">
        <w:rPr>
          <w:rFonts w:eastAsia="Times New Roman"/>
          <w:color w:val="000000"/>
          <w:szCs w:val="24"/>
          <w:u w:color="000000"/>
          <w:bdr w:val="nil"/>
        </w:rPr>
        <w:t xml:space="preserve">Beyond the complexity of rights </w:t>
      </w:r>
      <w:r w:rsidRPr="005A4A16">
        <w:rPr>
          <w:rFonts w:eastAsia="Arial Unicode MS" w:hAnsi="Arial Unicode MS" w:cs="Arial Unicode MS"/>
          <w:color w:val="000000"/>
          <w:szCs w:val="24"/>
          <w:u w:color="000000"/>
          <w:bdr w:val="nil"/>
          <w:lang w:val="en-US"/>
        </w:rPr>
        <w:t>clearance</w:t>
      </w:r>
      <w:r w:rsidRPr="00705E14">
        <w:rPr>
          <w:rFonts w:eastAsia="Times New Roman"/>
          <w:color w:val="000000"/>
          <w:szCs w:val="24"/>
          <w:u w:color="000000"/>
          <w:bdr w:val="nil"/>
        </w:rPr>
        <w:t xml:space="preserve"> other factors influence</w:t>
      </w:r>
      <w:r w:rsidR="008C4000">
        <w:rPr>
          <w:rFonts w:eastAsia="Times New Roman"/>
          <w:color w:val="000000"/>
          <w:szCs w:val="24"/>
          <w:u w:color="000000"/>
          <w:bdr w:val="nil"/>
        </w:rPr>
        <w:t xml:space="preserve"> to a different extent</w:t>
      </w:r>
      <w:r w:rsidRPr="00705E14">
        <w:rPr>
          <w:rFonts w:eastAsia="Times New Roman"/>
          <w:color w:val="000000"/>
          <w:szCs w:val="24"/>
          <w:u w:color="000000"/>
          <w:bdr w:val="nil"/>
        </w:rPr>
        <w:t xml:space="preserve"> the cross-border accessibility of TV and radio programmes. They are presented below but this IA is not addressing these particular issues</w:t>
      </w:r>
      <w:r w:rsidR="008C4000">
        <w:rPr>
          <w:rFonts w:eastAsia="Times New Roman"/>
          <w:color w:val="000000"/>
          <w:szCs w:val="24"/>
          <w:u w:color="000000"/>
          <w:bdr w:val="nil"/>
        </w:rPr>
        <w:t xml:space="preserve">, as they are </w:t>
      </w:r>
      <w:r w:rsidR="00236159">
        <w:rPr>
          <w:rFonts w:eastAsia="Times New Roman"/>
          <w:color w:val="000000"/>
          <w:szCs w:val="24"/>
          <w:u w:color="000000"/>
          <w:bdr w:val="nil"/>
        </w:rPr>
        <w:t xml:space="preserve">mostly </w:t>
      </w:r>
      <w:r w:rsidR="008C4000">
        <w:rPr>
          <w:rFonts w:eastAsia="Times New Roman"/>
          <w:color w:val="000000"/>
          <w:szCs w:val="24"/>
          <w:u w:color="000000"/>
          <w:bdr w:val="nil"/>
        </w:rPr>
        <w:t xml:space="preserve">linked to </w:t>
      </w:r>
      <w:r w:rsidR="00236159">
        <w:rPr>
          <w:rFonts w:eastAsia="Times New Roman"/>
          <w:color w:val="000000"/>
          <w:szCs w:val="24"/>
          <w:u w:color="000000"/>
          <w:bdr w:val="nil"/>
        </w:rPr>
        <w:t xml:space="preserve">business models and commercial strategies. </w:t>
      </w:r>
      <w:r w:rsidRPr="00C32C45">
        <w:rPr>
          <w:rFonts w:eastAsia="Times New Roman"/>
          <w:color w:val="000000"/>
          <w:szCs w:val="24"/>
          <w:bdr w:val="nil"/>
        </w:rPr>
        <w:t>[</w:t>
      </w:r>
      <w:r w:rsidR="00C03C08">
        <w:rPr>
          <w:rFonts w:eastAsia="Times New Roman"/>
          <w:i/>
          <w:color w:val="000000"/>
          <w:szCs w:val="24"/>
          <w:bdr w:val="nil"/>
        </w:rPr>
        <w:t>T</w:t>
      </w:r>
      <w:r w:rsidRPr="00C32C45">
        <w:rPr>
          <w:rFonts w:eastAsia="Times New Roman"/>
          <w:i/>
          <w:color w:val="000000"/>
          <w:szCs w:val="24"/>
          <w:bdr w:val="nil"/>
        </w:rPr>
        <w:t>erritorial exclusivity</w:t>
      </w:r>
      <w:r w:rsidRPr="00C32C45">
        <w:rPr>
          <w:rFonts w:eastAsia="Times New Roman"/>
          <w:color w:val="000000"/>
          <w:szCs w:val="24"/>
          <w:bdr w:val="nil"/>
        </w:rPr>
        <w:t>]</w:t>
      </w:r>
      <w:r w:rsidRPr="0099576D">
        <w:rPr>
          <w:rFonts w:eastAsia="Times New Roman"/>
          <w:color w:val="000000"/>
          <w:szCs w:val="24"/>
          <w:u w:color="000000"/>
          <w:bdr w:val="nil"/>
        </w:rPr>
        <w:t xml:space="preserve"> Another factor </w:t>
      </w:r>
      <w:r w:rsidR="00B36030">
        <w:rPr>
          <w:rFonts w:eastAsia="Times New Roman"/>
          <w:color w:val="000000"/>
          <w:szCs w:val="24"/>
          <w:u w:color="000000"/>
          <w:bdr w:val="nil"/>
        </w:rPr>
        <w:t xml:space="preserve">strongly </w:t>
      </w:r>
      <w:r w:rsidRPr="0099576D">
        <w:rPr>
          <w:rFonts w:eastAsia="Times New Roman"/>
          <w:color w:val="000000"/>
          <w:szCs w:val="24"/>
          <w:u w:color="000000"/>
          <w:bdr w:val="nil"/>
        </w:rPr>
        <w:t xml:space="preserve">influencing the access to TV and radio programmes across borders is the fact that the rights in premium content (e.g. films and TV series of particular interest for the audience), as </w:t>
      </w:r>
      <w:r w:rsidRPr="0035328D">
        <w:rPr>
          <w:rFonts w:eastAsia="Times New Roman"/>
          <w:color w:val="000000"/>
          <w:szCs w:val="24"/>
          <w:u w:color="000000"/>
          <w:bdr w:val="nil"/>
        </w:rPr>
        <w:t xml:space="preserve">explained in section </w:t>
      </w:r>
      <w:r w:rsidRPr="0035328D">
        <w:rPr>
          <w:rFonts w:eastAsia="Times New Roman"/>
          <w:color w:val="000000"/>
          <w:szCs w:val="24"/>
          <w:u w:color="000000"/>
          <w:bdr w:val="nil"/>
          <w:lang w:val="en-US"/>
        </w:rPr>
        <w:fldChar w:fldCharType="begin"/>
      </w:r>
      <w:r w:rsidRPr="0035328D">
        <w:rPr>
          <w:rFonts w:eastAsia="Times New Roman"/>
          <w:color w:val="000000"/>
          <w:szCs w:val="24"/>
          <w:u w:color="000000"/>
          <w:bdr w:val="nil"/>
          <w:lang w:val="en-US"/>
        </w:rPr>
        <w:instrText xml:space="preserve"> REF _Ref452125762 \r \h  \* MERGEFORMAT </w:instrText>
      </w:r>
      <w:r w:rsidRPr="0035328D">
        <w:rPr>
          <w:rFonts w:eastAsia="Times New Roman"/>
          <w:color w:val="000000"/>
          <w:szCs w:val="24"/>
          <w:u w:color="000000"/>
          <w:bdr w:val="nil"/>
          <w:lang w:val="en-US"/>
        </w:rPr>
      </w:r>
      <w:r w:rsidRPr="0035328D">
        <w:rPr>
          <w:rFonts w:eastAsia="Times New Roman"/>
          <w:color w:val="000000"/>
          <w:szCs w:val="24"/>
          <w:u w:color="000000"/>
          <w:bdr w:val="nil"/>
          <w:lang w:val="en-US"/>
        </w:rPr>
        <w:fldChar w:fldCharType="separate"/>
      </w:r>
      <w:r w:rsidR="00F455CF">
        <w:rPr>
          <w:rFonts w:eastAsia="Times New Roman"/>
          <w:color w:val="000000"/>
          <w:szCs w:val="24"/>
          <w:u w:color="000000"/>
          <w:bdr w:val="nil"/>
          <w:lang w:val="en-US"/>
        </w:rPr>
        <w:t>3.1.4</w:t>
      </w:r>
      <w:r w:rsidRPr="0035328D">
        <w:rPr>
          <w:rFonts w:eastAsia="Times New Roman"/>
          <w:color w:val="000000"/>
          <w:szCs w:val="24"/>
          <w:u w:color="000000"/>
          <w:bdr w:val="nil"/>
          <w:lang w:val="en-US"/>
        </w:rPr>
        <w:fldChar w:fldCharType="end"/>
      </w:r>
      <w:r w:rsidRPr="0035328D">
        <w:rPr>
          <w:rFonts w:eastAsia="Times New Roman"/>
          <w:color w:val="000000"/>
          <w:szCs w:val="24"/>
          <w:u w:color="000000"/>
          <w:bdr w:val="nil"/>
        </w:rPr>
        <w:t>, are</w:t>
      </w:r>
      <w:r w:rsidRPr="0099576D">
        <w:rPr>
          <w:rFonts w:eastAsia="Times New Roman"/>
          <w:color w:val="000000"/>
          <w:szCs w:val="24"/>
          <w:u w:color="000000"/>
          <w:bdr w:val="nil"/>
        </w:rPr>
        <w:t xml:space="preserve"> generally licensed on the basis of territorial exclusivity. The important role this licensing plays for the </w:t>
      </w:r>
      <w:r w:rsidR="00F506EA">
        <w:rPr>
          <w:rFonts w:eastAsia="Times New Roman"/>
          <w:color w:val="000000"/>
          <w:szCs w:val="24"/>
          <w:u w:color="000000"/>
          <w:bdr w:val="nil"/>
        </w:rPr>
        <w:t xml:space="preserve">AV </w:t>
      </w:r>
      <w:r w:rsidRPr="0099576D">
        <w:rPr>
          <w:rFonts w:eastAsia="Times New Roman"/>
          <w:color w:val="000000"/>
          <w:szCs w:val="24"/>
          <w:u w:color="000000"/>
          <w:bdr w:val="nil"/>
        </w:rPr>
        <w:t xml:space="preserve">industry is also </w:t>
      </w:r>
      <w:r w:rsidRPr="005A4A16">
        <w:rPr>
          <w:rFonts w:eastAsia="Arial Unicode MS" w:hAnsi="Arial Unicode MS" w:cs="Arial Unicode MS"/>
          <w:color w:val="000000"/>
          <w:szCs w:val="24"/>
          <w:u w:color="000000"/>
          <w:bdr w:val="nil"/>
          <w:lang w:val="en-US"/>
        </w:rPr>
        <w:t>explained</w:t>
      </w:r>
      <w:r w:rsidRPr="0099576D">
        <w:rPr>
          <w:rFonts w:eastAsia="Times New Roman"/>
          <w:color w:val="000000"/>
          <w:szCs w:val="24"/>
          <w:u w:color="000000"/>
          <w:bdr w:val="nil"/>
        </w:rPr>
        <w:t xml:space="preserve"> in section </w:t>
      </w:r>
      <w:r w:rsidRPr="0099576D">
        <w:rPr>
          <w:rFonts w:eastAsia="Times New Roman"/>
          <w:color w:val="000000"/>
          <w:szCs w:val="24"/>
          <w:u w:color="000000"/>
          <w:bdr w:val="nil"/>
          <w:lang w:val="en-US"/>
        </w:rPr>
        <w:fldChar w:fldCharType="begin"/>
      </w:r>
      <w:r w:rsidRPr="0099576D">
        <w:rPr>
          <w:rFonts w:eastAsia="Times New Roman"/>
          <w:color w:val="000000"/>
          <w:szCs w:val="24"/>
          <w:u w:color="000000"/>
          <w:bdr w:val="nil"/>
          <w:lang w:val="en-US"/>
        </w:rPr>
        <w:instrText xml:space="preserve"> REF _Ref452125762 \r \h </w:instrText>
      </w:r>
      <w:r>
        <w:rPr>
          <w:rFonts w:eastAsia="Times New Roman"/>
          <w:color w:val="000000"/>
          <w:szCs w:val="24"/>
          <w:u w:color="000000"/>
          <w:bdr w:val="nil"/>
          <w:lang w:val="en-US"/>
        </w:rPr>
        <w:instrText xml:space="preserve"> \* MERGEFORMAT </w:instrText>
      </w:r>
      <w:r w:rsidRPr="0099576D">
        <w:rPr>
          <w:rFonts w:eastAsia="Times New Roman"/>
          <w:color w:val="000000"/>
          <w:szCs w:val="24"/>
          <w:u w:color="000000"/>
          <w:bdr w:val="nil"/>
          <w:lang w:val="en-US"/>
        </w:rPr>
      </w:r>
      <w:r w:rsidRPr="0099576D">
        <w:rPr>
          <w:rFonts w:eastAsia="Times New Roman"/>
          <w:color w:val="000000"/>
          <w:szCs w:val="24"/>
          <w:u w:color="000000"/>
          <w:bdr w:val="nil"/>
          <w:lang w:val="en-US"/>
        </w:rPr>
        <w:fldChar w:fldCharType="separate"/>
      </w:r>
      <w:r w:rsidR="00F455CF">
        <w:rPr>
          <w:rFonts w:eastAsia="Times New Roman"/>
          <w:color w:val="000000"/>
          <w:szCs w:val="24"/>
          <w:u w:color="000000"/>
          <w:bdr w:val="nil"/>
          <w:lang w:val="en-US"/>
        </w:rPr>
        <w:t>3.1.4</w:t>
      </w:r>
      <w:r w:rsidRPr="0099576D">
        <w:rPr>
          <w:rFonts w:eastAsia="Times New Roman"/>
          <w:color w:val="000000"/>
          <w:szCs w:val="24"/>
          <w:u w:color="000000"/>
          <w:bdr w:val="nil"/>
          <w:lang w:val="en-US"/>
        </w:rPr>
        <w:fldChar w:fldCharType="end"/>
      </w:r>
      <w:r w:rsidRPr="0099576D">
        <w:rPr>
          <w:rFonts w:eastAsia="Times New Roman"/>
          <w:color w:val="000000"/>
          <w:szCs w:val="24"/>
          <w:u w:color="000000"/>
          <w:bdr w:val="nil"/>
        </w:rPr>
        <w:t>. Broadcasters willing to serve audiences across borders may not be able to acquire the relevant rights if the rights in other territories are granted, on an exclusive basis, to another service provider(s). At the same time, they may enter into contracts under which they agree to limit or block cross-border access to premium content to which they have acquired the rights for territories in which they operate. This is confirmed by initial findings of the Commission’s e-commerce sector inquiry</w:t>
      </w:r>
      <w:r w:rsidR="000D410A">
        <w:rPr>
          <w:rFonts w:eastAsia="Times New Roman"/>
          <w:color w:val="000000"/>
          <w:szCs w:val="24"/>
          <w:u w:color="000000"/>
          <w:bdr w:val="nil"/>
        </w:rPr>
        <w:t>.</w:t>
      </w:r>
      <w:r w:rsidRPr="0099576D">
        <w:rPr>
          <w:color w:val="000000"/>
          <w:szCs w:val="24"/>
          <w:vertAlign w:val="superscript"/>
        </w:rPr>
        <w:footnoteReference w:id="80"/>
      </w:r>
      <w:r w:rsidRPr="0099576D">
        <w:rPr>
          <w:rFonts w:eastAsia="Times New Roman"/>
          <w:color w:val="000000"/>
          <w:szCs w:val="24"/>
          <w:u w:color="000000"/>
          <w:bdr w:val="nil"/>
        </w:rPr>
        <w:t xml:space="preserve"> </w:t>
      </w:r>
    </w:p>
    <w:p w:rsidR="00FC609C" w:rsidRPr="0099576D" w:rsidRDefault="00FC609C" w:rsidP="005A4A16">
      <w:pPr>
        <w:pStyle w:val="Text1"/>
        <w:ind w:left="0"/>
        <w:rPr>
          <w:rFonts w:eastAsia="Times New Roman"/>
          <w:color w:val="000000"/>
          <w:szCs w:val="24"/>
          <w:u w:color="000000"/>
          <w:bdr w:val="nil"/>
        </w:rPr>
      </w:pPr>
      <w:r w:rsidRPr="00A5595A">
        <w:rPr>
          <w:rFonts w:eastAsia="Times New Roman"/>
          <w:color w:val="000000"/>
          <w:szCs w:val="24"/>
          <w:u w:color="000000"/>
          <w:bdr w:val="nil"/>
        </w:rPr>
        <w:t>[</w:t>
      </w:r>
      <w:r w:rsidR="00C03C08">
        <w:rPr>
          <w:rFonts w:eastAsia="Times New Roman"/>
          <w:i/>
          <w:color w:val="000000"/>
          <w:szCs w:val="24"/>
          <w:u w:color="000000"/>
          <w:bdr w:val="nil"/>
        </w:rPr>
        <w:t>R</w:t>
      </w:r>
      <w:r w:rsidRPr="00A5595A">
        <w:rPr>
          <w:rFonts w:eastAsia="Times New Roman"/>
          <w:i/>
          <w:color w:val="000000"/>
          <w:szCs w:val="24"/>
          <w:u w:color="000000"/>
          <w:bdr w:val="nil"/>
        </w:rPr>
        <w:t xml:space="preserve">emit of public service </w:t>
      </w:r>
      <w:r w:rsidRPr="00C32C45">
        <w:rPr>
          <w:rFonts w:eastAsia="Times New Roman"/>
          <w:i/>
          <w:color w:val="000000"/>
          <w:szCs w:val="24"/>
          <w:u w:color="000000"/>
          <w:bdr w:val="nil"/>
        </w:rPr>
        <w:t>broadcasters</w:t>
      </w:r>
      <w:r w:rsidRPr="00A5595A">
        <w:rPr>
          <w:rFonts w:eastAsia="Times New Roman"/>
          <w:color w:val="000000"/>
          <w:szCs w:val="24"/>
          <w:u w:color="000000"/>
          <w:bdr w:val="nil"/>
        </w:rPr>
        <w:t>] Some public service broadcasters may be limited in their possibility of</w:t>
      </w:r>
      <w:r w:rsidRPr="0099576D">
        <w:rPr>
          <w:rFonts w:eastAsia="Times New Roman"/>
          <w:color w:val="000000"/>
          <w:szCs w:val="24"/>
          <w:u w:color="000000"/>
          <w:bdr w:val="nil"/>
        </w:rPr>
        <w:t xml:space="preserve"> offering</w:t>
      </w:r>
      <w:r>
        <w:rPr>
          <w:rFonts w:eastAsia="Times New Roman"/>
          <w:color w:val="000000"/>
          <w:szCs w:val="24"/>
          <w:u w:color="000000"/>
          <w:bdr w:val="nil"/>
        </w:rPr>
        <w:t xml:space="preserve"> certain content in</w:t>
      </w:r>
      <w:r w:rsidRPr="0099576D">
        <w:rPr>
          <w:rFonts w:eastAsia="Times New Roman"/>
          <w:color w:val="000000"/>
          <w:szCs w:val="24"/>
          <w:u w:color="000000"/>
          <w:bdr w:val="nil"/>
        </w:rPr>
        <w:t xml:space="preserve"> their online </w:t>
      </w:r>
      <w:r w:rsidRPr="00A5595A">
        <w:rPr>
          <w:rFonts w:eastAsia="Times New Roman"/>
          <w:color w:val="000000"/>
          <w:szCs w:val="24"/>
          <w:u w:color="000000"/>
          <w:bdr w:val="nil"/>
        </w:rPr>
        <w:t>services by their national</w:t>
      </w:r>
      <w:r w:rsidRPr="0099576D">
        <w:rPr>
          <w:rFonts w:eastAsia="Times New Roman"/>
          <w:color w:val="000000"/>
          <w:szCs w:val="24"/>
          <w:u w:color="000000"/>
          <w:bdr w:val="nil"/>
        </w:rPr>
        <w:t xml:space="preserve"> public service</w:t>
      </w:r>
      <w:r w:rsidRPr="00A5595A">
        <w:rPr>
          <w:rFonts w:eastAsia="Times New Roman"/>
          <w:color w:val="000000"/>
          <w:szCs w:val="24"/>
          <w:u w:color="000000"/>
          <w:bdr w:val="nil"/>
        </w:rPr>
        <w:t xml:space="preserve"> remit.</w:t>
      </w:r>
      <w:r w:rsidRPr="0099576D">
        <w:t xml:space="preserve"> </w:t>
      </w:r>
      <w:r w:rsidRPr="0099576D">
        <w:rPr>
          <w:rFonts w:eastAsia="Times New Roman"/>
          <w:color w:val="000000"/>
          <w:szCs w:val="24"/>
          <w:u w:color="000000"/>
          <w:bdr w:val="nil"/>
        </w:rPr>
        <w:t>For example in Germany public service broadcasters are not allowed to place TV-feature films and series purchased from third parties online</w:t>
      </w:r>
      <w:r w:rsidRPr="0099576D">
        <w:rPr>
          <w:rStyle w:val="FootnoteReference"/>
          <w:rFonts w:eastAsia="Times New Roman"/>
          <w:color w:val="000000"/>
          <w:szCs w:val="24"/>
          <w:u w:color="000000"/>
          <w:bdr w:val="nil"/>
          <w:vertAlign w:val="baseline"/>
        </w:rPr>
        <w:t>.</w:t>
      </w:r>
      <w:r w:rsidRPr="00A5595A">
        <w:rPr>
          <w:rStyle w:val="FootnoteReference"/>
          <w:rFonts w:eastAsia="Times New Roman"/>
          <w:color w:val="000000"/>
          <w:szCs w:val="24"/>
          <w:u w:color="000000"/>
          <w:bdr w:val="nil"/>
        </w:rPr>
        <w:footnoteReference w:id="81"/>
      </w:r>
      <w:r w:rsidRPr="00A5595A">
        <w:rPr>
          <w:rFonts w:eastAsia="Times New Roman"/>
          <w:color w:val="000000"/>
          <w:szCs w:val="24"/>
          <w:u w:color="000000"/>
          <w:bdr w:val="nil"/>
        </w:rPr>
        <w:t xml:space="preserve"> </w:t>
      </w:r>
      <w:r w:rsidR="008C4000">
        <w:rPr>
          <w:rFonts w:eastAsia="Times New Roman"/>
          <w:color w:val="000000"/>
          <w:szCs w:val="24"/>
          <w:u w:color="000000"/>
          <w:bdr w:val="nil"/>
        </w:rPr>
        <w:t xml:space="preserve">By contrast, </w:t>
      </w:r>
      <w:r w:rsidR="00D0634C">
        <w:rPr>
          <w:rFonts w:eastAsia="Times New Roman"/>
          <w:color w:val="000000"/>
          <w:szCs w:val="24"/>
          <w:u w:color="000000"/>
          <w:bdr w:val="nil"/>
        </w:rPr>
        <w:t xml:space="preserve">the </w:t>
      </w:r>
      <w:r w:rsidR="008C4000">
        <w:rPr>
          <w:rFonts w:eastAsia="Times New Roman"/>
          <w:color w:val="000000"/>
          <w:szCs w:val="24"/>
          <w:u w:color="000000"/>
          <w:bdr w:val="nil"/>
        </w:rPr>
        <w:t xml:space="preserve">remit of </w:t>
      </w:r>
      <w:r w:rsidR="00D0634C">
        <w:rPr>
          <w:rFonts w:eastAsia="Times New Roman"/>
          <w:color w:val="000000"/>
          <w:szCs w:val="24"/>
          <w:u w:color="000000"/>
          <w:bdr w:val="nil"/>
        </w:rPr>
        <w:t>other</w:t>
      </w:r>
      <w:r w:rsidR="008C4000">
        <w:rPr>
          <w:rFonts w:eastAsia="Times New Roman"/>
          <w:color w:val="000000"/>
          <w:szCs w:val="24"/>
          <w:u w:color="000000"/>
          <w:bdr w:val="nil"/>
        </w:rPr>
        <w:t xml:space="preserve"> public broadcasters may allow</w:t>
      </w:r>
      <w:r w:rsidR="00D0634C">
        <w:rPr>
          <w:rFonts w:eastAsia="Times New Roman"/>
          <w:color w:val="000000"/>
          <w:szCs w:val="24"/>
          <w:u w:color="000000"/>
          <w:bdr w:val="nil"/>
        </w:rPr>
        <w:t xml:space="preserve"> them to</w:t>
      </w:r>
      <w:r w:rsidR="008C4000">
        <w:rPr>
          <w:rFonts w:eastAsia="Times New Roman"/>
          <w:color w:val="000000"/>
          <w:szCs w:val="24"/>
          <w:u w:color="000000"/>
          <w:bdr w:val="nil"/>
        </w:rPr>
        <w:t xml:space="preserve"> serv</w:t>
      </w:r>
      <w:r w:rsidR="00D0634C">
        <w:rPr>
          <w:rFonts w:eastAsia="Times New Roman"/>
          <w:color w:val="000000"/>
          <w:szCs w:val="24"/>
          <w:u w:color="000000"/>
          <w:bdr w:val="nil"/>
        </w:rPr>
        <w:t xml:space="preserve">e </w:t>
      </w:r>
      <w:r w:rsidR="008C4000">
        <w:rPr>
          <w:rFonts w:eastAsia="Times New Roman"/>
          <w:color w:val="000000"/>
          <w:szCs w:val="24"/>
          <w:u w:color="000000"/>
          <w:bdr w:val="nil"/>
        </w:rPr>
        <w:t>audiences outside the MS.</w:t>
      </w:r>
      <w:r w:rsidR="008C4000">
        <w:rPr>
          <w:rStyle w:val="FootnoteReference"/>
          <w:rFonts w:eastAsia="Times New Roman"/>
          <w:color w:val="000000"/>
          <w:szCs w:val="24"/>
          <w:u w:color="000000"/>
          <w:bdr w:val="nil"/>
        </w:rPr>
        <w:footnoteReference w:id="82"/>
      </w:r>
      <w:r w:rsidR="008C4000">
        <w:rPr>
          <w:rFonts w:eastAsia="Times New Roman"/>
          <w:color w:val="000000"/>
          <w:szCs w:val="24"/>
          <w:u w:color="000000"/>
          <w:bdr w:val="nil"/>
        </w:rPr>
        <w:t xml:space="preserve"> </w:t>
      </w:r>
    </w:p>
    <w:p w:rsidR="00FC609C" w:rsidRPr="0099576D" w:rsidRDefault="00FC609C" w:rsidP="005A4A16">
      <w:pPr>
        <w:pStyle w:val="Text1"/>
        <w:ind w:left="0"/>
        <w:rPr>
          <w:rFonts w:eastAsia="Times New Roman"/>
          <w:color w:val="000000"/>
          <w:sz w:val="20"/>
          <w:u w:color="000000"/>
          <w:bdr w:val="nil"/>
          <w:vertAlign w:val="superscript"/>
        </w:rPr>
      </w:pPr>
      <w:r w:rsidRPr="00C32C45">
        <w:rPr>
          <w:rFonts w:eastAsia="Times New Roman"/>
          <w:color w:val="000000"/>
          <w:szCs w:val="24"/>
          <w:bdr w:val="nil"/>
        </w:rPr>
        <w:t>[</w:t>
      </w:r>
      <w:r w:rsidR="00C03C08" w:rsidRPr="00C03C08">
        <w:rPr>
          <w:rFonts w:eastAsia="Times New Roman"/>
          <w:i/>
          <w:color w:val="000000"/>
          <w:szCs w:val="24"/>
          <w:bdr w:val="nil"/>
        </w:rPr>
        <w:t>C</w:t>
      </w:r>
      <w:r w:rsidRPr="00C32C45">
        <w:rPr>
          <w:rFonts w:eastAsia="Times New Roman"/>
          <w:i/>
          <w:color w:val="000000"/>
          <w:szCs w:val="24"/>
          <w:bdr w:val="nil"/>
        </w:rPr>
        <w:t>ommercial decisions of broadcasters</w:t>
      </w:r>
      <w:r w:rsidRPr="00C32C45">
        <w:rPr>
          <w:rFonts w:eastAsia="Times New Roman"/>
          <w:color w:val="000000"/>
          <w:szCs w:val="24"/>
          <w:bdr w:val="nil"/>
        </w:rPr>
        <w:t>]</w:t>
      </w:r>
      <w:r w:rsidRPr="0099576D">
        <w:rPr>
          <w:rFonts w:eastAsia="Times New Roman"/>
          <w:color w:val="000000"/>
          <w:szCs w:val="24"/>
          <w:u w:color="000000"/>
          <w:bdr w:val="nil"/>
        </w:rPr>
        <w:t xml:space="preserve"> Finally, in some cases, broadcaster’s themselves may </w:t>
      </w:r>
      <w:r>
        <w:rPr>
          <w:rFonts w:eastAsia="Times New Roman"/>
          <w:color w:val="000000"/>
          <w:szCs w:val="24"/>
          <w:u w:color="000000"/>
          <w:bdr w:val="nil"/>
        </w:rPr>
        <w:t xml:space="preserve">take </w:t>
      </w:r>
      <w:r w:rsidRPr="0099576D">
        <w:rPr>
          <w:rFonts w:eastAsia="Times New Roman"/>
          <w:color w:val="000000"/>
          <w:szCs w:val="24"/>
          <w:u w:color="000000"/>
          <w:bdr w:val="nil"/>
        </w:rPr>
        <w:t>decision to focus on a specific territory and to tailor their offerings to the specific audience due to a variety of factors.</w:t>
      </w:r>
      <w:r w:rsidRPr="0099576D">
        <w:t xml:space="preserve"> </w:t>
      </w:r>
      <w:r w:rsidRPr="0099576D">
        <w:rPr>
          <w:rFonts w:eastAsia="Times New Roman"/>
          <w:color w:val="000000"/>
          <w:szCs w:val="24"/>
          <w:u w:color="000000"/>
          <w:bdr w:val="nil"/>
        </w:rPr>
        <w:t>For example, broadcasters may decide to geo-block access to their own programming where they see possibilities of licensing it in other territories. According to the feedback received from stakeholders,</w:t>
      </w:r>
      <w:r>
        <w:rPr>
          <w:rFonts w:eastAsia="Times New Roman"/>
          <w:color w:val="000000"/>
          <w:szCs w:val="24"/>
          <w:u w:color="000000"/>
          <w:bdr w:val="nil"/>
        </w:rPr>
        <w:t xml:space="preserve"> </w:t>
      </w:r>
      <w:r w:rsidRPr="0099576D">
        <w:rPr>
          <w:rFonts w:eastAsia="Times New Roman"/>
          <w:color w:val="000000"/>
          <w:szCs w:val="24"/>
          <w:u w:color="000000"/>
          <w:bdr w:val="nil"/>
        </w:rPr>
        <w:t>other considerations such as the demand for the services, language spoken by consumers, the complexity of the legal framework as well as the viability of revenues may result in broadcasters deciding not to enter certain markets at all.</w:t>
      </w:r>
      <w:r w:rsidRPr="0099576D">
        <w:rPr>
          <w:rFonts w:eastAsia="Times New Roman"/>
          <w:color w:val="000000"/>
          <w:sz w:val="20"/>
          <w:u w:color="000000"/>
          <w:bdr w:val="nil"/>
          <w:vertAlign w:val="superscript"/>
        </w:rPr>
        <w:footnoteReference w:id="83"/>
      </w:r>
      <w:r w:rsidRPr="0099576D">
        <w:rPr>
          <w:rFonts w:eastAsia="Times New Roman"/>
          <w:color w:val="000000"/>
          <w:sz w:val="20"/>
          <w:u w:color="000000"/>
          <w:bdr w:val="nil"/>
          <w:vertAlign w:val="superscript"/>
        </w:rPr>
        <w:t xml:space="preserve"> </w:t>
      </w:r>
    </w:p>
    <w:p w:rsidR="00FC609C" w:rsidRPr="0099576D" w:rsidRDefault="00FC609C" w:rsidP="005A4A16">
      <w:pPr>
        <w:pStyle w:val="Text1"/>
        <w:ind w:left="0"/>
        <w:rPr>
          <w:rFonts w:eastAsia="Arial Unicode MS" w:hAnsi="Arial Unicode MS" w:cs="Arial Unicode MS"/>
          <w:color w:val="000000"/>
          <w:szCs w:val="24"/>
          <w:u w:color="000000"/>
          <w:bdr w:val="nil"/>
        </w:rPr>
      </w:pPr>
      <w:r w:rsidRPr="00C32C45">
        <w:rPr>
          <w:rFonts w:eastAsia="Times New Roman"/>
          <w:color w:val="000000"/>
          <w:szCs w:val="24"/>
          <w:u w:val="single"/>
          <w:bdr w:val="nil"/>
        </w:rPr>
        <w:t>Consequences:</w:t>
      </w:r>
      <w:r w:rsidRPr="00A5595A">
        <w:rPr>
          <w:rFonts w:eastAsia="Times New Roman"/>
          <w:color w:val="000000"/>
          <w:szCs w:val="24"/>
          <w:u w:color="000000"/>
          <w:bdr w:val="nil"/>
        </w:rPr>
        <w:t xml:space="preserve"> </w:t>
      </w:r>
      <w:r>
        <w:rPr>
          <w:rFonts w:eastAsia="Times New Roman"/>
          <w:color w:val="000000"/>
          <w:szCs w:val="24"/>
          <w:u w:color="000000"/>
          <w:bdr w:val="nil"/>
        </w:rPr>
        <w:t xml:space="preserve">In consequence of the combination of the drivers described above, </w:t>
      </w:r>
      <w:r w:rsidRPr="0099576D">
        <w:rPr>
          <w:rFonts w:eastAsia="Times New Roman"/>
          <w:color w:val="000000"/>
          <w:szCs w:val="24"/>
          <w:u w:color="000000"/>
          <w:bdr w:val="nil"/>
          <w:lang w:val="en-US"/>
        </w:rPr>
        <w:t xml:space="preserve">TV broadcasters often make their online services available only in a territory of one </w:t>
      </w:r>
      <w:r>
        <w:rPr>
          <w:rFonts w:eastAsia="Times New Roman"/>
          <w:color w:val="000000"/>
          <w:szCs w:val="24"/>
          <w:u w:color="000000"/>
          <w:bdr w:val="nil"/>
          <w:lang w:val="en-US"/>
        </w:rPr>
        <w:t>MS</w:t>
      </w:r>
      <w:r w:rsidRPr="0099576D">
        <w:rPr>
          <w:rFonts w:eastAsia="Times New Roman"/>
          <w:color w:val="000000"/>
          <w:szCs w:val="24"/>
          <w:u w:color="000000"/>
          <w:bdr w:val="nil"/>
          <w:lang w:val="en-US"/>
        </w:rPr>
        <w:t xml:space="preserve"> and put in place measures which prevent cross-border access to these services such as geo-blocking of IP addresses from other territories.</w:t>
      </w:r>
      <w:r w:rsidRPr="00C32C45">
        <w:rPr>
          <w:rFonts w:eastAsia="Times New Roman"/>
          <w:color w:val="000000"/>
          <w:szCs w:val="24"/>
          <w:bdr w:val="nil"/>
          <w:vertAlign w:val="superscript"/>
          <w:lang w:val="en-US"/>
        </w:rPr>
        <w:footnoteReference w:id="84"/>
      </w:r>
      <w:r w:rsidRPr="00C32C45">
        <w:rPr>
          <w:rFonts w:eastAsia="Times New Roman"/>
          <w:color w:val="000000"/>
          <w:szCs w:val="24"/>
          <w:bdr w:val="nil"/>
          <w:lang w:val="en-US"/>
        </w:rPr>
        <w:t xml:space="preserve"> </w:t>
      </w:r>
      <w:r w:rsidRPr="0099576D">
        <w:rPr>
          <w:rFonts w:eastAsia="Times New Roman"/>
          <w:color w:val="000000"/>
          <w:szCs w:val="24"/>
          <w:u w:color="000000"/>
          <w:bdr w:val="nil"/>
          <w:lang w:val="en-US"/>
        </w:rPr>
        <w:t>According to the initial findings of the Commission’s e-commerce sector inquiry published on 18 March 2016</w:t>
      </w:r>
      <w:r>
        <w:rPr>
          <w:rFonts w:eastAsia="Times New Roman"/>
          <w:color w:val="000000"/>
          <w:szCs w:val="24"/>
          <w:u w:color="000000"/>
          <w:bdr w:val="nil"/>
          <w:lang w:val="en-US"/>
        </w:rPr>
        <w:t>,</w:t>
      </w:r>
      <w:r w:rsidRPr="0099576D">
        <w:rPr>
          <w:rFonts w:eastAsia="Times New Roman"/>
          <w:color w:val="000000"/>
          <w:szCs w:val="24"/>
          <w:u w:color="000000"/>
          <w:bdr w:val="nil"/>
          <w:vertAlign w:val="superscript"/>
          <w:lang w:val="en-US"/>
        </w:rPr>
        <w:footnoteReference w:id="85"/>
      </w:r>
      <w:r w:rsidRPr="0099576D">
        <w:rPr>
          <w:rFonts w:eastAsia="Times New Roman"/>
          <w:color w:val="000000"/>
          <w:szCs w:val="24"/>
          <w:u w:color="000000"/>
          <w:bdr w:val="nil"/>
          <w:lang w:val="en-US"/>
        </w:rPr>
        <w:t xml:space="preserve"> 82</w:t>
      </w:r>
      <w:r w:rsidR="000B17FD">
        <w:rPr>
          <w:rFonts w:eastAsia="Times New Roman"/>
          <w:color w:val="000000"/>
          <w:szCs w:val="24"/>
          <w:u w:color="000000"/>
          <w:bdr w:val="nil"/>
          <w:lang w:val="en-US"/>
        </w:rPr>
        <w:t xml:space="preserve"> </w:t>
      </w:r>
      <w:r w:rsidRPr="0099576D">
        <w:rPr>
          <w:rFonts w:eastAsia="Times New Roman"/>
          <w:color w:val="000000"/>
          <w:szCs w:val="24"/>
          <w:u w:color="000000"/>
          <w:bdr w:val="nil"/>
          <w:lang w:val="en-US"/>
        </w:rPr>
        <w:t>% of the public service TV broadcasters and 62</w:t>
      </w:r>
      <w:r w:rsidR="000B17FD">
        <w:rPr>
          <w:rFonts w:eastAsia="Times New Roman"/>
          <w:color w:val="000000"/>
          <w:szCs w:val="24"/>
          <w:u w:color="000000"/>
          <w:bdr w:val="nil"/>
          <w:lang w:val="en-US"/>
        </w:rPr>
        <w:t xml:space="preserve"> </w:t>
      </w:r>
      <w:r w:rsidRPr="0099576D">
        <w:rPr>
          <w:rFonts w:eastAsia="Times New Roman"/>
          <w:color w:val="000000"/>
          <w:szCs w:val="24"/>
          <w:u w:color="000000"/>
          <w:bdr w:val="nil"/>
          <w:lang w:val="en-US"/>
        </w:rPr>
        <w:t>% of commercial TV broadcasters who responded to the inquiry implemented at least one type of geo-blo</w:t>
      </w:r>
      <w:r w:rsidR="0035328D">
        <w:rPr>
          <w:rFonts w:eastAsia="Times New Roman"/>
          <w:color w:val="000000"/>
          <w:szCs w:val="24"/>
          <w:u w:color="000000"/>
          <w:bdr w:val="nil"/>
          <w:lang w:val="en-US"/>
        </w:rPr>
        <w:t>cking to their online services.</w:t>
      </w:r>
      <w:r w:rsidRPr="0099576D">
        <w:rPr>
          <w:rFonts w:eastAsia="Times New Roman"/>
          <w:color w:val="000000"/>
          <w:szCs w:val="24"/>
          <w:u w:color="000000"/>
          <w:bdr w:val="nil"/>
          <w:lang w:val="en-US"/>
        </w:rPr>
        <w:t xml:space="preserve"> </w:t>
      </w:r>
      <w:r w:rsidR="0084395F">
        <w:rPr>
          <w:rFonts w:eastAsia="Times New Roman"/>
          <w:color w:val="000000"/>
          <w:szCs w:val="24"/>
          <w:u w:color="000000"/>
          <w:bdr w:val="nil"/>
          <w:lang w:val="en-US"/>
        </w:rPr>
        <w:t xml:space="preserve">As illustrated in Annex 6B, </w:t>
      </w:r>
      <w:r w:rsidR="0084395F">
        <w:rPr>
          <w:rFonts w:eastAsia="Arial Unicode MS" w:hAnsi="Arial Unicode MS" w:cs="Arial Unicode MS"/>
          <w:color w:val="000000"/>
          <w:szCs w:val="24"/>
          <w:u w:color="000000"/>
          <w:bdr w:val="nil"/>
          <w:lang w:val="en-US"/>
        </w:rPr>
        <w:t>d</w:t>
      </w:r>
      <w:r w:rsidRPr="0099576D">
        <w:rPr>
          <w:rFonts w:eastAsia="Arial Unicode MS" w:hAnsi="Arial Unicode MS" w:cs="Arial Unicode MS"/>
          <w:color w:val="000000"/>
          <w:szCs w:val="24"/>
          <w:u w:color="000000"/>
          <w:bdr w:val="nil"/>
          <w:lang w:val="en-US"/>
        </w:rPr>
        <w:t xml:space="preserve">ata provided by the European Broadcasting Union (EBU) as well as data collected </w:t>
      </w:r>
      <w:r w:rsidRPr="00A5595A">
        <w:rPr>
          <w:rFonts w:eastAsia="Arial Unicode MS" w:hAnsi="Arial Unicode MS" w:cs="Arial Unicode MS"/>
          <w:color w:val="000000"/>
          <w:szCs w:val="24"/>
          <w:u w:color="000000"/>
          <w:bdr w:val="nil"/>
          <w:lang w:val="en-US"/>
        </w:rPr>
        <w:t xml:space="preserve">in </w:t>
      </w:r>
      <w:r w:rsidRPr="00DB5A9E">
        <w:rPr>
          <w:rFonts w:eastAsia="Arial Unicode MS" w:hAnsi="Arial Unicode MS" w:cs="Arial Unicode MS"/>
          <w:color w:val="000000"/>
          <w:szCs w:val="24"/>
          <w:u w:color="000000"/>
          <w:bdr w:val="nil"/>
          <w:lang w:val="en-US"/>
        </w:rPr>
        <w:t xml:space="preserve">the </w:t>
      </w:r>
      <w:r w:rsidRPr="00911B7B">
        <w:rPr>
          <w:szCs w:val="24"/>
        </w:rPr>
        <w:t>SatCab study</w:t>
      </w:r>
      <w:r w:rsidRPr="0099576D">
        <w:rPr>
          <w:rFonts w:eastAsia="Arial Unicode MS" w:hAnsi="Arial Unicode MS" w:cs="Arial Unicode MS"/>
          <w:color w:val="000000"/>
          <w:szCs w:val="24"/>
          <w:u w:color="000000"/>
          <w:bdr w:val="nil"/>
          <w:vertAlign w:val="superscript"/>
          <w:lang w:val="en-US"/>
        </w:rPr>
        <w:footnoteReference w:id="86"/>
      </w:r>
      <w:r w:rsidRPr="0099576D">
        <w:rPr>
          <w:rFonts w:eastAsia="Arial Unicode MS" w:hAnsi="Arial Unicode MS" w:cs="Arial Unicode MS"/>
          <w:color w:val="000000"/>
          <w:szCs w:val="24"/>
          <w:u w:color="000000"/>
          <w:bdr w:val="nil"/>
          <w:lang w:val="en-US"/>
        </w:rPr>
        <w:t xml:space="preserve"> on cross-border availability of online services of TV broadcasters indicates that international content</w:t>
      </w:r>
      <w:r w:rsidRPr="0099576D">
        <w:t xml:space="preserve"> </w:t>
      </w:r>
      <w:r w:rsidRPr="0099576D">
        <w:rPr>
          <w:rFonts w:eastAsia="Arial Unicode MS" w:hAnsi="Arial Unicode MS" w:cs="Arial Unicode MS"/>
          <w:color w:val="000000"/>
          <w:szCs w:val="24"/>
          <w:u w:color="000000"/>
          <w:bdr w:val="nil"/>
          <w:lang w:val="en-US"/>
        </w:rPr>
        <w:t xml:space="preserve">such as sports, fiction, documentaries and entertainment, as well as content based on foreign formats is in principle geo-blocked. The situation with the original content produced by TV broadcasters is mixed but often broadcasters </w:t>
      </w:r>
      <w:r>
        <w:rPr>
          <w:rFonts w:eastAsia="Arial Unicode MS" w:hAnsi="Arial Unicode MS" w:cs="Arial Unicode MS"/>
          <w:color w:val="000000"/>
          <w:szCs w:val="24"/>
          <w:u w:color="000000"/>
          <w:bdr w:val="nil"/>
          <w:lang w:val="en-US"/>
        </w:rPr>
        <w:t>also</w:t>
      </w:r>
      <w:r w:rsidRPr="0099576D">
        <w:rPr>
          <w:rFonts w:eastAsia="Arial Unicode MS" w:hAnsi="Arial Unicode MS" w:cs="Arial Unicode MS"/>
          <w:color w:val="000000"/>
          <w:szCs w:val="24"/>
          <w:u w:color="000000"/>
          <w:bdr w:val="nil"/>
          <w:lang w:val="en-US"/>
        </w:rPr>
        <w:t xml:space="preserve"> block access to their own content.</w:t>
      </w:r>
      <w:r w:rsidRPr="0099576D">
        <w:rPr>
          <w:rFonts w:eastAsia="Arial Unicode MS" w:hAnsi="Arial Unicode MS" w:cs="Arial Unicode MS"/>
          <w:color w:val="000000"/>
          <w:szCs w:val="24"/>
          <w:u w:color="000000"/>
          <w:bdr w:val="nil"/>
          <w:vertAlign w:val="superscript"/>
          <w:lang w:val="en-US"/>
        </w:rPr>
        <w:footnoteReference w:id="87"/>
      </w:r>
      <w:r w:rsidRPr="0099576D">
        <w:rPr>
          <w:rFonts w:eastAsia="Arial Unicode MS" w:hAnsi="Arial Unicode MS" w:cs="Arial Unicode MS"/>
          <w:bCs/>
          <w:color w:val="000000"/>
          <w:szCs w:val="24"/>
          <w:u w:color="000000"/>
          <w:bdr w:val="nil"/>
        </w:rPr>
        <w:t xml:space="preserve"> In the case of radio broadcasting both online live streaming and podcasts are usually not geo-blocked. </w:t>
      </w:r>
    </w:p>
    <w:p w:rsidR="00FC609C" w:rsidRPr="00962E0C" w:rsidRDefault="00FC609C" w:rsidP="005A4A16">
      <w:pPr>
        <w:pStyle w:val="Text1"/>
        <w:ind w:left="0"/>
        <w:rPr>
          <w:rFonts w:eastAsia="Times New Roman"/>
          <w:color w:val="000000"/>
          <w:szCs w:val="24"/>
          <w:u w:color="000000"/>
          <w:bdr w:val="nil"/>
        </w:rPr>
      </w:pPr>
      <w:r w:rsidRPr="00C32C45">
        <w:rPr>
          <w:rFonts w:eastAsia="Times New Roman"/>
          <w:color w:val="000000"/>
          <w:szCs w:val="24"/>
          <w:u w:val="single"/>
          <w:bdr w:val="nil"/>
        </w:rPr>
        <w:t>How the problem would evolve:</w:t>
      </w:r>
      <w:r w:rsidRPr="0099576D">
        <w:rPr>
          <w:rFonts w:eastAsia="Times New Roman"/>
          <w:color w:val="000000"/>
          <w:szCs w:val="24"/>
          <w:u w:color="000000"/>
          <w:bdr w:val="nil"/>
        </w:rPr>
        <w:t xml:space="preserve"> Without intervention at EU level addressing the particular complexity of the clearance of rights this problem</w:t>
      </w:r>
      <w:r w:rsidRPr="00962E0C">
        <w:rPr>
          <w:rFonts w:eastAsia="Times New Roman"/>
          <w:color w:val="000000"/>
          <w:szCs w:val="24"/>
          <w:u w:color="000000"/>
          <w:bdr w:val="nil"/>
        </w:rPr>
        <w:t xml:space="preserve"> would persist as broadcasters would face the same practical difficulties in clearing </w:t>
      </w:r>
      <w:r w:rsidRPr="005A4A16">
        <w:rPr>
          <w:rFonts w:eastAsia="Times New Roman"/>
          <w:color w:val="000000"/>
          <w:szCs w:val="24"/>
          <w:u w:color="000000"/>
          <w:bdr w:val="nil"/>
          <w:lang w:val="en-US"/>
        </w:rPr>
        <w:t>rights</w:t>
      </w:r>
      <w:r w:rsidRPr="00962E0C">
        <w:rPr>
          <w:rFonts w:eastAsia="Times New Roman"/>
          <w:color w:val="000000"/>
          <w:szCs w:val="24"/>
          <w:u w:color="000000"/>
          <w:bdr w:val="nil"/>
        </w:rPr>
        <w:t xml:space="preserve"> for cross-border transmissions.</w:t>
      </w:r>
      <w:r>
        <w:rPr>
          <w:rFonts w:eastAsia="Times New Roman"/>
          <w:color w:val="000000"/>
          <w:szCs w:val="24"/>
          <w:u w:color="000000"/>
          <w:bdr w:val="nil"/>
        </w:rPr>
        <w:t xml:space="preserve"> EU </w:t>
      </w:r>
      <w:r w:rsidRPr="00A5595A">
        <w:rPr>
          <w:rFonts w:eastAsia="Times New Roman"/>
          <w:color w:val="000000"/>
          <w:szCs w:val="24"/>
          <w:u w:color="000000"/>
          <w:bdr w:val="nil"/>
        </w:rPr>
        <w:t xml:space="preserve">consumers </w:t>
      </w:r>
      <w:r>
        <w:rPr>
          <w:rFonts w:eastAsia="Times New Roman"/>
          <w:color w:val="000000"/>
          <w:szCs w:val="24"/>
          <w:u w:color="000000"/>
          <w:bdr w:val="nil"/>
        </w:rPr>
        <w:t>would remain</w:t>
      </w:r>
      <w:r w:rsidRPr="00A5595A">
        <w:rPr>
          <w:rFonts w:eastAsia="Times New Roman"/>
          <w:color w:val="000000"/>
          <w:szCs w:val="24"/>
          <w:u w:color="000000"/>
          <w:bdr w:val="nil"/>
        </w:rPr>
        <w:t xml:space="preserve"> limited in their</w:t>
      </w:r>
      <w:r>
        <w:rPr>
          <w:rFonts w:eastAsia="Times New Roman"/>
          <w:color w:val="000000"/>
          <w:szCs w:val="24"/>
          <w:u w:color="000000"/>
          <w:bdr w:val="nil"/>
        </w:rPr>
        <w:t xml:space="preserve"> cross-border</w:t>
      </w:r>
      <w:r w:rsidRPr="00A5595A">
        <w:rPr>
          <w:rFonts w:eastAsia="Times New Roman"/>
          <w:color w:val="000000"/>
          <w:szCs w:val="24"/>
          <w:u w:color="000000"/>
          <w:bdr w:val="nil"/>
        </w:rPr>
        <w:t xml:space="preserve"> access t</w:t>
      </w:r>
      <w:r>
        <w:rPr>
          <w:rFonts w:eastAsia="Times New Roman"/>
          <w:color w:val="000000"/>
          <w:szCs w:val="24"/>
          <w:u w:color="000000"/>
          <w:bdr w:val="nil"/>
        </w:rPr>
        <w:t>o TV programmes such as</w:t>
      </w:r>
      <w:r w:rsidRPr="00A5595A">
        <w:rPr>
          <w:rFonts w:eastAsia="Times New Roman"/>
          <w:color w:val="000000"/>
          <w:szCs w:val="24"/>
          <w:u w:color="000000"/>
          <w:bdr w:val="nil"/>
        </w:rPr>
        <w:t xml:space="preserve"> </w:t>
      </w:r>
      <w:r>
        <w:rPr>
          <w:rFonts w:eastAsia="Times New Roman"/>
          <w:color w:val="000000"/>
          <w:szCs w:val="24"/>
          <w:u w:color="000000"/>
          <w:bdr w:val="nil"/>
        </w:rPr>
        <w:t>news, cultural or political programmes,</w:t>
      </w:r>
      <w:r w:rsidRPr="00A5595A">
        <w:rPr>
          <w:rFonts w:eastAsia="Times New Roman"/>
          <w:color w:val="000000"/>
          <w:szCs w:val="24"/>
          <w:u w:color="000000"/>
          <w:bdr w:val="nil"/>
        </w:rPr>
        <w:t xml:space="preserve"> documentar</w:t>
      </w:r>
      <w:r>
        <w:rPr>
          <w:rFonts w:eastAsia="Times New Roman"/>
          <w:color w:val="000000"/>
          <w:szCs w:val="24"/>
          <w:u w:color="000000"/>
          <w:bdr w:val="nil"/>
        </w:rPr>
        <w:t xml:space="preserve">ies </w:t>
      </w:r>
      <w:r w:rsidRPr="00A5595A">
        <w:rPr>
          <w:rFonts w:eastAsia="Times New Roman"/>
          <w:color w:val="000000"/>
          <w:szCs w:val="24"/>
          <w:u w:color="000000"/>
          <w:bdr w:val="nil"/>
        </w:rPr>
        <w:t>or entertainment programmes</w:t>
      </w:r>
      <w:r w:rsidRPr="0099576D">
        <w:rPr>
          <w:rFonts w:eastAsia="Times New Roman"/>
          <w:color w:val="000000"/>
          <w:szCs w:val="24"/>
          <w:u w:color="000000"/>
          <w:bdr w:val="nil"/>
        </w:rPr>
        <w:t xml:space="preserve"> which due to their national specificities often cannot be easily replaced by programmes offered in other </w:t>
      </w:r>
      <w:r>
        <w:rPr>
          <w:rFonts w:eastAsia="Times New Roman"/>
          <w:color w:val="000000"/>
          <w:szCs w:val="24"/>
          <w:u w:color="000000"/>
          <w:bdr w:val="nil"/>
        </w:rPr>
        <w:t>MS</w:t>
      </w:r>
      <w:r w:rsidRPr="00A5595A">
        <w:rPr>
          <w:rFonts w:eastAsia="Times New Roman"/>
          <w:color w:val="000000"/>
          <w:szCs w:val="24"/>
          <w:u w:color="000000"/>
          <w:bdr w:val="nil"/>
        </w:rPr>
        <w:t>.</w:t>
      </w:r>
    </w:p>
    <w:p w:rsidR="00FC609C" w:rsidRDefault="000D410A" w:rsidP="000930E2">
      <w:pPr>
        <w:pStyle w:val="Heading5"/>
        <w:tabs>
          <w:tab w:val="left" w:pos="851"/>
        </w:tabs>
        <w:jc w:val="both"/>
      </w:pPr>
      <w:r>
        <w:t>3.2.2.2.</w:t>
      </w:r>
      <w:r>
        <w:tab/>
      </w:r>
      <w:r w:rsidR="00FC609C" w:rsidRPr="00305C10">
        <w:t>What are the various options to achieve the objectives?</w:t>
      </w:r>
    </w:p>
    <w:p w:rsidR="00FC609C" w:rsidRPr="00807CA5" w:rsidRDefault="00FC609C" w:rsidP="005A4A16">
      <w:pPr>
        <w:pBdr>
          <w:top w:val="nil"/>
          <w:left w:val="nil"/>
          <w:bottom w:val="nil"/>
          <w:right w:val="nil"/>
          <w:between w:val="nil"/>
          <w:bar w:val="nil"/>
        </w:pBdr>
        <w:spacing w:before="240" w:after="120" w:line="240" w:lineRule="auto"/>
        <w:jc w:val="both"/>
        <w:rPr>
          <w:rFonts w:ascii="Times New Roman" w:eastAsia="Times New Roman" w:hAnsi="Times New Roman" w:cs="Times New Roman"/>
          <w:color w:val="000000"/>
          <w:sz w:val="24"/>
          <w:szCs w:val="24"/>
          <w:u w:color="000000"/>
          <w:bdr w:val="nil"/>
          <w:lang w:eastAsia="en-GB"/>
        </w:rPr>
      </w:pPr>
      <w:r w:rsidRPr="00807CA5">
        <w:rPr>
          <w:rFonts w:ascii="Times New Roman" w:eastAsia="Times New Roman" w:hAnsi="Times New Roman" w:cs="Times New Roman"/>
          <w:color w:val="000000"/>
          <w:sz w:val="24"/>
          <w:szCs w:val="24"/>
          <w:u w:color="000000"/>
          <w:bdr w:val="nil"/>
          <w:lang w:eastAsia="en-GB"/>
        </w:rPr>
        <w:t>This IA assesses the baseline scenario</w:t>
      </w:r>
      <w:r>
        <w:rPr>
          <w:rFonts w:ascii="Times New Roman" w:eastAsia="Times New Roman" w:hAnsi="Times New Roman" w:cs="Times New Roman"/>
          <w:color w:val="000000"/>
          <w:sz w:val="24"/>
          <w:szCs w:val="24"/>
          <w:u w:color="000000"/>
          <w:bdr w:val="nil"/>
          <w:lang w:eastAsia="en-GB"/>
        </w:rPr>
        <w:t>, one non-legislative</w:t>
      </w:r>
      <w:r w:rsidRPr="00807CA5">
        <w:rPr>
          <w:rFonts w:ascii="Times New Roman" w:eastAsia="Times New Roman" w:hAnsi="Times New Roman" w:cs="Times New Roman"/>
          <w:color w:val="000000"/>
          <w:sz w:val="24"/>
          <w:szCs w:val="24"/>
          <w:u w:color="000000"/>
          <w:bdr w:val="nil"/>
          <w:lang w:eastAsia="en-GB"/>
        </w:rPr>
        <w:t xml:space="preserve"> and two legislative options to </w:t>
      </w:r>
      <w:r w:rsidRPr="00807CA5">
        <w:rPr>
          <w:rFonts w:ascii="Times New Roman" w:eastAsia="Times New Roman" w:hAnsi="Times New Roman" w:cs="Times New Roman"/>
          <w:color w:val="000000"/>
          <w:sz w:val="24"/>
          <w:szCs w:val="24"/>
          <w:u w:color="000000"/>
          <w:bdr w:val="nil"/>
          <w:lang w:val="en-US" w:eastAsia="en-GB"/>
        </w:rPr>
        <w:t>facilitate licensing in order to enhance cross-border transmissions</w:t>
      </w:r>
      <w:r w:rsidRPr="00807CA5">
        <w:rPr>
          <w:rFonts w:ascii="Times New Roman" w:eastAsia="Times New Roman" w:hAnsi="Times New Roman" w:cs="Times New Roman"/>
          <w:color w:val="000000"/>
          <w:sz w:val="24"/>
          <w:szCs w:val="24"/>
          <w:u w:color="000000"/>
          <w:bdr w:val="nil"/>
          <w:lang w:eastAsia="en-GB"/>
        </w:rPr>
        <w:t xml:space="preserve"> of TV and radio programmes online. The options considered in this IA are enabling options aiming to facilitate licensing of rights, in order to allow the market to respond gradually to legal and policy changes.</w:t>
      </w:r>
    </w:p>
    <w:p w:rsidR="00FC609C" w:rsidRPr="005A4A16" w:rsidRDefault="00FC609C" w:rsidP="005A4A16">
      <w:pPr>
        <w:pStyle w:val="Text1"/>
        <w:ind w:left="0"/>
        <w:rPr>
          <w:rFonts w:eastAsia="Arial Unicode MS"/>
          <w:b/>
          <w:bCs/>
          <w:color w:val="000000"/>
          <w:szCs w:val="24"/>
          <w:bdr w:val="nil"/>
        </w:rPr>
      </w:pPr>
      <w:bookmarkStart w:id="29" w:name="_Toc434927419"/>
      <w:r w:rsidRPr="005A4A16">
        <w:rPr>
          <w:rFonts w:eastAsia="Times New Roman"/>
          <w:b/>
          <w:color w:val="000000"/>
          <w:szCs w:val="24"/>
          <w:u w:color="000000"/>
          <w:bdr w:val="nil"/>
        </w:rPr>
        <w:t>Baseline</w:t>
      </w:r>
      <w:bookmarkEnd w:id="29"/>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 xml:space="preserve">No policy intervention. This option would consist in relying on market players to progressively offer cross-border access to TV and radio programmes distributed online as well as on the courts, </w:t>
      </w:r>
      <w:r w:rsidRPr="00705E14">
        <w:rPr>
          <w:rFonts w:ascii="Times New Roman" w:eastAsia="Arial Unicode MS" w:hAnsi="Arial Unicode MS" w:cs="Arial Unicode MS"/>
          <w:color w:val="000000"/>
          <w:sz w:val="24"/>
          <w:szCs w:val="24"/>
          <w:u w:color="000000"/>
          <w:bdr w:val="nil"/>
          <w:lang w:eastAsia="en-GB"/>
        </w:rPr>
        <w:t>and notably the CJEU, to clarify the application of the Treaty and of provisions of EU secondary law relevant to the free movement of services. It would also mean continuing to rely on the application of competition law to agreements including limitations on territorial exploitation of content.</w:t>
      </w:r>
      <w:r w:rsidRPr="00807CA5">
        <w:rPr>
          <w:rFonts w:ascii="Times New Roman" w:eastAsia="Arial Unicode MS" w:hAnsi="Arial Unicode MS" w:cs="Arial Unicode MS"/>
          <w:color w:val="000000"/>
          <w:sz w:val="24"/>
          <w:szCs w:val="24"/>
          <w:u w:color="000000"/>
          <w:bdr w:val="nil"/>
          <w:lang w:eastAsia="en-GB"/>
        </w:rPr>
        <w:t xml:space="preserve"> </w:t>
      </w:r>
      <w:r w:rsidR="008C4000">
        <w:rPr>
          <w:rFonts w:ascii="Times New Roman" w:eastAsia="Arial Unicode MS" w:hAnsi="Arial Unicode MS" w:cs="Arial Unicode MS"/>
          <w:color w:val="000000"/>
          <w:sz w:val="24"/>
          <w:szCs w:val="24"/>
          <w:u w:color="000000"/>
          <w:bdr w:val="nil"/>
          <w:lang w:eastAsia="en-GB"/>
        </w:rPr>
        <w:t xml:space="preserve">. </w:t>
      </w:r>
    </w:p>
    <w:tbl>
      <w:tblPr>
        <w:tblStyle w:val="TableGrid5"/>
        <w:tblW w:w="0" w:type="auto"/>
        <w:tblLook w:val="04A0" w:firstRow="1" w:lastRow="0" w:firstColumn="1" w:lastColumn="0" w:noHBand="0" w:noVBand="1"/>
      </w:tblPr>
      <w:tblGrid>
        <w:gridCol w:w="9288"/>
      </w:tblGrid>
      <w:tr w:rsidR="00FC609C" w:rsidRPr="00807CA5" w:rsidTr="00FC609C">
        <w:tc>
          <w:tcPr>
            <w:tcW w:w="9288" w:type="dxa"/>
            <w:shd w:val="clear" w:color="auto" w:fill="D9D9D9" w:themeFill="background1" w:themeFillShade="D9"/>
          </w:tcPr>
          <w:p w:rsidR="00FC609C" w:rsidRPr="008A587E" w:rsidRDefault="00FC609C" w:rsidP="00FC609C">
            <w:pPr>
              <w:rPr>
                <w:sz w:val="22"/>
              </w:rPr>
            </w:pPr>
            <w:r w:rsidRPr="006E0E32">
              <w:rPr>
                <w:i/>
              </w:rPr>
              <w:t>Stakeholders' views</w:t>
            </w:r>
            <w:r w:rsidRPr="006E0E32">
              <w:rPr>
                <w:vertAlign w:val="superscript"/>
              </w:rPr>
              <w:footnoteReference w:id="88"/>
            </w:r>
          </w:p>
          <w:p w:rsidR="00FC609C" w:rsidRPr="00807CA5" w:rsidRDefault="00FC609C" w:rsidP="00FC609C">
            <w:pPr>
              <w:jc w:val="both"/>
              <w:rPr>
                <w:lang w:val="en-US"/>
              </w:rPr>
            </w:pPr>
            <w:r>
              <w:t>All p</w:t>
            </w:r>
            <w:r w:rsidRPr="006E0E32">
              <w:t xml:space="preserve">ublic service broadcasters, commercial radios and certain other service providers consider that the baseline option cannot solve the identified problems. They consider that a heavy administrative task and </w:t>
            </w:r>
            <w:r>
              <w:t xml:space="preserve">transaction </w:t>
            </w:r>
            <w:r w:rsidRPr="006E0E32">
              <w:t>costs</w:t>
            </w:r>
            <w:r w:rsidRPr="008A587E">
              <w:rPr>
                <w:sz w:val="28"/>
                <w:szCs w:val="24"/>
              </w:rPr>
              <w:t xml:space="preserve"> </w:t>
            </w:r>
            <w:r w:rsidRPr="006E0E32">
              <w:t xml:space="preserve">linked to licensing rights across borders would remain. </w:t>
            </w:r>
            <w:r w:rsidR="00007677">
              <w:t>Rightholders</w:t>
            </w:r>
            <w:r w:rsidRPr="006E0E32">
              <w:t>, CMOs and the majority of commercial broadcasters</w:t>
            </w:r>
            <w:r w:rsidRPr="006E0E32">
              <w:rPr>
                <w:rStyle w:val="FootnoteReference"/>
              </w:rPr>
              <w:footnoteReference w:id="89"/>
            </w:r>
            <w:r w:rsidRPr="006E0E32">
              <w:t xml:space="preserve"> support this option, arguing that the current framework already offers possibilities to license rights on a multi-territorial basis and that the limited cross-border supply is driven by a limited consumer demand and language barriers. Consumers' representatives consider that the current regulatory framework does not sufficiently ensure access to TV/radio programmes available online in other </w:t>
            </w:r>
            <w:r>
              <w:t xml:space="preserve">MS </w:t>
            </w:r>
            <w:r w:rsidRPr="006E0E32">
              <w:t xml:space="preserve">and that market-driven solutions would not be sufficient to solve this problem. </w:t>
            </w:r>
          </w:p>
        </w:tc>
      </w:tr>
    </w:tbl>
    <w:p w:rsidR="00FC609C" w:rsidRPr="00C51C80" w:rsidRDefault="00FC609C" w:rsidP="00C51C80">
      <w:pPr>
        <w:pStyle w:val="Text1"/>
        <w:ind w:left="0"/>
        <w:rPr>
          <w:rFonts w:eastAsia="Times New Roman"/>
          <w:b/>
          <w:color w:val="000000"/>
          <w:szCs w:val="24"/>
          <w:u w:color="000000"/>
          <w:bdr w:val="nil"/>
        </w:rPr>
      </w:pPr>
      <w:r w:rsidRPr="00C51C80">
        <w:rPr>
          <w:rFonts w:eastAsia="Times New Roman"/>
          <w:b/>
          <w:color w:val="000000"/>
          <w:szCs w:val="24"/>
          <w:u w:color="000000"/>
          <w:bdr w:val="nil"/>
        </w:rPr>
        <w:t xml:space="preserve">Option 1 – Voluntary agreements to facilitate the clearing of rights for broadcasters' online services ancillary to their broadcasts </w:t>
      </w:r>
    </w:p>
    <w:p w:rsidR="00FC609C" w:rsidRPr="002E226D"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2E226D">
        <w:rPr>
          <w:rFonts w:eastAsia="Arial Unicode MS" w:hAnsi="Arial Unicode MS" w:cs="Arial Unicode MS"/>
          <w:color w:val="000000"/>
          <w:szCs w:val="24"/>
          <w:u w:color="000000"/>
          <w:bdr w:val="nil"/>
        </w:rPr>
        <w:t xml:space="preserve">This option would promote maximising a voluntary aggregation of the rights necessary to provide multi-territorial licences for broadcasters' online services. It would build on the voluntary agreements between </w:t>
      </w:r>
      <w:r w:rsidR="00010E24">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Pr="002E226D">
        <w:rPr>
          <w:rFonts w:eastAsia="Arial Unicode MS" w:hAnsi="Arial Unicode MS" w:cs="Arial Unicode MS"/>
          <w:color w:val="000000"/>
          <w:szCs w:val="24"/>
          <w:u w:color="000000"/>
          <w:bdr w:val="nil"/>
        </w:rPr>
        <w:t xml:space="preserve"> and broadcasters which already exist in the music sector</w:t>
      </w:r>
      <w:r w:rsidRPr="002E226D">
        <w:rPr>
          <w:rFonts w:eastAsia="Arial Unicode MS" w:hAnsi="Arial Unicode MS" w:cs="Arial Unicode MS"/>
          <w:color w:val="000000"/>
          <w:szCs w:val="24"/>
          <w:u w:color="000000"/>
          <w:bdr w:val="nil"/>
          <w:vertAlign w:val="superscript"/>
        </w:rPr>
        <w:footnoteReference w:id="90"/>
      </w:r>
      <w:r w:rsidRPr="002E226D">
        <w:rPr>
          <w:rFonts w:eastAsia="Arial Unicode MS" w:hAnsi="Arial Unicode MS" w:cs="Arial Unicode MS"/>
          <w:color w:val="000000"/>
          <w:szCs w:val="24"/>
          <w:u w:color="000000"/>
          <w:bdr w:val="nil"/>
        </w:rPr>
        <w:t xml:space="preserve"> and would aim to introduce them in other content sectors important for broadcasting (such as AV and visual arts)</w:t>
      </w:r>
      <w:r>
        <w:rPr>
          <w:rFonts w:eastAsia="Arial Unicode MS" w:hAnsi="Arial Unicode MS" w:cs="Arial Unicode MS"/>
          <w:color w:val="000000"/>
          <w:szCs w:val="24"/>
          <w:u w:color="000000"/>
          <w:bdr w:val="nil"/>
        </w:rPr>
        <w:t xml:space="preserve"> and also with regard to commercial broadcasters who are not party to the arrangements with authors' CMOs</w:t>
      </w:r>
      <w:r w:rsidRPr="002E226D">
        <w:rPr>
          <w:rFonts w:eastAsia="Arial Unicode MS" w:hAnsi="Arial Unicode MS" w:cs="Arial Unicode MS"/>
          <w:color w:val="000000"/>
          <w:szCs w:val="24"/>
          <w:u w:color="000000"/>
          <w:bdr w:val="nil"/>
        </w:rPr>
        <w:t xml:space="preserve">. Based on such arrangements, broadcasters would be able to acquire from CMOs multi-territorial licences to aggregated repertoires. </w:t>
      </w:r>
    </w:p>
    <w:p w:rsidR="00FC609C" w:rsidRPr="002E226D"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2E226D">
        <w:rPr>
          <w:rFonts w:eastAsia="Arial Unicode MS" w:hAnsi="Arial Unicode MS" w:cs="Arial Unicode MS"/>
          <w:color w:val="000000"/>
          <w:szCs w:val="24"/>
          <w:u w:color="000000"/>
          <w:bdr w:val="nil"/>
        </w:rPr>
        <w:t>It would focus on online services of broadcasting organisations which are ancillary to the initial broadcast, i.e. simulcasting (linear simultaneous transmission of a broadcast by the broadcaster), catch-up TV/radio services (on-demand transmission of a broadcast available for a limited period of time after it has been broadcast in a linear manner) and material related to the broadcast (e.g. previews).</w:t>
      </w:r>
      <w:r>
        <w:rPr>
          <w:rStyle w:val="FootnoteReference"/>
          <w:rFonts w:eastAsia="Arial Unicode MS" w:hAnsi="Arial Unicode MS" w:cs="Arial Unicode MS"/>
          <w:color w:val="000000"/>
          <w:szCs w:val="24"/>
          <w:u w:color="000000"/>
          <w:bdr w:val="nil"/>
        </w:rPr>
        <w:footnoteReference w:id="91"/>
      </w:r>
      <w:r w:rsidRPr="002E226D">
        <w:rPr>
          <w:rFonts w:eastAsia="Arial Unicode MS" w:hAnsi="Arial Unicode MS" w:cs="Arial Unicode MS"/>
          <w:color w:val="000000"/>
          <w:szCs w:val="24"/>
          <w:u w:color="000000"/>
          <w:bdr w:val="nil"/>
        </w:rPr>
        <w:t xml:space="preserve"> </w:t>
      </w:r>
    </w:p>
    <w:p w:rsidR="00FC609C" w:rsidRPr="00983937"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2E226D">
        <w:rPr>
          <w:rFonts w:eastAsia="Arial Unicode MS" w:hAnsi="Arial Unicode MS" w:cs="Arial Unicode MS"/>
          <w:color w:val="000000"/>
          <w:szCs w:val="24"/>
          <w:u w:color="000000"/>
          <w:bdr w:val="nil"/>
        </w:rPr>
        <w:t>In order to facilitate the clearing of the rights for cross-border transmissions of broadcasters' online services ancillary to their broadcast, the Commission</w:t>
      </w:r>
      <w:r>
        <w:rPr>
          <w:rFonts w:eastAsia="Arial Unicode MS" w:hAnsi="Arial Unicode MS" w:cs="Arial Unicode MS"/>
          <w:color w:val="000000"/>
          <w:szCs w:val="24"/>
          <w:u w:color="000000"/>
          <w:bdr w:val="nil"/>
        </w:rPr>
        <w:t xml:space="preserve"> </w:t>
      </w:r>
      <w:r w:rsidRPr="00870476">
        <w:rPr>
          <w:rFonts w:eastAsia="Arial Unicode MS" w:hAnsi="Arial Unicode MS" w:cs="Arial Unicode MS"/>
          <w:color w:val="000000"/>
          <w:szCs w:val="24"/>
          <w:u w:color="000000"/>
          <w:bdr w:val="nil"/>
        </w:rPr>
        <w:t>woul</w:t>
      </w:r>
      <w:r w:rsidRPr="002A0F42">
        <w:rPr>
          <w:rFonts w:eastAsia="Arial Unicode MS" w:hAnsi="Arial Unicode MS" w:cs="Arial Unicode MS"/>
          <w:color w:val="000000"/>
          <w:szCs w:val="24"/>
          <w:u w:color="000000"/>
          <w:bdr w:val="nil"/>
        </w:rPr>
        <w:t>d assess the functioning of the existing voluntary agreements in the music sector and foster a dialogue between the parties (</w:t>
      </w:r>
      <w:r w:rsidR="00010E24">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Pr="002A0F42">
        <w:rPr>
          <w:rFonts w:eastAsia="Arial Unicode MS" w:hAnsi="Arial Unicode MS" w:cs="Arial Unicode MS"/>
          <w:color w:val="000000"/>
          <w:szCs w:val="24"/>
          <w:u w:color="000000"/>
          <w:bdr w:val="nil"/>
        </w:rPr>
        <w:t>, CMOs and broadcasters) if there is a need to improve their functioning</w:t>
      </w:r>
      <w:r>
        <w:rPr>
          <w:rFonts w:eastAsia="Arial Unicode MS" w:hAnsi="Arial Unicode MS" w:cs="Arial Unicode MS"/>
          <w:color w:val="000000"/>
          <w:szCs w:val="24"/>
          <w:u w:color="000000"/>
          <w:bdr w:val="nil"/>
        </w:rPr>
        <w:t>. It would also</w:t>
      </w:r>
      <w:r w:rsidRPr="002A0F42">
        <w:rPr>
          <w:rFonts w:eastAsia="Arial Unicode MS" w:hAnsi="Arial Unicode MS" w:cs="Arial Unicode MS"/>
          <w:color w:val="000000"/>
          <w:szCs w:val="24"/>
          <w:u w:color="000000"/>
          <w:bdr w:val="nil"/>
        </w:rPr>
        <w:t xml:space="preserve"> promote similar agreements at EU l</w:t>
      </w:r>
      <w:r w:rsidRPr="00983937">
        <w:rPr>
          <w:rFonts w:eastAsia="Arial Unicode MS" w:hAnsi="Arial Unicode MS" w:cs="Arial Unicode MS"/>
          <w:color w:val="000000"/>
          <w:szCs w:val="24"/>
          <w:u w:color="000000"/>
          <w:bdr w:val="nil"/>
        </w:rPr>
        <w:t>evel for the AV sector and other content sectors important for broadcasting services (such as visual arts).</w:t>
      </w:r>
    </w:p>
    <w:tbl>
      <w:tblPr>
        <w:tblStyle w:val="TableGrid51"/>
        <w:tblW w:w="0" w:type="auto"/>
        <w:tblLook w:val="04A0" w:firstRow="1" w:lastRow="0" w:firstColumn="1" w:lastColumn="0" w:noHBand="0" w:noVBand="1"/>
      </w:tblPr>
      <w:tblGrid>
        <w:gridCol w:w="9180"/>
      </w:tblGrid>
      <w:tr w:rsidR="00FC609C" w:rsidRPr="002E226D" w:rsidTr="00FC609C">
        <w:tc>
          <w:tcPr>
            <w:tcW w:w="9180" w:type="dxa"/>
            <w:shd w:val="clear" w:color="auto" w:fill="D9D9D9" w:themeFill="background1" w:themeFillShade="D9"/>
          </w:tcPr>
          <w:p w:rsidR="00FC609C" w:rsidRPr="002E226D" w:rsidRDefault="00FC609C" w:rsidP="00FC609C">
            <w:pPr>
              <w:rPr>
                <w:i/>
                <w:lang w:val="en-US"/>
              </w:rPr>
            </w:pPr>
            <w:r w:rsidRPr="002E226D">
              <w:rPr>
                <w:i/>
                <w:lang w:val="en-US"/>
              </w:rPr>
              <w:t>Stakeholders' views</w:t>
            </w:r>
          </w:p>
          <w:p w:rsidR="00FC609C" w:rsidRPr="00D1507D" w:rsidRDefault="00FC609C" w:rsidP="0019259B">
            <w:pPr>
              <w:jc w:val="both"/>
            </w:pPr>
            <w:r w:rsidRPr="002E226D">
              <w:t xml:space="preserve">Public service broadcasters are likely to consider that this option is not sufficient to achieve the identified objective. </w:t>
            </w:r>
            <w:r w:rsidRPr="002E226D">
              <w:rPr>
                <w:lang w:val="en-US"/>
              </w:rPr>
              <w:t xml:space="preserve">Commercial broadcasters and </w:t>
            </w:r>
            <w:r>
              <w:rPr>
                <w:lang w:val="en-US"/>
              </w:rPr>
              <w:t xml:space="preserve">some </w:t>
            </w:r>
            <w:r w:rsidRPr="002E226D">
              <w:rPr>
                <w:lang w:val="en-US"/>
              </w:rPr>
              <w:t xml:space="preserve">other service providers may favour this option as it would rely on industry-based solutions. </w:t>
            </w:r>
            <w:r w:rsidR="00007677">
              <w:rPr>
                <w:lang w:val="en-US"/>
              </w:rPr>
              <w:t>Rightholders</w:t>
            </w:r>
            <w:r w:rsidRPr="002E226D">
              <w:rPr>
                <w:lang w:val="en-US"/>
              </w:rPr>
              <w:t xml:space="preserve"> and CMOs are likely to support such option. </w:t>
            </w:r>
            <w:r>
              <w:rPr>
                <w:lang w:val="en-US"/>
              </w:rPr>
              <w:t>However, i</w:t>
            </w:r>
            <w:r w:rsidRPr="002E226D">
              <w:rPr>
                <w:lang w:val="en-US"/>
              </w:rPr>
              <w:t xml:space="preserve">n the case of AV stakeholders, the usual practice for licensing is individual agreements thus it is less likely that they would support voluntary aggregation of repertoires by CMOs, especially for the premium AV content. </w:t>
            </w:r>
            <w:r w:rsidRPr="002E226D">
              <w:t>Consumers' representatives consider that market-driven solutions would not be sufficient to solve the identified issues.</w:t>
            </w:r>
            <w:r w:rsidR="0019259B">
              <w:t xml:space="preserve"> </w:t>
            </w:r>
          </w:p>
        </w:tc>
      </w:tr>
    </w:tbl>
    <w:p w:rsidR="00FC609C" w:rsidRPr="00C51C80" w:rsidRDefault="00FC609C" w:rsidP="00C51C80">
      <w:pPr>
        <w:pStyle w:val="Text1"/>
        <w:ind w:left="0"/>
        <w:rPr>
          <w:rFonts w:eastAsia="Times New Roman"/>
          <w:b/>
          <w:color w:val="000000"/>
          <w:szCs w:val="24"/>
          <w:u w:color="000000"/>
          <w:bdr w:val="nil"/>
        </w:rPr>
      </w:pPr>
      <w:r w:rsidRPr="00C51C80">
        <w:rPr>
          <w:rFonts w:eastAsia="Times New Roman"/>
          <w:b/>
          <w:color w:val="000000"/>
          <w:szCs w:val="24"/>
          <w:u w:color="000000"/>
          <w:bdr w:val="nil"/>
        </w:rPr>
        <w:t xml:space="preserve">Option 2 - Application of country of origin to the clearing of rights for broadcasters' online services ancillary to their initial broadcast </w:t>
      </w:r>
    </w:p>
    <w:p w:rsidR="00FC609C" w:rsidRPr="00807CA5"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807CA5">
        <w:rPr>
          <w:rFonts w:eastAsia="Arial Unicode MS" w:hAnsi="Arial Unicode MS" w:cs="Arial Unicode MS"/>
          <w:color w:val="000000"/>
          <w:szCs w:val="24"/>
          <w:u w:color="000000"/>
          <w:bdr w:val="nil"/>
        </w:rPr>
        <w:t>Introduce a ru</w:t>
      </w:r>
      <w:r w:rsidRPr="00BC5182">
        <w:rPr>
          <w:rFonts w:eastAsia="Arial Unicode MS" w:hAnsi="Arial Unicode MS" w:cs="Arial Unicode MS"/>
          <w:color w:val="000000"/>
          <w:szCs w:val="24"/>
          <w:u w:color="000000"/>
          <w:bdr w:val="nil"/>
        </w:rPr>
        <w:t>le providing that as concerns the licensing of rights for certain online transmissions by</w:t>
      </w:r>
      <w:r w:rsidRPr="00807CA5">
        <w:rPr>
          <w:rFonts w:eastAsia="Arial Unicode MS" w:hAnsi="Arial Unicode MS" w:cs="Arial Unicode MS"/>
          <w:color w:val="000000"/>
          <w:szCs w:val="24"/>
          <w:u w:color="000000"/>
          <w:bdr w:val="nil"/>
        </w:rPr>
        <w:t xml:space="preserve"> broadcasting organisations, </w:t>
      </w:r>
      <w:r w:rsidRPr="00807CA5">
        <w:rPr>
          <w:rFonts w:eastAsia="Arial Unicode MS" w:hAnsi="Arial Unicode MS" w:cs="Arial Unicode MS"/>
          <w:bCs/>
          <w:color w:val="000000"/>
          <w:szCs w:val="24"/>
          <w:u w:color="000000"/>
          <w:bdr w:val="nil"/>
        </w:rPr>
        <w:t xml:space="preserve">the copyright relevant act takes place </w:t>
      </w:r>
      <w:r w:rsidRPr="00807CA5">
        <w:rPr>
          <w:rFonts w:eastAsia="Arial Unicode MS" w:hAnsi="Arial Unicode MS" w:cs="Arial Unicode MS"/>
          <w:color w:val="000000"/>
          <w:szCs w:val="24"/>
          <w:u w:color="000000"/>
          <w:bdr w:val="nil"/>
          <w:lang w:val="en"/>
        </w:rPr>
        <w:t xml:space="preserve">solely in the </w:t>
      </w:r>
      <w:r>
        <w:rPr>
          <w:rFonts w:eastAsia="Arial Unicode MS" w:hAnsi="Arial Unicode MS" w:cs="Arial Unicode MS"/>
          <w:color w:val="000000"/>
          <w:szCs w:val="24"/>
          <w:u w:color="000000"/>
          <w:bdr w:val="nil"/>
          <w:lang w:val="en"/>
        </w:rPr>
        <w:t>MS</w:t>
      </w:r>
      <w:r w:rsidRPr="00807CA5">
        <w:rPr>
          <w:rFonts w:eastAsia="Arial Unicode MS" w:hAnsi="Arial Unicode MS" w:cs="Arial Unicode MS"/>
          <w:color w:val="000000"/>
          <w:szCs w:val="24"/>
          <w:u w:color="000000"/>
          <w:bdr w:val="nil"/>
          <w:lang w:val="en"/>
        </w:rPr>
        <w:t xml:space="preserve"> where the broadcasting organisation is established</w:t>
      </w:r>
      <w:r w:rsidRPr="00807CA5">
        <w:rPr>
          <w:rFonts w:eastAsia="Arial Unicode MS" w:hAnsi="Arial Unicode MS" w:cs="Arial Unicode MS"/>
          <w:color w:val="000000"/>
          <w:szCs w:val="24"/>
          <w:u w:color="000000"/>
          <w:bdr w:val="nil"/>
        </w:rPr>
        <w:t xml:space="preserve">. As a result, in order to </w:t>
      </w:r>
      <w:r w:rsidRPr="00705E14">
        <w:rPr>
          <w:rFonts w:eastAsia="Arial Unicode MS" w:hAnsi="Arial Unicode MS" w:cs="Arial Unicode MS"/>
          <w:color w:val="000000"/>
          <w:szCs w:val="24"/>
          <w:u w:color="000000"/>
          <w:bdr w:val="nil"/>
        </w:rPr>
        <w:t>provide certain services in the Union</w:t>
      </w:r>
      <w:r>
        <w:rPr>
          <w:rFonts w:eastAsia="Arial Unicode MS" w:hAnsi="Arial Unicode MS" w:cs="Arial Unicode MS"/>
          <w:color w:val="000000"/>
          <w:szCs w:val="24"/>
          <w:u w:color="000000"/>
          <w:bdr w:val="nil"/>
        </w:rPr>
        <w:t>,</w:t>
      </w:r>
      <w:r w:rsidRPr="00807CA5">
        <w:rPr>
          <w:rFonts w:eastAsia="Arial Unicode MS" w:hAnsi="Arial Unicode MS" w:cs="Arial Unicode MS"/>
          <w:color w:val="000000"/>
          <w:szCs w:val="24"/>
          <w:u w:color="000000"/>
          <w:bdr w:val="nil"/>
        </w:rPr>
        <w:t xml:space="preserve"> rights would only need to be cleared for the "country of origin" </w:t>
      </w:r>
      <w:r>
        <w:rPr>
          <w:rFonts w:eastAsia="Arial Unicode MS" w:hAnsi="Arial Unicode MS" w:cs="Arial Unicode MS"/>
          <w:color w:val="000000"/>
          <w:szCs w:val="24"/>
          <w:u w:color="000000"/>
          <w:bdr w:val="nil"/>
        </w:rPr>
        <w:t>(C</w:t>
      </w:r>
      <w:r w:rsidR="00D15CCB">
        <w:rPr>
          <w:rFonts w:eastAsia="Arial Unicode MS" w:hAnsi="Arial Unicode MS" w:cs="Arial Unicode MS"/>
          <w:color w:val="000000"/>
          <w:szCs w:val="24"/>
          <w:u w:color="000000"/>
          <w:bdr w:val="nil"/>
        </w:rPr>
        <w:t>o</w:t>
      </w:r>
      <w:r>
        <w:rPr>
          <w:rFonts w:eastAsia="Arial Unicode MS" w:hAnsi="Arial Unicode MS" w:cs="Arial Unicode MS"/>
          <w:color w:val="000000"/>
          <w:szCs w:val="24"/>
          <w:u w:color="000000"/>
          <w:bdr w:val="nil"/>
        </w:rPr>
        <w:t xml:space="preserve">O) </w:t>
      </w:r>
      <w:r w:rsidRPr="00807CA5">
        <w:rPr>
          <w:rFonts w:eastAsia="Arial Unicode MS" w:hAnsi="Arial Unicode MS" w:cs="Arial Unicode MS"/>
          <w:color w:val="000000"/>
          <w:szCs w:val="24"/>
          <w:u w:color="000000"/>
          <w:bdr w:val="nil"/>
        </w:rPr>
        <w:t>of the broadcasting organisation (and not for the countries of reception).</w:t>
      </w:r>
      <w:r>
        <w:rPr>
          <w:rStyle w:val="FootnoteReference"/>
          <w:rFonts w:eastAsia="Arial Unicode MS" w:hAnsi="Arial Unicode MS" w:cs="Arial Unicode MS"/>
          <w:color w:val="000000"/>
          <w:szCs w:val="24"/>
          <w:u w:color="000000"/>
          <w:bdr w:val="nil"/>
        </w:rPr>
        <w:footnoteReference w:id="92"/>
      </w:r>
      <w:r w:rsidRPr="00807CA5">
        <w:rPr>
          <w:rFonts w:eastAsia="Arial Unicode MS" w:hAnsi="Arial Unicode MS" w:cs="Arial Unicode MS"/>
          <w:color w:val="000000"/>
          <w:szCs w:val="24"/>
          <w:u w:color="000000"/>
          <w:bdr w:val="nil"/>
        </w:rPr>
        <w:t xml:space="preserve"> </w:t>
      </w:r>
    </w:p>
    <w:p w:rsidR="00FC609C" w:rsidRPr="00807CA5"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807CA5">
        <w:rPr>
          <w:rFonts w:eastAsia="Arial Unicode MS" w:hAnsi="Arial Unicode MS" w:cs="Arial Unicode MS"/>
          <w:color w:val="000000"/>
          <w:szCs w:val="24"/>
          <w:u w:color="000000"/>
          <w:bdr w:val="nil"/>
        </w:rPr>
        <w:t xml:space="preserve">This option would cover </w:t>
      </w:r>
      <w:r>
        <w:rPr>
          <w:rFonts w:eastAsia="Arial Unicode MS" w:hAnsi="Arial Unicode MS" w:cs="Arial Unicode MS"/>
          <w:color w:val="000000"/>
          <w:szCs w:val="24"/>
          <w:u w:color="000000"/>
          <w:bdr w:val="nil"/>
        </w:rPr>
        <w:t xml:space="preserve">the same </w:t>
      </w:r>
      <w:r w:rsidRPr="00807CA5">
        <w:rPr>
          <w:rFonts w:eastAsia="Arial Unicode MS" w:hAnsi="Arial Unicode MS" w:cs="Arial Unicode MS"/>
          <w:color w:val="000000"/>
          <w:szCs w:val="24"/>
          <w:u w:color="000000"/>
          <w:bdr w:val="nil"/>
        </w:rPr>
        <w:t>online services of</w:t>
      </w:r>
      <w:r w:rsidR="000F63BB">
        <w:rPr>
          <w:rFonts w:eastAsia="Arial Unicode MS" w:hAnsi="Arial Unicode MS" w:cs="Arial Unicode MS"/>
          <w:color w:val="000000"/>
          <w:szCs w:val="24"/>
          <w:u w:color="000000"/>
          <w:bdr w:val="nil"/>
        </w:rPr>
        <w:t xml:space="preserve"> </w:t>
      </w:r>
      <w:r w:rsidRPr="00807CA5">
        <w:rPr>
          <w:rFonts w:eastAsia="Arial Unicode MS" w:hAnsi="Arial Unicode MS" w:cs="Arial Unicode MS"/>
          <w:color w:val="000000"/>
          <w:szCs w:val="24"/>
          <w:u w:color="000000"/>
          <w:bdr w:val="nil"/>
        </w:rPr>
        <w:t xml:space="preserve">broadcasting </w:t>
      </w:r>
      <w:r>
        <w:rPr>
          <w:rFonts w:eastAsia="Arial Unicode MS" w:hAnsi="Arial Unicode MS" w:cs="Arial Unicode MS"/>
          <w:color w:val="000000"/>
          <w:szCs w:val="24"/>
          <w:u w:color="000000"/>
          <w:bdr w:val="nil"/>
        </w:rPr>
        <w:t>organisations as under Option 1</w:t>
      </w:r>
      <w:r w:rsidRPr="00807CA5">
        <w:rPr>
          <w:rFonts w:eastAsia="Arial Unicode MS" w:hAnsi="Arial Unicode MS" w:cs="Arial Unicode MS"/>
          <w:color w:val="000000"/>
          <w:szCs w:val="24"/>
          <w:u w:color="000000"/>
          <w:bdr w:val="nil"/>
        </w:rPr>
        <w:t>.</w:t>
      </w:r>
      <w:r w:rsidRPr="00807CA5">
        <w:rPr>
          <w:rFonts w:eastAsia="Arial Unicode MS" w:hAnsi="Arial Unicode MS" w:cs="Arial Unicode MS"/>
          <w:color w:val="000000"/>
          <w:szCs w:val="24"/>
          <w:u w:color="000000"/>
          <w:bdr w:val="nil"/>
          <w:vertAlign w:val="superscript"/>
        </w:rPr>
        <w:footnoteReference w:id="93"/>
      </w:r>
      <w:r w:rsidRPr="00807CA5">
        <w:rPr>
          <w:rFonts w:eastAsia="Arial Unicode MS" w:hAnsi="Arial Unicode MS" w:cs="Arial Unicode MS"/>
          <w:color w:val="000000"/>
          <w:szCs w:val="24"/>
          <w:u w:color="000000"/>
          <w:bdr w:val="nil"/>
        </w:rPr>
        <w:t xml:space="preserve"> </w:t>
      </w:r>
    </w:p>
    <w:p w:rsidR="00FC609C" w:rsidRPr="00807CA5" w:rsidRDefault="00D15CCB" w:rsidP="007D6CF3">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The Co</w:t>
      </w:r>
      <w:r w:rsidR="00FC609C" w:rsidRPr="00807CA5">
        <w:rPr>
          <w:rFonts w:eastAsia="Arial Unicode MS" w:hAnsi="Arial Unicode MS" w:cs="Arial Unicode MS"/>
          <w:color w:val="000000"/>
          <w:szCs w:val="24"/>
          <w:u w:color="000000"/>
          <w:bdr w:val="nil"/>
        </w:rPr>
        <w:t>O rule would enable broadcasters to provide services across borders</w:t>
      </w:r>
      <w:r w:rsidR="00FC609C">
        <w:rPr>
          <w:rFonts w:eastAsia="Arial Unicode MS" w:hAnsi="Arial Unicode MS" w:cs="Arial Unicode MS"/>
          <w:color w:val="000000"/>
          <w:szCs w:val="24"/>
          <w:u w:color="000000"/>
          <w:bdr w:val="nil"/>
        </w:rPr>
        <w:t xml:space="preserve"> but</w:t>
      </w:r>
      <w:r w:rsidR="00FC609C" w:rsidRPr="00807CA5">
        <w:rPr>
          <w:rFonts w:eastAsia="Arial Unicode MS" w:hAnsi="Arial Unicode MS" w:cs="Arial Unicode MS"/>
          <w:color w:val="000000"/>
          <w:szCs w:val="24"/>
          <w:u w:color="000000"/>
          <w:bdr w:val="nil"/>
        </w:rPr>
        <w:t xml:space="preserve"> it would not oblige them to do so</w:t>
      </w:r>
      <w:r w:rsidR="00FC609C">
        <w:rPr>
          <w:rFonts w:eastAsia="Arial Unicode MS" w:hAnsi="Arial Unicode MS" w:cs="Arial Unicode MS"/>
          <w:color w:val="000000"/>
          <w:szCs w:val="24"/>
          <w:u w:color="000000"/>
          <w:bdr w:val="nil"/>
        </w:rPr>
        <w:t xml:space="preserve"> (Option 2 would not entail any rules limiting the contractual freedom of broadcasters and </w:t>
      </w:r>
      <w:r w:rsidR="000F63BB">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00FC609C">
        <w:rPr>
          <w:rFonts w:eastAsia="Arial Unicode MS" w:hAnsi="Arial Unicode MS" w:cs="Arial Unicode MS"/>
          <w:color w:val="000000"/>
          <w:szCs w:val="24"/>
          <w:u w:color="000000"/>
          <w:bdr w:val="nil"/>
        </w:rPr>
        <w:t>)</w:t>
      </w:r>
      <w:r>
        <w:rPr>
          <w:rFonts w:eastAsia="Arial Unicode MS" w:hAnsi="Arial Unicode MS" w:cs="Arial Unicode MS"/>
          <w:color w:val="000000"/>
          <w:szCs w:val="24"/>
          <w:u w:color="000000"/>
          <w:bdr w:val="nil"/>
        </w:rPr>
        <w:t>. The application of the Co</w:t>
      </w:r>
      <w:r w:rsidR="00FC609C" w:rsidRPr="00807CA5">
        <w:rPr>
          <w:rFonts w:eastAsia="Arial Unicode MS" w:hAnsi="Arial Unicode MS" w:cs="Arial Unicode MS"/>
          <w:color w:val="000000"/>
          <w:szCs w:val="24"/>
          <w:u w:color="000000"/>
          <w:bdr w:val="nil"/>
        </w:rPr>
        <w:t>O rule</w:t>
      </w:r>
      <w:r w:rsidR="00FC609C">
        <w:rPr>
          <w:rFonts w:eastAsia="Arial Unicode MS" w:hAnsi="Arial Unicode MS" w:cs="Arial Unicode MS"/>
          <w:color w:val="000000"/>
          <w:szCs w:val="24"/>
          <w:u w:color="000000"/>
          <w:bdr w:val="nil"/>
        </w:rPr>
        <w:t xml:space="preserve"> and the contractual freedom of broadcasters and </w:t>
      </w:r>
      <w:r w:rsidR="000F63BB">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00FC609C">
        <w:rPr>
          <w:rFonts w:eastAsia="Arial Unicode MS" w:hAnsi="Arial Unicode MS" w:cs="Arial Unicode MS"/>
          <w:color w:val="000000"/>
          <w:szCs w:val="24"/>
          <w:u w:color="000000"/>
          <w:bdr w:val="nil"/>
        </w:rPr>
        <w:t xml:space="preserve"> </w:t>
      </w:r>
      <w:r w:rsidR="00FC609C" w:rsidRPr="00807CA5">
        <w:rPr>
          <w:rFonts w:eastAsia="Arial Unicode MS" w:hAnsi="Arial Unicode MS" w:cs="Arial Unicode MS"/>
          <w:color w:val="000000"/>
          <w:szCs w:val="24"/>
          <w:u w:color="000000"/>
          <w:bdr w:val="nil"/>
        </w:rPr>
        <w:t>would be subject to the application of the Treaty as well as to the applicable secondary law</w:t>
      </w:r>
      <w:r w:rsidR="00FC609C">
        <w:rPr>
          <w:rFonts w:eastAsia="Arial Unicode MS" w:hAnsi="Arial Unicode MS" w:cs="Arial Unicode MS"/>
          <w:color w:val="000000"/>
          <w:szCs w:val="24"/>
          <w:u w:color="000000"/>
          <w:bdr w:val="nil"/>
        </w:rPr>
        <w:t xml:space="preserve"> (notably, as regards the freedom to provide services)</w:t>
      </w:r>
      <w:r w:rsidR="00FC609C" w:rsidRPr="00807CA5">
        <w:rPr>
          <w:rFonts w:eastAsia="Arial Unicode MS" w:hAnsi="Arial Unicode MS" w:cs="Arial Unicode MS"/>
          <w:color w:val="000000"/>
          <w:szCs w:val="24"/>
          <w:u w:color="000000"/>
          <w:bdr w:val="nil"/>
        </w:rPr>
        <w:t>.</w:t>
      </w:r>
    </w:p>
    <w:p w:rsidR="00FC609C" w:rsidRPr="00807CA5"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807CA5">
        <w:rPr>
          <w:rFonts w:eastAsia="Arial Unicode MS" w:hAnsi="Arial Unicode MS" w:cs="Arial Unicode MS"/>
          <w:color w:val="000000"/>
          <w:szCs w:val="24"/>
          <w:u w:color="000000"/>
          <w:bdr w:val="nil"/>
        </w:rPr>
        <w:t xml:space="preserve">The licence fee </w:t>
      </w:r>
      <w:r>
        <w:rPr>
          <w:rFonts w:eastAsia="Arial Unicode MS" w:hAnsi="Arial Unicode MS" w:cs="Arial Unicode MS"/>
          <w:color w:val="000000"/>
          <w:szCs w:val="24"/>
          <w:u w:color="000000"/>
          <w:bdr w:val="nil"/>
        </w:rPr>
        <w:t>payable to</w:t>
      </w:r>
      <w:r w:rsidR="000F63BB">
        <w:rPr>
          <w:rFonts w:eastAsia="Arial Unicode MS" w:hAnsi="Arial Unicode MS" w:cs="Arial Unicode MS"/>
          <w:color w:val="000000"/>
          <w:szCs w:val="24"/>
          <w:u w:color="000000"/>
          <w:bdr w:val="nil"/>
        </w:rPr>
        <w:t xml:space="preserve"> r</w:t>
      </w:r>
      <w:r w:rsidR="00007677">
        <w:rPr>
          <w:rFonts w:eastAsia="Arial Unicode MS" w:hAnsi="Arial Unicode MS" w:cs="Arial Unicode MS"/>
          <w:color w:val="000000"/>
          <w:szCs w:val="24"/>
          <w:u w:color="000000"/>
          <w:bdr w:val="nil"/>
        </w:rPr>
        <w:t>ightholders</w:t>
      </w:r>
      <w:r>
        <w:rPr>
          <w:rFonts w:eastAsia="Arial Unicode MS" w:hAnsi="Arial Unicode MS" w:cs="Arial Unicode MS"/>
          <w:color w:val="000000"/>
          <w:szCs w:val="24"/>
          <w:u w:color="000000"/>
          <w:bdr w:val="nil"/>
        </w:rPr>
        <w:t xml:space="preserve"> </w:t>
      </w:r>
      <w:r w:rsidRPr="00807CA5">
        <w:rPr>
          <w:rFonts w:eastAsia="Arial Unicode MS" w:hAnsi="Arial Unicode MS" w:cs="Arial Unicode MS"/>
          <w:color w:val="000000"/>
          <w:szCs w:val="24"/>
          <w:u w:color="000000"/>
          <w:bdr w:val="nil"/>
        </w:rPr>
        <w:t xml:space="preserve">would have to take into account all aspects of the </w:t>
      </w:r>
      <w:r>
        <w:rPr>
          <w:rFonts w:eastAsia="Arial Unicode MS" w:hAnsi="Arial Unicode MS" w:cs="Arial Unicode MS"/>
          <w:color w:val="000000"/>
          <w:szCs w:val="24"/>
          <w:u w:color="000000"/>
          <w:bdr w:val="nil"/>
        </w:rPr>
        <w:t xml:space="preserve">online transmission of the </w:t>
      </w:r>
      <w:r w:rsidRPr="00807CA5">
        <w:rPr>
          <w:rFonts w:eastAsia="Arial Unicode MS" w:hAnsi="Arial Unicode MS" w:cs="Arial Unicode MS"/>
          <w:color w:val="000000"/>
          <w:szCs w:val="24"/>
          <w:u w:color="000000"/>
          <w:bdr w:val="nil"/>
        </w:rPr>
        <w:t xml:space="preserve">broadcast, including the audience, unless agreed otherwise with </w:t>
      </w:r>
      <w:r w:rsidR="000F63BB">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Pr="00807CA5">
        <w:rPr>
          <w:rFonts w:eastAsia="Arial Unicode MS" w:hAnsi="Arial Unicode MS" w:cs="Arial Unicode MS"/>
          <w:color w:val="000000"/>
          <w:szCs w:val="24"/>
          <w:u w:color="000000"/>
          <w:bdr w:val="nil"/>
        </w:rPr>
        <w:t>.</w:t>
      </w:r>
      <w:r w:rsidRPr="00807CA5">
        <w:rPr>
          <w:rFonts w:eastAsia="Arial Unicode MS" w:hAnsi="Arial Unicode MS" w:cs="Arial Unicode MS"/>
          <w:color w:val="000000"/>
          <w:szCs w:val="24"/>
          <w:u w:color="000000"/>
          <w:bdr w:val="nil"/>
          <w:vertAlign w:val="superscript"/>
        </w:rPr>
        <w:footnoteReference w:id="94"/>
      </w:r>
    </w:p>
    <w:p w:rsidR="00FC609C" w:rsidRPr="00807CA5"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 xml:space="preserve">The Commission would put in place a monitoring mechanism to assess the cross-border availability of broadcasters' online services covered under this </w:t>
      </w:r>
      <w:r w:rsidR="00996BBA">
        <w:rPr>
          <w:rFonts w:eastAsia="Arial Unicode MS" w:hAnsi="Arial Unicode MS" w:cs="Arial Unicode MS"/>
          <w:color w:val="000000"/>
          <w:szCs w:val="24"/>
          <w:u w:color="000000"/>
          <w:bdr w:val="nil"/>
        </w:rPr>
        <w:t>o</w:t>
      </w:r>
      <w:r>
        <w:rPr>
          <w:rFonts w:eastAsia="Arial Unicode MS" w:hAnsi="Arial Unicode MS" w:cs="Arial Unicode MS"/>
          <w:color w:val="000000"/>
          <w:szCs w:val="24"/>
          <w:u w:color="000000"/>
          <w:bdr w:val="nil"/>
        </w:rPr>
        <w:t xml:space="preserve">ption. </w:t>
      </w:r>
    </w:p>
    <w:tbl>
      <w:tblPr>
        <w:tblStyle w:val="TableGrid5"/>
        <w:tblW w:w="9322" w:type="dxa"/>
        <w:tblLook w:val="04A0" w:firstRow="1" w:lastRow="0" w:firstColumn="1" w:lastColumn="0" w:noHBand="0" w:noVBand="1"/>
      </w:tblPr>
      <w:tblGrid>
        <w:gridCol w:w="9322"/>
      </w:tblGrid>
      <w:tr w:rsidR="00FC609C" w:rsidRPr="00807CA5" w:rsidTr="00054FE5">
        <w:tc>
          <w:tcPr>
            <w:tcW w:w="9322" w:type="dxa"/>
            <w:shd w:val="clear" w:color="auto" w:fill="D9D9D9" w:themeFill="background1" w:themeFillShade="D9"/>
          </w:tcPr>
          <w:p w:rsidR="00FC609C" w:rsidRPr="00C51C80" w:rsidRDefault="00FC609C" w:rsidP="00FC609C">
            <w:pPr>
              <w:rPr>
                <w:i/>
                <w:lang w:val="en-US"/>
              </w:rPr>
            </w:pPr>
            <w:r w:rsidRPr="00C51C80">
              <w:rPr>
                <w:i/>
                <w:lang w:val="en-US"/>
              </w:rPr>
              <w:t>Stakeholders' views</w:t>
            </w:r>
          </w:p>
          <w:p w:rsidR="00FC609C" w:rsidRPr="00D1507D" w:rsidRDefault="00FC609C" w:rsidP="0019259B">
            <w:pPr>
              <w:jc w:val="both"/>
            </w:pPr>
            <w:r w:rsidRPr="00C51C80">
              <w:t xml:space="preserve">All public service broadcasters and commercial radios support this option. </w:t>
            </w:r>
            <w:r w:rsidRPr="00C51C80">
              <w:rPr>
                <w:lang w:val="en-US"/>
              </w:rPr>
              <w:t>Commercial TV broadcasters are generally against this option due to the fear that</w:t>
            </w:r>
            <w:r w:rsidR="00B240EF">
              <w:rPr>
                <w:lang w:val="en-US"/>
              </w:rPr>
              <w:t xml:space="preserve">, </w:t>
            </w:r>
            <w:r w:rsidR="00B240EF" w:rsidRPr="00C37912">
              <w:rPr>
                <w:lang w:val="en-US"/>
              </w:rPr>
              <w:t>considered together with the application of</w:t>
            </w:r>
            <w:r w:rsidR="00D0634C" w:rsidRPr="00C37912">
              <w:rPr>
                <w:lang w:val="en-US"/>
              </w:rPr>
              <w:t xml:space="preserve"> the</w:t>
            </w:r>
            <w:r w:rsidR="00B240EF" w:rsidRPr="00C37912">
              <w:rPr>
                <w:lang w:val="en-US"/>
              </w:rPr>
              <w:t xml:space="preserve"> free movement of services principle and competition law</w:t>
            </w:r>
            <w:r w:rsidR="00B240EF">
              <w:rPr>
                <w:lang w:val="en-US"/>
              </w:rPr>
              <w:t>,</w:t>
            </w:r>
            <w:r w:rsidRPr="00C51C80">
              <w:rPr>
                <w:lang w:val="en-US"/>
              </w:rPr>
              <w:t xml:space="preserve"> it may lead to </w:t>
            </w:r>
            <w:r w:rsidRPr="00C51C80">
              <w:rPr>
                <w:highlight w:val="lightGray"/>
                <w:lang w:val="en-US"/>
              </w:rPr>
              <w:t>the weakening of territorial licensing or even to</w:t>
            </w:r>
            <w:r w:rsidRPr="00C51C80">
              <w:rPr>
                <w:lang w:val="en-US"/>
              </w:rPr>
              <w:t xml:space="preserve"> mandatory pan-European licences</w:t>
            </w:r>
            <w:r w:rsidRPr="00C51C80">
              <w:rPr>
                <w:highlight w:val="lightGray"/>
                <w:lang w:val="en-US"/>
              </w:rPr>
              <w:t>.</w:t>
            </w:r>
            <w:r w:rsidRPr="00C51C80">
              <w:rPr>
                <w:lang w:val="en-US"/>
              </w:rPr>
              <w:t xml:space="preserve"> They argue that this, in turn, would limit possibilities for smaller broadcasters/ broadcasters operating in smaller markets to obtain licences in premium AV content, as </w:t>
            </w:r>
            <w:r w:rsidR="000F63BB">
              <w:rPr>
                <w:lang w:val="en-US"/>
              </w:rPr>
              <w:t>r</w:t>
            </w:r>
            <w:r w:rsidR="00007677">
              <w:rPr>
                <w:lang w:val="en-US"/>
              </w:rPr>
              <w:t>ightholders</w:t>
            </w:r>
            <w:r w:rsidRPr="00C51C80">
              <w:rPr>
                <w:lang w:val="en-US"/>
              </w:rPr>
              <w:t>, without exclusivity guarantees, would focus on the largest/most lucrative markets.</w:t>
            </w:r>
            <w:r w:rsidRPr="00C51C80">
              <w:t xml:space="preserve"> </w:t>
            </w:r>
            <w:r w:rsidRPr="00C51C80">
              <w:rPr>
                <w:lang w:val="en-US"/>
              </w:rPr>
              <w:t xml:space="preserve">Other service providers than broadcasters call for a cautious and well-measured approach, ensuring a level playing field. </w:t>
            </w:r>
            <w:r w:rsidR="006A79F9">
              <w:rPr>
                <w:lang w:val="en-US"/>
              </w:rPr>
              <w:t>R</w:t>
            </w:r>
            <w:r w:rsidR="00007677">
              <w:rPr>
                <w:lang w:val="en-US"/>
              </w:rPr>
              <w:t>ightholders</w:t>
            </w:r>
            <w:r w:rsidRPr="00C51C80">
              <w:rPr>
                <w:lang w:val="en-US"/>
              </w:rPr>
              <w:t xml:space="preserve"> and CMOs are against such option for similar reasons as commercial TV broadcasters, underlining that this may undermine incentives to invest in AV production. They also raise a possible risk of establishment shopping and of disaggregation of repertoire. C</w:t>
            </w:r>
            <w:r w:rsidRPr="00C51C80">
              <w:t>onsumers' representatives s</w:t>
            </w:r>
            <w:r w:rsidR="00D15CCB">
              <w:t>upport the application of the Co</w:t>
            </w:r>
            <w:r w:rsidRPr="00C51C80">
              <w:t>O rule to broadcasters' online transmissions.</w:t>
            </w:r>
            <w:r w:rsidRPr="006E0E32">
              <w:t xml:space="preserve"> </w:t>
            </w:r>
          </w:p>
        </w:tc>
      </w:tr>
    </w:tbl>
    <w:p w:rsidR="00FC609C" w:rsidRPr="00C51C80" w:rsidRDefault="00FC609C" w:rsidP="00C51C80">
      <w:pPr>
        <w:pStyle w:val="Text1"/>
        <w:ind w:left="0"/>
        <w:rPr>
          <w:rFonts w:eastAsia="Times New Roman"/>
          <w:b/>
          <w:color w:val="000000"/>
          <w:szCs w:val="24"/>
          <w:u w:color="000000"/>
          <w:bdr w:val="nil"/>
        </w:rPr>
      </w:pPr>
      <w:r w:rsidRPr="00C51C80">
        <w:rPr>
          <w:rFonts w:eastAsia="Times New Roman"/>
          <w:b/>
          <w:color w:val="000000"/>
          <w:szCs w:val="24"/>
          <w:u w:color="000000"/>
          <w:bdr w:val="nil"/>
        </w:rPr>
        <w:t>Option 3 – Application of country of origin to the clearing of rights for the services covered by Option 2 and for TV and radio-like linear online transmissions (and services ancillary to such transmissions)</w:t>
      </w:r>
    </w:p>
    <w:p w:rsidR="00FC609C"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sidRPr="00807CA5">
        <w:rPr>
          <w:rFonts w:eastAsia="Arial Unicode MS" w:hAnsi="Arial Unicode MS" w:cs="Arial Unicode MS"/>
          <w:color w:val="000000"/>
          <w:szCs w:val="24"/>
          <w:u w:color="000000"/>
          <w:bdr w:val="nil"/>
        </w:rPr>
        <w:t xml:space="preserve">This option would cover, in addition to the services covered under Option </w:t>
      </w:r>
      <w:r>
        <w:rPr>
          <w:rFonts w:eastAsia="Arial Unicode MS" w:hAnsi="Arial Unicode MS" w:cs="Arial Unicode MS"/>
          <w:color w:val="000000"/>
          <w:szCs w:val="24"/>
          <w:u w:color="000000"/>
          <w:bdr w:val="nil"/>
        </w:rPr>
        <w:t>2,</w:t>
      </w:r>
      <w:r w:rsidRPr="00807CA5">
        <w:rPr>
          <w:rFonts w:eastAsia="Arial Unicode MS" w:hAnsi="Arial Unicode MS" w:cs="Arial Unicode MS"/>
          <w:color w:val="000000"/>
          <w:szCs w:val="24"/>
          <w:u w:color="000000"/>
          <w:bdr w:val="nil"/>
        </w:rPr>
        <w:t xml:space="preserve"> </w:t>
      </w:r>
      <w:r>
        <w:rPr>
          <w:rFonts w:eastAsia="Arial Unicode MS" w:hAnsi="Arial Unicode MS" w:cs="Arial Unicode MS"/>
          <w:color w:val="000000"/>
          <w:szCs w:val="24"/>
          <w:u w:color="000000"/>
          <w:bdr w:val="nil"/>
        </w:rPr>
        <w:t xml:space="preserve">TV and radio-like </w:t>
      </w:r>
      <w:r w:rsidRPr="00807CA5">
        <w:rPr>
          <w:rFonts w:eastAsia="Arial Unicode MS" w:hAnsi="Arial Unicode MS" w:cs="Arial Unicode MS"/>
          <w:color w:val="000000"/>
          <w:szCs w:val="24"/>
          <w:u w:color="000000"/>
          <w:bdr w:val="nil"/>
        </w:rPr>
        <w:t>linear online transmissions which are not linked to a broadcast</w:t>
      </w:r>
      <w:r>
        <w:rPr>
          <w:rFonts w:eastAsia="Arial Unicode MS" w:hAnsi="Arial Unicode MS" w:cs="Arial Unicode MS"/>
          <w:color w:val="000000"/>
          <w:szCs w:val="24"/>
          <w:u w:color="000000"/>
          <w:bdr w:val="nil"/>
        </w:rPr>
        <w:t xml:space="preserve"> </w:t>
      </w:r>
      <w:r w:rsidRPr="00807CA5">
        <w:rPr>
          <w:rFonts w:eastAsia="Arial Unicode MS" w:hAnsi="Arial Unicode MS" w:cs="Arial Unicode MS"/>
          <w:color w:val="000000"/>
          <w:szCs w:val="24"/>
          <w:u w:color="000000"/>
          <w:bdr w:val="nil"/>
        </w:rPr>
        <w:t>but are online only transmissions (webcasting)</w:t>
      </w:r>
      <w:r w:rsidRPr="00807CA5" w:rsidDel="005327A7">
        <w:rPr>
          <w:rFonts w:eastAsia="Arial Unicode MS" w:hAnsi="Arial Unicode MS" w:cs="Arial Unicode MS"/>
          <w:color w:val="000000"/>
          <w:szCs w:val="24"/>
          <w:u w:color="000000"/>
          <w:bdr w:val="nil"/>
        </w:rPr>
        <w:t xml:space="preserve"> </w:t>
      </w:r>
      <w:r w:rsidRPr="00807CA5">
        <w:rPr>
          <w:rFonts w:eastAsia="Arial Unicode MS" w:hAnsi="Arial Unicode MS" w:cs="Arial Unicode MS"/>
          <w:color w:val="000000"/>
          <w:szCs w:val="24"/>
          <w:u w:color="000000"/>
          <w:bdr w:val="nil"/>
        </w:rPr>
        <w:t>and services ancillary to the webcast (such as catch-up and previews</w:t>
      </w:r>
      <w:r>
        <w:rPr>
          <w:rFonts w:eastAsia="Arial Unicode MS" w:hAnsi="Arial Unicode MS" w:cs="Arial Unicode MS"/>
          <w:color w:val="000000"/>
          <w:szCs w:val="24"/>
          <w:u w:color="000000"/>
          <w:bdr w:val="nil"/>
        </w:rPr>
        <w:t xml:space="preserve"> of the webcasts</w:t>
      </w:r>
      <w:r w:rsidRPr="00807CA5">
        <w:rPr>
          <w:rFonts w:eastAsia="Arial Unicode MS" w:hAnsi="Arial Unicode MS" w:cs="Arial Unicode MS"/>
          <w:color w:val="000000"/>
          <w:szCs w:val="24"/>
          <w:u w:color="000000"/>
          <w:bdr w:val="nil"/>
        </w:rPr>
        <w:t>).</w:t>
      </w:r>
      <w:r>
        <w:rPr>
          <w:rFonts w:eastAsia="Arial Unicode MS" w:hAnsi="Arial Unicode MS" w:cs="Arial Unicode MS"/>
          <w:color w:val="000000"/>
          <w:szCs w:val="24"/>
          <w:u w:color="000000"/>
          <w:bdr w:val="nil"/>
        </w:rPr>
        <w:t xml:space="preserve"> T</w:t>
      </w:r>
      <w:r w:rsidR="00D15CCB">
        <w:rPr>
          <w:rFonts w:eastAsia="Arial Unicode MS" w:hAnsi="Arial Unicode MS" w:cs="Arial Unicode MS"/>
          <w:color w:val="000000"/>
          <w:szCs w:val="24"/>
          <w:u w:color="000000"/>
          <w:bdr w:val="nil"/>
        </w:rPr>
        <w:t>he "country of origin" (Co</w:t>
      </w:r>
      <w:r w:rsidRPr="00807CA5">
        <w:rPr>
          <w:rFonts w:eastAsia="Arial Unicode MS" w:hAnsi="Arial Unicode MS" w:cs="Arial Unicode MS"/>
          <w:color w:val="000000"/>
          <w:szCs w:val="24"/>
          <w:u w:color="000000"/>
          <w:bdr w:val="nil"/>
        </w:rPr>
        <w:t xml:space="preserve">O) rule </w:t>
      </w:r>
      <w:r>
        <w:rPr>
          <w:rFonts w:eastAsia="Arial Unicode MS" w:hAnsi="Arial Unicode MS" w:cs="Arial Unicode MS"/>
          <w:color w:val="000000"/>
          <w:szCs w:val="24"/>
          <w:u w:color="000000"/>
          <w:bdr w:val="nil"/>
        </w:rPr>
        <w:t>would apply to such services</w:t>
      </w:r>
      <w:r w:rsidRPr="00807CA5">
        <w:rPr>
          <w:rFonts w:eastAsia="Arial Unicode MS" w:hAnsi="Arial Unicode MS" w:cs="Arial Unicode MS"/>
          <w:color w:val="000000"/>
          <w:szCs w:val="24"/>
          <w:u w:color="000000"/>
          <w:bdr w:val="nil"/>
        </w:rPr>
        <w:t xml:space="preserve">.  </w:t>
      </w:r>
    </w:p>
    <w:p w:rsidR="00FC609C" w:rsidRPr="008C43BF"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TV and radio-like l</w:t>
      </w:r>
      <w:r w:rsidRPr="00807CA5">
        <w:rPr>
          <w:rFonts w:eastAsia="Arial Unicode MS" w:hAnsi="Arial Unicode MS" w:cs="Arial Unicode MS"/>
          <w:color w:val="000000"/>
          <w:szCs w:val="24"/>
          <w:u w:color="000000"/>
          <w:bdr w:val="nil"/>
        </w:rPr>
        <w:t xml:space="preserve">inear online transmissions would be defined as (i) linear services; (ii) which are provided on the basis of a schedule; (iii) and under the editorial responsibility of the service provider. </w:t>
      </w:r>
    </w:p>
    <w:p w:rsidR="00FC609C" w:rsidRPr="002B23D5"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 xml:space="preserve">The other main elements of this </w:t>
      </w:r>
      <w:r w:rsidR="00996BBA">
        <w:rPr>
          <w:rFonts w:eastAsia="Arial Unicode MS" w:hAnsi="Arial Unicode MS" w:cs="Arial Unicode MS"/>
          <w:color w:val="000000"/>
          <w:szCs w:val="24"/>
          <w:u w:color="000000"/>
          <w:bdr w:val="nil"/>
        </w:rPr>
        <w:t>o</w:t>
      </w:r>
      <w:r>
        <w:rPr>
          <w:rFonts w:eastAsia="Arial Unicode MS" w:hAnsi="Arial Unicode MS" w:cs="Arial Unicode MS"/>
          <w:color w:val="000000"/>
          <w:szCs w:val="24"/>
          <w:u w:color="000000"/>
          <w:bdr w:val="nil"/>
        </w:rPr>
        <w:t xml:space="preserve">ption </w:t>
      </w:r>
      <w:r w:rsidRPr="00807CA5">
        <w:rPr>
          <w:rFonts w:eastAsia="Arial Unicode MS" w:hAnsi="Arial Unicode MS" w:cs="Arial Unicode MS"/>
          <w:color w:val="000000"/>
          <w:szCs w:val="24"/>
          <w:u w:color="000000"/>
          <w:bdr w:val="nil"/>
        </w:rPr>
        <w:t xml:space="preserve">would </w:t>
      </w:r>
      <w:r>
        <w:rPr>
          <w:rFonts w:eastAsia="Arial Unicode MS" w:hAnsi="Arial Unicode MS" w:cs="Arial Unicode MS"/>
          <w:color w:val="000000"/>
          <w:szCs w:val="24"/>
          <w:u w:color="000000"/>
          <w:bdr w:val="nil"/>
        </w:rPr>
        <w:t>be the same as under Option 2</w:t>
      </w:r>
      <w:r w:rsidRPr="00807CA5">
        <w:rPr>
          <w:rFonts w:eastAsia="Arial Unicode MS" w:hAnsi="Arial Unicode MS" w:cs="Arial Unicode MS"/>
          <w:color w:val="000000"/>
          <w:szCs w:val="24"/>
          <w:u w:color="000000"/>
          <w:bdr w:val="nil"/>
        </w:rPr>
        <w:t>.</w:t>
      </w:r>
    </w:p>
    <w:tbl>
      <w:tblPr>
        <w:tblStyle w:val="TableGrid5"/>
        <w:tblW w:w="0" w:type="auto"/>
        <w:tblLook w:val="04A0" w:firstRow="1" w:lastRow="0" w:firstColumn="1" w:lastColumn="0" w:noHBand="0" w:noVBand="1"/>
      </w:tblPr>
      <w:tblGrid>
        <w:gridCol w:w="9288"/>
      </w:tblGrid>
      <w:tr w:rsidR="00FC609C" w:rsidRPr="00807CA5" w:rsidTr="00FC609C">
        <w:tc>
          <w:tcPr>
            <w:tcW w:w="9288" w:type="dxa"/>
            <w:shd w:val="clear" w:color="auto" w:fill="D9D9D9" w:themeFill="background1" w:themeFillShade="D9"/>
          </w:tcPr>
          <w:p w:rsidR="00FC609C" w:rsidRPr="008A587E" w:rsidRDefault="00FC609C" w:rsidP="00FC609C">
            <w:pPr>
              <w:rPr>
                <w:i/>
                <w:sz w:val="22"/>
                <w:lang w:val="en-US"/>
              </w:rPr>
            </w:pPr>
            <w:r w:rsidRPr="006E0E32">
              <w:rPr>
                <w:i/>
                <w:lang w:val="en-US"/>
              </w:rPr>
              <w:t>Stakeholders' views</w:t>
            </w:r>
          </w:p>
          <w:p w:rsidR="00FC609C" w:rsidRDefault="00FC609C" w:rsidP="00996BBA">
            <w:pPr>
              <w:jc w:val="both"/>
              <w:rPr>
                <w:lang w:val="en-US"/>
              </w:rPr>
            </w:pPr>
            <w:r w:rsidRPr="006E0E32">
              <w:rPr>
                <w:lang w:val="en-US"/>
              </w:rPr>
              <w:t>Public ser</w:t>
            </w:r>
            <w:r w:rsidR="00D15CCB">
              <w:rPr>
                <w:lang w:val="en-US"/>
              </w:rPr>
              <w:t>vice broadcasters support the Co</w:t>
            </w:r>
            <w:r w:rsidRPr="006E0E32">
              <w:rPr>
                <w:lang w:val="en-US"/>
              </w:rPr>
              <w:t>O rule for broadcasters' transmissions however do not a</w:t>
            </w:r>
            <w:r w:rsidR="00D15CCB">
              <w:rPr>
                <w:lang w:val="en-US"/>
              </w:rPr>
              <w:t>sk for the application of the Co</w:t>
            </w:r>
            <w:r w:rsidRPr="006E0E32">
              <w:rPr>
                <w:lang w:val="en-US"/>
              </w:rPr>
              <w:t xml:space="preserve">O rule beyond that, underlying a special situation of broadcasters. </w:t>
            </w:r>
            <w:r>
              <w:rPr>
                <w:lang w:val="en-US"/>
              </w:rPr>
              <w:t>C</w:t>
            </w:r>
            <w:r w:rsidRPr="006E0E32">
              <w:rPr>
                <w:lang w:val="en-US"/>
              </w:rPr>
              <w:t xml:space="preserve">ommercial TV broadcasters do not support </w:t>
            </w:r>
            <w:r>
              <w:rPr>
                <w:lang w:val="en-US"/>
              </w:rPr>
              <w:t>this</w:t>
            </w:r>
            <w:r w:rsidRPr="006E0E32">
              <w:rPr>
                <w:lang w:val="en-US"/>
              </w:rPr>
              <w:t xml:space="preserve"> option </w:t>
            </w:r>
            <w:r>
              <w:rPr>
                <w:lang w:val="en-US"/>
              </w:rPr>
              <w:t>for the same reasons as Option 2</w:t>
            </w:r>
            <w:r w:rsidRPr="006E0E32">
              <w:rPr>
                <w:lang w:val="en-US"/>
              </w:rPr>
              <w:t xml:space="preserve">. </w:t>
            </w:r>
            <w:r>
              <w:rPr>
                <w:lang w:val="en-US"/>
              </w:rPr>
              <w:t>Majority of s</w:t>
            </w:r>
            <w:r w:rsidRPr="006E0E32">
              <w:rPr>
                <w:lang w:val="en-US"/>
              </w:rPr>
              <w:t xml:space="preserve">ervice providers other than broadcasters underline the importance of a level playing field and some of them call for a technology-neutral approach. </w:t>
            </w:r>
            <w:r w:rsidR="00007677">
              <w:rPr>
                <w:lang w:val="en-US"/>
              </w:rPr>
              <w:t>Rightholders</w:t>
            </w:r>
            <w:r w:rsidRPr="006E0E32">
              <w:rPr>
                <w:lang w:val="en-US"/>
              </w:rPr>
              <w:t xml:space="preserve"> and CMOs </w:t>
            </w:r>
            <w:r>
              <w:rPr>
                <w:lang w:val="en-US"/>
              </w:rPr>
              <w:t>would oppose</w:t>
            </w:r>
            <w:r w:rsidRPr="006E0E32">
              <w:rPr>
                <w:lang w:val="en-US"/>
              </w:rPr>
              <w:t xml:space="preserve"> this option for similar reasons as commercial TV broadcaster</w:t>
            </w:r>
            <w:r>
              <w:rPr>
                <w:lang w:val="en-US"/>
              </w:rPr>
              <w:t xml:space="preserve">s and underline that, as a result, this </w:t>
            </w:r>
            <w:r w:rsidR="00996BBA">
              <w:rPr>
                <w:lang w:val="en-US"/>
              </w:rPr>
              <w:t>o</w:t>
            </w:r>
            <w:r>
              <w:rPr>
                <w:lang w:val="en-US"/>
              </w:rPr>
              <w:t>ption may decrease incentives to invest into AV content.</w:t>
            </w:r>
            <w:r w:rsidRPr="006E0E32">
              <w:rPr>
                <w:lang w:val="en-US"/>
              </w:rPr>
              <w:t xml:space="preserve"> Also, they are</w:t>
            </w:r>
            <w:r w:rsidR="00D15CCB">
              <w:rPr>
                <w:lang w:val="en-US"/>
              </w:rPr>
              <w:t xml:space="preserve"> concerned that extending the Co</w:t>
            </w:r>
            <w:r w:rsidRPr="006E0E32">
              <w:rPr>
                <w:lang w:val="en-US"/>
              </w:rPr>
              <w:t>O rule to webcasting services would entail an even higher risk of establishment shopping by online service providers</w:t>
            </w:r>
            <w:r>
              <w:rPr>
                <w:lang w:val="en-US"/>
              </w:rPr>
              <w:t xml:space="preserve"> and encourage "race to the bottom": search of the lowest copyright fees</w:t>
            </w:r>
            <w:r w:rsidRPr="006E0E32">
              <w:rPr>
                <w:lang w:val="en-US"/>
              </w:rPr>
              <w:t xml:space="preserve">. </w:t>
            </w:r>
            <w:r>
              <w:rPr>
                <w:lang w:val="en-US"/>
              </w:rPr>
              <w:t xml:space="preserve">This, in turn, may lead to disaggregation of repertoires licensed by CMOs. </w:t>
            </w:r>
            <w:r w:rsidRPr="006E0E32">
              <w:rPr>
                <w:lang w:val="en-US"/>
              </w:rPr>
              <w:t>Consumer representatives s</w:t>
            </w:r>
            <w:r w:rsidR="00D15CCB">
              <w:rPr>
                <w:lang w:val="en-US"/>
              </w:rPr>
              <w:t>upport the application of the Co</w:t>
            </w:r>
            <w:r w:rsidRPr="006E0E32">
              <w:rPr>
                <w:lang w:val="en-US"/>
              </w:rPr>
              <w:t xml:space="preserve">O rule to all online transmissions. </w:t>
            </w:r>
          </w:p>
          <w:p w:rsidR="0019259B" w:rsidRPr="00CF6B0A" w:rsidRDefault="0019259B" w:rsidP="0019259B">
            <w:pPr>
              <w:jc w:val="both"/>
              <w:rPr>
                <w:i/>
                <w:lang w:val="en-US"/>
              </w:rPr>
            </w:pPr>
          </w:p>
        </w:tc>
      </w:tr>
    </w:tbl>
    <w:p w:rsidR="00FC609C" w:rsidRPr="00C51C80" w:rsidRDefault="00FC609C" w:rsidP="00C51C80">
      <w:pPr>
        <w:pStyle w:val="Text1"/>
        <w:ind w:left="0"/>
        <w:rPr>
          <w:rFonts w:eastAsia="Times New Roman"/>
          <w:b/>
          <w:color w:val="000000"/>
          <w:szCs w:val="24"/>
          <w:u w:val="single"/>
          <w:bdr w:val="nil"/>
        </w:rPr>
      </w:pPr>
      <w:r w:rsidRPr="00C51C80">
        <w:rPr>
          <w:rFonts w:eastAsia="Times New Roman"/>
          <w:b/>
          <w:color w:val="000000"/>
          <w:szCs w:val="24"/>
          <w:u w:val="single"/>
          <w:bdr w:val="nil"/>
        </w:rPr>
        <w:t>Discarded options</w:t>
      </w:r>
    </w:p>
    <w:p w:rsidR="00FC609C" w:rsidRPr="00807CA5" w:rsidRDefault="00D15CCB" w:rsidP="00FC609C">
      <w:pPr>
        <w:pBdr>
          <w:top w:val="nil"/>
          <w:left w:val="nil"/>
          <w:bottom w:val="nil"/>
          <w:right w:val="nil"/>
          <w:between w:val="nil"/>
          <w:bar w:val="nil"/>
        </w:pBdr>
        <w:spacing w:after="12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i/>
          <w:sz w:val="24"/>
          <w:szCs w:val="24"/>
          <w:u w:val="single"/>
          <w:bdr w:val="nil"/>
        </w:rPr>
        <w:t>Overarching Co</w:t>
      </w:r>
      <w:r w:rsidR="00FC609C" w:rsidRPr="00807CA5">
        <w:rPr>
          <w:rFonts w:ascii="Times New Roman" w:eastAsia="Arial Unicode MS" w:hAnsi="Times New Roman" w:cs="Times New Roman"/>
          <w:i/>
          <w:sz w:val="24"/>
          <w:szCs w:val="24"/>
          <w:u w:val="single"/>
          <w:bdr w:val="nil"/>
        </w:rPr>
        <w:t>O rule</w:t>
      </w:r>
      <w:r w:rsidR="00FC609C" w:rsidRPr="00807CA5">
        <w:rPr>
          <w:rFonts w:ascii="Times New Roman" w:eastAsia="Arial Unicode MS" w:hAnsi="Times New Roman" w:cs="Times New Roman"/>
          <w:sz w:val="24"/>
          <w:szCs w:val="24"/>
          <w:bdr w:val="nil"/>
        </w:rPr>
        <w:t>: The identified objectives could be achieved also by applying the "country of origin" rule to all communication to the public and making available acts online</w:t>
      </w:r>
      <w:r w:rsidR="00FC609C">
        <w:rPr>
          <w:rFonts w:ascii="Times New Roman" w:eastAsia="Arial Unicode MS" w:hAnsi="Times New Roman" w:cs="Times New Roman"/>
          <w:sz w:val="24"/>
          <w:szCs w:val="24"/>
          <w:bdr w:val="nil"/>
        </w:rPr>
        <w:t xml:space="preserve"> in which case the rule would apply also to services such as </w:t>
      </w:r>
      <w:r>
        <w:rPr>
          <w:rFonts w:ascii="Times New Roman" w:eastAsia="Arial Unicode MS" w:hAnsi="Times New Roman" w:cs="Times New Roman"/>
          <w:sz w:val="24"/>
          <w:szCs w:val="24"/>
          <w:bdr w:val="nil"/>
        </w:rPr>
        <w:t>Vo</w:t>
      </w:r>
      <w:r w:rsidR="00FC609C" w:rsidRPr="00807CA5">
        <w:rPr>
          <w:rFonts w:ascii="Times New Roman" w:eastAsia="Arial Unicode MS" w:hAnsi="Times New Roman" w:cs="Times New Roman"/>
          <w:sz w:val="24"/>
          <w:szCs w:val="24"/>
          <w:bdr w:val="nil"/>
        </w:rPr>
        <w:t>D services</w:t>
      </w:r>
      <w:r w:rsidR="00054FE5">
        <w:rPr>
          <w:rFonts w:ascii="Times New Roman" w:eastAsia="Arial Unicode MS" w:hAnsi="Times New Roman" w:cs="Times New Roman"/>
          <w:sz w:val="24"/>
          <w:szCs w:val="24"/>
          <w:bdr w:val="nil"/>
        </w:rPr>
        <w:t>,</w:t>
      </w:r>
      <w:r w:rsidR="00FC609C">
        <w:rPr>
          <w:rStyle w:val="FootnoteReference"/>
          <w:rFonts w:ascii="Times New Roman" w:eastAsia="Arial Unicode MS" w:hAnsi="Times New Roman" w:cs="Times New Roman"/>
          <w:sz w:val="24"/>
          <w:szCs w:val="24"/>
          <w:bdr w:val="nil"/>
        </w:rPr>
        <w:footnoteReference w:id="95"/>
      </w:r>
      <w:r w:rsidR="00FC609C" w:rsidRPr="00807CA5">
        <w:rPr>
          <w:rFonts w:ascii="Times New Roman" w:eastAsia="Arial Unicode MS" w:hAnsi="Times New Roman" w:cs="Times New Roman"/>
          <w:sz w:val="24"/>
          <w:szCs w:val="24"/>
          <w:bdr w:val="nil"/>
        </w:rPr>
        <w:t xml:space="preserve"> on demand music streaming services, etc. However, such option is not considered in this IA as its scope is broader than the targeted objective raised in the </w:t>
      </w:r>
      <w:hyperlink r:id="rId19" w:history="1">
        <w:r w:rsidR="00FC609C" w:rsidRPr="00807CA5">
          <w:rPr>
            <w:rFonts w:ascii="Times New Roman" w:eastAsia="Arial Unicode MS" w:hAnsi="Times New Roman" w:cs="Times New Roman"/>
            <w:sz w:val="24"/>
            <w:szCs w:val="24"/>
            <w:u w:val="single"/>
            <w:bdr w:val="nil"/>
          </w:rPr>
          <w:t>DSM Strategy</w:t>
        </w:r>
      </w:hyperlink>
      <w:r w:rsidR="00FC609C" w:rsidRPr="00807CA5">
        <w:rPr>
          <w:rFonts w:ascii="Times New Roman" w:eastAsia="Arial Unicode MS" w:hAnsi="Times New Roman" w:cs="Times New Roman"/>
          <w:sz w:val="24"/>
          <w:szCs w:val="24"/>
          <w:bdr w:val="nil"/>
        </w:rPr>
        <w:t>: "</w:t>
      </w:r>
      <w:r w:rsidR="00FC609C" w:rsidRPr="00807CA5">
        <w:rPr>
          <w:rFonts w:ascii="Times New Roman" w:eastAsia="Arial Unicode MS" w:hAnsi="Times New Roman" w:cs="Times New Roman"/>
          <w:i/>
          <w:sz w:val="24"/>
          <w:szCs w:val="24"/>
          <w:bdr w:val="nil"/>
        </w:rPr>
        <w:t>to tackle […] measures to ensure enhanced cross-border access to broadcasters' services in Europe</w:t>
      </w:r>
      <w:r w:rsidR="00FC609C" w:rsidRPr="00807CA5">
        <w:rPr>
          <w:rFonts w:ascii="Times New Roman" w:eastAsia="Arial Unicode MS" w:hAnsi="Times New Roman" w:cs="Times New Roman"/>
          <w:sz w:val="24"/>
          <w:szCs w:val="24"/>
          <w:bdr w:val="nil"/>
        </w:rPr>
        <w:t xml:space="preserve">". The Copyright Communication acknowledges the necessity of a gradual approach, in order to allow the market to adapt to policy and legal changes. As a first step, the initiative will focus on TV and radio programmes which are </w:t>
      </w:r>
      <w:r w:rsidR="00FC609C">
        <w:rPr>
          <w:rFonts w:ascii="Times New Roman" w:eastAsia="Arial Unicode MS" w:hAnsi="Times New Roman" w:cs="Times New Roman"/>
          <w:sz w:val="24"/>
          <w:szCs w:val="24"/>
          <w:bdr w:val="nil"/>
        </w:rPr>
        <w:t>a</w:t>
      </w:r>
      <w:r w:rsidR="00FC609C" w:rsidRPr="00807CA5">
        <w:rPr>
          <w:rFonts w:ascii="Times New Roman" w:eastAsia="Arial Unicode MS" w:hAnsi="Times New Roman" w:cs="Times New Roman"/>
          <w:sz w:val="24"/>
          <w:szCs w:val="24"/>
          <w:bdr w:val="nil"/>
        </w:rPr>
        <w:t xml:space="preserve"> main </w:t>
      </w:r>
      <w:r w:rsidR="00FC609C" w:rsidRPr="00C51C80">
        <w:rPr>
          <w:rFonts w:ascii="Times New Roman" w:eastAsia="Arial Unicode MS" w:hAnsi="Arial Unicode MS" w:cs="Arial Unicode MS"/>
          <w:color w:val="000000"/>
          <w:sz w:val="24"/>
          <w:szCs w:val="24"/>
          <w:u w:color="000000"/>
          <w:bdr w:val="nil"/>
          <w:lang w:eastAsia="en-GB"/>
        </w:rPr>
        <w:t>way</w:t>
      </w:r>
      <w:r w:rsidR="00FC609C" w:rsidRPr="00807CA5">
        <w:rPr>
          <w:rFonts w:ascii="Times New Roman" w:eastAsia="Arial Unicode MS" w:hAnsi="Times New Roman" w:cs="Times New Roman"/>
          <w:sz w:val="24"/>
          <w:szCs w:val="24"/>
          <w:bdr w:val="nil"/>
        </w:rPr>
        <w:t xml:space="preserve"> to access content in the EU, in particular</w:t>
      </w:r>
      <w:r w:rsidR="00FC609C">
        <w:rPr>
          <w:rFonts w:ascii="Times New Roman" w:eastAsia="Arial Unicode MS" w:hAnsi="Times New Roman" w:cs="Times New Roman"/>
          <w:sz w:val="24"/>
          <w:szCs w:val="24"/>
          <w:bdr w:val="nil"/>
        </w:rPr>
        <w:t xml:space="preserve"> as regards</w:t>
      </w:r>
      <w:r w:rsidR="00FC609C" w:rsidRPr="00807CA5">
        <w:rPr>
          <w:rFonts w:ascii="Times New Roman" w:eastAsia="Arial Unicode MS" w:hAnsi="Times New Roman" w:cs="Times New Roman"/>
          <w:sz w:val="24"/>
          <w:szCs w:val="24"/>
          <w:bdr w:val="nil"/>
        </w:rPr>
        <w:t xml:space="preserve"> news and cultural programmes. Linear transmissions offer to consumers the ability to consume content as it happens which is extremely important for event driven programming.</w:t>
      </w:r>
      <w:r w:rsidR="00FC609C" w:rsidRPr="00807CA5">
        <w:rPr>
          <w:rFonts w:ascii="Times New Roman" w:eastAsia="Arial Unicode MS" w:hAnsi="Times New Roman" w:cs="Times New Roman"/>
          <w:sz w:val="24"/>
          <w:szCs w:val="24"/>
          <w:bdr w:val="nil"/>
          <w:vertAlign w:val="superscript"/>
        </w:rPr>
        <w:footnoteReference w:id="96"/>
      </w:r>
      <w:r w:rsidR="00FC609C" w:rsidRPr="00807CA5">
        <w:rPr>
          <w:rFonts w:ascii="Times New Roman" w:eastAsia="Arial Unicode MS" w:hAnsi="Times New Roman" w:cs="Times New Roman"/>
          <w:sz w:val="24"/>
          <w:szCs w:val="24"/>
          <w:bdr w:val="nil"/>
        </w:rPr>
        <w:t xml:space="preserve"> The Commission will continue monitoring the situation in the market, following its long-term vision.</w:t>
      </w:r>
      <w:r w:rsidR="00FC609C" w:rsidRPr="00807CA5">
        <w:rPr>
          <w:rFonts w:ascii="Times New Roman" w:eastAsia="Arial Unicode MS" w:hAnsi="Times New Roman" w:cs="Times New Roman"/>
          <w:sz w:val="24"/>
          <w:szCs w:val="24"/>
          <w:bdr w:val="nil"/>
          <w:vertAlign w:val="superscript"/>
        </w:rPr>
        <w:footnoteReference w:id="97"/>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Times New Roman" w:cs="Times New Roman"/>
          <w:bCs/>
          <w:sz w:val="24"/>
          <w:szCs w:val="24"/>
          <w:highlight w:val="cyan"/>
          <w:bdr w:val="nil"/>
          <w:lang w:val="en-US"/>
        </w:rPr>
      </w:pPr>
      <w:r w:rsidRPr="00807CA5">
        <w:rPr>
          <w:rFonts w:ascii="Times New Roman" w:eastAsia="Arial Unicode MS" w:hAnsi="Times New Roman" w:cs="Times New Roman"/>
          <w:i/>
          <w:sz w:val="24"/>
          <w:szCs w:val="24"/>
          <w:u w:val="single"/>
          <w:bdr w:val="nil"/>
        </w:rPr>
        <w:t>Restrictions to contractual freedom</w:t>
      </w:r>
      <w:r w:rsidRPr="00807CA5">
        <w:rPr>
          <w:rFonts w:ascii="Times New Roman" w:eastAsia="Arial Unicode MS" w:hAnsi="Times New Roman" w:cs="Times New Roman"/>
          <w:sz w:val="24"/>
          <w:szCs w:val="24"/>
          <w:bdr w:val="nil"/>
        </w:rPr>
        <w:t xml:space="preserve">: Options </w:t>
      </w:r>
      <w:r w:rsidRPr="00705E14">
        <w:rPr>
          <w:rFonts w:ascii="Times New Roman" w:eastAsia="Arial Unicode MS" w:hAnsi="Times New Roman" w:cs="Times New Roman"/>
          <w:sz w:val="24"/>
          <w:szCs w:val="24"/>
          <w:bdr w:val="nil"/>
        </w:rPr>
        <w:t>which, in</w:t>
      </w:r>
      <w:r w:rsidR="005E06F2">
        <w:rPr>
          <w:rFonts w:ascii="Times New Roman" w:eastAsia="Arial Unicode MS" w:hAnsi="Times New Roman" w:cs="Times New Roman"/>
          <w:sz w:val="24"/>
          <w:szCs w:val="24"/>
          <w:bdr w:val="nil"/>
        </w:rPr>
        <w:t xml:space="preserve"> addition to establishing the Co</w:t>
      </w:r>
      <w:r w:rsidRPr="00705E14">
        <w:rPr>
          <w:rFonts w:ascii="Times New Roman" w:eastAsia="Arial Unicode MS" w:hAnsi="Times New Roman" w:cs="Times New Roman"/>
          <w:sz w:val="24"/>
          <w:szCs w:val="24"/>
          <w:bdr w:val="nil"/>
        </w:rPr>
        <w:t xml:space="preserve">O rule, would prohibit contractual arrangements concerning territorial exploitation of content were discarded. Such options </w:t>
      </w:r>
      <w:r>
        <w:rPr>
          <w:rFonts w:ascii="Times New Roman" w:eastAsia="Arial Unicode MS" w:hAnsi="Times New Roman" w:cs="Times New Roman"/>
          <w:sz w:val="24"/>
          <w:szCs w:val="24"/>
          <w:bdr w:val="nil"/>
        </w:rPr>
        <w:t>c</w:t>
      </w:r>
      <w:r w:rsidRPr="00705E14">
        <w:rPr>
          <w:rFonts w:ascii="Times New Roman" w:eastAsia="Arial Unicode MS" w:hAnsi="Times New Roman" w:cs="Times New Roman"/>
          <w:sz w:val="24"/>
          <w:szCs w:val="24"/>
          <w:bdr w:val="nil"/>
        </w:rPr>
        <w:t xml:space="preserve">ould de facto </w:t>
      </w:r>
      <w:r>
        <w:rPr>
          <w:rFonts w:ascii="Times New Roman" w:eastAsia="Arial Unicode MS" w:hAnsi="Times New Roman" w:cs="Times New Roman"/>
          <w:sz w:val="24"/>
          <w:szCs w:val="24"/>
          <w:bdr w:val="nil"/>
        </w:rPr>
        <w:t>result in</w:t>
      </w:r>
      <w:r w:rsidRPr="00705E14">
        <w:rPr>
          <w:rFonts w:ascii="Times New Roman" w:eastAsia="Arial Unicode MS" w:hAnsi="Times New Roman" w:cs="Times New Roman"/>
          <w:sz w:val="24"/>
          <w:szCs w:val="24"/>
          <w:bdr w:val="nil"/>
        </w:rPr>
        <w:t xml:space="preserve"> pan-European licences</w:t>
      </w:r>
      <w:r>
        <w:rPr>
          <w:rFonts w:ascii="Times New Roman" w:eastAsia="Arial Unicode MS" w:hAnsi="Times New Roman" w:cs="Times New Roman"/>
          <w:sz w:val="24"/>
          <w:szCs w:val="24"/>
          <w:bdr w:val="nil"/>
        </w:rPr>
        <w:t>. Many</w:t>
      </w:r>
      <w:r w:rsidRPr="00705E14">
        <w:rPr>
          <w:rFonts w:ascii="Times New Roman" w:eastAsia="Arial Unicode MS" w:hAnsi="Times New Roman" w:cs="Times New Roman"/>
          <w:sz w:val="24"/>
          <w:szCs w:val="24"/>
          <w:bdr w:val="nil"/>
        </w:rPr>
        <w:t xml:space="preserve"> operators, including SMEs</w:t>
      </w:r>
      <w:r>
        <w:rPr>
          <w:rFonts w:ascii="Times New Roman" w:eastAsia="Arial Unicode MS" w:hAnsi="Times New Roman" w:cs="Times New Roman"/>
          <w:sz w:val="24"/>
          <w:szCs w:val="24"/>
          <w:bdr w:val="nil"/>
        </w:rPr>
        <w:t>,</w:t>
      </w:r>
      <w:r w:rsidRPr="00705E14">
        <w:rPr>
          <w:rFonts w:ascii="Times New Roman" w:eastAsia="Arial Unicode MS" w:hAnsi="Times New Roman" w:cs="Times New Roman"/>
          <w:sz w:val="24"/>
          <w:szCs w:val="24"/>
          <w:bdr w:val="nil"/>
        </w:rPr>
        <w:t xml:space="preserve"> may not have financial means to acquire pan-European licences. If the market does not have a possibility to adapt to changes gradually such options could push smaller operators out of this segment of the market. Also, such options may</w:t>
      </w:r>
      <w:r w:rsidRPr="00705E14">
        <w:rPr>
          <w:rFonts w:ascii="Times New Roman" w:eastAsia="Arial Unicode MS" w:hAnsi="Times New Roman" w:cs="Times New Roman"/>
          <w:bCs/>
          <w:sz w:val="24"/>
          <w:szCs w:val="24"/>
          <w:bdr w:val="nil"/>
          <w:lang w:val="en-US"/>
        </w:rPr>
        <w:t xml:space="preserve"> impact the way how the creative, especially </w:t>
      </w:r>
      <w:r>
        <w:rPr>
          <w:rFonts w:ascii="Times New Roman" w:eastAsia="Arial Unicode MS" w:hAnsi="Times New Roman" w:cs="Times New Roman"/>
          <w:bCs/>
          <w:sz w:val="24"/>
          <w:szCs w:val="24"/>
          <w:bdr w:val="nil"/>
          <w:lang w:val="en-US"/>
        </w:rPr>
        <w:t>AV</w:t>
      </w:r>
      <w:r w:rsidRPr="00705E14">
        <w:rPr>
          <w:rFonts w:ascii="Times New Roman" w:eastAsia="Arial Unicode MS" w:hAnsi="Times New Roman" w:cs="Times New Roman"/>
          <w:bCs/>
          <w:sz w:val="24"/>
          <w:szCs w:val="24"/>
          <w:bdr w:val="nil"/>
          <w:lang w:val="en-US"/>
        </w:rPr>
        <w:t>, content is financed and distributed</w:t>
      </w:r>
      <w:r w:rsidRPr="00807CA5">
        <w:rPr>
          <w:rFonts w:ascii="Times New Roman" w:eastAsia="Arial Unicode MS" w:hAnsi="Times New Roman" w:cs="Times New Roman"/>
          <w:bCs/>
          <w:sz w:val="24"/>
          <w:szCs w:val="24"/>
          <w:bdr w:val="nil"/>
          <w:lang w:val="en-US"/>
        </w:rPr>
        <w:t>.</w:t>
      </w:r>
      <w:r w:rsidRPr="00807CA5">
        <w:rPr>
          <w:rFonts w:ascii="Times New Roman" w:eastAsia="Arial Unicode MS" w:hAnsi="Times New Roman" w:cs="Times New Roman"/>
          <w:bCs/>
          <w:sz w:val="24"/>
          <w:szCs w:val="24"/>
          <w:bdr w:val="nil"/>
          <w:vertAlign w:val="superscript"/>
          <w:lang w:val="en-US"/>
        </w:rPr>
        <w:footnoteReference w:id="98"/>
      </w:r>
      <w:r w:rsidRPr="00807CA5">
        <w:rPr>
          <w:rFonts w:ascii="Times New Roman" w:eastAsia="Arial Unicode MS" w:hAnsi="Times New Roman" w:cs="Times New Roman"/>
          <w:bCs/>
          <w:sz w:val="24"/>
          <w:szCs w:val="24"/>
          <w:bdr w:val="nil"/>
          <w:lang w:val="en-US"/>
        </w:rPr>
        <w:t xml:space="preserve"> </w:t>
      </w:r>
    </w:p>
    <w:p w:rsidR="000930E2" w:rsidRPr="000930E2" w:rsidRDefault="0066043F" w:rsidP="000930E2">
      <w:pPr>
        <w:pStyle w:val="Heading5"/>
        <w:tabs>
          <w:tab w:val="left" w:pos="851"/>
        </w:tabs>
        <w:rPr>
          <w:i/>
          <w:sz w:val="16"/>
          <w:szCs w:val="16"/>
        </w:rPr>
      </w:pPr>
      <w:r w:rsidRPr="000930E2">
        <w:t>3.2.2.3.</w:t>
      </w:r>
      <w:r w:rsidR="000930E2">
        <w:tab/>
      </w:r>
      <w:r w:rsidR="00FC609C" w:rsidRPr="000930E2">
        <w:t>What are the impacts of the different policy op</w:t>
      </w:r>
      <w:r w:rsidR="000930E2" w:rsidRPr="000930E2">
        <w:t>tions and who will be affected?</w:t>
      </w:r>
      <w:r w:rsidR="000930E2">
        <w:br/>
      </w:r>
    </w:p>
    <w:tbl>
      <w:tblPr>
        <w:tblStyle w:val="TableGrid6"/>
        <w:tblW w:w="0" w:type="auto"/>
        <w:tblLook w:val="04A0" w:firstRow="1" w:lastRow="0" w:firstColumn="1" w:lastColumn="0" w:noHBand="0" w:noVBand="1"/>
      </w:tblPr>
      <w:tblGrid>
        <w:gridCol w:w="9288"/>
      </w:tblGrid>
      <w:tr w:rsidR="00FC609C" w:rsidRPr="00807CA5" w:rsidTr="00FC609C">
        <w:tc>
          <w:tcPr>
            <w:tcW w:w="9288" w:type="dxa"/>
          </w:tcPr>
          <w:p w:rsidR="00FC609C" w:rsidRPr="00900B79" w:rsidRDefault="00FC609C" w:rsidP="00FC609C">
            <w:pPr>
              <w:jc w:val="both"/>
              <w:rPr>
                <w:b/>
                <w:i/>
                <w:sz w:val="22"/>
                <w:lang w:val="en-US"/>
              </w:rPr>
            </w:pPr>
            <w:r w:rsidRPr="00900B79">
              <w:rPr>
                <w:b/>
                <w:i/>
                <w:lang w:val="en-US"/>
              </w:rPr>
              <w:t>Approach</w:t>
            </w:r>
          </w:p>
          <w:p w:rsidR="00FC609C" w:rsidRPr="008A587E" w:rsidRDefault="00FC609C" w:rsidP="00FC609C">
            <w:pPr>
              <w:spacing w:line="220" w:lineRule="exact"/>
              <w:jc w:val="both"/>
              <w:rPr>
                <w:sz w:val="22"/>
                <w:lang w:val="en-US"/>
              </w:rPr>
            </w:pPr>
            <w:r w:rsidRPr="006E0E32">
              <w:rPr>
                <w:lang w:val="en-US"/>
              </w:rPr>
              <w:t xml:space="preserve">The above options would affect broadcasters, webcasters and other online service providers as well as </w:t>
            </w:r>
            <w:r w:rsidR="006A79F9">
              <w:rPr>
                <w:lang w:val="en-US"/>
              </w:rPr>
              <w:t>r</w:t>
            </w:r>
            <w:r w:rsidR="00007677">
              <w:rPr>
                <w:lang w:val="en-US"/>
              </w:rPr>
              <w:t>ightholders</w:t>
            </w:r>
            <w:r w:rsidRPr="006E0E32">
              <w:rPr>
                <w:lang w:val="en-US"/>
              </w:rPr>
              <w:t xml:space="preserve"> whose works are used in TV and radio programmes. They would also affect consumers. The impacts affecting these groups of stakeholders are presented separately. </w:t>
            </w:r>
          </w:p>
          <w:p w:rsidR="00FC609C" w:rsidRPr="008A587E" w:rsidRDefault="00FC609C" w:rsidP="007D6CF3">
            <w:pPr>
              <w:numPr>
                <w:ilvl w:val="0"/>
                <w:numId w:val="27"/>
              </w:numPr>
              <w:tabs>
                <w:tab w:val="left" w:pos="0"/>
              </w:tabs>
              <w:spacing w:line="220" w:lineRule="exact"/>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Pr="006E0E32">
              <w:rPr>
                <w:rFonts w:eastAsia="Calibri" w:cs="Calibri"/>
                <w:color w:val="000000"/>
                <w:u w:val="single" w:color="000000"/>
              </w:rPr>
              <w:t>broadcasters</w:t>
            </w:r>
            <w:r w:rsidRPr="006E0E32">
              <w:rPr>
                <w:rFonts w:eastAsia="Calibri" w:cs="Calibri"/>
                <w:color w:val="000000"/>
                <w:u w:color="000000"/>
              </w:rPr>
              <w:t>, the following economic impacts have been considered: impacts on transaction costs linked to clearing rights, on possibilities to offer services across borders and</w:t>
            </w:r>
            <w:r>
              <w:rPr>
                <w:rFonts w:eastAsia="Calibri" w:cs="Calibri"/>
                <w:color w:val="000000"/>
                <w:u w:color="000000"/>
              </w:rPr>
              <w:t>, where relevant, impacts</w:t>
            </w:r>
            <w:r w:rsidRPr="006E0E32">
              <w:rPr>
                <w:rFonts w:eastAsia="Calibri" w:cs="Calibri"/>
                <w:color w:val="000000"/>
                <w:u w:color="000000"/>
              </w:rPr>
              <w:t xml:space="preserve"> on licensing costs (licence fees paid by broadcasters to </w:t>
            </w:r>
            <w:r w:rsidR="006A79F9">
              <w:rPr>
                <w:rFonts w:eastAsia="Calibri" w:cs="Calibri"/>
                <w:color w:val="000000"/>
                <w:u w:color="000000"/>
              </w:rPr>
              <w:t>r</w:t>
            </w:r>
            <w:r w:rsidR="00007677">
              <w:rPr>
                <w:rFonts w:eastAsia="Calibri" w:cs="Calibri"/>
                <w:color w:val="000000"/>
                <w:u w:color="000000"/>
              </w:rPr>
              <w:t>ightholders</w:t>
            </w:r>
            <w:r w:rsidRPr="006E0E32">
              <w:rPr>
                <w:rFonts w:eastAsia="Calibri" w:cs="Calibri"/>
                <w:color w:val="000000"/>
                <w:u w:color="000000"/>
              </w:rPr>
              <w:t xml:space="preserve"> directly or through CMOs). </w:t>
            </w:r>
          </w:p>
          <w:p w:rsidR="00FC609C" w:rsidRPr="008A587E" w:rsidRDefault="00FC609C" w:rsidP="007D6CF3">
            <w:pPr>
              <w:numPr>
                <w:ilvl w:val="0"/>
                <w:numId w:val="27"/>
              </w:numPr>
              <w:tabs>
                <w:tab w:val="left" w:pos="0"/>
              </w:tabs>
              <w:spacing w:line="220" w:lineRule="exact"/>
              <w:ind w:left="284" w:hanging="284"/>
              <w:contextualSpacing/>
              <w:jc w:val="both"/>
              <w:rPr>
                <w:rFonts w:eastAsia="Calibri" w:cs="Calibri"/>
                <w:color w:val="000000"/>
                <w:sz w:val="22"/>
                <w:u w:color="000000"/>
              </w:rPr>
            </w:pPr>
            <w:r w:rsidRPr="006E0E32">
              <w:rPr>
                <w:rFonts w:eastAsia="Calibri" w:cs="Calibri"/>
                <w:color w:val="000000"/>
                <w:u w:color="000000"/>
              </w:rPr>
              <w:t xml:space="preserve">The same types of impacts have been examined for </w:t>
            </w:r>
            <w:r w:rsidRPr="008A587E">
              <w:rPr>
                <w:rFonts w:eastAsia="Calibri" w:cs="Calibri"/>
                <w:color w:val="000000"/>
                <w:u w:val="single"/>
              </w:rPr>
              <w:t>webcasters</w:t>
            </w:r>
            <w:r w:rsidRPr="006E0E32">
              <w:rPr>
                <w:rFonts w:eastAsia="Calibri" w:cs="Calibri"/>
                <w:color w:val="000000"/>
                <w:u w:color="000000"/>
              </w:rPr>
              <w:t xml:space="preserve"> in Option 2.</w:t>
            </w:r>
          </w:p>
          <w:p w:rsidR="00FC609C" w:rsidRPr="008A587E" w:rsidRDefault="00FC609C" w:rsidP="007D6CF3">
            <w:pPr>
              <w:numPr>
                <w:ilvl w:val="0"/>
                <w:numId w:val="27"/>
              </w:numPr>
              <w:tabs>
                <w:tab w:val="left" w:pos="0"/>
              </w:tabs>
              <w:spacing w:line="220" w:lineRule="exact"/>
              <w:ind w:left="284" w:hanging="284"/>
              <w:contextualSpacing/>
              <w:jc w:val="both"/>
              <w:rPr>
                <w:rFonts w:eastAsia="Calibri" w:cs="Calibri"/>
                <w:color w:val="000000"/>
                <w:sz w:val="22"/>
                <w:u w:color="000000"/>
              </w:rPr>
            </w:pPr>
            <w:r w:rsidRPr="006E0E32">
              <w:rPr>
                <w:rFonts w:eastAsia="Calibri" w:cs="Calibri"/>
                <w:color w:val="000000"/>
                <w:u w:color="000000"/>
              </w:rPr>
              <w:t xml:space="preserve">In addition, the impacts on the competitive situation with </w:t>
            </w:r>
            <w:r w:rsidRPr="008A587E">
              <w:rPr>
                <w:rFonts w:eastAsia="Calibri" w:cs="Calibri"/>
                <w:color w:val="000000"/>
                <w:u w:val="single"/>
              </w:rPr>
              <w:t>other service providers</w:t>
            </w:r>
            <w:r w:rsidRPr="006E0E32">
              <w:rPr>
                <w:rFonts w:eastAsia="Calibri" w:cs="Calibri"/>
                <w:color w:val="000000"/>
                <w:u w:color="000000"/>
              </w:rPr>
              <w:t xml:space="preserve"> (not covered by the </w:t>
            </w:r>
            <w:r w:rsidR="00996BBA">
              <w:rPr>
                <w:rFonts w:eastAsia="Calibri" w:cs="Calibri"/>
                <w:color w:val="000000"/>
                <w:u w:color="000000"/>
              </w:rPr>
              <w:t>o</w:t>
            </w:r>
            <w:r w:rsidRPr="006E0E32">
              <w:rPr>
                <w:rFonts w:eastAsia="Calibri" w:cs="Calibri"/>
                <w:color w:val="000000"/>
                <w:u w:color="000000"/>
              </w:rPr>
              <w:t xml:space="preserve">ptions) were considered. </w:t>
            </w:r>
          </w:p>
          <w:p w:rsidR="00FC609C" w:rsidRPr="008A587E" w:rsidRDefault="00FC609C" w:rsidP="007D6CF3">
            <w:pPr>
              <w:numPr>
                <w:ilvl w:val="0"/>
                <w:numId w:val="27"/>
              </w:numPr>
              <w:tabs>
                <w:tab w:val="left" w:pos="0"/>
              </w:tabs>
              <w:spacing w:line="220" w:lineRule="exact"/>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006A79F9">
              <w:rPr>
                <w:rFonts w:eastAsia="Calibri" w:cs="Calibri"/>
                <w:color w:val="000000"/>
                <w:u w:val="single" w:color="000000"/>
              </w:rPr>
              <w:t>r</w:t>
            </w:r>
            <w:r w:rsidR="00007677">
              <w:rPr>
                <w:rFonts w:eastAsia="Calibri" w:cs="Calibri"/>
                <w:color w:val="000000"/>
                <w:u w:val="single" w:color="000000"/>
              </w:rPr>
              <w:t>ightholders</w:t>
            </w:r>
            <w:r w:rsidRPr="006E0E32">
              <w:rPr>
                <w:rFonts w:eastAsia="Calibri" w:cs="Calibri"/>
                <w:color w:val="000000"/>
                <w:u w:color="000000"/>
              </w:rPr>
              <w:t xml:space="preserve">, the main economic impacts are on </w:t>
            </w:r>
            <w:r>
              <w:rPr>
                <w:rFonts w:eastAsia="Calibri" w:cs="Calibri"/>
                <w:color w:val="000000"/>
                <w:u w:color="000000"/>
              </w:rPr>
              <w:t>licensing</w:t>
            </w:r>
            <w:r w:rsidRPr="006E0E32">
              <w:rPr>
                <w:rFonts w:eastAsia="Calibri" w:cs="Calibri"/>
                <w:color w:val="000000"/>
                <w:u w:color="000000"/>
              </w:rPr>
              <w:t xml:space="preserve"> models (in particular, a possibility to exploit rights on an exclusive territorial basis) and on licensing revenues. The impacts would vary depending on the sector: the AV works are more often distributed on the basis of territorial exclusivity as compared to other works used in TV and radio programmes (such as music, literary works, artistic works, e.g. photographs). Therefore, impacts are assessed separately for AV, music and visual arts sectors. </w:t>
            </w:r>
          </w:p>
          <w:p w:rsidR="00FC609C" w:rsidRPr="00AD57F7" w:rsidRDefault="00FC609C" w:rsidP="007D6CF3">
            <w:pPr>
              <w:numPr>
                <w:ilvl w:val="0"/>
                <w:numId w:val="27"/>
              </w:numPr>
              <w:tabs>
                <w:tab w:val="left" w:pos="0"/>
              </w:tabs>
              <w:spacing w:line="220" w:lineRule="exact"/>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Pr="006E0E32">
              <w:rPr>
                <w:rFonts w:eastAsia="Calibri" w:cs="Calibri"/>
                <w:color w:val="000000"/>
                <w:u w:val="single" w:color="000000"/>
              </w:rPr>
              <w:t>consumers</w:t>
            </w:r>
            <w:r w:rsidRPr="006E0E32">
              <w:rPr>
                <w:rFonts w:eastAsia="Calibri" w:cs="Calibri"/>
                <w:color w:val="000000"/>
                <w:u w:color="000000"/>
              </w:rPr>
              <w:t>, the impact</w:t>
            </w:r>
            <w:r>
              <w:rPr>
                <w:rFonts w:eastAsia="Calibri" w:cs="Calibri"/>
                <w:color w:val="000000"/>
                <w:u w:color="000000"/>
              </w:rPr>
              <w:t>s</w:t>
            </w:r>
            <w:r w:rsidRPr="006E0E32">
              <w:rPr>
                <w:rFonts w:eastAsia="Calibri" w:cs="Calibri"/>
                <w:color w:val="000000"/>
                <w:u w:color="000000"/>
              </w:rPr>
              <w:t xml:space="preserve"> </w:t>
            </w:r>
            <w:r>
              <w:rPr>
                <w:rFonts w:eastAsia="Calibri" w:cs="Calibri"/>
                <w:color w:val="000000"/>
                <w:u w:color="000000"/>
              </w:rPr>
              <w:t xml:space="preserve">on </w:t>
            </w:r>
            <w:r w:rsidRPr="006E0E32">
              <w:rPr>
                <w:rFonts w:eastAsia="Calibri" w:cs="Calibri"/>
                <w:color w:val="000000"/>
                <w:u w:color="000000"/>
              </w:rPr>
              <w:t>access to online transmission services across borders</w:t>
            </w:r>
            <w:r>
              <w:rPr>
                <w:rFonts w:eastAsia="Calibri" w:cs="Calibri"/>
                <w:color w:val="000000"/>
                <w:u w:color="000000"/>
              </w:rPr>
              <w:t xml:space="preserve"> have been </w:t>
            </w:r>
            <w:r w:rsidRPr="006E0E32">
              <w:rPr>
                <w:rFonts w:eastAsia="Calibri" w:cs="Calibri"/>
                <w:color w:val="000000"/>
                <w:u w:color="000000"/>
              </w:rPr>
              <w:t>considered</w:t>
            </w:r>
            <w:r>
              <w:rPr>
                <w:rFonts w:eastAsia="Calibri" w:cs="Calibri"/>
                <w:color w:val="000000"/>
                <w:u w:color="000000"/>
              </w:rPr>
              <w:t>, as well as impacts on prices (where relevant)</w:t>
            </w:r>
            <w:r w:rsidRPr="006E0E32">
              <w:rPr>
                <w:rFonts w:eastAsia="Calibri" w:cs="Calibri"/>
                <w:color w:val="000000"/>
                <w:u w:color="000000"/>
              </w:rPr>
              <w:t xml:space="preserve">.  </w:t>
            </w:r>
          </w:p>
          <w:p w:rsidR="00954B70" w:rsidRPr="008A587E" w:rsidRDefault="00954B70" w:rsidP="00AD57F7">
            <w:pPr>
              <w:tabs>
                <w:tab w:val="left" w:pos="0"/>
              </w:tabs>
              <w:spacing w:line="220" w:lineRule="exact"/>
              <w:contextualSpacing/>
              <w:jc w:val="both"/>
              <w:rPr>
                <w:rFonts w:eastAsia="Calibri" w:cs="Calibri"/>
                <w:color w:val="000000"/>
                <w:sz w:val="22"/>
                <w:u w:color="000000"/>
              </w:rPr>
            </w:pPr>
          </w:p>
          <w:p w:rsidR="00FC609C" w:rsidRPr="00D1507D" w:rsidRDefault="00FC609C" w:rsidP="00FC609C">
            <w:pPr>
              <w:spacing w:line="220" w:lineRule="exact"/>
              <w:jc w:val="both"/>
              <w:rPr>
                <w:b/>
                <w:lang w:val="en-US"/>
              </w:rPr>
            </w:pPr>
            <w:r w:rsidRPr="00954B70">
              <w:t>T</w:t>
            </w:r>
            <w:r w:rsidRPr="00954B70">
              <w:rPr>
                <w:lang w:val="en-US"/>
              </w:rPr>
              <w:t xml:space="preserve">he majority of commercial broadcasters as well as </w:t>
            </w:r>
            <w:r w:rsidR="00007677">
              <w:rPr>
                <w:lang w:val="en-US"/>
              </w:rPr>
              <w:t>Rightholders</w:t>
            </w:r>
            <w:r w:rsidRPr="00954B70">
              <w:rPr>
                <w:lang w:val="en-US"/>
              </w:rPr>
              <w:t xml:space="preserve"> and CMOs are concerned that the intervention may oblige broadcasters to provide consumers with cross-border access to their online services.</w:t>
            </w:r>
            <w:r w:rsidRPr="00954B70">
              <w:rPr>
                <w:rStyle w:val="FootnoteReference"/>
                <w:lang w:val="en-US"/>
              </w:rPr>
              <w:footnoteReference w:id="99"/>
            </w:r>
            <w:r w:rsidRPr="00954B70">
              <w:rPr>
                <w:lang w:val="en-US"/>
              </w:rPr>
              <w:t xml:space="preserve"> As explained above, the options considered in this IA would not oblige broadcasters to provide services across borders and would not entail any rules limiting the contractual freedom of broadcasters and </w:t>
            </w:r>
            <w:r w:rsidR="00007677">
              <w:rPr>
                <w:lang w:val="en-US"/>
              </w:rPr>
              <w:t>Rightholders</w:t>
            </w:r>
            <w:r w:rsidRPr="00954B70">
              <w:rPr>
                <w:lang w:val="en-US"/>
              </w:rPr>
              <w:t>. The same stakeholders also underlin</w:t>
            </w:r>
            <w:r w:rsidR="005E06F2">
              <w:rPr>
                <w:lang w:val="en-US"/>
              </w:rPr>
              <w:t>e a risk that introducing the Co</w:t>
            </w:r>
            <w:r w:rsidRPr="00954B70">
              <w:rPr>
                <w:lang w:val="en-US"/>
              </w:rPr>
              <w:t xml:space="preserve">O rule for online transmissions will weaken territorial licensing of rights (or even lead to mandatory pan-European licensing). They argue </w:t>
            </w:r>
            <w:r w:rsidR="005E06F2">
              <w:rPr>
                <w:lang w:val="en-US"/>
              </w:rPr>
              <w:t>that the establishment of the Co</w:t>
            </w:r>
            <w:r w:rsidRPr="00954B70">
              <w:rPr>
                <w:lang w:val="en-US"/>
              </w:rPr>
              <w:t xml:space="preserve">O rule in combination with the application of the free movement of services principle and competition law would have a detrimental effect on territorial licensing. </w:t>
            </w:r>
            <w:r w:rsidRPr="00D0634C">
              <w:rPr>
                <w:lang w:val="en-US"/>
              </w:rPr>
              <w:t>As</w:t>
            </w:r>
            <w:r w:rsidRPr="00D0634C">
              <w:t xml:space="preserve"> </w:t>
            </w:r>
            <w:r w:rsidRPr="00D0634C">
              <w:rPr>
                <w:lang w:val="en-US"/>
              </w:rPr>
              <w:t xml:space="preserve">it is not possible to predict </w:t>
            </w:r>
            <w:r w:rsidR="00D0634C">
              <w:rPr>
                <w:lang w:val="en-US"/>
              </w:rPr>
              <w:t>the</w:t>
            </w:r>
            <w:r w:rsidR="00D0634C" w:rsidRPr="00D0634C">
              <w:rPr>
                <w:lang w:val="en-US"/>
              </w:rPr>
              <w:t xml:space="preserve"> </w:t>
            </w:r>
            <w:r w:rsidRPr="00D0634C">
              <w:rPr>
                <w:lang w:val="en-US"/>
              </w:rPr>
              <w:t>future effect</w:t>
            </w:r>
            <w:r w:rsidR="00D0634C">
              <w:rPr>
                <w:lang w:val="en-US"/>
              </w:rPr>
              <w:t>s</w:t>
            </w:r>
            <w:r w:rsidRPr="00D0634C">
              <w:rPr>
                <w:lang w:val="en-US"/>
              </w:rPr>
              <w:t xml:space="preserve"> that the application of the free movement of services principle and competition law may have on </w:t>
            </w:r>
            <w:r w:rsidR="00D0634C">
              <w:rPr>
                <w:lang w:val="en-US"/>
              </w:rPr>
              <w:t xml:space="preserve">the </w:t>
            </w:r>
            <w:r w:rsidRPr="00D0634C">
              <w:rPr>
                <w:lang w:val="en-US"/>
              </w:rPr>
              <w:t xml:space="preserve">territorial licensing of rights, this IA does not </w:t>
            </w:r>
            <w:r w:rsidR="00D0634C" w:rsidRPr="00D0634C">
              <w:rPr>
                <w:lang w:val="en-US"/>
              </w:rPr>
              <w:t>a</w:t>
            </w:r>
            <w:r w:rsidR="00D0634C">
              <w:rPr>
                <w:lang w:val="en-US"/>
              </w:rPr>
              <w:t>ttempt to assess</w:t>
            </w:r>
            <w:r w:rsidR="00D0634C" w:rsidRPr="00D0634C">
              <w:rPr>
                <w:lang w:val="en-US"/>
              </w:rPr>
              <w:t xml:space="preserve"> </w:t>
            </w:r>
            <w:r w:rsidRPr="00D0634C">
              <w:rPr>
                <w:lang w:val="en-US"/>
              </w:rPr>
              <w:t xml:space="preserve">impacts that the proposed intervention may have in combination with these rules. </w:t>
            </w:r>
          </w:p>
          <w:p w:rsidR="00954B70" w:rsidRPr="00B53E15" w:rsidRDefault="00954B70" w:rsidP="00FC609C">
            <w:pPr>
              <w:spacing w:line="220" w:lineRule="exact"/>
              <w:jc w:val="both"/>
              <w:rPr>
                <w:lang w:val="en-US"/>
              </w:rPr>
            </w:pPr>
          </w:p>
          <w:p w:rsidR="00FC609C" w:rsidRPr="00807CA5" w:rsidRDefault="00FC609C" w:rsidP="00FC609C">
            <w:pPr>
              <w:tabs>
                <w:tab w:val="left" w:pos="0"/>
              </w:tabs>
              <w:spacing w:line="220" w:lineRule="exact"/>
              <w:jc w:val="both"/>
              <w:rPr>
                <w:sz w:val="24"/>
                <w:lang w:val="en-US"/>
              </w:rPr>
            </w:pPr>
            <w:r w:rsidRPr="006E0E32">
              <w:rPr>
                <w:lang w:val="en-US"/>
              </w:rPr>
              <w:t xml:space="preserve">The assessment below is mainly qualitative, as the publicly available data or data that could be obtained from stakeholders on licensing revenues and transaction costs is limited. </w:t>
            </w:r>
          </w:p>
        </w:tc>
      </w:tr>
    </w:tbl>
    <w:p w:rsidR="00FC609C" w:rsidRPr="000930E2" w:rsidRDefault="00FC609C" w:rsidP="000930E2">
      <w:pPr>
        <w:pStyle w:val="Text1"/>
        <w:ind w:left="0"/>
        <w:rPr>
          <w:rFonts w:eastAsia="Times New Roman"/>
          <w:b/>
          <w:color w:val="000000"/>
          <w:szCs w:val="24"/>
          <w:u w:val="single"/>
          <w:bdr w:val="nil"/>
        </w:rPr>
      </w:pPr>
      <w:r w:rsidRPr="000930E2">
        <w:rPr>
          <w:rFonts w:eastAsia="Times New Roman"/>
          <w:b/>
          <w:color w:val="000000"/>
          <w:szCs w:val="24"/>
          <w:u w:val="single"/>
          <w:bdr w:val="nil"/>
        </w:rPr>
        <w:t>Baseline</w:t>
      </w:r>
    </w:p>
    <w:p w:rsidR="00FC609C" w:rsidRPr="008E65EE" w:rsidRDefault="00FC609C" w:rsidP="000930E2">
      <w:pPr>
        <w:pStyle w:val="Text1"/>
        <w:ind w:left="0"/>
        <w:rPr>
          <w:rFonts w:ascii="Times New Roman Bold" w:eastAsia="Arial Unicode MS" w:hAnsi="Times New Roman Bold" w:hint="eastAsia"/>
          <w:b/>
          <w:smallCaps/>
          <w:szCs w:val="24"/>
          <w:bdr w:val="nil"/>
        </w:rPr>
      </w:pPr>
      <w:r w:rsidRPr="008E65EE">
        <w:rPr>
          <w:rFonts w:ascii="Times New Roman Bold" w:eastAsia="Arial Unicode MS" w:hAnsi="Times New Roman Bold"/>
          <w:b/>
          <w:smallCaps/>
          <w:szCs w:val="24"/>
          <w:bdr w:val="nil"/>
        </w:rPr>
        <w:t xml:space="preserve">Impacts on stakeholders </w:t>
      </w:r>
    </w:p>
    <w:p w:rsidR="00FC609C" w:rsidRPr="00807CA5" w:rsidRDefault="00FC609C" w:rsidP="000930E2">
      <w:pPr>
        <w:pStyle w:val="Text1"/>
        <w:ind w:left="0"/>
        <w:rPr>
          <w:rFonts w:eastAsia="Arial Unicode MS" w:hAnsi="Arial Unicode MS" w:cs="Arial Unicode MS"/>
          <w:b/>
          <w:bCs/>
          <w:color w:val="000000"/>
          <w:szCs w:val="24"/>
          <w:u w:color="000000"/>
          <w:bdr w:val="nil"/>
        </w:rPr>
      </w:pPr>
      <w:r w:rsidRPr="00807CA5">
        <w:rPr>
          <w:rFonts w:eastAsia="Arial Unicode MS" w:hAnsi="Arial Unicode MS" w:cs="Arial Unicode MS"/>
          <w:b/>
          <w:bCs/>
          <w:color w:val="000000"/>
          <w:szCs w:val="24"/>
          <w:u w:color="000000"/>
          <w:bdr w:val="nil"/>
        </w:rPr>
        <w:t>Broadcasters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transaction costs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Under the baseline scenario, broadcasters would continue </w:t>
      </w:r>
      <w:r>
        <w:rPr>
          <w:rFonts w:ascii="Times New Roman" w:eastAsia="Arial Unicode MS" w:hAnsi="Arial Unicode MS" w:cs="Arial Unicode MS"/>
          <w:bCs/>
          <w:color w:val="000000"/>
          <w:sz w:val="24"/>
          <w:szCs w:val="24"/>
          <w:u w:color="000000"/>
          <w:bdr w:val="nil"/>
          <w:lang w:eastAsia="en-GB"/>
        </w:rPr>
        <w:t xml:space="preserve">facing </w:t>
      </w:r>
      <w:r w:rsidRPr="00807CA5">
        <w:rPr>
          <w:rFonts w:ascii="Times New Roman" w:eastAsia="Arial Unicode MS" w:hAnsi="Arial Unicode MS" w:cs="Arial Unicode MS"/>
          <w:bCs/>
          <w:color w:val="000000"/>
          <w:sz w:val="24"/>
          <w:szCs w:val="24"/>
          <w:u w:color="000000"/>
          <w:bdr w:val="nil"/>
          <w:lang w:eastAsia="en-GB"/>
        </w:rPr>
        <w:t>high transaction costs linked to licensing of rights for cross-border online transmissions</w:t>
      </w:r>
      <w:r>
        <w:rPr>
          <w:rFonts w:ascii="Times New Roman" w:eastAsia="Arial Unicode MS" w:hAnsi="Arial Unicode MS" w:cs="Arial Unicode MS"/>
          <w:bCs/>
          <w:color w:val="000000"/>
          <w:sz w:val="24"/>
          <w:szCs w:val="24"/>
          <w:u w:color="000000"/>
          <w:bdr w:val="nil"/>
          <w:lang w:eastAsia="en-GB"/>
        </w:rPr>
        <w:t>, including for their own programmes</w:t>
      </w:r>
      <w:r w:rsidRPr="00807CA5">
        <w:rPr>
          <w:rFonts w:ascii="Times New Roman" w:eastAsia="Arial Unicode MS" w:hAnsi="Arial Unicode MS" w:cs="Arial Unicode MS"/>
          <w:bCs/>
          <w:color w:val="000000"/>
          <w:sz w:val="24"/>
          <w:szCs w:val="24"/>
          <w:u w:color="000000"/>
          <w:bdr w:val="nil"/>
          <w:lang w:eastAsia="en-GB"/>
        </w:rPr>
        <w:t>.</w:t>
      </w:r>
      <w:r>
        <w:rPr>
          <w:rFonts w:ascii="Times New Roman" w:eastAsia="Arial Unicode MS" w:hAnsi="Arial Unicode MS" w:cs="Arial Unicode MS"/>
          <w:bCs/>
          <w:color w:val="000000"/>
          <w:sz w:val="24"/>
          <w:szCs w:val="24"/>
          <w:u w:color="000000"/>
          <w:bdr w:val="nil"/>
          <w:lang w:eastAsia="en-GB"/>
        </w:rPr>
        <w:t xml:space="preserve"> </w:t>
      </w:r>
      <w:r w:rsidRPr="000930E2">
        <w:rPr>
          <w:rFonts w:ascii="Times New Roman" w:eastAsia="Arial Unicode MS" w:hAnsi="Times New Roman" w:cs="Times New Roman"/>
          <w:sz w:val="24"/>
          <w:szCs w:val="24"/>
          <w:bdr w:val="nil"/>
        </w:rPr>
        <w:t>Existing</w:t>
      </w:r>
      <w:r>
        <w:rPr>
          <w:rFonts w:ascii="Times New Roman" w:eastAsia="Arial Unicode MS" w:hAnsi="Arial Unicode MS" w:cs="Arial Unicode MS"/>
          <w:bCs/>
          <w:color w:val="000000"/>
          <w:sz w:val="24"/>
          <w:szCs w:val="24"/>
          <w:u w:color="000000"/>
          <w:bdr w:val="nil"/>
          <w:lang w:eastAsia="en-GB"/>
        </w:rPr>
        <w:t xml:space="preserve"> voluntary initiatives aimed at promoting the aggregation of rights and the granting of multi-territorial licences, as mentioned </w:t>
      </w:r>
      <w:r w:rsidRPr="0035328D">
        <w:rPr>
          <w:rFonts w:ascii="Times New Roman" w:eastAsia="Arial Unicode MS" w:hAnsi="Arial Unicode MS" w:cs="Arial Unicode MS"/>
          <w:bCs/>
          <w:color w:val="000000"/>
          <w:sz w:val="24"/>
          <w:szCs w:val="24"/>
          <w:u w:color="000000"/>
          <w:bdr w:val="nil"/>
          <w:lang w:eastAsia="en-GB"/>
        </w:rPr>
        <w:t>in section</w:t>
      </w:r>
      <w:r w:rsidRPr="0035328D">
        <w:rPr>
          <w:rFonts w:ascii="Times New Roman" w:eastAsia="Arial Unicode MS" w:hAnsi="Arial Unicode MS" w:cs="Arial Unicode MS"/>
          <w:bCs/>
          <w:color w:val="000000"/>
          <w:sz w:val="24"/>
          <w:szCs w:val="24"/>
          <w:u w:color="000000"/>
          <w:bdr w:val="nil"/>
        </w:rPr>
        <w:t xml:space="preserve"> 3.2.2.1, could nevertheless contribute to facilitating the clearance of rights for musica</w:t>
      </w:r>
      <w:r>
        <w:rPr>
          <w:rFonts w:ascii="Times New Roman" w:eastAsia="Arial Unicode MS" w:hAnsi="Arial Unicode MS" w:cs="Arial Unicode MS"/>
          <w:bCs/>
          <w:color w:val="000000"/>
          <w:sz w:val="24"/>
          <w:szCs w:val="24"/>
          <w:u w:color="000000"/>
          <w:bdr w:val="nil"/>
        </w:rPr>
        <w:t xml:space="preserve">l works and phonograms used in </w:t>
      </w:r>
      <w:r w:rsidRPr="00CA3C85">
        <w:rPr>
          <w:rFonts w:ascii="Times New Roman" w:eastAsia="Arial Unicode MS" w:hAnsi="Arial Unicode MS" w:cs="Arial Unicode MS"/>
          <w:bCs/>
          <w:color w:val="000000"/>
          <w:sz w:val="24"/>
          <w:szCs w:val="24"/>
          <w:u w:color="000000"/>
          <w:bdr w:val="nil"/>
        </w:rPr>
        <w:t xml:space="preserve">in radio and TV </w:t>
      </w:r>
      <w:r>
        <w:rPr>
          <w:rFonts w:ascii="Times New Roman" w:eastAsia="Arial Unicode MS" w:hAnsi="Arial Unicode MS" w:cs="Arial Unicode MS"/>
          <w:bCs/>
          <w:color w:val="000000"/>
          <w:sz w:val="24"/>
          <w:szCs w:val="24"/>
          <w:u w:color="000000"/>
          <w:bdr w:val="nil"/>
        </w:rPr>
        <w:t>broadcasts.</w:t>
      </w:r>
    </w:p>
    <w:p w:rsidR="00987544"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vertAlign w:val="superscript"/>
          <w:lang w:eastAsia="en-GB"/>
        </w:rPr>
      </w:pPr>
      <w:r w:rsidRPr="008A587E">
        <w:rPr>
          <w:rFonts w:ascii="Times New Roman" w:eastAsia="Arial Unicode MS" w:hAnsi="Times New Roman" w:cs="Arial Unicode MS"/>
          <w:color w:val="000000"/>
          <w:sz w:val="24"/>
          <w:szCs w:val="24"/>
          <w:u w:val="single" w:color="000000"/>
          <w:bdr w:val="nil"/>
          <w:lang w:eastAsia="en-GB"/>
        </w:rPr>
        <w:t>Impacts on possibilities to offer services across borders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 xml:space="preserve">Due to persisting difficulties in </w:t>
      </w:r>
      <w:r w:rsidRPr="00807CA5">
        <w:rPr>
          <w:rFonts w:ascii="Times New Roman" w:eastAsia="Arial Unicode MS" w:hAnsi="Arial Unicode MS" w:cs="Arial Unicode MS"/>
          <w:bCs/>
          <w:color w:val="000000"/>
          <w:sz w:val="24"/>
          <w:szCs w:val="24"/>
          <w:u w:color="000000"/>
          <w:bdr w:val="nil"/>
          <w:lang w:eastAsia="en-GB"/>
        </w:rPr>
        <w:t>acqui</w:t>
      </w:r>
      <w:r>
        <w:rPr>
          <w:rFonts w:ascii="Times New Roman" w:eastAsia="Arial Unicode MS" w:hAnsi="Arial Unicode MS" w:cs="Arial Unicode MS"/>
          <w:bCs/>
          <w:color w:val="000000"/>
          <w:sz w:val="24"/>
          <w:szCs w:val="24"/>
          <w:u w:color="000000"/>
          <w:bdr w:val="nil"/>
          <w:lang w:eastAsia="en-GB"/>
        </w:rPr>
        <w:t xml:space="preserve">ring underlying </w:t>
      </w:r>
      <w:r w:rsidRPr="00807CA5">
        <w:rPr>
          <w:rFonts w:ascii="Times New Roman" w:eastAsia="Arial Unicode MS" w:hAnsi="Arial Unicode MS" w:cs="Arial Unicode MS"/>
          <w:bCs/>
          <w:color w:val="000000"/>
          <w:sz w:val="24"/>
          <w:szCs w:val="24"/>
          <w:u w:color="000000"/>
          <w:bdr w:val="nil"/>
          <w:lang w:eastAsia="en-GB"/>
        </w:rPr>
        <w:t>rights for online cross-border transmissions</w:t>
      </w:r>
      <w:r>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 xml:space="preserve">broadcasters </w:t>
      </w:r>
      <w:r>
        <w:rPr>
          <w:rFonts w:ascii="Times New Roman" w:eastAsia="Arial Unicode MS" w:hAnsi="Arial Unicode MS" w:cs="Arial Unicode MS"/>
          <w:bCs/>
          <w:color w:val="000000"/>
          <w:sz w:val="24"/>
          <w:szCs w:val="24"/>
          <w:u w:color="000000"/>
          <w:bdr w:val="nil"/>
          <w:lang w:eastAsia="en-GB"/>
        </w:rPr>
        <w:t xml:space="preserve">are likely </w:t>
      </w:r>
      <w:r w:rsidRPr="00807CA5">
        <w:rPr>
          <w:rFonts w:ascii="Times New Roman" w:eastAsia="Arial Unicode MS" w:hAnsi="Arial Unicode MS" w:cs="Arial Unicode MS"/>
          <w:bCs/>
          <w:color w:val="000000"/>
          <w:sz w:val="24"/>
          <w:szCs w:val="24"/>
          <w:u w:color="000000"/>
          <w:bdr w:val="nil"/>
          <w:lang w:eastAsia="en-GB"/>
        </w:rPr>
        <w:t>to continue geo-block</w:t>
      </w:r>
      <w:r>
        <w:rPr>
          <w:rFonts w:ascii="Times New Roman" w:eastAsia="Arial Unicode MS" w:hAnsi="Arial Unicode MS" w:cs="Arial Unicode MS"/>
          <w:bCs/>
          <w:color w:val="000000"/>
          <w:sz w:val="24"/>
          <w:szCs w:val="24"/>
          <w:u w:color="000000"/>
          <w:bdr w:val="nil"/>
          <w:lang w:eastAsia="en-GB"/>
        </w:rPr>
        <w:t>ing</w:t>
      </w:r>
      <w:r w:rsidRPr="00807CA5">
        <w:rPr>
          <w:rFonts w:ascii="Times New Roman" w:eastAsia="Arial Unicode MS" w:hAnsi="Arial Unicode MS" w:cs="Arial Unicode MS"/>
          <w:bCs/>
          <w:color w:val="000000"/>
          <w:sz w:val="24"/>
          <w:szCs w:val="24"/>
          <w:u w:color="000000"/>
          <w:bdr w:val="nil"/>
          <w:lang w:eastAsia="en-GB"/>
        </w:rPr>
        <w:t xml:space="preserve"> access to their own programm</w:t>
      </w:r>
      <w:r>
        <w:rPr>
          <w:rFonts w:ascii="Times New Roman" w:eastAsia="Arial Unicode MS" w:hAnsi="Arial Unicode MS" w:cs="Arial Unicode MS"/>
          <w:bCs/>
          <w:color w:val="000000"/>
          <w:sz w:val="24"/>
          <w:szCs w:val="24"/>
          <w:u w:color="000000"/>
          <w:bdr w:val="nil"/>
          <w:lang w:eastAsia="en-GB"/>
        </w:rPr>
        <w:t>es</w:t>
      </w:r>
      <w:r w:rsidRPr="00807CA5">
        <w:rPr>
          <w:rFonts w:ascii="Times New Roman" w:eastAsia="Arial Unicode MS" w:hAnsi="Arial Unicode MS" w:cs="Arial Unicode MS"/>
          <w:bC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vertAlign w:val="superscript"/>
          <w:lang w:eastAsia="en-GB"/>
        </w:rPr>
        <w:t xml:space="preserve"> </w:t>
      </w:r>
    </w:p>
    <w:p w:rsidR="00987544" w:rsidRPr="00C37912"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C32C45">
        <w:rPr>
          <w:rFonts w:ascii="Times New Roman" w:eastAsia="Arial Unicode MS" w:hAnsi="Arial Unicode MS" w:cs="Arial Unicode MS"/>
          <w:bCs/>
          <w:color w:val="000000"/>
          <w:sz w:val="24"/>
          <w:szCs w:val="24"/>
          <w:u w:color="000000"/>
          <w:bdr w:val="nil"/>
          <w:lang w:eastAsia="en-GB"/>
        </w:rPr>
        <w:t>AV premium</w:t>
      </w:r>
      <w:r w:rsidRPr="00807CA5">
        <w:rPr>
          <w:rFonts w:ascii="Times New Roman" w:eastAsia="Arial Unicode MS" w:hAnsi="Arial Unicode MS" w:cs="Arial Unicode MS"/>
          <w:bCs/>
          <w:i/>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content</w:t>
      </w:r>
      <w:r>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 xml:space="preserve">is </w:t>
      </w:r>
      <w:r w:rsidRPr="00705E14">
        <w:rPr>
          <w:rFonts w:ascii="Times New Roman" w:eastAsia="Arial Unicode MS" w:hAnsi="Arial Unicode MS" w:cs="Arial Unicode MS"/>
          <w:bCs/>
          <w:color w:val="000000"/>
          <w:sz w:val="24"/>
          <w:szCs w:val="24"/>
          <w:u w:color="000000"/>
          <w:bdr w:val="nil"/>
          <w:lang w:eastAsia="en-GB"/>
        </w:rPr>
        <w:t xml:space="preserve">likely to continue being licensed on a </w:t>
      </w:r>
      <w:r w:rsidRPr="000930E2">
        <w:rPr>
          <w:rFonts w:ascii="Times New Roman" w:eastAsia="Arial Unicode MS" w:hAnsi="Times New Roman" w:cs="Times New Roman"/>
          <w:sz w:val="24"/>
          <w:szCs w:val="24"/>
          <w:bdr w:val="nil"/>
        </w:rPr>
        <w:t>territorial</w:t>
      </w:r>
      <w:r w:rsidRPr="00705E14">
        <w:rPr>
          <w:rFonts w:ascii="Times New Roman" w:eastAsia="Arial Unicode MS" w:hAnsi="Arial Unicode MS" w:cs="Arial Unicode MS"/>
          <w:bCs/>
          <w:color w:val="000000"/>
          <w:sz w:val="24"/>
          <w:szCs w:val="24"/>
          <w:u w:color="000000"/>
          <w:bdr w:val="nil"/>
          <w:lang w:eastAsia="en-GB"/>
        </w:rPr>
        <w:t xml:space="preserve"> basis</w:t>
      </w:r>
      <w:r>
        <w:rPr>
          <w:rFonts w:ascii="Times New Roman" w:eastAsia="Arial Unicode MS" w:hAnsi="Arial Unicode MS" w:cs="Arial Unicode MS"/>
          <w:bCs/>
          <w:color w:val="000000"/>
          <w:sz w:val="24"/>
          <w:szCs w:val="24"/>
          <w:u w:color="000000"/>
          <w:bdr w:val="nil"/>
          <w:lang w:eastAsia="en-GB"/>
        </w:rPr>
        <w:t xml:space="preserve"> </w:t>
      </w:r>
      <w:r w:rsidR="000F05D6">
        <w:rPr>
          <w:rFonts w:ascii="Times New Roman" w:eastAsia="Arial Unicode MS" w:hAnsi="Arial Unicode MS" w:cs="Arial Unicode MS"/>
          <w:bCs/>
          <w:color w:val="000000"/>
          <w:sz w:val="24"/>
          <w:szCs w:val="24"/>
          <w:u w:color="000000"/>
          <w:bdr w:val="nil"/>
          <w:lang w:eastAsia="en-GB"/>
        </w:rPr>
        <w:t>and with</w:t>
      </w:r>
      <w:r w:rsidRPr="00705E14">
        <w:rPr>
          <w:rFonts w:ascii="Times New Roman" w:eastAsia="Arial Unicode MS" w:hAnsi="Arial Unicode MS" w:cs="Arial Unicode MS"/>
          <w:bCs/>
          <w:color w:val="000000"/>
          <w:sz w:val="24"/>
          <w:szCs w:val="24"/>
          <w:u w:color="000000"/>
          <w:bdr w:val="nil"/>
          <w:lang w:eastAsia="en-GB"/>
        </w:rPr>
        <w:t xml:space="preserve"> either the entire programme being geo-blocked or certain parts of the programme being blacked-out.  </w:t>
      </w:r>
      <w:r>
        <w:rPr>
          <w:rFonts w:ascii="Times New Roman" w:eastAsia="Arial Unicode MS" w:hAnsi="Arial Unicode MS" w:cs="Arial Unicode MS"/>
          <w:bCs/>
          <w:color w:val="000000"/>
          <w:sz w:val="24"/>
          <w:szCs w:val="24"/>
          <w:u w:color="000000"/>
          <w:bdr w:val="nil"/>
          <w:lang w:eastAsia="en-GB"/>
        </w:rPr>
        <w:t>These</w:t>
      </w:r>
      <w:r w:rsidRPr="00705E14">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a</w:t>
      </w:r>
      <w:r w:rsidRPr="00705E14">
        <w:rPr>
          <w:rFonts w:ascii="Times New Roman" w:eastAsia="Arial Unicode MS" w:hAnsi="Arial Unicode MS" w:cs="Arial Unicode MS"/>
          <w:bCs/>
          <w:color w:val="000000"/>
          <w:sz w:val="24"/>
          <w:szCs w:val="24"/>
          <w:u w:color="000000"/>
          <w:bdr w:val="nil"/>
          <w:lang w:eastAsia="en-GB"/>
        </w:rPr>
        <w:t>greements</w:t>
      </w:r>
      <w:r>
        <w:rPr>
          <w:rFonts w:ascii="Times New Roman" w:eastAsia="Arial Unicode MS" w:hAnsi="Arial Unicode MS" w:cs="Arial Unicode MS"/>
          <w:bCs/>
          <w:color w:val="000000"/>
          <w:sz w:val="24"/>
          <w:szCs w:val="24"/>
          <w:u w:color="000000"/>
          <w:bdr w:val="nil"/>
          <w:lang w:eastAsia="en-GB"/>
        </w:rPr>
        <w:t xml:space="preserve"> based on territorial exclusivity </w:t>
      </w:r>
      <w:r w:rsidRPr="00705E14">
        <w:rPr>
          <w:rFonts w:ascii="Times New Roman" w:eastAsia="Arial Unicode MS" w:hAnsi="Arial Unicode MS" w:cs="Arial Unicode MS"/>
          <w:bCs/>
          <w:color w:val="000000"/>
          <w:sz w:val="24"/>
          <w:szCs w:val="24"/>
          <w:u w:color="000000"/>
          <w:bdr w:val="nil"/>
          <w:lang w:eastAsia="en-GB"/>
        </w:rPr>
        <w:t xml:space="preserve">would be subject to the </w:t>
      </w:r>
      <w:r w:rsidRPr="00705E14">
        <w:rPr>
          <w:rFonts w:ascii="Times New Roman" w:eastAsia="Arial Unicode MS" w:hAnsi="Arial Unicode MS" w:cs="Arial Unicode MS"/>
          <w:color w:val="000000"/>
          <w:sz w:val="24"/>
          <w:szCs w:val="24"/>
          <w:u w:color="000000"/>
          <w:bdr w:val="nil"/>
          <w:lang w:eastAsia="en-GB"/>
        </w:rPr>
        <w:t>application of EU law</w:t>
      </w:r>
      <w:r w:rsidR="00987544">
        <w:rPr>
          <w:rFonts w:ascii="Times New Roman" w:eastAsia="Arial Unicode MS" w:hAnsi="Arial Unicode MS" w:cs="Arial Unicode MS"/>
          <w:color w:val="000000"/>
          <w:sz w:val="24"/>
          <w:szCs w:val="24"/>
          <w:u w:color="000000"/>
          <w:bdr w:val="nil"/>
          <w:lang w:eastAsia="en-GB"/>
        </w:rPr>
        <w:t xml:space="preserve">, </w:t>
      </w:r>
      <w:r w:rsidR="00987544" w:rsidRPr="00C37912">
        <w:rPr>
          <w:rFonts w:ascii="Times New Roman" w:eastAsia="Arial Unicode MS" w:hAnsi="Arial Unicode MS" w:cs="Arial Unicode MS"/>
          <w:color w:val="000000"/>
          <w:sz w:val="24"/>
          <w:szCs w:val="24"/>
          <w:u w:color="000000"/>
          <w:bdr w:val="nil"/>
          <w:lang w:eastAsia="en-GB"/>
        </w:rPr>
        <w:t>notably as regards the application of the free movement of services principle and competition law</w:t>
      </w:r>
      <w:r w:rsidR="000F63BB">
        <w:rPr>
          <w:rFonts w:ascii="Times New Roman" w:eastAsia="Arial Unicode MS" w:hAnsi="Arial Unicode MS" w:cs="Arial Unicode MS"/>
          <w:color w:val="000000"/>
          <w:sz w:val="24"/>
          <w:szCs w:val="24"/>
          <w:u w:color="000000"/>
          <w:bdr w:val="nil"/>
          <w:lang w:eastAsia="en-GB"/>
        </w:rPr>
        <w:t>.</w:t>
      </w:r>
      <w:r w:rsidR="00987544" w:rsidRPr="00C37912">
        <w:rPr>
          <w:rFonts w:ascii="Times New Roman" w:hAnsi="Times New Roman"/>
          <w:sz w:val="24"/>
          <w:szCs w:val="24"/>
          <w:vertAlign w:val="superscript"/>
          <w:lang w:eastAsia="en-GB"/>
        </w:rPr>
        <w:footnoteReference w:id="100"/>
      </w:r>
      <w:r w:rsidRPr="00C37912">
        <w:rPr>
          <w:rFonts w:ascii="Times New Roman" w:eastAsia="Arial Unicode MS" w:hAnsi="Arial Unicode MS" w:cs="Arial Unicode MS"/>
          <w:bCs/>
          <w:color w:val="000000"/>
          <w:sz w:val="24"/>
          <w:szCs w:val="24"/>
          <w:u w:color="000000"/>
          <w:bdr w:val="nil"/>
          <w:lang w:eastAsia="en-GB"/>
        </w:rPr>
        <w:t xml:space="preserve"> </w:t>
      </w:r>
      <w:r w:rsidR="00987544" w:rsidRPr="00C37912">
        <w:rPr>
          <w:rFonts w:ascii="Times New Roman" w:eastAsia="Arial Unicode MS" w:hAnsi="Arial Unicode MS" w:cs="Arial Unicode MS"/>
          <w:color w:val="000000"/>
          <w:sz w:val="24"/>
          <w:szCs w:val="24"/>
          <w:u w:color="000000"/>
          <w:bdr w:val="nil"/>
          <w:lang w:eastAsia="en-GB"/>
        </w:rPr>
        <w:t xml:space="preserve">However, it is not possible to predict </w:t>
      </w:r>
      <w:r w:rsidR="00C37912">
        <w:rPr>
          <w:rFonts w:ascii="Times New Roman" w:eastAsia="Arial Unicode MS" w:hAnsi="Arial Unicode MS" w:cs="Arial Unicode MS"/>
          <w:color w:val="000000"/>
          <w:sz w:val="24"/>
          <w:szCs w:val="24"/>
          <w:u w:color="000000"/>
          <w:bdr w:val="nil"/>
          <w:lang w:eastAsia="en-GB"/>
        </w:rPr>
        <w:t xml:space="preserve">the </w:t>
      </w:r>
      <w:r w:rsidR="00987544" w:rsidRPr="00C37912">
        <w:rPr>
          <w:rFonts w:ascii="Times New Roman" w:eastAsia="Arial Unicode MS" w:hAnsi="Arial Unicode MS" w:cs="Arial Unicode MS"/>
          <w:color w:val="000000"/>
          <w:sz w:val="24"/>
          <w:szCs w:val="24"/>
          <w:u w:color="000000"/>
          <w:bdr w:val="nil"/>
          <w:lang w:eastAsia="en-GB"/>
        </w:rPr>
        <w:t>future effect</w:t>
      </w:r>
      <w:r w:rsidR="00C37912">
        <w:rPr>
          <w:rFonts w:ascii="Times New Roman" w:eastAsia="Arial Unicode MS" w:hAnsi="Arial Unicode MS" w:cs="Arial Unicode MS"/>
          <w:color w:val="000000"/>
          <w:sz w:val="24"/>
          <w:szCs w:val="24"/>
          <w:u w:color="000000"/>
          <w:bdr w:val="nil"/>
          <w:lang w:eastAsia="en-GB"/>
        </w:rPr>
        <w:t>s</w:t>
      </w:r>
      <w:r w:rsidR="00987544" w:rsidRPr="00C37912">
        <w:rPr>
          <w:rFonts w:ascii="Times New Roman" w:eastAsia="Arial Unicode MS" w:hAnsi="Arial Unicode MS" w:cs="Arial Unicode MS"/>
          <w:color w:val="000000"/>
          <w:sz w:val="24"/>
          <w:szCs w:val="24"/>
          <w:u w:color="000000"/>
          <w:bdr w:val="nil"/>
          <w:lang w:eastAsia="en-GB"/>
        </w:rPr>
        <w:t xml:space="preserve"> that developments in these areas of law may have on </w:t>
      </w:r>
      <w:r w:rsidR="00033F6E" w:rsidRPr="00C37912">
        <w:rPr>
          <w:rFonts w:ascii="Times New Roman" w:eastAsia="Arial Unicode MS" w:hAnsi="Arial Unicode MS" w:cs="Arial Unicode MS"/>
          <w:color w:val="000000"/>
          <w:sz w:val="24"/>
          <w:szCs w:val="24"/>
          <w:u w:color="000000"/>
          <w:bdr w:val="nil"/>
          <w:lang w:eastAsia="en-GB"/>
        </w:rPr>
        <w:t xml:space="preserve">the </w:t>
      </w:r>
      <w:r w:rsidR="00987544" w:rsidRPr="00C37912">
        <w:rPr>
          <w:rFonts w:ascii="Times New Roman" w:eastAsia="Arial Unicode MS" w:hAnsi="Arial Unicode MS" w:cs="Arial Unicode MS"/>
          <w:color w:val="000000"/>
          <w:sz w:val="24"/>
          <w:szCs w:val="24"/>
          <w:u w:color="000000"/>
          <w:bdr w:val="nil"/>
          <w:lang w:eastAsia="en-GB"/>
        </w:rPr>
        <w:t xml:space="preserve">licensing of rights and </w:t>
      </w:r>
      <w:r w:rsidR="00033F6E" w:rsidRPr="00C37912">
        <w:rPr>
          <w:rFonts w:ascii="Times New Roman" w:eastAsia="Arial Unicode MS" w:hAnsi="Arial Unicode MS" w:cs="Arial Unicode MS"/>
          <w:color w:val="000000"/>
          <w:sz w:val="24"/>
          <w:szCs w:val="24"/>
          <w:u w:color="000000"/>
          <w:bdr w:val="nil"/>
          <w:lang w:eastAsia="en-GB"/>
        </w:rPr>
        <w:t xml:space="preserve">the </w:t>
      </w:r>
      <w:r w:rsidR="00987544" w:rsidRPr="00C37912">
        <w:rPr>
          <w:rFonts w:ascii="Times New Roman" w:eastAsia="Arial Unicode MS" w:hAnsi="Arial Unicode MS" w:cs="Arial Unicode MS"/>
          <w:color w:val="000000"/>
          <w:sz w:val="24"/>
          <w:szCs w:val="24"/>
          <w:u w:color="000000"/>
          <w:bdr w:val="nil"/>
          <w:lang w:eastAsia="en-GB"/>
        </w:rPr>
        <w:t>cross-border access to</w:t>
      </w:r>
      <w:r w:rsidR="00033F6E" w:rsidRPr="00C37912">
        <w:rPr>
          <w:rFonts w:ascii="Times New Roman" w:eastAsia="Arial Unicode MS" w:hAnsi="Arial Unicode MS" w:cs="Arial Unicode MS"/>
          <w:color w:val="000000"/>
          <w:sz w:val="24"/>
          <w:szCs w:val="24"/>
          <w:u w:color="000000"/>
          <w:bdr w:val="nil"/>
          <w:lang w:eastAsia="en-GB"/>
        </w:rPr>
        <w:t xml:space="preserve"> online</w:t>
      </w:r>
      <w:r w:rsidR="00987544" w:rsidRPr="00C37912">
        <w:rPr>
          <w:rFonts w:ascii="Times New Roman" w:eastAsia="Arial Unicode MS" w:hAnsi="Arial Unicode MS" w:cs="Arial Unicode MS"/>
          <w:color w:val="000000"/>
          <w:sz w:val="24"/>
          <w:szCs w:val="24"/>
          <w:u w:color="000000"/>
          <w:bdr w:val="nil"/>
          <w:lang w:eastAsia="en-GB"/>
        </w:rPr>
        <w:t xml:space="preserve"> </w:t>
      </w:r>
      <w:r w:rsidR="00033F6E" w:rsidRPr="00C37912">
        <w:rPr>
          <w:rFonts w:ascii="Times New Roman" w:eastAsia="Arial Unicode MS" w:hAnsi="Arial Unicode MS" w:cs="Arial Unicode MS"/>
          <w:color w:val="000000"/>
          <w:sz w:val="24"/>
          <w:szCs w:val="24"/>
          <w:u w:color="000000"/>
          <w:bdr w:val="nil"/>
          <w:lang w:eastAsia="en-GB"/>
        </w:rPr>
        <w:t>TV and radio</w:t>
      </w:r>
      <w:r w:rsidR="00987544" w:rsidRPr="00C37912">
        <w:rPr>
          <w:rFonts w:ascii="Times New Roman" w:eastAsia="Arial Unicode MS" w:hAnsi="Arial Unicode MS" w:cs="Arial Unicode MS"/>
          <w:color w:val="000000"/>
          <w:sz w:val="24"/>
          <w:szCs w:val="24"/>
          <w:u w:color="000000"/>
          <w:bdr w:val="nil"/>
          <w:lang w:eastAsia="en-GB"/>
        </w:rPr>
        <w:t xml:space="preserve"> programmes.</w:t>
      </w:r>
      <w:r w:rsidR="00987544">
        <w:rPr>
          <w:rFonts w:ascii="Times New Roman" w:eastAsia="Arial Unicode MS" w:hAnsi="Arial Unicode MS" w:cs="Arial Unicode MS"/>
          <w:color w:val="000000"/>
          <w:sz w:val="24"/>
          <w:szCs w:val="24"/>
          <w:u w:color="000000"/>
          <w:bdr w:val="nil"/>
          <w:lang w:eastAsia="en-GB"/>
        </w:rPr>
        <w:t xml:space="preserve"> </w:t>
      </w:r>
    </w:p>
    <w:p w:rsidR="00FC609C" w:rsidRPr="00987544"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705E14">
        <w:rPr>
          <w:rFonts w:ascii="Times New Roman" w:eastAsia="Arial Unicode MS" w:hAnsi="Arial Unicode MS" w:cs="Arial Unicode MS"/>
          <w:bCs/>
          <w:color w:val="000000"/>
          <w:sz w:val="24"/>
          <w:szCs w:val="24"/>
          <w:u w:color="000000"/>
          <w:bdr w:val="nil"/>
          <w:lang w:eastAsia="en-GB"/>
        </w:rPr>
        <w:t>As concerns</w:t>
      </w:r>
      <w:r w:rsidRPr="00807CA5">
        <w:rPr>
          <w:rFonts w:ascii="Times New Roman" w:eastAsia="Arial Unicode MS" w:hAnsi="Arial Unicode MS" w:cs="Arial Unicode MS"/>
          <w:bCs/>
          <w:color w:val="000000"/>
          <w:sz w:val="24"/>
          <w:szCs w:val="24"/>
          <w:u w:color="000000"/>
          <w:bdr w:val="nil"/>
          <w:lang w:eastAsia="en-GB"/>
        </w:rPr>
        <w:t xml:space="preserve"> </w:t>
      </w:r>
      <w:r w:rsidRPr="00C32C45">
        <w:rPr>
          <w:rFonts w:ascii="Times New Roman" w:eastAsia="Arial Unicode MS" w:hAnsi="Arial Unicode MS" w:cs="Arial Unicode MS"/>
          <w:bCs/>
          <w:color w:val="000000"/>
          <w:sz w:val="24"/>
          <w:szCs w:val="24"/>
          <w:u w:color="000000"/>
          <w:bdr w:val="nil"/>
          <w:lang w:eastAsia="en-GB"/>
        </w:rPr>
        <w:t>music</w:t>
      </w:r>
      <w:r w:rsidRPr="00807CA5">
        <w:rPr>
          <w:rFonts w:ascii="Times New Roman" w:eastAsia="Arial Unicode MS" w:hAnsi="Arial Unicode MS" w:cs="Arial Unicode MS"/>
          <w:bCs/>
          <w:color w:val="000000"/>
          <w:sz w:val="24"/>
          <w:szCs w:val="24"/>
          <w:u w:color="000000"/>
          <w:bdr w:val="nil"/>
          <w:lang w:eastAsia="en-GB"/>
        </w:rPr>
        <w:t xml:space="preserve">, availability of multi-territorial licences is expected to increase due to the implementation of the CRM Directive. </w:t>
      </w:r>
      <w:r w:rsidRPr="00A327FB">
        <w:rPr>
          <w:rFonts w:ascii="Times New Roman" w:eastAsia="Arial Unicode MS" w:hAnsi="Arial Unicode MS" w:cs="Arial Unicode MS"/>
          <w:bCs/>
          <w:color w:val="000000"/>
          <w:sz w:val="24"/>
          <w:szCs w:val="24"/>
          <w:u w:color="000000"/>
          <w:bdr w:val="nil"/>
          <w:lang w:eastAsia="en-GB"/>
        </w:rPr>
        <w:t>As for visual arts</w:t>
      </w:r>
      <w:r w:rsidRPr="006955B8">
        <w:rPr>
          <w:rFonts w:ascii="Times New Roman" w:eastAsia="Arial Unicode MS" w:hAnsi="Arial Unicode MS" w:cs="Arial Unicode MS"/>
          <w:bCs/>
          <w:color w:val="000000"/>
          <w:sz w:val="24"/>
          <w:szCs w:val="24"/>
          <w:u w:color="000000"/>
          <w:bdr w:val="nil"/>
          <w:lang w:eastAsia="en-GB"/>
        </w:rPr>
        <w:t xml:space="preserve">, </w:t>
      </w:r>
      <w:r w:rsidRPr="006955B8">
        <w:rPr>
          <w:rFonts w:ascii="Times New Roman" w:eastAsia="Arial Unicode MS" w:hAnsi="Arial Unicode MS" w:cs="Arial Unicode MS"/>
          <w:color w:val="000000"/>
          <w:sz w:val="24"/>
          <w:szCs w:val="24"/>
          <w:u w:color="000000"/>
          <w:bdr w:val="nil"/>
          <w:lang w:eastAsia="en-GB"/>
        </w:rPr>
        <w:t xml:space="preserve">no significant changes to the </w:t>
      </w:r>
      <w:r>
        <w:rPr>
          <w:rFonts w:ascii="Times New Roman" w:eastAsia="Arial Unicode MS" w:hAnsi="Arial Unicode MS" w:cs="Arial Unicode MS"/>
          <w:color w:val="000000"/>
          <w:sz w:val="24"/>
          <w:szCs w:val="24"/>
          <w:u w:color="000000"/>
          <w:bdr w:val="nil"/>
          <w:lang w:eastAsia="en-GB"/>
        </w:rPr>
        <w:t xml:space="preserve">current </w:t>
      </w:r>
      <w:r w:rsidRPr="006955B8">
        <w:rPr>
          <w:rFonts w:ascii="Times New Roman" w:eastAsia="Arial Unicode MS" w:hAnsi="Arial Unicode MS" w:cs="Arial Unicode MS"/>
          <w:color w:val="000000"/>
          <w:sz w:val="24"/>
          <w:szCs w:val="24"/>
          <w:u w:color="000000"/>
          <w:bdr w:val="nil"/>
          <w:lang w:eastAsia="en-GB"/>
        </w:rPr>
        <w:t>licensing practices are expected.</w:t>
      </w:r>
      <w:r w:rsidRPr="00870476">
        <w:rPr>
          <w:rFonts w:ascii="Times New Roman" w:eastAsia="Arial Unicode MS" w:hAnsi="Arial Unicode MS" w:cs="Arial Unicode MS"/>
          <w:bCs/>
          <w:color w:val="000000"/>
          <w:sz w:val="24"/>
          <w:szCs w:val="24"/>
          <w:u w:color="000000"/>
          <w:bdr w:val="nil"/>
          <w:lang w:eastAsia="en-GB"/>
        </w:rPr>
        <w:t xml:space="preserve"> </w:t>
      </w:r>
    </w:p>
    <w:p w:rsidR="00FC609C" w:rsidRPr="00807CA5" w:rsidRDefault="00FC609C" w:rsidP="000930E2">
      <w:pPr>
        <w:pStyle w:val="Text1"/>
        <w:ind w:left="0"/>
        <w:rPr>
          <w:rFonts w:eastAsia="Arial Unicode MS" w:hAnsi="Arial Unicode MS" w:cs="Arial Unicode MS"/>
          <w:color w:val="000000"/>
          <w:szCs w:val="24"/>
          <w:u w:color="000000"/>
          <w:bdr w:val="nil"/>
        </w:rPr>
      </w:pPr>
      <w:r w:rsidRPr="00807CA5">
        <w:rPr>
          <w:rFonts w:eastAsia="Arial Unicode MS" w:hAnsi="Arial Unicode MS" w:cs="Arial Unicode MS"/>
          <w:b/>
          <w:bCs/>
          <w:color w:val="000000"/>
          <w:szCs w:val="24"/>
          <w:u w:color="000000"/>
          <w:bdr w:val="nil"/>
        </w:rPr>
        <w:t>Other service providers</w:t>
      </w:r>
      <w:r w:rsidRPr="00807CA5">
        <w:rPr>
          <w:rFonts w:eastAsia="Arial Unicode MS" w:hAnsi="Arial Unicode MS" w:cs="Arial Unicode MS"/>
          <w:color w:val="000000"/>
          <w:szCs w:val="24"/>
          <w:u w:color="000000"/>
          <w:bdr w:val="nil"/>
        </w:rPr>
        <w:t xml:space="preserv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 xml:space="preserve">The baseline option would not </w:t>
      </w:r>
      <w:r w:rsidRPr="000930E2">
        <w:rPr>
          <w:rFonts w:ascii="Times New Roman" w:eastAsia="Arial Unicode MS" w:hAnsi="Arial Unicode MS" w:cs="Arial Unicode MS"/>
          <w:bCs/>
          <w:color w:val="000000"/>
          <w:sz w:val="24"/>
          <w:szCs w:val="24"/>
          <w:u w:color="000000"/>
          <w:bdr w:val="nil"/>
          <w:lang w:eastAsia="en-GB"/>
        </w:rPr>
        <w:t>have</w:t>
      </w:r>
      <w:r w:rsidRPr="00807CA5">
        <w:rPr>
          <w:rFonts w:ascii="Times New Roman" w:eastAsia="Arial Unicode MS" w:hAnsi="Arial Unicode MS" w:cs="Arial Unicode MS"/>
          <w:color w:val="000000"/>
          <w:sz w:val="24"/>
          <w:szCs w:val="24"/>
          <w:u w:color="000000"/>
          <w:bdr w:val="nil"/>
          <w:lang w:eastAsia="en-GB"/>
        </w:rPr>
        <w:t xml:space="preserve"> any impacts on the </w:t>
      </w:r>
      <w:r w:rsidRPr="00807CA5">
        <w:rPr>
          <w:rFonts w:ascii="Times New Roman" w:eastAsia="Arial Unicode MS" w:hAnsi="Times New Roman" w:cs="Arial Unicode MS"/>
          <w:color w:val="000000"/>
          <w:sz w:val="24"/>
          <w:szCs w:val="24"/>
          <w:u w:color="000000"/>
          <w:bdr w:val="nil"/>
          <w:lang w:eastAsia="en-GB"/>
        </w:rPr>
        <w:t>competitive situation between broadcasters</w:t>
      </w:r>
      <w:r>
        <w:rPr>
          <w:rFonts w:ascii="Times New Roman" w:eastAsia="Arial Unicode MS" w:hAnsi="Times New Roman" w:cs="Arial Unicode MS"/>
          <w:color w:val="000000"/>
          <w:sz w:val="24"/>
          <w:szCs w:val="24"/>
          <w:u w:color="000000"/>
          <w:bdr w:val="nil"/>
          <w:lang w:eastAsia="en-GB"/>
        </w:rPr>
        <w:t xml:space="preserve"> and </w:t>
      </w:r>
      <w:r w:rsidRPr="00807CA5">
        <w:rPr>
          <w:rFonts w:ascii="Times New Roman" w:eastAsia="Arial Unicode MS" w:hAnsi="Times New Roman" w:cs="Arial Unicode MS"/>
          <w:color w:val="000000"/>
          <w:sz w:val="24"/>
          <w:szCs w:val="24"/>
          <w:u w:color="000000"/>
          <w:bdr w:val="nil"/>
          <w:lang w:eastAsia="en-GB"/>
        </w:rPr>
        <w:t xml:space="preserve">service providers </w:t>
      </w:r>
      <w:r w:rsidRPr="00807CA5">
        <w:rPr>
          <w:rFonts w:ascii="Times New Roman" w:eastAsia="Arial Unicode MS" w:hAnsi="Arial Unicode MS" w:cs="Arial Unicode MS"/>
          <w:color w:val="000000"/>
          <w:sz w:val="24"/>
          <w:szCs w:val="24"/>
          <w:u w:color="000000"/>
          <w:bdr w:val="nil"/>
          <w:lang w:eastAsia="en-GB"/>
        </w:rPr>
        <w:t>other than broadcasters</w:t>
      </w:r>
      <w:r w:rsidRPr="00807CA5">
        <w:rPr>
          <w:rFonts w:ascii="Times New Roman" w:eastAsia="Arial Unicode MS" w:hAnsi="Times New Roman" w:cs="Arial Unicode MS"/>
          <w:color w:val="000000"/>
          <w:sz w:val="24"/>
          <w:szCs w:val="24"/>
          <w:u w:color="000000"/>
          <w:bdr w:val="nil"/>
          <w:lang w:eastAsia="en-GB"/>
        </w:rPr>
        <w:t xml:space="preserve">. </w:t>
      </w:r>
    </w:p>
    <w:p w:rsidR="00FC609C" w:rsidRPr="00807CA5" w:rsidRDefault="00007677" w:rsidP="000930E2">
      <w:pPr>
        <w:pStyle w:val="Text1"/>
        <w:ind w:left="0"/>
        <w:rPr>
          <w:rFonts w:eastAsia="Arial Unicode MS" w:hAnsi="Arial Unicode MS" w:cs="Arial Unicode MS"/>
          <w:color w:val="000000"/>
          <w:szCs w:val="24"/>
          <w:u w:color="000000"/>
          <w:bdr w:val="nil"/>
        </w:rPr>
      </w:pPr>
      <w:r>
        <w:rPr>
          <w:rFonts w:eastAsia="Arial Unicode MS" w:hAnsi="Arial Unicode MS" w:cs="Arial Unicode MS"/>
          <w:b/>
          <w:color w:val="000000"/>
          <w:szCs w:val="24"/>
          <w:u w:color="000000"/>
          <w:bdr w:val="nil"/>
        </w:rPr>
        <w:t>Rightholders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Arial Unicode MS" w:cs="Arial Unicode MS"/>
          <w:bCs/>
          <w:color w:val="000000"/>
          <w:sz w:val="24"/>
          <w:szCs w:val="24"/>
          <w:u w:val="single" w:color="000000"/>
          <w:bdr w:val="nil"/>
          <w:lang w:eastAsia="en-GB"/>
        </w:rPr>
        <w:t>Impacts on licensing models and revenues</w:t>
      </w:r>
      <w:r w:rsidRPr="001C5348">
        <w:rPr>
          <w:rFonts w:ascii="Times New Roman" w:eastAsia="Arial Unicode MS" w:hAnsi="Arial Unicode MS" w:cs="Arial Unicode MS"/>
          <w:bC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The baseline option would not have any impact on licensing models applied by </w:t>
      </w:r>
      <w:r w:rsidR="000F63BB">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807CA5">
        <w:rPr>
          <w:rFonts w:ascii="Times New Roman" w:eastAsia="Arial Unicode MS" w:hAnsi="Arial Unicode MS" w:cs="Arial Unicode MS"/>
          <w:bCs/>
          <w:color w:val="000000"/>
          <w:sz w:val="24"/>
          <w:szCs w:val="24"/>
          <w:u w:color="000000"/>
          <w:bdr w:val="nil"/>
          <w:lang w:eastAsia="en-GB"/>
        </w:rPr>
        <w:t xml:space="preserve"> or on the licensing revenues received from broadcasters or webcasters. In particular, the</w:t>
      </w:r>
      <w:r w:rsidRPr="00870476">
        <w:rPr>
          <w:rFonts w:ascii="Times New Roman" w:eastAsia="Arial Unicode MS" w:hAnsi="Arial Unicode MS" w:cs="Arial Unicode MS"/>
          <w:bCs/>
          <w:color w:val="000000"/>
          <w:sz w:val="24"/>
          <w:szCs w:val="24"/>
          <w:u w:color="000000"/>
          <w:bdr w:val="nil"/>
          <w:lang w:eastAsia="en-GB"/>
        </w:rPr>
        <w:t xml:space="preserve"> </w:t>
      </w:r>
      <w:r w:rsidRPr="00C32C45">
        <w:rPr>
          <w:rFonts w:ascii="Times New Roman" w:eastAsia="Arial Unicode MS" w:hAnsi="Arial Unicode MS" w:cs="Arial Unicode MS"/>
          <w:bCs/>
          <w:color w:val="000000"/>
          <w:sz w:val="24"/>
          <w:szCs w:val="24"/>
          <w:u w:color="000000"/>
          <w:bdr w:val="nil"/>
          <w:lang w:eastAsia="en-GB"/>
        </w:rPr>
        <w:t>AV</w:t>
      </w:r>
      <w:r w:rsidRPr="00807CA5">
        <w:rPr>
          <w:rFonts w:ascii="Times New Roman" w:eastAsia="Arial Unicode MS" w:hAnsi="Arial Unicode MS" w:cs="Arial Unicode MS"/>
          <w:bCs/>
          <w:color w:val="000000"/>
          <w:sz w:val="24"/>
          <w:szCs w:val="24"/>
          <w:u w:color="000000"/>
          <w:bdr w:val="nil"/>
          <w:lang w:eastAsia="en-GB"/>
        </w:rPr>
        <w:t xml:space="preserve"> sector would continue to be able to collect revenues based on the territorial </w:t>
      </w:r>
      <w:r>
        <w:rPr>
          <w:rFonts w:ascii="Times New Roman" w:eastAsia="Arial Unicode MS" w:hAnsi="Arial Unicode MS" w:cs="Arial Unicode MS"/>
          <w:bCs/>
          <w:color w:val="000000"/>
          <w:sz w:val="24"/>
          <w:szCs w:val="24"/>
          <w:u w:color="000000"/>
          <w:bdr w:val="nil"/>
          <w:lang w:eastAsia="en-GB"/>
        </w:rPr>
        <w:t>licensing</w:t>
      </w:r>
      <w:r w:rsidRPr="00807CA5">
        <w:rPr>
          <w:rFonts w:ascii="Times New Roman" w:eastAsia="Arial Unicode MS" w:hAnsi="Arial Unicode MS" w:cs="Arial Unicode MS"/>
          <w:bCs/>
          <w:color w:val="000000"/>
          <w:sz w:val="24"/>
          <w:szCs w:val="24"/>
          <w:u w:color="000000"/>
          <w:bdr w:val="nil"/>
          <w:lang w:eastAsia="en-GB"/>
        </w:rPr>
        <w:t xml:space="preserve"> of rights (subject to EU rules). However, </w:t>
      </w:r>
      <w:r w:rsidRPr="00C00FE4">
        <w:rPr>
          <w:rFonts w:ascii="Times New Roman" w:eastAsia="Arial Unicode MS" w:hAnsi="Arial Unicode MS" w:cs="Arial Unicode MS"/>
          <w:bCs/>
          <w:color w:val="000000"/>
          <w:sz w:val="24"/>
          <w:szCs w:val="24"/>
          <w:u w:color="000000"/>
          <w:bdr w:val="nil"/>
          <w:lang w:eastAsia="en-GB"/>
        </w:rPr>
        <w:t xml:space="preserve">other </w:t>
      </w:r>
      <w:r w:rsidR="000F63BB">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705E14">
        <w:rPr>
          <w:rFonts w:ascii="Times New Roman" w:eastAsia="Arial Unicode MS" w:hAnsi="Arial Unicode MS" w:cs="Arial Unicode MS"/>
          <w:bCs/>
          <w:color w:val="000000"/>
          <w:sz w:val="24"/>
          <w:szCs w:val="24"/>
          <w:u w:color="000000"/>
          <w:bdr w:val="nil"/>
          <w:lang w:eastAsia="en-GB"/>
        </w:rPr>
        <w:t xml:space="preserve"> whose content is distributed in limited geographic areas by broadcasters may lose opportunities to have their content reaching audiences across borders.</w:t>
      </w:r>
      <w:bookmarkStart w:id="30" w:name="_Ref449104895"/>
      <w:r>
        <w:rPr>
          <w:rFonts w:ascii="Times New Roman" w:eastAsia="Arial Unicode MS" w:hAnsi="Arial Unicode MS" w:cs="Arial Unicode MS"/>
          <w:bCs/>
          <w:color w:val="000000"/>
          <w:sz w:val="24"/>
          <w:szCs w:val="24"/>
          <w:u w:color="000000"/>
          <w:bdr w:val="nil"/>
          <w:lang w:eastAsia="en-GB"/>
        </w:rPr>
        <w:t xml:space="preserve"> </w:t>
      </w:r>
      <w:bookmarkEnd w:id="30"/>
      <w:r w:rsidRPr="00705E14">
        <w:rPr>
          <w:rFonts w:ascii="Times New Roman" w:eastAsia="Arial Unicode MS" w:hAnsi="Arial Unicode MS" w:cs="Arial Unicode MS"/>
          <w:bCs/>
          <w:color w:val="000000"/>
          <w:sz w:val="24"/>
          <w:szCs w:val="24"/>
          <w:u w:color="000000"/>
          <w:bdr w:val="nil"/>
          <w:lang w:eastAsia="en-GB"/>
        </w:rPr>
        <w:t>The potential of the Digital Single Market for some creative content may remain underexploited</w:t>
      </w:r>
      <w:r w:rsidRPr="00807CA5">
        <w:rPr>
          <w:rFonts w:ascii="Times New Roman" w:eastAsia="Arial Unicode MS" w:hAnsi="Arial Unicode MS" w:cs="Arial Unicode MS"/>
          <w:bCs/>
          <w:color w:val="000000"/>
          <w:sz w:val="24"/>
          <w:szCs w:val="24"/>
          <w:u w:color="000000"/>
          <w:bdr w:val="nil"/>
          <w:lang w:eastAsia="en-GB"/>
        </w:rPr>
        <w:t xml:space="preserve">, especially for </w:t>
      </w:r>
      <w:r>
        <w:rPr>
          <w:rFonts w:ascii="Times New Roman" w:eastAsia="Arial Unicode MS" w:hAnsi="Arial Unicode MS" w:cs="Arial Unicode MS"/>
          <w:bCs/>
          <w:color w:val="000000"/>
          <w:sz w:val="24"/>
          <w:szCs w:val="24"/>
          <w:u w:color="000000"/>
          <w:bdr w:val="nil"/>
          <w:lang w:eastAsia="en-GB"/>
        </w:rPr>
        <w:t>content</w:t>
      </w:r>
      <w:r w:rsidRPr="00807CA5">
        <w:rPr>
          <w:rFonts w:ascii="Times New Roman" w:eastAsia="Arial Unicode MS" w:hAnsi="Arial Unicode MS" w:cs="Arial Unicode MS"/>
          <w:bCs/>
          <w:color w:val="000000"/>
          <w:sz w:val="24"/>
          <w:szCs w:val="24"/>
          <w:u w:color="000000"/>
          <w:bdr w:val="nil"/>
          <w:lang w:eastAsia="en-GB"/>
        </w:rPr>
        <w:t xml:space="preserve"> which do</w:t>
      </w:r>
      <w:r>
        <w:rPr>
          <w:rFonts w:ascii="Times New Roman" w:eastAsia="Arial Unicode MS" w:hAnsi="Arial Unicode MS" w:cs="Arial Unicode MS"/>
          <w:bCs/>
          <w:color w:val="000000"/>
          <w:sz w:val="24"/>
          <w:szCs w:val="24"/>
          <w:u w:color="000000"/>
          <w:bdr w:val="nil"/>
          <w:lang w:eastAsia="en-GB"/>
        </w:rPr>
        <w:t>es</w:t>
      </w:r>
      <w:r w:rsidRPr="00807CA5">
        <w:rPr>
          <w:rFonts w:ascii="Times New Roman" w:eastAsia="Arial Unicode MS" w:hAnsi="Arial Unicode MS" w:cs="Arial Unicode MS"/>
          <w:bCs/>
          <w:color w:val="000000"/>
          <w:sz w:val="24"/>
          <w:szCs w:val="24"/>
          <w:u w:color="000000"/>
          <w:bdr w:val="nil"/>
          <w:lang w:eastAsia="en-GB"/>
        </w:rPr>
        <w:t xml:space="preserve"> not rely on exclusive territorial licensing. </w:t>
      </w:r>
    </w:p>
    <w:p w:rsidR="00FC609C" w:rsidRPr="00807CA5" w:rsidRDefault="00FC609C" w:rsidP="000930E2">
      <w:pPr>
        <w:pStyle w:val="Text1"/>
        <w:ind w:left="0"/>
        <w:rPr>
          <w:rFonts w:eastAsia="Arial Unicode MS" w:hAnsi="Arial Unicode MS" w:cs="Arial Unicode MS"/>
          <w:color w:val="000000"/>
          <w:szCs w:val="24"/>
          <w:u w:color="000000"/>
          <w:bdr w:val="nil"/>
        </w:rPr>
      </w:pPr>
      <w:r w:rsidRPr="00807CA5">
        <w:rPr>
          <w:rFonts w:eastAsia="Arial Unicode MS" w:hAnsi="Arial Unicode MS" w:cs="Arial Unicode MS"/>
          <w:b/>
          <w:bCs/>
          <w:color w:val="000000"/>
          <w:szCs w:val="24"/>
          <w:u w:color="000000"/>
          <w:bdr w:val="nil"/>
        </w:rPr>
        <w:t>Consumers</w:t>
      </w:r>
    </w:p>
    <w:p w:rsidR="00FC609C"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access to online transmission services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Consumers are likely to continue facing restrictions to cross-border online access to TV and radio programmes. This is in contrast with consumers' demand for cultural, information and entertainment content from other </w:t>
      </w:r>
      <w:r>
        <w:rPr>
          <w:rFonts w:ascii="Times New Roman" w:eastAsia="Arial Unicode MS" w:hAnsi="Arial Unicode MS" w:cs="Arial Unicode MS"/>
          <w:bCs/>
          <w:color w:val="000000"/>
          <w:sz w:val="24"/>
          <w:szCs w:val="24"/>
          <w:u w:color="000000"/>
          <w:bdr w:val="nil"/>
          <w:lang w:eastAsia="en-GB"/>
        </w:rPr>
        <w:t>MS</w:t>
      </w:r>
      <w:r w:rsidRPr="00807CA5">
        <w:rPr>
          <w:rFonts w:ascii="Times New Roman" w:eastAsia="Arial Unicode MS" w:hAnsi="Arial Unicode MS" w:cs="Arial Unicode MS"/>
          <w:bC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01"/>
      </w:r>
      <w:r w:rsidRPr="00807CA5">
        <w:rPr>
          <w:rFonts w:ascii="Times New Roman" w:eastAsia="Arial Unicode MS" w:hAnsi="Arial Unicode MS" w:cs="Arial Unicode MS"/>
          <w:bCs/>
          <w:color w:val="000000"/>
          <w:sz w:val="24"/>
          <w:szCs w:val="24"/>
          <w:u w:color="000000"/>
          <w:bdr w:val="nil"/>
          <w:lang w:eastAsia="en-GB"/>
        </w:rPr>
        <w:t xml:space="preserve"> </w:t>
      </w:r>
    </w:p>
    <w:p w:rsidR="00FC609C" w:rsidRDefault="00FC609C" w:rsidP="000930E2">
      <w:pPr>
        <w:pStyle w:val="Text1"/>
        <w:ind w:left="0"/>
        <w:rPr>
          <w:rFonts w:eastAsia="Arial Unicode MS" w:hAnsi="Arial Unicode MS" w:cs="Arial Unicode MS"/>
          <w:color w:val="000000"/>
          <w:szCs w:val="24"/>
          <w:u w:val="single" w:color="000000"/>
          <w:bdr w:val="nil"/>
        </w:rPr>
      </w:pPr>
      <w:r w:rsidRPr="008E65EE">
        <w:rPr>
          <w:rFonts w:ascii="Times New Roman Bold" w:eastAsia="Arial Unicode MS" w:hAnsi="Times New Roman Bold"/>
          <w:b/>
          <w:smallCaps/>
          <w:szCs w:val="24"/>
          <w:bdr w:val="nil"/>
        </w:rPr>
        <w:t>Social impacts</w:t>
      </w:r>
      <w:r w:rsidRPr="00807CA5" w:rsidDel="00992FA5">
        <w:rPr>
          <w:rFonts w:eastAsia="Arial Unicode MS" w:hAnsi="Arial Unicode MS" w:cs="Arial Unicode MS"/>
          <w:color w:val="000000"/>
          <w:szCs w:val="24"/>
          <w:u w:val="single" w:color="000000"/>
          <w:bdr w:val="nil"/>
        </w:rPr>
        <w:t xml:space="preserv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123CFF">
        <w:rPr>
          <w:rFonts w:ascii="Times New Roman" w:eastAsia="Arial Unicode MS" w:hAnsi="Arial Unicode MS" w:cs="Arial Unicode MS"/>
          <w:color w:val="000000"/>
          <w:sz w:val="24"/>
          <w:szCs w:val="24"/>
          <w:u w:color="000000"/>
          <w:bdr w:val="nil"/>
          <w:lang w:eastAsia="en-GB"/>
        </w:rPr>
        <w:t xml:space="preserve">The baseline scenario would not affect the production of new cultural content. However, access to cultural diversity may remain limited under this option, as consumers would continue facing restrictions to access TV and radio programmes online from other MS (including as regards </w:t>
      </w:r>
      <w:r w:rsidRPr="00123CFF">
        <w:rPr>
          <w:rFonts w:ascii="Times New Roman" w:eastAsia="Arial Unicode MS" w:hAnsi="Arial Unicode MS" w:cs="Arial Unicode MS"/>
          <w:bCs/>
          <w:color w:val="000000"/>
          <w:sz w:val="24"/>
          <w:szCs w:val="24"/>
          <w:u w:color="000000"/>
          <w:bdr w:val="nil"/>
          <w:lang w:eastAsia="en-GB"/>
        </w:rPr>
        <w:t>access to content such as news, current events or other non-fiction TV, which represent a significant proportion of broadcaster's programming</w:t>
      </w:r>
      <w:r w:rsidRPr="00123CFF">
        <w:rPr>
          <w:rFonts w:ascii="Times New Roman" w:eastAsia="Arial Unicode MS" w:hAnsi="Arial Unicode MS" w:cs="Arial Unicode MS"/>
          <w:bCs/>
          <w:color w:val="000000"/>
          <w:sz w:val="24"/>
          <w:szCs w:val="24"/>
          <w:u w:color="000000"/>
          <w:bdr w:val="nil"/>
          <w:vertAlign w:val="superscript"/>
          <w:lang w:eastAsia="en-GB"/>
        </w:rPr>
        <w:footnoteReference w:id="102"/>
      </w:r>
      <w:r w:rsidRPr="00123CFF">
        <w:rPr>
          <w:rFonts w:ascii="Times New Roman" w:eastAsia="Arial Unicode MS" w:hAnsi="Arial Unicode MS" w:cs="Arial Unicode MS"/>
          <w:bCs/>
          <w:color w:val="000000"/>
          <w:sz w:val="24"/>
          <w:szCs w:val="24"/>
          <w:u w:color="000000"/>
          <w:bdr w:val="nil"/>
          <w:lang w:eastAsia="en-GB"/>
        </w:rPr>
        <w:t>). This situation would affect the role of broadcasters as key players for</w:t>
      </w:r>
      <w:r w:rsidRPr="00807CA5">
        <w:rPr>
          <w:rFonts w:ascii="Times New Roman" w:eastAsia="Arial Unicode MS" w:hAnsi="Arial Unicode MS" w:cs="Arial Unicode MS"/>
          <w:bCs/>
          <w:color w:val="000000"/>
          <w:sz w:val="24"/>
          <w:szCs w:val="24"/>
          <w:u w:color="000000"/>
          <w:bdr w:val="nil"/>
          <w:lang w:eastAsia="en-GB"/>
        </w:rPr>
        <w:t xml:space="preserve"> linear transmission</w:t>
      </w:r>
      <w:r>
        <w:rPr>
          <w:rFonts w:ascii="Times New Roman" w:eastAsia="Arial Unicode MS" w:hAnsi="Arial Unicode MS" w:cs="Arial Unicode MS"/>
          <w:bCs/>
          <w:color w:val="000000"/>
          <w:sz w:val="24"/>
          <w:szCs w:val="24"/>
          <w:u w:color="000000"/>
          <w:bdr w:val="nil"/>
          <w:lang w:eastAsia="en-GB"/>
        </w:rPr>
        <w:t>s</w:t>
      </w:r>
      <w:r w:rsidRPr="00807CA5">
        <w:rPr>
          <w:rFonts w:ascii="Times New Roman" w:eastAsia="Arial Unicode MS" w:hAnsi="Arial Unicode MS" w:cs="Arial Unicode MS"/>
          <w:bCs/>
          <w:color w:val="000000"/>
          <w:sz w:val="24"/>
          <w:szCs w:val="24"/>
          <w:u w:color="000000"/>
          <w:bdr w:val="nil"/>
          <w:lang w:eastAsia="en-GB"/>
        </w:rPr>
        <w:t xml:space="preserve"> of current events </w:t>
      </w:r>
      <w:r>
        <w:rPr>
          <w:rFonts w:ascii="Times New Roman" w:eastAsia="Arial Unicode MS" w:hAnsi="Arial Unicode MS" w:cs="Arial Unicode MS"/>
          <w:bCs/>
          <w:color w:val="000000"/>
          <w:sz w:val="24"/>
          <w:szCs w:val="24"/>
          <w:u w:color="000000"/>
          <w:bdr w:val="nil"/>
          <w:lang w:eastAsia="en-GB"/>
        </w:rPr>
        <w:t>and of</w:t>
      </w:r>
      <w:r w:rsidRPr="00807CA5">
        <w:rPr>
          <w:rFonts w:ascii="Times New Roman" w:eastAsia="Arial Unicode MS" w:hAnsi="Arial Unicode MS" w:cs="Arial Unicode MS"/>
          <w:bCs/>
          <w:color w:val="000000"/>
          <w:sz w:val="24"/>
          <w:szCs w:val="24"/>
          <w:u w:color="000000"/>
          <w:bdr w:val="nil"/>
          <w:lang w:eastAsia="en-GB"/>
        </w:rPr>
        <w:t xml:space="preserve"> cultural programmes. </w:t>
      </w:r>
    </w:p>
    <w:p w:rsidR="00FC609C" w:rsidRPr="00C32C45" w:rsidRDefault="00FC609C" w:rsidP="000930E2">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Impacts on fundamental rights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The baseline scenario would not have any impact on copyright as property right or on the freedom to conduct a business, as recognised in the Charter (Articles 16 and 17). It may have an indirect impact on the freedom of information enshrined in the Charter (Article 11), to the extent that this option would not facilitate further development of access to information.</w:t>
      </w:r>
    </w:p>
    <w:p w:rsidR="00FC609C" w:rsidRPr="000930E2" w:rsidRDefault="00FC609C" w:rsidP="000930E2">
      <w:pPr>
        <w:pStyle w:val="Text1"/>
        <w:ind w:left="0"/>
        <w:rPr>
          <w:rFonts w:eastAsia="Times New Roman"/>
          <w:b/>
          <w:color w:val="000000"/>
          <w:szCs w:val="24"/>
          <w:u w:val="single"/>
          <w:bdr w:val="nil"/>
        </w:rPr>
      </w:pPr>
      <w:r w:rsidRPr="000930E2">
        <w:rPr>
          <w:rFonts w:eastAsia="Times New Roman"/>
          <w:b/>
          <w:color w:val="000000"/>
          <w:szCs w:val="24"/>
          <w:u w:val="single"/>
          <w:bdr w:val="nil"/>
        </w:rPr>
        <w:t>Option 1 – Voluntary agreements to facilitate the clearing of rights for broadcasters' online services ancillary to their broadcasts</w:t>
      </w:r>
    </w:p>
    <w:p w:rsidR="00FC609C" w:rsidRDefault="00FC609C" w:rsidP="000930E2">
      <w:pPr>
        <w:pStyle w:val="Text1"/>
        <w:ind w:left="0"/>
        <w:rPr>
          <w:rFonts w:eastAsia="Arial Unicode MS" w:hAnsi="Arial Unicode MS" w:cs="Arial Unicode MS"/>
          <w:b/>
          <w:bCs/>
          <w:color w:val="000000"/>
          <w:szCs w:val="24"/>
          <w:bdr w:val="nil"/>
        </w:rPr>
      </w:pPr>
      <w:r w:rsidRPr="008E65EE">
        <w:rPr>
          <w:rFonts w:ascii="Times New Roman Bold" w:eastAsia="Arial Unicode MS" w:hAnsi="Times New Roman Bold"/>
          <w:b/>
          <w:smallCaps/>
          <w:szCs w:val="24"/>
          <w:bdr w:val="nil"/>
        </w:rPr>
        <w:t>Impacts on stakeholders</w:t>
      </w:r>
      <w:r w:rsidRPr="002E226D">
        <w:rPr>
          <w:rFonts w:eastAsia="Arial Unicode MS" w:hAnsi="Arial Unicode MS" w:cs="Arial Unicode MS"/>
          <w:b/>
          <w:bCs/>
          <w:color w:val="000000"/>
          <w:szCs w:val="24"/>
          <w:bdr w:val="nil"/>
        </w:rPr>
        <w:t xml:space="preserve"> </w:t>
      </w:r>
    </w:p>
    <w:p w:rsidR="00FC609C" w:rsidRPr="002E226D" w:rsidRDefault="00FC609C" w:rsidP="000930E2">
      <w:pPr>
        <w:pStyle w:val="Text1"/>
        <w:ind w:left="0"/>
        <w:rPr>
          <w:rFonts w:eastAsia="Arial Unicode MS" w:hAnsi="Arial Unicode MS" w:cs="Arial Unicode MS"/>
          <w:b/>
          <w:bCs/>
          <w:color w:val="000000"/>
          <w:szCs w:val="24"/>
          <w:bdr w:val="nil"/>
        </w:rPr>
      </w:pPr>
      <w:r w:rsidRPr="000930E2">
        <w:rPr>
          <w:rFonts w:eastAsia="Arial Unicode MS" w:hAnsi="Arial Unicode MS" w:cs="Arial Unicode MS"/>
          <w:b/>
          <w:bCs/>
          <w:color w:val="000000"/>
          <w:szCs w:val="24"/>
          <w:u w:color="000000"/>
          <w:bdr w:val="nil"/>
        </w:rPr>
        <w:t>Broadcasters</w:t>
      </w:r>
    </w:p>
    <w:p w:rsidR="00FC609C" w:rsidRPr="002E226D" w:rsidRDefault="00FC609C" w:rsidP="007D0899">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2E226D">
        <w:rPr>
          <w:rFonts w:ascii="Times New Roman" w:eastAsia="Arial Unicode MS" w:hAnsi="Times New Roman" w:cs="Arial Unicode MS"/>
          <w:color w:val="000000"/>
          <w:sz w:val="24"/>
          <w:szCs w:val="24"/>
          <w:u w:val="single" w:color="000000"/>
          <w:bdr w:val="nil"/>
          <w:lang w:eastAsia="en-GB"/>
        </w:rPr>
        <w:t>Impacts on transaction costs</w:t>
      </w:r>
      <w:r w:rsidRPr="002E226D">
        <w:rPr>
          <w:rFonts w:ascii="Times New Roman" w:eastAsia="Arial Unicode MS" w:hAnsi="Times New Roman" w:cs="Arial Unicode MS"/>
          <w:color w:val="000000"/>
          <w:sz w:val="24"/>
          <w:szCs w:val="24"/>
          <w:u w:color="000000"/>
          <w:bdr w:val="nil"/>
          <w:lang w:eastAsia="en-GB"/>
        </w:rPr>
        <w:t>:</w:t>
      </w:r>
      <w:r w:rsidRPr="002E226D">
        <w:rPr>
          <w:rFonts w:ascii="Times New Roman" w:eastAsia="Arial Unicode MS" w:hAnsi="Arial Unicode MS" w:cs="Arial Unicode MS"/>
          <w:bCs/>
          <w:color w:val="000000"/>
          <w:sz w:val="24"/>
          <w:szCs w:val="24"/>
          <w:u w:color="000000"/>
          <w:bdr w:val="nil"/>
          <w:lang w:eastAsia="en-GB"/>
        </w:rPr>
        <w:t xml:space="preserve"> Option 1 could facilitate the clearance of rights </w:t>
      </w:r>
      <w:r>
        <w:rPr>
          <w:rFonts w:ascii="Times New Roman" w:eastAsia="Arial Unicode MS" w:hAnsi="Arial Unicode MS" w:cs="Arial Unicode MS"/>
          <w:bCs/>
          <w:color w:val="000000"/>
          <w:sz w:val="24"/>
          <w:szCs w:val="24"/>
          <w:u w:color="000000"/>
          <w:bdr w:val="nil"/>
          <w:lang w:eastAsia="en-GB"/>
        </w:rPr>
        <w:t xml:space="preserve">and </w:t>
      </w:r>
      <w:r w:rsidRPr="002E226D">
        <w:rPr>
          <w:rFonts w:ascii="Times New Roman" w:eastAsia="Arial Unicode MS" w:hAnsi="Arial Unicode MS" w:cs="Arial Unicode MS"/>
          <w:bCs/>
          <w:color w:val="000000"/>
          <w:sz w:val="24"/>
          <w:szCs w:val="24"/>
          <w:u w:color="000000"/>
          <w:bdr w:val="nil"/>
          <w:lang w:eastAsia="en-GB"/>
        </w:rPr>
        <w:t>reduce transaction costs for cross-border online transm</w:t>
      </w:r>
      <w:r w:rsidRPr="000930E2">
        <w:rPr>
          <w:rFonts w:ascii="Times New Roman" w:eastAsia="Arial Unicode MS" w:hAnsi="Arial Unicode MS" w:cs="Arial Unicode MS"/>
          <w:color w:val="000000"/>
          <w:sz w:val="24"/>
          <w:szCs w:val="24"/>
          <w:u w:color="000000"/>
          <w:bdr w:val="nil"/>
          <w:lang w:eastAsia="en-GB"/>
        </w:rPr>
        <w:t>i</w:t>
      </w:r>
      <w:r w:rsidRPr="002E226D">
        <w:rPr>
          <w:rFonts w:ascii="Times New Roman" w:eastAsia="Arial Unicode MS" w:hAnsi="Arial Unicode MS" w:cs="Arial Unicode MS"/>
          <w:bCs/>
          <w:color w:val="000000"/>
          <w:sz w:val="24"/>
          <w:szCs w:val="24"/>
          <w:u w:color="000000"/>
          <w:bdr w:val="nil"/>
          <w:lang w:eastAsia="en-GB"/>
        </w:rPr>
        <w:t xml:space="preserve">ssions only on the basis of voluntary agreements concluded between </w:t>
      </w:r>
      <w:r w:rsidR="006A79F9">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2E226D">
        <w:rPr>
          <w:rFonts w:ascii="Times New Roman" w:eastAsia="Arial Unicode MS" w:hAnsi="Arial Unicode MS" w:cs="Arial Unicode MS"/>
          <w:bCs/>
          <w:color w:val="000000"/>
          <w:sz w:val="24"/>
          <w:szCs w:val="24"/>
          <w:u w:color="000000"/>
          <w:bdr w:val="nil"/>
          <w:lang w:eastAsia="en-GB"/>
        </w:rPr>
        <w:t>, CMOs and broadcasters.</w:t>
      </w:r>
      <w:r>
        <w:rPr>
          <w:rFonts w:ascii="Times New Roman" w:eastAsia="Arial Unicode MS" w:hAnsi="Arial Unicode MS" w:cs="Arial Unicode MS"/>
          <w:bCs/>
          <w:color w:val="000000"/>
          <w:sz w:val="24"/>
          <w:szCs w:val="24"/>
          <w:u w:color="000000"/>
          <w:bdr w:val="nil"/>
          <w:lang w:eastAsia="en-GB"/>
        </w:rPr>
        <w:t xml:space="preserve"> </w:t>
      </w:r>
      <w:r w:rsidRPr="0084395F">
        <w:rPr>
          <w:rFonts w:ascii="Times New Roman" w:eastAsia="Arial Unicode MS" w:hAnsi="Arial Unicode MS" w:cs="Arial Unicode MS"/>
          <w:bCs/>
          <w:color w:val="000000"/>
          <w:sz w:val="24"/>
          <w:szCs w:val="24"/>
          <w:u w:color="000000"/>
          <w:bdr w:val="nil"/>
          <w:lang w:eastAsia="en-GB"/>
        </w:rPr>
        <w:t>The effectiveness of</w:t>
      </w:r>
      <w:r w:rsidR="007D0899" w:rsidRPr="00D1507D">
        <w:rPr>
          <w:rFonts w:ascii="Times New Roman" w:hAnsi="Arial Unicode MS"/>
          <w:color w:val="000000"/>
          <w:sz w:val="24"/>
          <w:highlight w:val="yellow"/>
          <w:u w:color="000000"/>
          <w:bdr w:val="nil"/>
        </w:rPr>
        <w:t xml:space="preserve"> </w:t>
      </w:r>
      <w:r w:rsidRPr="0084395F">
        <w:rPr>
          <w:rFonts w:ascii="Times New Roman" w:eastAsia="Arial Unicode MS" w:hAnsi="Arial Unicode MS" w:cs="Arial Unicode MS"/>
          <w:bCs/>
          <w:color w:val="000000"/>
          <w:sz w:val="24"/>
          <w:szCs w:val="24"/>
          <w:u w:color="000000"/>
          <w:bdr w:val="nil"/>
          <w:lang w:eastAsia="en-GB"/>
        </w:rPr>
        <w:t>such agreements would depend on the sectors' willingness to license rights collectively</w:t>
      </w:r>
      <w:r w:rsidR="007D0899" w:rsidRPr="00C37912">
        <w:rPr>
          <w:rFonts w:ascii="Times New Roman" w:eastAsia="Arial Unicode MS" w:hAnsi="Arial Unicode MS" w:cs="Arial Unicode MS"/>
          <w:bCs/>
          <w:color w:val="000000"/>
          <w:sz w:val="24"/>
          <w:szCs w:val="24"/>
          <w:u w:color="000000"/>
          <w:bdr w:val="nil"/>
          <w:lang w:eastAsia="en-GB"/>
        </w:rPr>
        <w:t xml:space="preserve"> (which may be limited in the case of AV works)</w:t>
      </w:r>
      <w:r w:rsidRPr="0084395F">
        <w:rPr>
          <w:rFonts w:ascii="Times New Roman" w:eastAsia="Arial Unicode MS" w:hAnsi="Arial Unicode MS" w:cs="Arial Unicode MS"/>
          <w:bCs/>
          <w:color w:val="000000"/>
          <w:sz w:val="24"/>
          <w:szCs w:val="24"/>
          <w:u w:color="000000"/>
          <w:bdr w:val="nil"/>
          <w:lang w:eastAsia="en-GB"/>
        </w:rPr>
        <w:t>.</w:t>
      </w:r>
      <w:r>
        <w:rPr>
          <w:rFonts w:ascii="Times New Roman" w:eastAsia="Arial Unicode MS" w:hAnsi="Arial Unicode MS" w:cs="Arial Unicode MS"/>
          <w:bCs/>
          <w:color w:val="000000"/>
          <w:sz w:val="24"/>
          <w:szCs w:val="24"/>
          <w:u w:color="000000"/>
          <w:bdr w:val="nil"/>
          <w:lang w:eastAsia="en-GB"/>
        </w:rPr>
        <w:t xml:space="preserve"> </w:t>
      </w:r>
    </w:p>
    <w:p w:rsidR="00FC609C" w:rsidRPr="002E226D" w:rsidRDefault="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2E226D">
        <w:rPr>
          <w:rFonts w:ascii="Times New Roman" w:eastAsia="Arial Unicode MS" w:hAnsi="Arial Unicode MS" w:cs="Arial Unicode MS"/>
          <w:bCs/>
          <w:color w:val="000000"/>
          <w:sz w:val="24"/>
          <w:szCs w:val="24"/>
          <w:u w:color="000000"/>
          <w:bdr w:val="nil"/>
          <w:lang w:eastAsia="en-GB"/>
        </w:rPr>
        <w:t xml:space="preserve">As mentioned above, voluntary initiatives have already been developed in the music sector to facilitate licensing of broadcasters' online services. A recommendation, signed by music composers and songwriters, music publishers, authors' CMOs and </w:t>
      </w:r>
      <w:r>
        <w:rPr>
          <w:rFonts w:ascii="Times New Roman" w:eastAsia="Arial Unicode MS" w:hAnsi="Arial Unicode MS" w:cs="Arial Unicode MS"/>
          <w:bCs/>
          <w:color w:val="000000"/>
          <w:sz w:val="24"/>
          <w:szCs w:val="24"/>
          <w:u w:color="000000"/>
          <w:bdr w:val="nil"/>
          <w:lang w:eastAsia="en-GB"/>
        </w:rPr>
        <w:t xml:space="preserve">public </w:t>
      </w:r>
      <w:r w:rsidRPr="002E226D">
        <w:rPr>
          <w:rFonts w:ascii="Times New Roman" w:eastAsia="Arial Unicode MS" w:hAnsi="Arial Unicode MS" w:cs="Arial Unicode MS"/>
          <w:bCs/>
          <w:color w:val="000000"/>
          <w:sz w:val="24"/>
          <w:szCs w:val="24"/>
          <w:u w:color="000000"/>
          <w:bdr w:val="nil"/>
          <w:lang w:eastAsia="en-GB"/>
        </w:rPr>
        <w:t>broadcasters, provides guidelines for the aggregation of rights in CMOs.</w:t>
      </w:r>
      <w:r w:rsidRPr="002E226D">
        <w:rPr>
          <w:rFonts w:ascii="Times New Roman" w:eastAsia="Arial Unicode MS" w:hAnsi="Arial Unicode MS" w:cs="Arial Unicode MS"/>
          <w:bCs/>
          <w:color w:val="000000"/>
          <w:sz w:val="24"/>
          <w:szCs w:val="24"/>
          <w:u w:color="000000"/>
          <w:bdr w:val="nil"/>
          <w:vertAlign w:val="superscript"/>
          <w:lang w:eastAsia="en-GB"/>
        </w:rPr>
        <w:footnoteReference w:id="103"/>
      </w:r>
      <w:r w:rsidRPr="002E226D">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The</w:t>
      </w:r>
      <w:r w:rsidRPr="002E226D">
        <w:rPr>
          <w:rFonts w:ascii="Times New Roman" w:eastAsia="Arial Unicode MS" w:hAnsi="Arial Unicode MS" w:cs="Arial Unicode MS"/>
          <w:bCs/>
          <w:color w:val="000000"/>
          <w:sz w:val="24"/>
          <w:szCs w:val="24"/>
          <w:u w:color="000000"/>
          <w:bdr w:val="nil"/>
          <w:lang w:eastAsia="en-GB"/>
        </w:rPr>
        <w:t xml:space="preserve"> CMOs representing major and independent record producers have set up a network of reciprocal representation agreements that allows for the gra</w:t>
      </w:r>
      <w:r>
        <w:rPr>
          <w:rFonts w:ascii="Times New Roman" w:eastAsia="Arial Unicode MS" w:hAnsi="Arial Unicode MS" w:cs="Arial Unicode MS"/>
          <w:bCs/>
          <w:color w:val="000000"/>
          <w:sz w:val="24"/>
          <w:szCs w:val="24"/>
          <w:u w:color="000000"/>
          <w:bdr w:val="nil"/>
          <w:lang w:eastAsia="en-GB"/>
        </w:rPr>
        <w:t>n</w:t>
      </w:r>
      <w:r w:rsidRPr="002E226D">
        <w:rPr>
          <w:rFonts w:ascii="Times New Roman" w:eastAsia="Arial Unicode MS" w:hAnsi="Arial Unicode MS" w:cs="Arial Unicode MS"/>
          <w:bCs/>
          <w:color w:val="000000"/>
          <w:sz w:val="24"/>
          <w:szCs w:val="24"/>
          <w:u w:color="000000"/>
          <w:bdr w:val="nil"/>
          <w:lang w:eastAsia="en-GB"/>
        </w:rPr>
        <w:t>ting o</w:t>
      </w:r>
      <w:r>
        <w:rPr>
          <w:rFonts w:ascii="Times New Roman" w:eastAsia="Arial Unicode MS" w:hAnsi="Arial Unicode MS" w:cs="Arial Unicode MS"/>
          <w:bCs/>
          <w:color w:val="000000"/>
          <w:sz w:val="24"/>
          <w:szCs w:val="24"/>
          <w:u w:color="000000"/>
          <w:bdr w:val="nil"/>
          <w:lang w:eastAsia="en-GB"/>
        </w:rPr>
        <w:t>f</w:t>
      </w:r>
      <w:r w:rsidRPr="002E226D">
        <w:rPr>
          <w:rFonts w:ascii="Times New Roman" w:eastAsia="Arial Unicode MS" w:hAnsi="Arial Unicode MS" w:cs="Arial Unicode MS"/>
          <w:bCs/>
          <w:color w:val="000000"/>
          <w:sz w:val="24"/>
          <w:szCs w:val="24"/>
          <w:u w:color="000000"/>
          <w:bdr w:val="nil"/>
          <w:lang w:eastAsia="en-GB"/>
        </w:rPr>
        <w:t xml:space="preserve"> multi-territorial licences for broadcasters online related activities by a single CMO. The first of such agreements covered only simulcasting and was cleared by the Commission in 2002</w:t>
      </w:r>
      <w:r>
        <w:rPr>
          <w:rFonts w:ascii="Times New Roman" w:eastAsia="Arial Unicode MS" w:hAnsi="Arial Unicode MS" w:cs="Arial Unicode MS"/>
          <w:bCs/>
          <w:color w:val="000000"/>
          <w:sz w:val="24"/>
          <w:szCs w:val="24"/>
          <w:u w:color="000000"/>
          <w:bdr w:val="nil"/>
          <w:lang w:eastAsia="en-GB"/>
        </w:rPr>
        <w:t>.</w:t>
      </w:r>
      <w:r w:rsidRPr="002E226D">
        <w:rPr>
          <w:rFonts w:ascii="Times New Roman" w:eastAsia="Arial Unicode MS" w:hAnsi="Arial Unicode MS" w:cs="Arial Unicode MS"/>
          <w:bCs/>
          <w:color w:val="000000"/>
          <w:sz w:val="24"/>
          <w:szCs w:val="24"/>
          <w:u w:color="000000"/>
          <w:bdr w:val="nil"/>
          <w:vertAlign w:val="superscript"/>
          <w:lang w:eastAsia="en-GB"/>
        </w:rPr>
        <w:footnoteReference w:id="104"/>
      </w:r>
      <w:r w:rsidRPr="002E226D">
        <w:rPr>
          <w:rFonts w:ascii="Times New Roman" w:eastAsia="Arial Unicode MS" w:hAnsi="Arial Unicode MS" w:cs="Arial Unicode MS"/>
          <w:bCs/>
          <w:color w:val="000000"/>
          <w:sz w:val="24"/>
          <w:szCs w:val="24"/>
          <w:u w:color="000000"/>
          <w:bdr w:val="nil"/>
          <w:lang w:eastAsia="en-GB"/>
        </w:rPr>
        <w:t xml:space="preserve"> Subsequently further agreements have been concluded to cover other online related services such as some forms of webcasting and catch-up services.</w:t>
      </w:r>
      <w:r>
        <w:rPr>
          <w:rStyle w:val="FootnoteReference"/>
          <w:rFonts w:ascii="Times New Roman" w:eastAsia="Arial Unicode MS" w:hAnsi="Arial Unicode MS" w:cs="Arial Unicode MS"/>
          <w:bCs/>
          <w:color w:val="000000"/>
          <w:sz w:val="24"/>
          <w:szCs w:val="24"/>
          <w:u w:color="000000"/>
          <w:bdr w:val="nil"/>
          <w:lang w:eastAsia="en-GB"/>
        </w:rPr>
        <w:footnoteReference w:id="105"/>
      </w:r>
      <w:r w:rsidRPr="002E226D">
        <w:rPr>
          <w:rFonts w:ascii="Times New Roman" w:eastAsia="Arial Unicode MS" w:hAnsi="Arial Unicode MS" w:cs="Arial Unicode MS"/>
          <w:bCs/>
          <w:color w:val="000000"/>
          <w:sz w:val="24"/>
          <w:szCs w:val="24"/>
          <w:u w:color="000000"/>
          <w:bdr w:val="nil"/>
          <w:lang w:eastAsia="en-GB"/>
        </w:rPr>
        <w:t xml:space="preserve"> Option 1 would allow </w:t>
      </w:r>
      <w:r>
        <w:rPr>
          <w:rFonts w:ascii="Times New Roman" w:eastAsia="Arial Unicode MS" w:hAnsi="Arial Unicode MS" w:cs="Arial Unicode MS"/>
          <w:bCs/>
          <w:color w:val="000000"/>
          <w:sz w:val="24"/>
          <w:szCs w:val="24"/>
          <w:u w:color="000000"/>
          <w:bdr w:val="nil"/>
          <w:lang w:eastAsia="en-GB"/>
        </w:rPr>
        <w:t>to</w:t>
      </w:r>
      <w:r w:rsidR="00C362FF">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assess</w:t>
      </w:r>
      <w:r w:rsidRPr="002E226D">
        <w:rPr>
          <w:rFonts w:ascii="Times New Roman" w:eastAsia="Arial Unicode MS" w:hAnsi="Arial Unicode MS" w:cs="Arial Unicode MS"/>
          <w:bCs/>
          <w:color w:val="000000"/>
          <w:sz w:val="24"/>
          <w:szCs w:val="24"/>
          <w:u w:color="000000"/>
          <w:bdr w:val="nil"/>
          <w:lang w:eastAsia="en-GB"/>
        </w:rPr>
        <w:t xml:space="preserve"> the functioning of these practical tools developed by the industry, resolve possible blockages and identify ways in which they could be further used. An increased use of such voluntary agreements could reduce transaction costs for the clearance of underlying rights in radio and TV programmes (e.g. broadcasters could clear online music rights with one single CMO instead of negotiating with CMOs and </w:t>
      </w:r>
      <w:r w:rsidR="006A79F9">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2E226D">
        <w:rPr>
          <w:rFonts w:ascii="Times New Roman" w:eastAsia="Arial Unicode MS" w:hAnsi="Arial Unicode MS" w:cs="Arial Unicode MS"/>
          <w:bCs/>
          <w:color w:val="000000"/>
          <w:sz w:val="24"/>
          <w:szCs w:val="24"/>
          <w:u w:color="000000"/>
          <w:bdr w:val="nil"/>
          <w:lang w:eastAsia="en-GB"/>
        </w:rPr>
        <w:t xml:space="preserve"> in each territory). This would be particularly relevant for broadcasters' original productions but in some cases could be also important for third-party content. </w:t>
      </w:r>
    </w:p>
    <w:p w:rsidR="00FC609C" w:rsidRPr="002E226D" w:rsidRDefault="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rPr>
      </w:pPr>
      <w:r w:rsidRPr="002E226D">
        <w:rPr>
          <w:rFonts w:ascii="Times New Roman" w:eastAsia="Arial Unicode MS" w:hAnsi="Arial Unicode MS" w:cs="Arial Unicode MS"/>
          <w:bCs/>
          <w:color w:val="000000"/>
          <w:sz w:val="24"/>
          <w:szCs w:val="24"/>
          <w:u w:color="000000"/>
          <w:bdr w:val="nil"/>
          <w:lang w:eastAsia="en-GB"/>
        </w:rPr>
        <w:t>The dialogue foreseen under Option 1 could allow exploring the need</w:t>
      </w:r>
      <w:r>
        <w:rPr>
          <w:rFonts w:ascii="Times New Roman" w:eastAsia="Arial Unicode MS" w:hAnsi="Arial Unicode MS" w:cs="Arial Unicode MS"/>
          <w:bCs/>
          <w:color w:val="000000"/>
          <w:sz w:val="24"/>
          <w:szCs w:val="24"/>
          <w:u w:color="000000"/>
          <w:bdr w:val="nil"/>
          <w:lang w:eastAsia="en-GB"/>
        </w:rPr>
        <w:t xml:space="preserve"> for</w:t>
      </w:r>
      <w:r w:rsidRPr="002E226D">
        <w:rPr>
          <w:rFonts w:ascii="Times New Roman" w:eastAsia="Arial Unicode MS" w:hAnsi="Arial Unicode MS" w:cs="Arial Unicode MS"/>
          <w:bCs/>
          <w:color w:val="000000"/>
          <w:sz w:val="24"/>
          <w:szCs w:val="24"/>
          <w:u w:color="000000"/>
          <w:bdr w:val="nil"/>
          <w:lang w:eastAsia="en-GB"/>
        </w:rPr>
        <w:t xml:space="preserve"> and feasibility of similar agreements for other types of works, notably AV </w:t>
      </w:r>
      <w:r w:rsidRPr="002E226D">
        <w:rPr>
          <w:rFonts w:ascii="Times New Roman" w:eastAsia="Arial Unicode MS" w:hAnsi="Arial Unicode MS" w:cs="Arial Unicode MS"/>
          <w:bCs/>
          <w:color w:val="000000"/>
          <w:sz w:val="24"/>
          <w:szCs w:val="24"/>
          <w:u w:color="000000"/>
          <w:bdr w:val="nil"/>
        </w:rPr>
        <w:t xml:space="preserve">content and visual art works </w:t>
      </w:r>
      <w:r>
        <w:rPr>
          <w:rFonts w:ascii="Times New Roman" w:eastAsia="Arial Unicode MS" w:hAnsi="Arial Unicode MS" w:cs="Arial Unicode MS"/>
          <w:bCs/>
          <w:color w:val="000000"/>
          <w:sz w:val="24"/>
          <w:szCs w:val="24"/>
          <w:u w:color="000000"/>
          <w:bdr w:val="nil"/>
        </w:rPr>
        <w:t>and, as regards authors' rights in musical works, also for commercial broadcasters</w:t>
      </w:r>
      <w:r w:rsidRPr="002E226D">
        <w:rPr>
          <w:rFonts w:ascii="Times New Roman" w:eastAsia="Arial Unicode MS" w:hAnsi="Arial Unicode MS" w:cs="Arial Unicode MS"/>
          <w:bCs/>
          <w:color w:val="000000"/>
          <w:sz w:val="24"/>
          <w:szCs w:val="24"/>
          <w:u w:color="000000"/>
          <w:bdr w:val="nil"/>
        </w:rPr>
        <w:t xml:space="preserve">. However, this would mainly depend on the willingness of </w:t>
      </w:r>
      <w:r w:rsidR="006A79F9">
        <w:rPr>
          <w:rFonts w:ascii="Times New Roman" w:eastAsia="Arial Unicode MS" w:hAnsi="Arial Unicode MS" w:cs="Arial Unicode MS"/>
          <w:bCs/>
          <w:color w:val="000000"/>
          <w:sz w:val="24"/>
          <w:szCs w:val="24"/>
          <w:u w:color="000000"/>
          <w:bdr w:val="nil"/>
        </w:rPr>
        <w:t>r</w:t>
      </w:r>
      <w:r w:rsidR="00007677">
        <w:rPr>
          <w:rFonts w:ascii="Times New Roman" w:eastAsia="Arial Unicode MS" w:hAnsi="Arial Unicode MS" w:cs="Arial Unicode MS"/>
          <w:bCs/>
          <w:color w:val="000000"/>
          <w:sz w:val="24"/>
          <w:szCs w:val="24"/>
          <w:u w:color="000000"/>
          <w:bdr w:val="nil"/>
        </w:rPr>
        <w:t>ightholders</w:t>
      </w:r>
      <w:r w:rsidRPr="002E226D">
        <w:rPr>
          <w:rFonts w:ascii="Times New Roman" w:eastAsia="Arial Unicode MS" w:hAnsi="Arial Unicode MS" w:cs="Arial Unicode MS"/>
          <w:bCs/>
          <w:color w:val="000000"/>
          <w:sz w:val="24"/>
          <w:szCs w:val="24"/>
          <w:u w:color="000000"/>
          <w:bdr w:val="nil"/>
        </w:rPr>
        <w:t xml:space="preserve"> to enter such dialogue.</w:t>
      </w:r>
      <w:r w:rsidR="00033F6E">
        <w:rPr>
          <w:rFonts w:ascii="Times New Roman" w:eastAsia="Arial Unicode MS" w:hAnsi="Arial Unicode MS" w:cs="Arial Unicode MS"/>
          <w:bCs/>
          <w:color w:val="000000"/>
          <w:sz w:val="24"/>
          <w:szCs w:val="24"/>
          <w:u w:color="000000"/>
          <w:bdr w:val="nil"/>
        </w:rPr>
        <w:t xml:space="preserve"> As explained below, </w:t>
      </w:r>
      <w:r w:rsidR="006A79F9">
        <w:rPr>
          <w:rFonts w:ascii="Times New Roman" w:eastAsia="Arial Unicode MS" w:hAnsi="Arial Unicode MS" w:cs="Arial Unicode MS"/>
          <w:bCs/>
          <w:color w:val="000000"/>
          <w:sz w:val="24"/>
          <w:szCs w:val="24"/>
          <w:u w:color="000000"/>
          <w:bdr w:val="nil"/>
        </w:rPr>
        <w:t>r</w:t>
      </w:r>
      <w:r w:rsidR="00007677">
        <w:rPr>
          <w:rFonts w:ascii="Times New Roman" w:eastAsia="Arial Unicode MS" w:hAnsi="Arial Unicode MS" w:cs="Arial Unicode MS"/>
          <w:bCs/>
          <w:color w:val="000000"/>
          <w:sz w:val="24"/>
          <w:szCs w:val="24"/>
          <w:u w:color="000000"/>
          <w:bdr w:val="nil"/>
        </w:rPr>
        <w:t>ightholders</w:t>
      </w:r>
      <w:r w:rsidR="00033F6E">
        <w:rPr>
          <w:rFonts w:ascii="Times New Roman" w:eastAsia="Arial Unicode MS" w:hAnsi="Arial Unicode MS" w:cs="Arial Unicode MS"/>
          <w:bCs/>
          <w:color w:val="000000"/>
          <w:sz w:val="24"/>
          <w:szCs w:val="24"/>
          <w:u w:color="000000"/>
          <w:bdr w:val="nil"/>
        </w:rPr>
        <w:t xml:space="preserve"> in the AV sector are likely to be reluctant to engage into such agreements. </w:t>
      </w:r>
    </w:p>
    <w:p w:rsidR="00FC609C" w:rsidRPr="002E226D" w:rsidRDefault="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2E226D">
        <w:rPr>
          <w:rFonts w:ascii="Times New Roman" w:eastAsia="Arial Unicode MS" w:hAnsi="Times New Roman" w:cs="Arial Unicode MS"/>
          <w:color w:val="000000"/>
          <w:sz w:val="24"/>
          <w:szCs w:val="24"/>
          <w:u w:val="single" w:color="000000"/>
          <w:bdr w:val="nil"/>
          <w:lang w:eastAsia="en-GB"/>
        </w:rPr>
        <w:t>Impacts on possibilities to offer services across borders</w:t>
      </w:r>
      <w:r w:rsidRPr="002E226D">
        <w:rPr>
          <w:rFonts w:ascii="Times New Roman" w:eastAsia="Arial Unicode MS" w:hAnsi="Times New Roman" w:cs="Arial Unicode MS"/>
          <w:color w:val="000000"/>
          <w:sz w:val="24"/>
          <w:szCs w:val="24"/>
          <w:u w:color="000000"/>
          <w:bdr w:val="nil"/>
          <w:lang w:eastAsia="en-GB"/>
        </w:rPr>
        <w:t>:</w:t>
      </w:r>
      <w:r w:rsidRPr="002E226D">
        <w:rPr>
          <w:rFonts w:ascii="Times New Roman" w:eastAsia="Arial Unicode MS" w:hAnsi="Arial Unicode MS" w:cs="Arial Unicode MS"/>
          <w:bCs/>
          <w:color w:val="000000"/>
          <w:sz w:val="24"/>
          <w:szCs w:val="24"/>
          <w:u w:color="000000"/>
          <w:bdr w:val="nil"/>
          <w:lang w:eastAsia="en-GB"/>
        </w:rPr>
        <w:t xml:space="preserve"> </w:t>
      </w:r>
      <w:r w:rsidR="006A3E95">
        <w:rPr>
          <w:rFonts w:ascii="Times New Roman" w:eastAsia="Arial Unicode MS" w:hAnsi="Arial Unicode MS" w:cs="Arial Unicode MS"/>
          <w:bCs/>
          <w:color w:val="000000"/>
          <w:sz w:val="24"/>
          <w:szCs w:val="24"/>
          <w:u w:color="000000"/>
          <w:bdr w:val="nil"/>
          <w:lang w:eastAsia="en-GB"/>
        </w:rPr>
        <w:t xml:space="preserve">By facilitating the clearance of underlying rights, </w:t>
      </w:r>
      <w:r w:rsidRPr="002E226D">
        <w:rPr>
          <w:rFonts w:ascii="Times New Roman" w:eastAsia="Arial Unicode MS" w:hAnsi="Arial Unicode MS" w:cs="Arial Unicode MS"/>
          <w:bCs/>
          <w:color w:val="000000"/>
          <w:sz w:val="24"/>
          <w:szCs w:val="24"/>
          <w:u w:color="000000"/>
          <w:bdr w:val="nil"/>
          <w:lang w:eastAsia="en-GB"/>
        </w:rPr>
        <w:t xml:space="preserve">the voluntary agreements fostered under Option 1 </w:t>
      </w:r>
      <w:r w:rsidR="00033F6E">
        <w:rPr>
          <w:rFonts w:ascii="Times New Roman" w:eastAsia="Arial Unicode MS" w:hAnsi="Arial Unicode MS" w:cs="Arial Unicode MS"/>
          <w:bCs/>
          <w:color w:val="000000"/>
          <w:sz w:val="24"/>
          <w:szCs w:val="24"/>
          <w:u w:color="000000"/>
          <w:bdr w:val="nil"/>
          <w:lang w:eastAsia="en-GB"/>
        </w:rPr>
        <w:t>could help</w:t>
      </w:r>
      <w:r w:rsidRPr="002E226D">
        <w:rPr>
          <w:rFonts w:ascii="Times New Roman" w:eastAsia="Arial Unicode MS" w:hAnsi="Arial Unicode MS" w:cs="Arial Unicode MS"/>
          <w:bCs/>
          <w:color w:val="000000"/>
          <w:sz w:val="24"/>
          <w:szCs w:val="24"/>
          <w:u w:color="000000"/>
          <w:bdr w:val="nil"/>
          <w:lang w:eastAsia="en-GB"/>
        </w:rPr>
        <w:t xml:space="preserve"> broadcasters to make part of their </w:t>
      </w:r>
      <w:r>
        <w:rPr>
          <w:rFonts w:ascii="Times New Roman" w:eastAsia="Arial Unicode MS" w:hAnsi="Arial Unicode MS" w:cs="Arial Unicode MS"/>
          <w:bCs/>
          <w:color w:val="000000"/>
          <w:sz w:val="24"/>
          <w:szCs w:val="24"/>
          <w:u w:color="000000"/>
          <w:bdr w:val="nil"/>
          <w:lang w:eastAsia="en-GB"/>
        </w:rPr>
        <w:t xml:space="preserve">own </w:t>
      </w:r>
      <w:r w:rsidRPr="002E226D">
        <w:rPr>
          <w:rFonts w:ascii="Times New Roman" w:eastAsia="Arial Unicode MS" w:hAnsi="Arial Unicode MS" w:cs="Arial Unicode MS"/>
          <w:bCs/>
          <w:color w:val="000000"/>
          <w:sz w:val="24"/>
          <w:szCs w:val="24"/>
          <w:u w:color="000000"/>
          <w:bdr w:val="nil"/>
          <w:lang w:eastAsia="en-GB"/>
        </w:rPr>
        <w:t xml:space="preserve">programmes available online and across borders. The type of </w:t>
      </w:r>
      <w:r w:rsidR="006A3E95">
        <w:rPr>
          <w:rFonts w:ascii="Times New Roman" w:eastAsia="Arial Unicode MS" w:hAnsi="Arial Unicode MS" w:cs="Arial Unicode MS"/>
          <w:bCs/>
          <w:color w:val="000000"/>
          <w:sz w:val="24"/>
          <w:szCs w:val="24"/>
          <w:u w:color="000000"/>
          <w:bdr w:val="nil"/>
          <w:lang w:eastAsia="en-GB"/>
        </w:rPr>
        <w:t xml:space="preserve">programmes </w:t>
      </w:r>
      <w:r w:rsidRPr="002E226D">
        <w:rPr>
          <w:rFonts w:ascii="Times New Roman" w:eastAsia="Arial Unicode MS" w:hAnsi="Arial Unicode MS" w:cs="Arial Unicode MS"/>
          <w:bCs/>
          <w:color w:val="000000"/>
          <w:sz w:val="24"/>
          <w:szCs w:val="24"/>
          <w:u w:color="000000"/>
          <w:bdr w:val="nil"/>
          <w:lang w:eastAsia="en-GB"/>
        </w:rPr>
        <w:t xml:space="preserve">and the availability of different services (simulcasting, previews, catch-up) would depend on the feasibility and functioning of such voluntary agreements as well as the conditions foreseen in them. </w:t>
      </w:r>
      <w:r w:rsidR="006A3E95">
        <w:rPr>
          <w:rFonts w:ascii="Times New Roman" w:eastAsia="Arial Unicode MS" w:hAnsi="Arial Unicode MS" w:cs="Arial Unicode MS"/>
          <w:bCs/>
          <w:color w:val="000000"/>
          <w:sz w:val="24"/>
          <w:szCs w:val="24"/>
          <w:u w:color="000000"/>
          <w:bdr w:val="nil"/>
          <w:lang w:eastAsia="en-GB"/>
        </w:rPr>
        <w:t>The cross-border availability of programmes</w:t>
      </w:r>
      <w:r w:rsidR="00157826">
        <w:rPr>
          <w:rFonts w:ascii="Times New Roman" w:eastAsia="Arial Unicode MS" w:hAnsi="Arial Unicode MS" w:cs="Arial Unicode MS"/>
          <w:bCs/>
          <w:color w:val="000000"/>
          <w:sz w:val="24"/>
          <w:szCs w:val="24"/>
          <w:u w:color="000000"/>
          <w:bdr w:val="nil"/>
          <w:lang w:eastAsia="en-GB"/>
        </w:rPr>
        <w:t>,</w:t>
      </w:r>
      <w:r w:rsidR="006A3E95">
        <w:rPr>
          <w:rFonts w:ascii="Times New Roman" w:eastAsia="Arial Unicode MS" w:hAnsi="Arial Unicode MS" w:cs="Arial Unicode MS"/>
          <w:bCs/>
          <w:color w:val="000000"/>
          <w:sz w:val="24"/>
          <w:szCs w:val="24"/>
          <w:u w:color="000000"/>
          <w:bdr w:val="nil"/>
          <w:lang w:eastAsia="en-GB"/>
        </w:rPr>
        <w:t xml:space="preserve"> in </w:t>
      </w:r>
      <w:r w:rsidR="00157826">
        <w:rPr>
          <w:rFonts w:ascii="Times New Roman" w:eastAsia="Arial Unicode MS" w:hAnsi="Arial Unicode MS" w:cs="Arial Unicode MS"/>
          <w:bCs/>
          <w:color w:val="000000"/>
          <w:sz w:val="24"/>
          <w:szCs w:val="24"/>
          <w:u w:color="000000"/>
          <w:bdr w:val="nil"/>
          <w:lang w:eastAsia="en-GB"/>
        </w:rPr>
        <w:t xml:space="preserve">particular through </w:t>
      </w:r>
      <w:r w:rsidR="006A3E95">
        <w:rPr>
          <w:rFonts w:ascii="Times New Roman" w:eastAsia="Arial Unicode MS" w:hAnsi="Arial Unicode MS" w:cs="Arial Unicode MS"/>
          <w:bCs/>
          <w:color w:val="000000"/>
          <w:sz w:val="24"/>
          <w:szCs w:val="24"/>
          <w:u w:color="000000"/>
          <w:bdr w:val="nil"/>
          <w:lang w:eastAsia="en-GB"/>
        </w:rPr>
        <w:t>catch-up services</w:t>
      </w:r>
      <w:r w:rsidR="00157826">
        <w:rPr>
          <w:rFonts w:ascii="Times New Roman" w:eastAsia="Arial Unicode MS" w:hAnsi="Arial Unicode MS" w:cs="Arial Unicode MS"/>
          <w:bCs/>
          <w:color w:val="000000"/>
          <w:sz w:val="24"/>
          <w:szCs w:val="24"/>
          <w:u w:color="000000"/>
          <w:bdr w:val="nil"/>
          <w:lang w:eastAsia="en-GB"/>
        </w:rPr>
        <w:t>,</w:t>
      </w:r>
      <w:r w:rsidR="006A3E95">
        <w:rPr>
          <w:rFonts w:ascii="Times New Roman" w:eastAsia="Arial Unicode MS" w:hAnsi="Arial Unicode MS" w:cs="Arial Unicode MS"/>
          <w:bCs/>
          <w:color w:val="000000"/>
          <w:sz w:val="24"/>
          <w:szCs w:val="24"/>
          <w:u w:color="000000"/>
          <w:bdr w:val="nil"/>
          <w:lang w:eastAsia="en-GB"/>
        </w:rPr>
        <w:t xml:space="preserve"> is likely to remain limited.  </w:t>
      </w:r>
      <w:r>
        <w:rPr>
          <w:rFonts w:ascii="Times New Roman" w:eastAsia="Arial Unicode MS" w:hAnsi="Arial Unicode MS" w:cs="Arial Unicode MS"/>
          <w:bCs/>
          <w:color w:val="000000"/>
          <w:sz w:val="24"/>
          <w:szCs w:val="24"/>
          <w:u w:color="000000"/>
          <w:bdr w:val="nil"/>
          <w:lang w:eastAsia="en-GB"/>
        </w:rPr>
        <w:t xml:space="preserve">Option 1 is not expected to have any impact on the possibility to offer </w:t>
      </w:r>
      <w:r w:rsidRPr="002E226D">
        <w:rPr>
          <w:rFonts w:ascii="Times New Roman" w:eastAsia="Arial Unicode MS" w:hAnsi="Arial Unicode MS" w:cs="Arial Unicode MS"/>
          <w:bCs/>
          <w:color w:val="000000"/>
          <w:sz w:val="24"/>
          <w:szCs w:val="24"/>
          <w:u w:color="000000"/>
          <w:bdr w:val="nil"/>
          <w:lang w:eastAsia="en-GB"/>
        </w:rPr>
        <w:t>premium content</w:t>
      </w:r>
      <w:r>
        <w:rPr>
          <w:rFonts w:ascii="Times New Roman" w:eastAsia="Arial Unicode MS" w:hAnsi="Arial Unicode MS" w:cs="Arial Unicode MS"/>
          <w:bCs/>
          <w:color w:val="000000"/>
          <w:sz w:val="24"/>
          <w:szCs w:val="24"/>
          <w:u w:color="000000"/>
          <w:bdr w:val="nil"/>
          <w:lang w:eastAsia="en-GB"/>
        </w:rPr>
        <w:t xml:space="preserve"> across borders.</w:t>
      </w:r>
    </w:p>
    <w:p w:rsidR="00FC609C" w:rsidRPr="002E226D" w:rsidRDefault="00FC609C">
      <w:pPr>
        <w:pBdr>
          <w:top w:val="nil"/>
          <w:left w:val="nil"/>
          <w:bottom w:val="nil"/>
          <w:right w:val="nil"/>
          <w:between w:val="nil"/>
          <w:bar w:val="nil"/>
        </w:pBdr>
        <w:spacing w:after="120" w:line="240" w:lineRule="auto"/>
        <w:jc w:val="both"/>
        <w:rPr>
          <w:rFonts w:ascii="Times New Roman" w:eastAsia="Arial Unicode MS" w:hAnsi="Times New Roman" w:cs="Arial Unicode MS"/>
          <w:color w:val="000000"/>
          <w:sz w:val="24"/>
          <w:szCs w:val="24"/>
          <w:u w:color="000000"/>
          <w:bdr w:val="nil"/>
          <w:lang w:eastAsia="en-GB"/>
        </w:rPr>
      </w:pPr>
      <w:r w:rsidRPr="002E226D">
        <w:rPr>
          <w:rFonts w:ascii="Times New Roman" w:eastAsia="Arial Unicode MS" w:hAnsi="Times New Roman" w:cs="Arial Unicode MS"/>
          <w:color w:val="000000"/>
          <w:sz w:val="24"/>
          <w:szCs w:val="24"/>
          <w:u w:val="single" w:color="000000"/>
          <w:bdr w:val="nil"/>
          <w:lang w:eastAsia="en-GB"/>
        </w:rPr>
        <w:t>Impacts on licensing costs</w:t>
      </w:r>
      <w:r w:rsidRPr="002E226D">
        <w:rPr>
          <w:rFonts w:ascii="Times New Roman" w:eastAsia="Arial Unicode MS" w:hAnsi="Times New Roman" w:cs="Arial Unicode MS"/>
          <w:color w:val="000000"/>
          <w:sz w:val="24"/>
          <w:szCs w:val="24"/>
          <w:u w:color="000000"/>
          <w:bdr w:val="nil"/>
          <w:lang w:eastAsia="en-GB"/>
        </w:rPr>
        <w:t xml:space="preserve">: Option 1 is not expected to have any direct impact on licensing costs for broadcasters. To the </w:t>
      </w:r>
      <w:r w:rsidRPr="000930E2">
        <w:rPr>
          <w:rFonts w:ascii="Times New Roman" w:eastAsia="Arial Unicode MS" w:hAnsi="Arial Unicode MS" w:cs="Arial Unicode MS"/>
          <w:bCs/>
          <w:color w:val="000000"/>
          <w:sz w:val="24"/>
          <w:szCs w:val="24"/>
          <w:u w:color="000000"/>
          <w:bdr w:val="nil"/>
          <w:lang w:eastAsia="en-GB"/>
        </w:rPr>
        <w:t>extent</w:t>
      </w:r>
      <w:r w:rsidRPr="002E226D">
        <w:rPr>
          <w:rFonts w:ascii="Times New Roman" w:eastAsia="Arial Unicode MS" w:hAnsi="Times New Roman" w:cs="Arial Unicode MS"/>
          <w:color w:val="000000"/>
          <w:sz w:val="24"/>
          <w:szCs w:val="24"/>
          <w:u w:color="000000"/>
          <w:bdr w:val="nil"/>
          <w:lang w:eastAsia="en-GB"/>
        </w:rPr>
        <w:t xml:space="preserve"> that voluntary agreements could lead to multi-territorial licences, licence fees would be adjusted taking account of the audience in different territories. </w:t>
      </w:r>
    </w:p>
    <w:p w:rsidR="00FC609C" w:rsidRPr="00C32C45" w:rsidRDefault="00FC609C" w:rsidP="000930E2">
      <w:pPr>
        <w:pStyle w:val="Text1"/>
        <w:ind w:left="0"/>
        <w:rPr>
          <w:rFonts w:eastAsia="Arial Unicode MS" w:hAnsi="Arial Unicode MS" w:cs="Arial Unicode MS"/>
          <w:b/>
          <w:bCs/>
          <w:color w:val="000000"/>
          <w:szCs w:val="24"/>
          <w:bdr w:val="nil"/>
        </w:rPr>
      </w:pPr>
      <w:r w:rsidRPr="00C32C45">
        <w:rPr>
          <w:rFonts w:eastAsia="Arial Unicode MS" w:hAnsi="Arial Unicode MS" w:cs="Arial Unicode MS"/>
          <w:b/>
          <w:bCs/>
          <w:color w:val="000000"/>
          <w:szCs w:val="24"/>
          <w:bdr w:val="nil"/>
        </w:rPr>
        <w:t xml:space="preserve">Other </w:t>
      </w:r>
      <w:r w:rsidRPr="000930E2">
        <w:rPr>
          <w:rFonts w:eastAsia="Arial Unicode MS" w:hAnsi="Arial Unicode MS" w:cs="Arial Unicode MS"/>
          <w:b/>
          <w:bCs/>
          <w:color w:val="000000"/>
          <w:szCs w:val="24"/>
          <w:u w:color="000000"/>
          <w:bdr w:val="nil"/>
        </w:rPr>
        <w:t>service</w:t>
      </w:r>
      <w:r w:rsidRPr="00C32C45">
        <w:rPr>
          <w:rFonts w:eastAsia="Arial Unicode MS" w:hAnsi="Arial Unicode MS" w:cs="Arial Unicode MS"/>
          <w:b/>
          <w:bCs/>
          <w:color w:val="000000"/>
          <w:szCs w:val="24"/>
          <w:bdr w:val="nil"/>
        </w:rPr>
        <w:t xml:space="preserve"> providers</w:t>
      </w:r>
    </w:p>
    <w:p w:rsidR="00FC609C" w:rsidRPr="002E226D" w:rsidRDefault="00FC609C" w:rsidP="00FC609C">
      <w:pPr>
        <w:pBdr>
          <w:top w:val="nil"/>
          <w:left w:val="nil"/>
          <w:bottom w:val="nil"/>
          <w:right w:val="nil"/>
          <w:between w:val="nil"/>
          <w:bar w:val="nil"/>
        </w:pBdr>
        <w:spacing w:after="120" w:line="240" w:lineRule="auto"/>
        <w:jc w:val="both"/>
        <w:rPr>
          <w:rFonts w:ascii="Times New Roman" w:eastAsia="Arial Unicode MS" w:hAnsi="Times New Roman" w:cs="Arial Unicode MS"/>
          <w:color w:val="000000"/>
          <w:sz w:val="24"/>
          <w:szCs w:val="24"/>
          <w:u w:color="000000"/>
          <w:bdr w:val="nil"/>
          <w:lang w:eastAsia="en-GB"/>
        </w:rPr>
      </w:pPr>
      <w:r w:rsidRPr="002E226D">
        <w:rPr>
          <w:rFonts w:ascii="Times New Roman" w:eastAsia="Arial Unicode MS" w:hAnsi="Arial Unicode MS" w:cs="Arial Unicode MS"/>
          <w:color w:val="000000"/>
          <w:sz w:val="24"/>
          <w:szCs w:val="24"/>
          <w:u w:val="single" w:color="000000"/>
          <w:bdr w:val="nil"/>
          <w:lang w:eastAsia="en-GB"/>
        </w:rPr>
        <w:t xml:space="preserve">Impacts on the </w:t>
      </w:r>
      <w:r w:rsidRPr="002E226D">
        <w:rPr>
          <w:rFonts w:ascii="Times New Roman" w:eastAsia="Arial Unicode MS" w:hAnsi="Times New Roman" w:cs="Arial Unicode MS"/>
          <w:color w:val="000000"/>
          <w:sz w:val="24"/>
          <w:szCs w:val="24"/>
          <w:u w:val="single" w:color="000000"/>
          <w:bdr w:val="nil"/>
          <w:lang w:eastAsia="en-GB"/>
        </w:rPr>
        <w:t>competitive situation</w:t>
      </w:r>
      <w:r w:rsidRPr="002E226D">
        <w:rPr>
          <w:rFonts w:ascii="Times New Roman" w:eastAsia="Arial Unicode MS" w:hAnsi="Times New Roman" w:cs="Arial Unicode MS"/>
          <w:color w:val="000000"/>
          <w:sz w:val="24"/>
          <w:szCs w:val="24"/>
          <w:u w:color="000000"/>
          <w:bdr w:val="nil"/>
          <w:lang w:eastAsia="en-GB"/>
        </w:rPr>
        <w:t xml:space="preserve">: Option 1 would encourage and facilitate discussions between broadcasters, </w:t>
      </w:r>
      <w:r w:rsidR="006A79F9">
        <w:rPr>
          <w:rFonts w:ascii="Times New Roman" w:eastAsia="Arial Unicode MS" w:hAnsi="Times New Roman" w:cs="Arial Unicode MS"/>
          <w:color w:val="000000"/>
          <w:sz w:val="24"/>
          <w:szCs w:val="24"/>
          <w:u w:color="000000"/>
          <w:bdr w:val="nil"/>
          <w:lang w:eastAsia="en-GB"/>
        </w:rPr>
        <w:t>r</w:t>
      </w:r>
      <w:r w:rsidR="00007677">
        <w:rPr>
          <w:rFonts w:ascii="Times New Roman" w:eastAsia="Arial Unicode MS" w:hAnsi="Times New Roman" w:cs="Arial Unicode MS"/>
          <w:color w:val="000000"/>
          <w:sz w:val="24"/>
          <w:szCs w:val="24"/>
          <w:u w:color="000000"/>
          <w:bdr w:val="nil"/>
          <w:lang w:eastAsia="en-GB"/>
        </w:rPr>
        <w:t>ightholders</w:t>
      </w:r>
      <w:r w:rsidRPr="002E226D">
        <w:rPr>
          <w:rFonts w:ascii="Times New Roman" w:eastAsia="Arial Unicode MS" w:hAnsi="Times New Roman" w:cs="Arial Unicode MS"/>
          <w:color w:val="000000"/>
          <w:sz w:val="24"/>
          <w:szCs w:val="24"/>
          <w:u w:color="000000"/>
          <w:bdr w:val="nil"/>
          <w:lang w:eastAsia="en-GB"/>
        </w:rPr>
        <w:t xml:space="preserve"> and CMOs for the licensing of certain online rights, but it would not grant a special licensing regime to broadcasters. Therefore, it would not have any impact on the competitive situation between broadcasters and other service providers (who would be in a position to negotiate similar licen</w:t>
      </w:r>
      <w:r w:rsidR="006A79F9">
        <w:rPr>
          <w:rFonts w:ascii="Times New Roman" w:eastAsia="Arial Unicode MS" w:hAnsi="Times New Roman" w:cs="Arial Unicode MS"/>
          <w:color w:val="000000"/>
          <w:sz w:val="24"/>
          <w:szCs w:val="24"/>
          <w:u w:color="000000"/>
          <w:bdr w:val="nil"/>
          <w:lang w:eastAsia="en-GB"/>
        </w:rPr>
        <w:t>s</w:t>
      </w:r>
      <w:r w:rsidRPr="002E226D">
        <w:rPr>
          <w:rFonts w:ascii="Times New Roman" w:eastAsia="Arial Unicode MS" w:hAnsi="Times New Roman" w:cs="Arial Unicode MS"/>
          <w:color w:val="000000"/>
          <w:sz w:val="24"/>
          <w:szCs w:val="24"/>
          <w:u w:color="000000"/>
          <w:bdr w:val="nil"/>
          <w:lang w:eastAsia="en-GB"/>
        </w:rPr>
        <w:t xml:space="preserve">ing schemes with CMOs and </w:t>
      </w:r>
      <w:r w:rsidR="006A79F9">
        <w:rPr>
          <w:rFonts w:ascii="Times New Roman" w:eastAsia="Arial Unicode MS" w:hAnsi="Times New Roman" w:cs="Arial Unicode MS"/>
          <w:color w:val="000000"/>
          <w:sz w:val="24"/>
          <w:szCs w:val="24"/>
          <w:u w:color="000000"/>
          <w:bdr w:val="nil"/>
          <w:lang w:eastAsia="en-GB"/>
        </w:rPr>
        <w:t>r</w:t>
      </w:r>
      <w:r w:rsidR="00007677">
        <w:rPr>
          <w:rFonts w:ascii="Times New Roman" w:eastAsia="Arial Unicode MS" w:hAnsi="Times New Roman" w:cs="Arial Unicode MS"/>
          <w:color w:val="000000"/>
          <w:sz w:val="24"/>
          <w:szCs w:val="24"/>
          <w:u w:color="000000"/>
          <w:bdr w:val="nil"/>
          <w:lang w:eastAsia="en-GB"/>
        </w:rPr>
        <w:t>ightholders</w:t>
      </w:r>
      <w:r w:rsidRPr="002E226D">
        <w:rPr>
          <w:rFonts w:ascii="Times New Roman" w:eastAsia="Arial Unicode MS" w:hAnsi="Times New Roman" w:cs="Arial Unicode MS"/>
          <w:color w:val="000000"/>
          <w:sz w:val="24"/>
          <w:szCs w:val="24"/>
          <w:u w:color="000000"/>
          <w:bdr w:val="nil"/>
          <w:lang w:eastAsia="en-GB"/>
        </w:rPr>
        <w:t>).</w:t>
      </w:r>
    </w:p>
    <w:p w:rsidR="00FC609C" w:rsidRPr="00C32C45" w:rsidRDefault="00007677" w:rsidP="000930E2">
      <w:pPr>
        <w:pStyle w:val="Text1"/>
        <w:ind w:left="0"/>
        <w:rPr>
          <w:rFonts w:eastAsia="Arial Unicode MS" w:hAnsi="Arial Unicode MS" w:cs="Arial Unicode MS"/>
          <w:b/>
          <w:bCs/>
          <w:color w:val="000000"/>
          <w:szCs w:val="24"/>
          <w:bdr w:val="nil"/>
        </w:rPr>
      </w:pPr>
      <w:r>
        <w:rPr>
          <w:rFonts w:eastAsia="Arial Unicode MS" w:hAnsi="Arial Unicode MS" w:cs="Arial Unicode MS"/>
          <w:b/>
          <w:bCs/>
          <w:color w:val="000000"/>
          <w:szCs w:val="24"/>
          <w:bdr w:val="nil"/>
        </w:rPr>
        <w:t>Rightholders</w:t>
      </w:r>
    </w:p>
    <w:p w:rsidR="00FC609C" w:rsidRPr="002E226D"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2E226D">
        <w:rPr>
          <w:rFonts w:ascii="Times New Roman" w:eastAsia="Arial Unicode MS" w:hAnsi="Arial Unicode MS" w:cs="Arial Unicode MS"/>
          <w:bCs/>
          <w:color w:val="000000"/>
          <w:sz w:val="24"/>
          <w:szCs w:val="24"/>
          <w:u w:val="single" w:color="000000"/>
          <w:bdr w:val="nil"/>
          <w:lang w:eastAsia="en-GB"/>
        </w:rPr>
        <w:t>Impacts on licensing models and revenues</w:t>
      </w:r>
      <w:r w:rsidRPr="002E226D">
        <w:rPr>
          <w:rFonts w:ascii="Times New Roman" w:eastAsia="Arial Unicode MS" w:hAnsi="Arial Unicode MS" w:cs="Arial Unicode MS"/>
          <w:bCs/>
          <w:color w:val="000000"/>
          <w:sz w:val="24"/>
          <w:szCs w:val="24"/>
          <w:u w:color="000000"/>
          <w:bdr w:val="nil"/>
          <w:lang w:eastAsia="en-GB"/>
        </w:rPr>
        <w:t xml:space="preserve">: Option 1 would encourage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2E226D">
        <w:rPr>
          <w:rFonts w:ascii="Times New Roman" w:eastAsia="Arial Unicode MS" w:hAnsi="Arial Unicode MS" w:cs="Arial Unicode MS"/>
          <w:bCs/>
          <w:color w:val="000000"/>
          <w:sz w:val="24"/>
          <w:szCs w:val="24"/>
          <w:u w:color="000000"/>
          <w:bdr w:val="nil"/>
          <w:lang w:eastAsia="en-GB"/>
        </w:rPr>
        <w:t xml:space="preserve"> to aggregate their rights with CMOs for the purpose of licensing broadcasters' online ancillary services; however it would not </w:t>
      </w:r>
      <w:r w:rsidRPr="000930E2">
        <w:rPr>
          <w:rFonts w:ascii="Times New Roman" w:eastAsia="Arial Unicode MS" w:hAnsi="Times New Roman" w:cs="Arial Unicode MS"/>
          <w:color w:val="000000"/>
          <w:sz w:val="24"/>
          <w:szCs w:val="24"/>
          <w:u w:color="000000"/>
          <w:bdr w:val="nil"/>
          <w:lang w:eastAsia="en-GB"/>
        </w:rPr>
        <w:t>impose</w:t>
      </w:r>
      <w:r w:rsidRPr="002E226D">
        <w:rPr>
          <w:rFonts w:ascii="Times New Roman" w:eastAsia="Arial Unicode MS" w:hAnsi="Arial Unicode MS" w:cs="Arial Unicode MS"/>
          <w:bCs/>
          <w:color w:val="000000"/>
          <w:sz w:val="24"/>
          <w:szCs w:val="24"/>
          <w:u w:color="000000"/>
          <w:bdr w:val="nil"/>
          <w:lang w:eastAsia="en-GB"/>
        </w:rPr>
        <w:t xml:space="preserve"> any licensing regime (e.g. mandatory collective management) and would not affect their contractual freedom. </w:t>
      </w:r>
    </w:p>
    <w:p w:rsidR="00FC609C" w:rsidRPr="002E226D" w:rsidRDefault="00007677" w:rsidP="007D6CF3">
      <w:pPr>
        <w:pStyle w:val="Text1"/>
        <w:numPr>
          <w:ilvl w:val="0"/>
          <w:numId w:val="37"/>
        </w:numPr>
        <w:ind w:left="426" w:hanging="426"/>
        <w:rPr>
          <w:rFonts w:eastAsia="Arial Unicode MS" w:hAnsi="Arial Unicode MS" w:cs="Arial Unicode MS"/>
          <w:bCs/>
          <w:color w:val="000000"/>
          <w:szCs w:val="24"/>
          <w:u w:color="000000"/>
          <w:bdr w:val="nil"/>
        </w:rPr>
      </w:pPr>
      <w:r>
        <w:rPr>
          <w:rFonts w:eastAsia="Arial Unicode MS" w:hAnsi="Arial Unicode MS" w:cs="Arial Unicode MS"/>
          <w:bCs/>
          <w:color w:val="000000"/>
          <w:szCs w:val="24"/>
          <w:u w:color="000000"/>
          <w:bdr w:val="nil"/>
        </w:rPr>
        <w:t>Rightholders</w:t>
      </w:r>
      <w:r w:rsidR="00FC609C" w:rsidRPr="002E226D">
        <w:rPr>
          <w:rFonts w:eastAsia="Arial Unicode MS" w:hAnsi="Arial Unicode MS" w:cs="Arial Unicode MS"/>
          <w:bCs/>
          <w:color w:val="000000"/>
          <w:szCs w:val="24"/>
          <w:u w:color="000000"/>
          <w:bdr w:val="nil"/>
        </w:rPr>
        <w:t xml:space="preserve"> in the </w:t>
      </w:r>
      <w:r w:rsidR="00FC609C" w:rsidRPr="00870476">
        <w:rPr>
          <w:rFonts w:eastAsia="Arial Unicode MS" w:hAnsi="Arial Unicode MS" w:cs="Arial Unicode MS"/>
          <w:bCs/>
          <w:color w:val="000000"/>
          <w:szCs w:val="24"/>
          <w:u w:color="000000"/>
          <w:bdr w:val="nil"/>
        </w:rPr>
        <w:t>music</w:t>
      </w:r>
      <w:r w:rsidR="00FC609C" w:rsidRPr="002E226D">
        <w:rPr>
          <w:rFonts w:eastAsia="Arial Unicode MS" w:hAnsi="Arial Unicode MS" w:cs="Arial Unicode MS"/>
          <w:bCs/>
          <w:color w:val="000000"/>
          <w:szCs w:val="24"/>
          <w:u w:color="000000"/>
          <w:bdr w:val="nil"/>
        </w:rPr>
        <w:t xml:space="preserve"> sector are expected to support a further development of voluntary agreements with CMOs and broadcasters.</w:t>
      </w:r>
      <w:r w:rsidR="00FC609C">
        <w:rPr>
          <w:rFonts w:eastAsia="Arial Unicode MS" w:hAnsi="Arial Unicode MS" w:cs="Arial Unicode MS"/>
          <w:bCs/>
          <w:color w:val="000000"/>
          <w:szCs w:val="24"/>
          <w:u w:color="000000"/>
          <w:bdr w:val="nil"/>
        </w:rPr>
        <w:t xml:space="preserve"> It is not excluded, however, that </w:t>
      </w:r>
      <w:r w:rsidR="00695C5E">
        <w:rPr>
          <w:rFonts w:eastAsia="Arial Unicode MS" w:hAnsi="Arial Unicode MS" w:cs="Arial Unicode MS"/>
          <w:bCs/>
          <w:color w:val="000000"/>
          <w:szCs w:val="24"/>
          <w:u w:color="000000"/>
          <w:bdr w:val="nil"/>
        </w:rPr>
        <w:t>r</w:t>
      </w:r>
      <w:r>
        <w:rPr>
          <w:rFonts w:eastAsia="Arial Unicode MS" w:hAnsi="Arial Unicode MS" w:cs="Arial Unicode MS"/>
          <w:bCs/>
          <w:color w:val="000000"/>
          <w:szCs w:val="24"/>
          <w:u w:color="000000"/>
          <w:bdr w:val="nil"/>
        </w:rPr>
        <w:t>ightholders</w:t>
      </w:r>
      <w:r w:rsidR="00FC609C">
        <w:rPr>
          <w:rFonts w:eastAsia="Arial Unicode MS" w:hAnsi="Arial Unicode MS" w:cs="Arial Unicode MS"/>
          <w:bCs/>
          <w:color w:val="000000"/>
          <w:szCs w:val="24"/>
          <w:u w:color="000000"/>
          <w:bdr w:val="nil"/>
        </w:rPr>
        <w:t xml:space="preserve"> </w:t>
      </w:r>
      <w:r w:rsidR="00FC609C" w:rsidRPr="002E226D">
        <w:rPr>
          <w:rFonts w:eastAsia="Arial Unicode MS" w:hAnsi="Arial Unicode MS" w:cs="Arial Unicode MS"/>
          <w:bCs/>
          <w:color w:val="000000"/>
          <w:szCs w:val="24"/>
          <w:u w:color="000000"/>
          <w:bdr w:val="nil"/>
        </w:rPr>
        <w:t xml:space="preserve">may be reluctant to </w:t>
      </w:r>
      <w:r w:rsidR="00FC609C">
        <w:rPr>
          <w:rFonts w:eastAsia="Arial Unicode MS" w:hAnsi="Arial Unicode MS" w:cs="Arial Unicode MS"/>
          <w:bCs/>
          <w:color w:val="000000"/>
          <w:szCs w:val="24"/>
          <w:u w:color="000000"/>
          <w:bdr w:val="nil"/>
        </w:rPr>
        <w:t>aggregate at CMOs certain</w:t>
      </w:r>
      <w:r w:rsidR="00FC609C" w:rsidRPr="002E226D">
        <w:rPr>
          <w:rFonts w:eastAsia="Arial Unicode MS" w:hAnsi="Arial Unicode MS" w:cs="Arial Unicode MS"/>
          <w:bCs/>
          <w:color w:val="000000"/>
          <w:szCs w:val="24"/>
          <w:u w:color="000000"/>
          <w:bdr w:val="nil"/>
        </w:rPr>
        <w:t xml:space="preserve"> rights </w:t>
      </w:r>
      <w:r w:rsidR="00FC609C">
        <w:rPr>
          <w:rFonts w:eastAsia="Arial Unicode MS" w:hAnsi="Arial Unicode MS" w:cs="Arial Unicode MS"/>
          <w:bCs/>
          <w:color w:val="000000"/>
          <w:szCs w:val="24"/>
          <w:u w:color="000000"/>
          <w:bdr w:val="nil"/>
        </w:rPr>
        <w:t xml:space="preserve">(e.g. </w:t>
      </w:r>
      <w:r w:rsidR="00FC609C" w:rsidRPr="002E226D">
        <w:rPr>
          <w:rFonts w:eastAsia="Arial Unicode MS" w:hAnsi="Arial Unicode MS" w:cs="Arial Unicode MS"/>
          <w:bCs/>
          <w:color w:val="000000"/>
          <w:szCs w:val="24"/>
          <w:u w:color="000000"/>
          <w:bdr w:val="nil"/>
        </w:rPr>
        <w:t>for catch-up</w:t>
      </w:r>
      <w:r w:rsidR="00FC609C">
        <w:rPr>
          <w:rFonts w:eastAsia="Arial Unicode MS" w:hAnsi="Arial Unicode MS" w:cs="Arial Unicode MS"/>
          <w:bCs/>
          <w:color w:val="000000"/>
          <w:szCs w:val="24"/>
          <w:u w:color="000000"/>
          <w:bdr w:val="nil"/>
        </w:rPr>
        <w:t xml:space="preserve"> services or music channels)</w:t>
      </w:r>
      <w:r w:rsidR="00FC609C" w:rsidRPr="002E226D">
        <w:rPr>
          <w:rFonts w:eastAsia="Arial Unicode MS" w:hAnsi="Arial Unicode MS" w:cs="Arial Unicode MS"/>
          <w:bCs/>
          <w:color w:val="000000"/>
          <w:szCs w:val="24"/>
          <w:u w:color="000000"/>
          <w:bdr w:val="nil"/>
        </w:rPr>
        <w:t xml:space="preserve"> </w:t>
      </w:r>
      <w:r w:rsidR="00FC609C">
        <w:rPr>
          <w:rFonts w:eastAsia="Arial Unicode MS" w:hAnsi="Arial Unicode MS" w:cs="Arial Unicode MS"/>
          <w:bCs/>
          <w:color w:val="000000"/>
          <w:szCs w:val="24"/>
          <w:u w:color="000000"/>
          <w:bdr w:val="nil"/>
        </w:rPr>
        <w:t xml:space="preserve">in order to protect their revenues in the on-demand market.  </w:t>
      </w:r>
      <w:r w:rsidR="00FC609C" w:rsidRPr="002E226D">
        <w:rPr>
          <w:rFonts w:eastAsia="Arial Unicode MS" w:hAnsi="Arial Unicode MS" w:cs="Arial Unicode MS"/>
          <w:bCs/>
          <w:color w:val="000000"/>
          <w:szCs w:val="24"/>
          <w:u w:color="000000"/>
          <w:bdr w:val="nil"/>
        </w:rPr>
        <w:t xml:space="preserve"> </w:t>
      </w:r>
    </w:p>
    <w:p w:rsidR="00FC609C" w:rsidRPr="002E226D" w:rsidRDefault="00FC609C" w:rsidP="007D6CF3">
      <w:pPr>
        <w:pStyle w:val="Text1"/>
        <w:numPr>
          <w:ilvl w:val="0"/>
          <w:numId w:val="37"/>
        </w:numPr>
        <w:ind w:left="426" w:hanging="426"/>
        <w:rPr>
          <w:rFonts w:eastAsia="Arial Unicode MS" w:hAnsi="Arial Unicode MS" w:cs="Arial Unicode MS"/>
          <w:bCs/>
          <w:color w:val="000000"/>
          <w:szCs w:val="24"/>
          <w:u w:color="000000"/>
          <w:bdr w:val="nil"/>
        </w:rPr>
      </w:pPr>
      <w:r w:rsidRPr="002E226D">
        <w:rPr>
          <w:rFonts w:eastAsia="Arial Unicode MS" w:hAnsi="Arial Unicode MS" w:cs="Arial Unicode MS"/>
          <w:bCs/>
          <w:color w:val="000000"/>
          <w:szCs w:val="24"/>
          <w:u w:color="000000"/>
          <w:bdr w:val="nil"/>
        </w:rPr>
        <w:t xml:space="preserve">Producers </w:t>
      </w:r>
      <w:r>
        <w:rPr>
          <w:rFonts w:eastAsia="Arial Unicode MS" w:hAnsi="Arial Unicode MS" w:cs="Arial Unicode MS"/>
          <w:bCs/>
          <w:color w:val="000000"/>
          <w:szCs w:val="24"/>
          <w:u w:color="000000"/>
          <w:bdr w:val="nil"/>
        </w:rPr>
        <w:t>of</w:t>
      </w:r>
      <w:r w:rsidRPr="002E226D">
        <w:rPr>
          <w:rFonts w:eastAsia="Arial Unicode MS" w:hAnsi="Arial Unicode MS" w:cs="Arial Unicode MS"/>
          <w:bCs/>
          <w:color w:val="000000"/>
          <w:szCs w:val="24"/>
          <w:u w:color="000000"/>
          <w:bdr w:val="nil"/>
        </w:rPr>
        <w:t xml:space="preserve"> </w:t>
      </w:r>
      <w:r>
        <w:rPr>
          <w:rFonts w:eastAsia="Arial Unicode MS" w:hAnsi="Arial Unicode MS" w:cs="Arial Unicode MS"/>
          <w:bCs/>
          <w:color w:val="000000"/>
          <w:szCs w:val="24"/>
          <w:u w:color="000000"/>
          <w:bdr w:val="nil"/>
        </w:rPr>
        <w:t xml:space="preserve">AV </w:t>
      </w:r>
      <w:r w:rsidRPr="002E226D">
        <w:rPr>
          <w:rFonts w:eastAsia="Arial Unicode MS" w:hAnsi="Arial Unicode MS" w:cs="Arial Unicode MS"/>
          <w:bCs/>
          <w:color w:val="000000"/>
          <w:szCs w:val="24"/>
          <w:u w:color="000000"/>
          <w:bdr w:val="nil"/>
        </w:rPr>
        <w:t xml:space="preserve">works </w:t>
      </w:r>
      <w:r>
        <w:rPr>
          <w:rFonts w:eastAsia="Arial Unicode MS" w:hAnsi="Arial Unicode MS" w:cs="Arial Unicode MS"/>
          <w:bCs/>
          <w:color w:val="000000"/>
          <w:szCs w:val="24"/>
          <w:u w:color="000000"/>
          <w:bdr w:val="nil"/>
        </w:rPr>
        <w:t xml:space="preserve">which </w:t>
      </w:r>
      <w:r w:rsidRPr="002E226D">
        <w:rPr>
          <w:rFonts w:eastAsia="Arial Unicode MS" w:hAnsi="Arial Unicode MS" w:cs="Arial Unicode MS"/>
          <w:bCs/>
          <w:color w:val="000000"/>
          <w:szCs w:val="24"/>
          <w:u w:color="000000"/>
          <w:bdr w:val="nil"/>
        </w:rPr>
        <w:t>are not distributed on the basis of exclusivity may see an interest in such agreements, as it could increase the exposure of their works and generate additional revenues. They could for example decide to transfer their online rights, for the purpose of licensing broadcasters' online ancillary services, to CMOs which currently manage their cable retransmission rights. Such arrangements based on collective management of rights are more likely to be developed for simulcasting than for catch-up services (</w:t>
      </w:r>
      <w:r w:rsidR="00695C5E">
        <w:rPr>
          <w:rFonts w:eastAsia="Arial Unicode MS" w:hAnsi="Arial Unicode MS" w:cs="Arial Unicode MS"/>
          <w:bCs/>
          <w:color w:val="000000"/>
          <w:szCs w:val="24"/>
          <w:u w:color="000000"/>
          <w:bdr w:val="nil"/>
        </w:rPr>
        <w:t>r</w:t>
      </w:r>
      <w:r w:rsidR="00007677">
        <w:rPr>
          <w:rFonts w:eastAsia="Arial Unicode MS" w:hAnsi="Arial Unicode MS" w:cs="Arial Unicode MS"/>
          <w:bCs/>
          <w:color w:val="000000"/>
          <w:szCs w:val="24"/>
          <w:u w:color="000000"/>
          <w:bdr w:val="nil"/>
        </w:rPr>
        <w:t>ightholders</w:t>
      </w:r>
      <w:r w:rsidRPr="002E226D">
        <w:rPr>
          <w:rFonts w:eastAsia="Arial Unicode MS" w:hAnsi="Arial Unicode MS" w:cs="Arial Unicode MS"/>
          <w:bCs/>
          <w:color w:val="000000"/>
          <w:szCs w:val="24"/>
          <w:u w:color="000000"/>
          <w:bdr w:val="nil"/>
        </w:rPr>
        <w:t xml:space="preserve"> may be more reluctant to license rights for catch-up through CMOs </w:t>
      </w:r>
      <w:r>
        <w:rPr>
          <w:rFonts w:eastAsia="Arial Unicode MS" w:hAnsi="Arial Unicode MS" w:cs="Arial Unicode MS"/>
          <w:bCs/>
          <w:color w:val="000000"/>
          <w:szCs w:val="24"/>
          <w:u w:color="000000"/>
          <w:bdr w:val="nil"/>
        </w:rPr>
        <w:t xml:space="preserve">in order to optimise licensing of their </w:t>
      </w:r>
      <w:r w:rsidRPr="002E226D">
        <w:rPr>
          <w:rFonts w:eastAsia="Arial Unicode MS" w:hAnsi="Arial Unicode MS" w:cs="Arial Unicode MS"/>
          <w:bCs/>
          <w:color w:val="000000"/>
          <w:szCs w:val="24"/>
          <w:u w:color="000000"/>
          <w:bdr w:val="nil"/>
        </w:rPr>
        <w:t>on-demand</w:t>
      </w:r>
      <w:r>
        <w:rPr>
          <w:rFonts w:eastAsia="Arial Unicode MS" w:hAnsi="Arial Unicode MS" w:cs="Arial Unicode MS"/>
          <w:bCs/>
          <w:color w:val="000000"/>
          <w:szCs w:val="24"/>
          <w:u w:color="000000"/>
          <w:bdr w:val="nil"/>
        </w:rPr>
        <w:t xml:space="preserve"> rights</w:t>
      </w:r>
      <w:r w:rsidRPr="002E226D">
        <w:rPr>
          <w:rFonts w:eastAsia="Arial Unicode MS" w:hAnsi="Arial Unicode MS" w:cs="Arial Unicode MS"/>
          <w:bCs/>
          <w:color w:val="000000"/>
          <w:szCs w:val="24"/>
          <w:u w:color="000000"/>
          <w:bdr w:val="nil"/>
        </w:rPr>
        <w:t>).</w:t>
      </w:r>
    </w:p>
    <w:p w:rsidR="00FC609C" w:rsidRPr="002E226D" w:rsidRDefault="00007677" w:rsidP="007D6CF3">
      <w:pPr>
        <w:pStyle w:val="Text1"/>
        <w:numPr>
          <w:ilvl w:val="0"/>
          <w:numId w:val="37"/>
        </w:numPr>
        <w:ind w:left="426" w:hanging="426"/>
        <w:rPr>
          <w:rFonts w:eastAsia="Arial Unicode MS" w:hAnsi="Arial Unicode MS" w:cs="Arial Unicode MS"/>
          <w:bCs/>
          <w:color w:val="000000"/>
          <w:szCs w:val="24"/>
          <w:u w:color="000000"/>
          <w:bdr w:val="nil"/>
        </w:rPr>
      </w:pPr>
      <w:r>
        <w:rPr>
          <w:rFonts w:eastAsia="Arial Unicode MS" w:hAnsi="Arial Unicode MS" w:cs="Arial Unicode MS"/>
          <w:bCs/>
          <w:color w:val="000000"/>
          <w:szCs w:val="24"/>
          <w:u w:color="000000"/>
          <w:bdr w:val="nil"/>
        </w:rPr>
        <w:t>Rightholders</w:t>
      </w:r>
      <w:r w:rsidR="00FC609C">
        <w:rPr>
          <w:rFonts w:eastAsia="Arial Unicode MS" w:hAnsi="Arial Unicode MS" w:cs="Arial Unicode MS"/>
          <w:bCs/>
          <w:color w:val="000000"/>
          <w:szCs w:val="24"/>
          <w:u w:color="000000"/>
          <w:bdr w:val="nil"/>
        </w:rPr>
        <w:t xml:space="preserve"> </w:t>
      </w:r>
      <w:r w:rsidR="00FC609C" w:rsidRPr="002E226D">
        <w:rPr>
          <w:rFonts w:eastAsia="Arial Unicode MS" w:hAnsi="Arial Unicode MS" w:cs="Arial Unicode MS"/>
          <w:bCs/>
          <w:color w:val="000000"/>
          <w:szCs w:val="24"/>
          <w:u w:color="000000"/>
          <w:bdr w:val="nil"/>
        </w:rPr>
        <w:t xml:space="preserve">in the </w:t>
      </w:r>
      <w:r w:rsidR="00FC609C" w:rsidRPr="00C32C45">
        <w:rPr>
          <w:rFonts w:eastAsia="Arial Unicode MS" w:hAnsi="Arial Unicode MS" w:cs="Arial Unicode MS"/>
          <w:bCs/>
          <w:color w:val="000000"/>
          <w:szCs w:val="24"/>
          <w:u w:color="000000"/>
          <w:bdr w:val="nil"/>
        </w:rPr>
        <w:t>AV</w:t>
      </w:r>
      <w:r w:rsidR="00FC609C" w:rsidRPr="002E226D">
        <w:rPr>
          <w:rFonts w:eastAsia="Arial Unicode MS" w:hAnsi="Arial Unicode MS" w:cs="Arial Unicode MS"/>
          <w:bCs/>
          <w:color w:val="000000"/>
          <w:szCs w:val="24"/>
          <w:u w:color="000000"/>
          <w:bdr w:val="nil"/>
        </w:rPr>
        <w:t xml:space="preserve"> sector </w:t>
      </w:r>
      <w:r w:rsidR="00FC609C">
        <w:rPr>
          <w:rFonts w:eastAsia="Arial Unicode MS" w:hAnsi="Arial Unicode MS" w:cs="Arial Unicode MS"/>
          <w:bCs/>
          <w:color w:val="000000"/>
          <w:szCs w:val="24"/>
          <w:u w:color="000000"/>
          <w:bdr w:val="nil"/>
        </w:rPr>
        <w:t xml:space="preserve">who rely on territorially based licensing models </w:t>
      </w:r>
      <w:r w:rsidR="00FC609C" w:rsidRPr="002E226D">
        <w:rPr>
          <w:rFonts w:eastAsia="Arial Unicode MS" w:hAnsi="Arial Unicode MS" w:cs="Arial Unicode MS"/>
          <w:bCs/>
          <w:color w:val="000000"/>
          <w:szCs w:val="24"/>
          <w:u w:color="000000"/>
          <w:bdr w:val="nil"/>
        </w:rPr>
        <w:t xml:space="preserve">are likely to be very reluctant to engage in licensing practices based on aggregation of rights or multi-territorial licensing. </w:t>
      </w:r>
    </w:p>
    <w:p w:rsidR="00FC609C" w:rsidRPr="002E226D" w:rsidRDefault="00FC609C" w:rsidP="007D6CF3">
      <w:pPr>
        <w:pStyle w:val="Text1"/>
        <w:numPr>
          <w:ilvl w:val="0"/>
          <w:numId w:val="37"/>
        </w:numPr>
        <w:ind w:left="426" w:hanging="426"/>
        <w:rPr>
          <w:rFonts w:eastAsia="Arial Unicode MS" w:hAnsi="Arial Unicode MS" w:cs="Arial Unicode MS"/>
          <w:bCs/>
          <w:color w:val="000000"/>
          <w:szCs w:val="24"/>
          <w:u w:color="000000"/>
          <w:bdr w:val="nil"/>
        </w:rPr>
      </w:pPr>
      <w:r w:rsidRPr="002E226D">
        <w:rPr>
          <w:rFonts w:eastAsia="Arial Unicode MS" w:hAnsi="Arial Unicode MS" w:cs="Arial Unicode MS"/>
          <w:bCs/>
          <w:color w:val="000000"/>
          <w:szCs w:val="24"/>
          <w:u w:color="000000"/>
          <w:bdr w:val="nil"/>
        </w:rPr>
        <w:t xml:space="preserve">This option could encourage </w:t>
      </w:r>
      <w:r w:rsidRPr="00870476">
        <w:rPr>
          <w:rFonts w:eastAsia="Arial Unicode MS" w:hAnsi="Arial Unicode MS" w:cs="Arial Unicode MS"/>
          <w:bCs/>
          <w:color w:val="000000"/>
          <w:szCs w:val="24"/>
          <w:u w:color="000000"/>
          <w:bdr w:val="nil"/>
        </w:rPr>
        <w:t xml:space="preserve">visual </w:t>
      </w:r>
      <w:r w:rsidRPr="00C32C45">
        <w:rPr>
          <w:rFonts w:eastAsia="Arial Unicode MS" w:hAnsi="Arial Unicode MS" w:cs="Arial Unicode MS"/>
          <w:bCs/>
          <w:color w:val="000000"/>
          <w:szCs w:val="24"/>
          <w:u w:color="000000"/>
          <w:bdr w:val="nil"/>
        </w:rPr>
        <w:t>arts industry</w:t>
      </w:r>
      <w:r w:rsidRPr="002E226D">
        <w:rPr>
          <w:rFonts w:eastAsia="Arial Unicode MS" w:hAnsi="Arial Unicode MS" w:cs="Arial Unicode MS"/>
          <w:bCs/>
          <w:color w:val="000000"/>
          <w:szCs w:val="24"/>
          <w:u w:color="000000"/>
          <w:bdr w:val="nil"/>
        </w:rPr>
        <w:t xml:space="preserve"> to enter into agreements with broadcasters based on the aggregation of their rights with CMOs</w:t>
      </w:r>
      <w:r>
        <w:rPr>
          <w:rFonts w:eastAsia="Arial Unicode MS" w:hAnsi="Arial Unicode MS" w:cs="Arial Unicode MS"/>
          <w:bCs/>
          <w:color w:val="000000"/>
          <w:szCs w:val="24"/>
          <w:u w:color="000000"/>
          <w:bdr w:val="nil"/>
        </w:rPr>
        <w:t>, in particular those who already rely on the collective management of rights</w:t>
      </w:r>
      <w:r w:rsidRPr="002E226D">
        <w:rPr>
          <w:rFonts w:eastAsia="Arial Unicode MS" w:hAnsi="Arial Unicode MS" w:cs="Arial Unicode MS"/>
          <w:bCs/>
          <w:color w:val="000000"/>
          <w:szCs w:val="24"/>
          <w:u w:color="000000"/>
          <w:bdr w:val="nil"/>
        </w:rPr>
        <w:t xml:space="preserve">. </w:t>
      </w:r>
    </w:p>
    <w:p w:rsidR="00FC609C" w:rsidRPr="00C32C45" w:rsidRDefault="00FC609C" w:rsidP="000930E2">
      <w:pPr>
        <w:pStyle w:val="Text1"/>
        <w:ind w:left="0"/>
        <w:rPr>
          <w:rFonts w:eastAsia="Arial Unicode MS" w:hAnsi="Arial Unicode MS" w:cs="Arial Unicode MS"/>
          <w:b/>
          <w:bCs/>
          <w:color w:val="000000"/>
          <w:szCs w:val="24"/>
          <w:bdr w:val="nil"/>
        </w:rPr>
      </w:pPr>
      <w:r w:rsidRPr="00C32C45">
        <w:rPr>
          <w:rFonts w:eastAsia="Arial Unicode MS" w:hAnsi="Arial Unicode MS" w:cs="Arial Unicode MS"/>
          <w:b/>
          <w:bCs/>
          <w:color w:val="000000"/>
          <w:szCs w:val="24"/>
          <w:bdr w:val="nil"/>
        </w:rPr>
        <w:t>Consumers</w:t>
      </w:r>
    </w:p>
    <w:p w:rsidR="009D59CB"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2E226D">
        <w:rPr>
          <w:rFonts w:ascii="Times New Roman" w:eastAsia="Arial Unicode MS" w:hAnsi="Times New Roman" w:cs="Arial Unicode MS"/>
          <w:color w:val="000000"/>
          <w:sz w:val="24"/>
          <w:szCs w:val="24"/>
          <w:u w:val="single" w:color="000000"/>
          <w:bdr w:val="nil"/>
          <w:lang w:eastAsia="en-GB"/>
        </w:rPr>
        <w:t>Impacts on access to online transmission services</w:t>
      </w:r>
      <w:r w:rsidRPr="002E226D">
        <w:rPr>
          <w:rFonts w:ascii="Times New Roman" w:eastAsia="Arial Unicode MS" w:hAnsi="Times New Roman" w:cs="Arial Unicode MS"/>
          <w:color w:val="000000"/>
          <w:sz w:val="24"/>
          <w:szCs w:val="24"/>
          <w:u w:color="000000"/>
          <w:bdr w:val="nil"/>
          <w:lang w:eastAsia="en-GB"/>
        </w:rPr>
        <w:t>:</w:t>
      </w:r>
      <w:r w:rsidRPr="002E226D">
        <w:rPr>
          <w:rFonts w:ascii="Times New Roman" w:eastAsia="Arial Unicode MS" w:hAnsi="Arial Unicode MS" w:cs="Arial Unicode MS"/>
          <w:bCs/>
          <w:color w:val="000000"/>
          <w:sz w:val="24"/>
          <w:szCs w:val="24"/>
          <w:u w:color="000000"/>
          <w:bdr w:val="nil"/>
          <w:lang w:eastAsia="en-GB"/>
        </w:rPr>
        <w:t xml:space="preserve"> Depending on the feasibility and effective implementation of the voluntary agreements signed between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2E226D">
        <w:rPr>
          <w:rFonts w:ascii="Times New Roman" w:eastAsia="Arial Unicode MS" w:hAnsi="Arial Unicode MS" w:cs="Arial Unicode MS"/>
          <w:bCs/>
          <w:color w:val="000000"/>
          <w:sz w:val="24"/>
          <w:szCs w:val="24"/>
          <w:u w:color="000000"/>
          <w:bdr w:val="nil"/>
          <w:lang w:eastAsia="en-GB"/>
        </w:rPr>
        <w:t xml:space="preserve"> and broadcasters, Option 1 could result in consumers having access across borders to more content through broadcasters' online </w:t>
      </w:r>
      <w:r w:rsidRPr="000930E2">
        <w:rPr>
          <w:rFonts w:ascii="Times New Roman" w:eastAsia="Arial Unicode MS" w:hAnsi="Times New Roman" w:cs="Arial Unicode MS"/>
          <w:color w:val="000000"/>
          <w:sz w:val="24"/>
          <w:szCs w:val="24"/>
          <w:u w:color="000000"/>
          <w:bdr w:val="nil"/>
          <w:lang w:eastAsia="en-GB"/>
        </w:rPr>
        <w:t>ancillary</w:t>
      </w:r>
      <w:r w:rsidRPr="002E226D">
        <w:rPr>
          <w:rFonts w:ascii="Times New Roman" w:eastAsia="Arial Unicode MS" w:hAnsi="Arial Unicode MS" w:cs="Arial Unicode MS"/>
          <w:bCs/>
          <w:color w:val="000000"/>
          <w:sz w:val="24"/>
          <w:szCs w:val="24"/>
          <w:u w:color="000000"/>
          <w:bdr w:val="nil"/>
          <w:lang w:eastAsia="en-GB"/>
        </w:rPr>
        <w:t xml:space="preserve"> services (in particular broadcasters' own productions ). Access to premium content through simulcasting or catch-up services would most likely remain geo-blocked. </w:t>
      </w:r>
    </w:p>
    <w:p w:rsidR="009D59CB" w:rsidRDefault="009D59CB" w:rsidP="009D59CB">
      <w:pPr>
        <w:rPr>
          <w:u w:color="000000"/>
          <w:bdr w:val="nil"/>
          <w:lang w:eastAsia="en-GB"/>
        </w:rPr>
      </w:pPr>
      <w:r>
        <w:rPr>
          <w:u w:color="000000"/>
          <w:bdr w:val="nil"/>
          <w:lang w:eastAsia="en-GB"/>
        </w:rPr>
        <w:br w:type="page"/>
      </w:r>
    </w:p>
    <w:p w:rsidR="00FC609C" w:rsidRDefault="00FC609C" w:rsidP="000930E2">
      <w:pPr>
        <w:pStyle w:val="Text1"/>
        <w:ind w:left="0"/>
        <w:rPr>
          <w:rFonts w:ascii="Times New Roman Bold" w:eastAsia="Arial Unicode MS" w:hAnsi="Times New Roman Bold" w:hint="eastAsia"/>
          <w:b/>
          <w:smallCaps/>
          <w:szCs w:val="24"/>
          <w:bdr w:val="nil"/>
        </w:rPr>
      </w:pPr>
      <w:r w:rsidRPr="008E65EE">
        <w:rPr>
          <w:rFonts w:ascii="Times New Roman Bold" w:eastAsia="Arial Unicode MS" w:hAnsi="Times New Roman Bold"/>
          <w:b/>
          <w:smallCaps/>
          <w:szCs w:val="24"/>
          <w:bdr w:val="nil"/>
        </w:rPr>
        <w:t>Social impacts</w:t>
      </w:r>
    </w:p>
    <w:p w:rsidR="00FC609C" w:rsidRPr="002E226D"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2E226D">
        <w:rPr>
          <w:rFonts w:ascii="Times New Roman" w:eastAsia="Arial Unicode MS" w:hAnsi="Arial Unicode MS" w:cs="Arial Unicode MS"/>
          <w:color w:val="000000"/>
          <w:sz w:val="24"/>
          <w:szCs w:val="24"/>
          <w:u w:color="000000"/>
          <w:bdr w:val="nil"/>
          <w:lang w:eastAsia="en-GB"/>
        </w:rPr>
        <w:t xml:space="preserve">Option 1 would not affect the production of new cultural content. </w:t>
      </w:r>
      <w:r>
        <w:rPr>
          <w:rFonts w:ascii="Times New Roman" w:eastAsia="Arial Unicode MS" w:hAnsi="Arial Unicode MS" w:cs="Arial Unicode MS"/>
          <w:color w:val="000000"/>
          <w:sz w:val="24"/>
          <w:szCs w:val="24"/>
          <w:u w:color="000000"/>
          <w:bdr w:val="nil"/>
          <w:lang w:eastAsia="en-GB"/>
        </w:rPr>
        <w:t>I</w:t>
      </w:r>
      <w:r w:rsidRPr="002E226D">
        <w:rPr>
          <w:rFonts w:ascii="Times New Roman" w:eastAsia="Arial Unicode MS" w:hAnsi="Arial Unicode MS" w:cs="Arial Unicode MS"/>
          <w:color w:val="000000"/>
          <w:sz w:val="24"/>
          <w:szCs w:val="24"/>
          <w:u w:color="000000"/>
          <w:bdr w:val="nil"/>
          <w:lang w:eastAsia="en-GB"/>
        </w:rPr>
        <w:t xml:space="preserve">t may have a limited positive </w:t>
      </w:r>
      <w:r w:rsidRPr="000930E2">
        <w:rPr>
          <w:rFonts w:ascii="Times New Roman" w:eastAsia="Arial Unicode MS" w:hAnsi="Arial Unicode MS" w:cs="Arial Unicode MS"/>
          <w:bCs/>
          <w:color w:val="000000"/>
          <w:sz w:val="24"/>
          <w:szCs w:val="24"/>
          <w:u w:color="000000"/>
          <w:bdr w:val="nil"/>
          <w:lang w:eastAsia="en-GB"/>
        </w:rPr>
        <w:t>impact</w:t>
      </w:r>
      <w:r w:rsidRPr="002E226D">
        <w:rPr>
          <w:rFonts w:ascii="Times New Roman" w:eastAsia="Arial Unicode MS" w:hAnsi="Arial Unicode MS" w:cs="Arial Unicode MS"/>
          <w:color w:val="000000"/>
          <w:sz w:val="24"/>
          <w:szCs w:val="24"/>
          <w:u w:color="000000"/>
          <w:bdr w:val="nil"/>
          <w:lang w:eastAsia="en-GB"/>
        </w:rPr>
        <w:t xml:space="preserve"> on access to </w:t>
      </w:r>
      <w:r w:rsidRPr="00870476">
        <w:rPr>
          <w:rFonts w:ascii="Times New Roman" w:eastAsia="Arial Unicode MS" w:hAnsi="Arial Unicode MS" w:cs="Arial Unicode MS"/>
          <w:color w:val="000000"/>
          <w:sz w:val="24"/>
          <w:szCs w:val="24"/>
          <w:u w:color="000000"/>
          <w:bdr w:val="nil"/>
          <w:lang w:eastAsia="en-GB"/>
        </w:rPr>
        <w:t>cultural diver</w:t>
      </w:r>
      <w:r w:rsidRPr="002A0F42">
        <w:rPr>
          <w:rFonts w:ascii="Times New Roman" w:eastAsia="Arial Unicode MS" w:hAnsi="Arial Unicode MS" w:cs="Arial Unicode MS"/>
          <w:color w:val="000000"/>
          <w:sz w:val="24"/>
          <w:szCs w:val="24"/>
          <w:u w:color="000000"/>
          <w:bdr w:val="nil"/>
          <w:lang w:eastAsia="en-GB"/>
        </w:rPr>
        <w:t>sity</w:t>
      </w:r>
      <w:r w:rsidRPr="002E226D">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if</w:t>
      </w:r>
      <w:r w:rsidRPr="002E226D">
        <w:rPr>
          <w:rFonts w:ascii="Times New Roman" w:eastAsia="Arial Unicode MS" w:hAnsi="Arial Unicode MS" w:cs="Arial Unicode MS"/>
          <w:color w:val="000000"/>
          <w:sz w:val="24"/>
          <w:szCs w:val="24"/>
          <w:u w:color="000000"/>
          <w:bdr w:val="nil"/>
          <w:lang w:eastAsia="en-GB"/>
        </w:rPr>
        <w:t xml:space="preserve"> more TV and radio programmes from other MS </w:t>
      </w:r>
      <w:r>
        <w:rPr>
          <w:rFonts w:ascii="Times New Roman" w:eastAsia="Arial Unicode MS" w:hAnsi="Arial Unicode MS" w:cs="Arial Unicode MS"/>
          <w:color w:val="000000"/>
          <w:sz w:val="24"/>
          <w:szCs w:val="24"/>
          <w:u w:color="000000"/>
          <w:bdr w:val="nil"/>
          <w:lang w:eastAsia="en-GB"/>
        </w:rPr>
        <w:t>are made</w:t>
      </w:r>
      <w:r w:rsidRPr="002E226D">
        <w:rPr>
          <w:rFonts w:ascii="Times New Roman" w:eastAsia="Arial Unicode MS" w:hAnsi="Arial Unicode MS" w:cs="Arial Unicode MS"/>
          <w:color w:val="000000"/>
          <w:sz w:val="24"/>
          <w:szCs w:val="24"/>
          <w:u w:color="000000"/>
          <w:bdr w:val="nil"/>
          <w:lang w:eastAsia="en-GB"/>
        </w:rPr>
        <w:t xml:space="preserve"> available online.</w:t>
      </w:r>
    </w:p>
    <w:p w:rsidR="00FC609C" w:rsidRPr="00C32C45" w:rsidRDefault="00FC609C" w:rsidP="000930E2">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Impacts on fundamental rights</w:t>
      </w:r>
    </w:p>
    <w:p w:rsidR="00FC609C"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
          <w:bCs/>
          <w:color w:val="000000"/>
          <w:sz w:val="24"/>
          <w:szCs w:val="24"/>
          <w:u w:val="single" w:color="000000"/>
          <w:bdr w:val="nil"/>
          <w:lang w:eastAsia="en-GB"/>
        </w:rPr>
      </w:pPr>
      <w:r w:rsidRPr="002E226D">
        <w:rPr>
          <w:rFonts w:ascii="Times New Roman" w:eastAsia="Arial Unicode MS" w:hAnsi="Arial Unicode MS" w:cs="Arial Unicode MS"/>
          <w:color w:val="000000"/>
          <w:sz w:val="24"/>
          <w:szCs w:val="24"/>
          <w:u w:color="000000"/>
          <w:bdr w:val="nil"/>
          <w:lang w:eastAsia="en-GB"/>
        </w:rPr>
        <w:t>Option 1 would not have any impact on copyright as property right. It may have a slight positive impact on the freedom of information, to the extent that it could facilitate cross-border access to information.</w:t>
      </w:r>
    </w:p>
    <w:p w:rsidR="00FC609C" w:rsidRPr="000930E2" w:rsidRDefault="00FC609C" w:rsidP="000930E2">
      <w:pPr>
        <w:pStyle w:val="Text1"/>
        <w:ind w:left="0"/>
        <w:rPr>
          <w:rFonts w:eastAsia="Times New Roman"/>
          <w:b/>
          <w:color w:val="000000"/>
          <w:szCs w:val="24"/>
          <w:u w:val="single"/>
          <w:bdr w:val="nil"/>
        </w:rPr>
      </w:pPr>
      <w:r w:rsidRPr="000930E2">
        <w:rPr>
          <w:rFonts w:eastAsia="Times New Roman"/>
          <w:b/>
          <w:color w:val="000000"/>
          <w:szCs w:val="24"/>
          <w:u w:val="single"/>
          <w:bdr w:val="nil"/>
        </w:rPr>
        <w:t xml:space="preserve">Option 2 </w:t>
      </w:r>
      <w:r w:rsidR="000930E2">
        <w:rPr>
          <w:rFonts w:eastAsia="Times New Roman"/>
          <w:b/>
          <w:color w:val="000000"/>
          <w:szCs w:val="24"/>
          <w:u w:val="single"/>
          <w:bdr w:val="nil"/>
        </w:rPr>
        <w:t xml:space="preserve">– Application </w:t>
      </w:r>
      <w:r w:rsidRPr="000930E2">
        <w:rPr>
          <w:rFonts w:eastAsia="Times New Roman"/>
          <w:b/>
          <w:color w:val="000000"/>
          <w:szCs w:val="24"/>
          <w:u w:val="single"/>
          <w:bdr w:val="nil"/>
        </w:rPr>
        <w:t>of country of origin to the clearing of rights for broadcasters' online services ancillary to their initial broadcast</w:t>
      </w:r>
    </w:p>
    <w:p w:rsidR="00FC609C" w:rsidRDefault="00FC609C" w:rsidP="000930E2">
      <w:pPr>
        <w:pStyle w:val="Text1"/>
        <w:ind w:left="0"/>
        <w:rPr>
          <w:rFonts w:eastAsia="Arial Unicode MS" w:hAnsi="Arial Unicode MS" w:cs="Arial Unicode MS"/>
          <w:b/>
          <w:bCs/>
          <w:color w:val="000000"/>
          <w:szCs w:val="24"/>
          <w:bdr w:val="nil"/>
        </w:rPr>
      </w:pPr>
      <w:r w:rsidRPr="008E65EE">
        <w:rPr>
          <w:rFonts w:ascii="Times New Roman Bold" w:eastAsia="Arial Unicode MS" w:hAnsi="Times New Roman Bold"/>
          <w:b/>
          <w:smallCaps/>
          <w:szCs w:val="24"/>
          <w:bdr w:val="nil"/>
        </w:rPr>
        <w:t>Impacts on stakeholders</w:t>
      </w:r>
      <w:r w:rsidRPr="002E226D">
        <w:rPr>
          <w:rFonts w:eastAsia="Arial Unicode MS" w:hAnsi="Arial Unicode MS" w:cs="Arial Unicode MS"/>
          <w:b/>
          <w:bCs/>
          <w:color w:val="000000"/>
          <w:szCs w:val="24"/>
          <w:bdr w:val="nil"/>
        </w:rPr>
        <w:t xml:space="preserve"> </w:t>
      </w:r>
    </w:p>
    <w:p w:rsidR="00FC609C" w:rsidRPr="00807CA5" w:rsidRDefault="00FC609C" w:rsidP="000930E2">
      <w:pPr>
        <w:pStyle w:val="Text1"/>
        <w:ind w:left="0"/>
        <w:rPr>
          <w:rFonts w:eastAsia="Arial Unicode MS" w:hAnsi="Arial Unicode MS" w:cs="Arial Unicode MS"/>
          <w:b/>
          <w:bCs/>
          <w:color w:val="000000"/>
          <w:szCs w:val="24"/>
          <w:u w:color="000000"/>
          <w:bdr w:val="nil"/>
        </w:rPr>
      </w:pPr>
      <w:r w:rsidRPr="000930E2">
        <w:rPr>
          <w:rFonts w:eastAsia="Arial Unicode MS" w:hAnsi="Arial Unicode MS" w:cs="Arial Unicode MS"/>
          <w:b/>
          <w:bCs/>
          <w:color w:val="000000"/>
          <w:szCs w:val="24"/>
          <w:bdr w:val="nil"/>
        </w:rPr>
        <w:t>Broadcasters</w:t>
      </w:r>
    </w:p>
    <w:p w:rsidR="00FC609C" w:rsidRPr="00C32C4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vertAlign w:val="superscript"/>
          <w:lang w:eastAsia="en-GB"/>
        </w:rPr>
      </w:pPr>
      <w:r w:rsidRPr="008A587E">
        <w:rPr>
          <w:rFonts w:ascii="Times New Roman" w:eastAsia="Arial Unicode MS" w:hAnsi="Times New Roman" w:cs="Arial Unicode MS"/>
          <w:color w:val="000000"/>
          <w:sz w:val="24"/>
          <w:szCs w:val="24"/>
          <w:u w:val="single" w:color="000000"/>
          <w:bdr w:val="nil"/>
          <w:lang w:eastAsia="en-GB"/>
        </w:rPr>
        <w:t>Impacts on transaction costs</w:t>
      </w:r>
      <w:r w:rsidRPr="001C5348">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This option would simplify the clearance of rights needed for cross-border online transmission</w:t>
      </w:r>
      <w:r>
        <w:rPr>
          <w:rFonts w:ascii="Times New Roman" w:eastAsia="Arial Unicode MS" w:hAnsi="Arial Unicode MS" w:cs="Arial Unicode MS"/>
          <w:bCs/>
          <w:color w:val="000000"/>
          <w:sz w:val="24"/>
          <w:szCs w:val="24"/>
          <w:u w:color="000000"/>
          <w:bdr w:val="nil"/>
          <w:lang w:eastAsia="en-GB"/>
        </w:rPr>
        <w:t xml:space="preserve">s: </w:t>
      </w:r>
      <w:r w:rsidRPr="00807CA5">
        <w:rPr>
          <w:rFonts w:ascii="Times New Roman" w:eastAsia="Arial Unicode MS" w:hAnsi="Arial Unicode MS" w:cs="Arial Unicode MS"/>
          <w:bCs/>
          <w:color w:val="000000"/>
          <w:sz w:val="24"/>
          <w:szCs w:val="24"/>
          <w:u w:color="000000"/>
          <w:bdr w:val="nil"/>
          <w:lang w:eastAsia="en-GB"/>
        </w:rPr>
        <w:t xml:space="preserve">broadcasters would only need to clear the rights for the country of origin while they would be able to offer their services in the entire EU. It would lead to </w:t>
      </w:r>
      <w:r w:rsidR="006A3E95">
        <w:rPr>
          <w:rFonts w:ascii="Times New Roman" w:eastAsia="Arial Unicode MS" w:hAnsi="Arial Unicode MS" w:cs="Arial Unicode MS"/>
          <w:bCs/>
          <w:color w:val="000000"/>
          <w:sz w:val="24"/>
          <w:szCs w:val="24"/>
          <w:u w:color="000000"/>
          <w:bdr w:val="nil"/>
          <w:lang w:eastAsia="en-GB"/>
        </w:rPr>
        <w:t xml:space="preserve">important </w:t>
      </w:r>
      <w:r w:rsidRPr="00807CA5">
        <w:rPr>
          <w:rFonts w:ascii="Times New Roman" w:eastAsia="Arial Unicode MS" w:hAnsi="Arial Unicode MS" w:cs="Arial Unicode MS"/>
          <w:bCs/>
          <w:color w:val="000000"/>
          <w:sz w:val="24"/>
          <w:szCs w:val="24"/>
          <w:u w:color="000000"/>
          <w:bdr w:val="nil"/>
          <w:lang w:eastAsia="en-GB"/>
        </w:rPr>
        <w:t>savings in transaction costs</w:t>
      </w:r>
      <w:r w:rsidRPr="000D410A">
        <w:rPr>
          <w:rStyle w:val="FootnoteReference"/>
          <w:rFonts w:ascii="Times New Roman" w:eastAsia="Arial Unicode MS" w:hAnsi="Arial Unicode MS" w:cs="Arial Unicode MS"/>
          <w:bCs/>
          <w:color w:val="000000"/>
          <w:sz w:val="24"/>
          <w:szCs w:val="24"/>
          <w:u w:color="000000"/>
          <w:bdr w:val="nil"/>
          <w:lang w:eastAsia="en-GB"/>
        </w:rPr>
        <w:footnoteReference w:id="106"/>
      </w:r>
      <w:r w:rsidRPr="00807CA5">
        <w:rPr>
          <w:rFonts w:ascii="Times New Roman" w:eastAsia="Arial Unicode MS" w:hAnsi="Arial Unicode MS" w:cs="Arial Unicode MS"/>
          <w:bCs/>
          <w:color w:val="000000"/>
          <w:sz w:val="24"/>
          <w:szCs w:val="24"/>
          <w:u w:color="000000"/>
          <w:bdr w:val="nil"/>
          <w:lang w:eastAsia="en-GB"/>
        </w:rPr>
        <w:t xml:space="preserve"> and would</w:t>
      </w:r>
      <w:r>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 xml:space="preserve">also enable broadcasters to clear rights more swiftly, which is in particular important for time-sensitive programming. Such savings in transaction costs would be beneficial to both large broadcasters with large number of licensing contracts and to smaller broadcasters whose resources to carry out the administrative task associated with obtaining licences covering multiple territories are limited. </w:t>
      </w:r>
      <w:r w:rsidRPr="00123CFF">
        <w:rPr>
          <w:rFonts w:ascii="Times New Roman" w:eastAsia="Arial Unicode MS" w:hAnsi="Arial Unicode MS" w:cs="Arial Unicode MS"/>
          <w:bCs/>
          <w:color w:val="000000"/>
          <w:sz w:val="24"/>
          <w:szCs w:val="24"/>
          <w:u w:color="000000"/>
          <w:bdr w:val="nil"/>
          <w:lang w:eastAsia="en-GB"/>
        </w:rPr>
        <w:t xml:space="preserve">However, Option 2 entails a limited risk of disaggregation of repertoire currently managed by CMOs (see below under 'impacts on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123CFF">
        <w:rPr>
          <w:rFonts w:ascii="Times New Roman" w:eastAsia="Arial Unicode MS" w:hAnsi="Arial Unicode MS" w:cs="Arial Unicode MS"/>
          <w:bCs/>
          <w:color w:val="000000"/>
          <w:sz w:val="24"/>
          <w:szCs w:val="24"/>
          <w:u w:color="000000"/>
          <w:bdr w:val="nil"/>
          <w:lang w:eastAsia="en-GB"/>
        </w:rPr>
        <w:t xml:space="preserve">'), which would have a </w:t>
      </w:r>
      <w:r>
        <w:rPr>
          <w:rFonts w:ascii="Times New Roman" w:eastAsia="Arial Unicode MS" w:hAnsi="Arial Unicode MS" w:cs="Arial Unicode MS"/>
          <w:bCs/>
          <w:color w:val="000000"/>
          <w:sz w:val="24"/>
          <w:szCs w:val="24"/>
          <w:u w:color="000000"/>
          <w:bdr w:val="nil"/>
          <w:lang w:eastAsia="en-GB"/>
        </w:rPr>
        <w:t>negative</w:t>
      </w:r>
      <w:r w:rsidRPr="00123CFF">
        <w:rPr>
          <w:rFonts w:ascii="Times New Roman" w:eastAsia="Arial Unicode MS" w:hAnsi="Arial Unicode MS" w:cs="Arial Unicode MS"/>
          <w:bCs/>
          <w:color w:val="000000"/>
          <w:sz w:val="24"/>
          <w:szCs w:val="24"/>
          <w:u w:color="000000"/>
          <w:bdr w:val="nil"/>
          <w:lang w:eastAsia="en-GB"/>
        </w:rPr>
        <w:t xml:space="preserve"> effect on transaction costs (broadcasters would have to negotiate with individual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123CFF">
        <w:rPr>
          <w:rFonts w:ascii="Times New Roman" w:eastAsia="Arial Unicode MS" w:hAnsi="Arial Unicode MS" w:cs="Arial Unicode MS"/>
          <w:bCs/>
          <w:color w:val="000000"/>
          <w:sz w:val="24"/>
          <w:szCs w:val="24"/>
          <w:u w:color="000000"/>
          <w:bdr w:val="nil"/>
          <w:lang w:eastAsia="en-GB"/>
        </w:rPr>
        <w:t xml:space="preserve"> instead of CMOs).</w:t>
      </w:r>
    </w:p>
    <w:p w:rsidR="00FC609C" w:rsidRPr="00C37912" w:rsidRDefault="00FC609C" w:rsidP="000930E2">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possibilities to offer services across borders</w:t>
      </w:r>
      <w:r w:rsidRPr="001C5348">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While this option would facilitate clearance of rights, the ultimate outcome in terms of offering programmes across borders would depend on the business decisions by broadcasters and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807CA5">
        <w:rPr>
          <w:rFonts w:ascii="Times New Roman" w:eastAsia="Arial Unicode MS" w:hAnsi="Arial Unicode MS" w:cs="Arial Unicode MS"/>
          <w:bCs/>
          <w:color w:val="000000"/>
          <w:sz w:val="24"/>
          <w:szCs w:val="24"/>
          <w:u w:color="000000"/>
          <w:bdr w:val="nil"/>
          <w:lang w:eastAsia="en-GB"/>
        </w:rPr>
        <w:t xml:space="preserve">. </w:t>
      </w:r>
      <w:r w:rsidR="00E233DB">
        <w:rPr>
          <w:rFonts w:ascii="Times New Roman" w:eastAsia="Arial Unicode MS" w:hAnsi="Arial Unicode MS" w:cs="Arial Unicode MS"/>
          <w:bCs/>
          <w:color w:val="000000"/>
          <w:sz w:val="24"/>
          <w:szCs w:val="24"/>
          <w:u w:color="000000"/>
          <w:bdr w:val="nil"/>
          <w:lang w:eastAsia="en-GB"/>
        </w:rPr>
        <w:t>Option 2 does not entail any</w:t>
      </w:r>
      <w:r w:rsidR="00E233DB" w:rsidRPr="00E233DB">
        <w:rPr>
          <w:rFonts w:ascii="Times New Roman" w:eastAsia="Arial Unicode MS" w:hAnsi="Arial Unicode MS" w:cs="Arial Unicode MS"/>
          <w:bCs/>
          <w:color w:val="000000"/>
          <w:sz w:val="24"/>
          <w:szCs w:val="24"/>
          <w:u w:color="000000"/>
          <w:bdr w:val="nil"/>
          <w:lang w:eastAsia="en-GB"/>
        </w:rPr>
        <w:t xml:space="preserve"> obligation on </w:t>
      </w:r>
      <w:r w:rsidR="00E233DB">
        <w:rPr>
          <w:rFonts w:ascii="Times New Roman" w:eastAsia="Arial Unicode MS" w:hAnsi="Arial Unicode MS" w:cs="Arial Unicode MS"/>
          <w:bCs/>
          <w:color w:val="000000"/>
          <w:sz w:val="24"/>
          <w:szCs w:val="24"/>
          <w:u w:color="000000"/>
          <w:bdr w:val="nil"/>
          <w:lang w:eastAsia="en-GB"/>
        </w:rPr>
        <w:t>broadcasters</w:t>
      </w:r>
      <w:r w:rsidR="00E233DB" w:rsidRPr="00E233DB">
        <w:rPr>
          <w:rFonts w:ascii="Times New Roman" w:eastAsia="Arial Unicode MS" w:hAnsi="Arial Unicode MS" w:cs="Arial Unicode MS"/>
          <w:bCs/>
          <w:color w:val="000000"/>
          <w:sz w:val="24"/>
          <w:szCs w:val="24"/>
          <w:u w:color="000000"/>
          <w:bdr w:val="nil"/>
          <w:lang w:eastAsia="en-GB"/>
        </w:rPr>
        <w:t xml:space="preserve"> to provide services across borders</w:t>
      </w:r>
      <w:r w:rsidR="007E0E82">
        <w:rPr>
          <w:rFonts w:ascii="Times New Roman" w:eastAsia="Arial Unicode MS" w:hAnsi="Arial Unicode MS" w:cs="Arial Unicode MS"/>
          <w:bCs/>
          <w:color w:val="000000"/>
          <w:sz w:val="24"/>
          <w:szCs w:val="24"/>
          <w:u w:color="000000"/>
          <w:bdr w:val="nil"/>
          <w:lang w:eastAsia="en-GB"/>
        </w:rPr>
        <w:t xml:space="preserve"> (broadcasters could still decide to restrict the provision of the service to a particular MS)</w:t>
      </w:r>
      <w:r w:rsidR="00E233DB">
        <w:rPr>
          <w:rFonts w:ascii="Times New Roman" w:eastAsia="Arial Unicode MS" w:hAnsi="Arial Unicode MS" w:cs="Arial Unicode MS"/>
          <w:bCs/>
          <w:color w:val="000000"/>
          <w:sz w:val="24"/>
          <w:szCs w:val="24"/>
          <w:u w:color="000000"/>
          <w:bdr w:val="nil"/>
          <w:lang w:eastAsia="en-GB"/>
        </w:rPr>
        <w:t xml:space="preserve">, but </w:t>
      </w:r>
      <w:r w:rsidRPr="00807CA5">
        <w:rPr>
          <w:rFonts w:ascii="Times New Roman" w:eastAsia="Arial Unicode MS" w:hAnsi="Arial Unicode MS" w:cs="Arial Unicode MS"/>
          <w:bCs/>
          <w:color w:val="000000"/>
          <w:sz w:val="24"/>
          <w:szCs w:val="24"/>
          <w:u w:color="000000"/>
          <w:bdr w:val="nil"/>
          <w:lang w:eastAsia="en-GB"/>
        </w:rPr>
        <w:t xml:space="preserve"> it would open new opportunities</w:t>
      </w:r>
      <w:r w:rsidR="00E233DB">
        <w:rPr>
          <w:rFonts w:ascii="Times New Roman" w:eastAsia="Arial Unicode MS" w:hAnsi="Arial Unicode MS" w:cs="Arial Unicode MS"/>
          <w:bCs/>
          <w:color w:val="000000"/>
          <w:sz w:val="24"/>
          <w:szCs w:val="24"/>
          <w:u w:color="000000"/>
          <w:bdr w:val="nil"/>
          <w:lang w:eastAsia="en-GB"/>
        </w:rPr>
        <w:t xml:space="preserve"> for them to do so</w:t>
      </w:r>
      <w:r w:rsidRPr="00807CA5">
        <w:rPr>
          <w:rFonts w:ascii="Times New Roman" w:eastAsia="Arial Unicode MS" w:hAnsi="Arial Unicode MS" w:cs="Arial Unicode MS"/>
          <w:bCs/>
          <w:color w:val="000000"/>
          <w:sz w:val="24"/>
          <w:szCs w:val="24"/>
          <w:u w:color="000000"/>
          <w:bdr w:val="nil"/>
          <w:lang w:eastAsia="en-GB"/>
        </w:rPr>
        <w:t xml:space="preserve">, in particular as concerns </w:t>
      </w:r>
      <w:r>
        <w:rPr>
          <w:rFonts w:ascii="Times New Roman" w:eastAsia="Arial Unicode MS" w:hAnsi="Arial Unicode MS" w:cs="Arial Unicode MS"/>
          <w:bCs/>
          <w:color w:val="000000"/>
          <w:sz w:val="24"/>
          <w:szCs w:val="24"/>
          <w:u w:color="000000"/>
          <w:bdr w:val="nil"/>
          <w:lang w:eastAsia="en-GB"/>
        </w:rPr>
        <w:t xml:space="preserve">content </w:t>
      </w:r>
      <w:r w:rsidRPr="00807CA5">
        <w:rPr>
          <w:rFonts w:ascii="Times New Roman" w:eastAsia="Arial Unicode MS" w:hAnsi="Arial Unicode MS" w:cs="Arial Unicode MS"/>
          <w:bCs/>
          <w:color w:val="000000"/>
          <w:sz w:val="24"/>
          <w:szCs w:val="24"/>
          <w:u w:color="000000"/>
          <w:bdr w:val="nil"/>
          <w:lang w:eastAsia="en-GB"/>
        </w:rPr>
        <w:t>which do</w:t>
      </w:r>
      <w:r>
        <w:rPr>
          <w:rFonts w:ascii="Times New Roman" w:eastAsia="Arial Unicode MS" w:hAnsi="Arial Unicode MS" w:cs="Arial Unicode MS"/>
          <w:bCs/>
          <w:color w:val="000000"/>
          <w:sz w:val="24"/>
          <w:szCs w:val="24"/>
          <w:u w:color="000000"/>
          <w:bdr w:val="nil"/>
          <w:lang w:eastAsia="en-GB"/>
        </w:rPr>
        <w:t>es</w:t>
      </w:r>
      <w:r w:rsidRPr="00807CA5">
        <w:rPr>
          <w:rFonts w:ascii="Times New Roman" w:eastAsia="Arial Unicode MS" w:hAnsi="Arial Unicode MS" w:cs="Arial Unicode MS"/>
          <w:bCs/>
          <w:color w:val="000000"/>
          <w:sz w:val="24"/>
          <w:szCs w:val="24"/>
          <w:u w:color="000000"/>
          <w:bdr w:val="nil"/>
          <w:lang w:eastAsia="en-GB"/>
        </w:rPr>
        <w:t xml:space="preserve"> not rely on territorial exclusivity. This in particular </w:t>
      </w:r>
      <w:r w:rsidR="00E233DB">
        <w:rPr>
          <w:rFonts w:ascii="Times New Roman" w:eastAsia="Arial Unicode MS" w:hAnsi="Arial Unicode MS" w:cs="Arial Unicode MS"/>
          <w:bCs/>
          <w:color w:val="000000"/>
          <w:sz w:val="24"/>
          <w:szCs w:val="24"/>
          <w:u w:color="000000"/>
          <w:bdr w:val="nil"/>
          <w:lang w:eastAsia="en-GB"/>
        </w:rPr>
        <w:t xml:space="preserve">covers </w:t>
      </w:r>
      <w:r w:rsidRPr="00807CA5">
        <w:rPr>
          <w:rFonts w:ascii="Times New Roman" w:eastAsia="Arial Unicode MS" w:hAnsi="Arial Unicode MS" w:cs="Arial Unicode MS"/>
          <w:bCs/>
          <w:color w:val="000000"/>
          <w:sz w:val="24"/>
          <w:szCs w:val="24"/>
          <w:u w:color="000000"/>
          <w:bdr w:val="nil"/>
          <w:lang w:eastAsia="en-GB"/>
        </w:rPr>
        <w:t>original productions of broadcasters for which they clear underlying rights.</w:t>
      </w:r>
      <w:r>
        <w:rPr>
          <w:rStyle w:val="FootnoteReference"/>
          <w:rFonts w:ascii="Times New Roman" w:eastAsia="Arial Unicode MS" w:hAnsi="Arial Unicode MS" w:cs="Arial Unicode MS"/>
          <w:bCs/>
          <w:color w:val="000000"/>
          <w:sz w:val="24"/>
          <w:szCs w:val="24"/>
          <w:u w:color="000000"/>
          <w:bdr w:val="nil"/>
          <w:lang w:eastAsia="en-GB"/>
        </w:rPr>
        <w:footnoteReference w:id="107"/>
      </w:r>
      <w:r w:rsidRPr="00807CA5">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Thanks to reduced transaction costs, b</w:t>
      </w:r>
      <w:r w:rsidRPr="00807CA5">
        <w:rPr>
          <w:rFonts w:ascii="Times New Roman" w:eastAsia="Arial Unicode MS" w:hAnsi="Arial Unicode MS" w:cs="Arial Unicode MS"/>
          <w:bCs/>
          <w:color w:val="000000"/>
          <w:sz w:val="24"/>
          <w:szCs w:val="24"/>
          <w:u w:color="000000"/>
          <w:bdr w:val="nil"/>
          <w:lang w:eastAsia="en-GB"/>
        </w:rPr>
        <w:t xml:space="preserve">roadcasters would be enabled to target new markets and enlarge their audiences. Such opportunities would in particular apply to broadcasters who transmit TV and radio programmes in languages which are widely understood in other MS. </w:t>
      </w:r>
      <w:r w:rsidRPr="00807CA5">
        <w:rPr>
          <w:rFonts w:ascii="Times New Roman" w:eastAsia="Times New Roman" w:hAnsi="Times New Roman" w:cs="Times New Roman"/>
          <w:bCs/>
          <w:sz w:val="24"/>
          <w:szCs w:val="24"/>
          <w:lang w:eastAsia="en-GB"/>
        </w:rPr>
        <w:t>37</w:t>
      </w:r>
      <w:r w:rsidR="00131B94">
        <w:rPr>
          <w:rFonts w:ascii="Times New Roman" w:eastAsia="Times New Roman" w:hAnsi="Times New Roman" w:cs="Times New Roman"/>
          <w:bCs/>
          <w:sz w:val="24"/>
          <w:szCs w:val="24"/>
          <w:lang w:eastAsia="en-GB"/>
        </w:rPr>
        <w:t xml:space="preserve"> </w:t>
      </w:r>
      <w:r w:rsidRPr="00807CA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of </w:t>
      </w:r>
      <w:r w:rsidRPr="00807CA5">
        <w:rPr>
          <w:rFonts w:ascii="Times New Roman" w:eastAsia="Times New Roman" w:hAnsi="Times New Roman" w:cs="Times New Roman"/>
          <w:bCs/>
          <w:sz w:val="24"/>
          <w:szCs w:val="24"/>
          <w:lang w:eastAsia="en-GB"/>
        </w:rPr>
        <w:t>Europeans say that they regularly use foreign languages when watching films/television or listening to the radio.</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08"/>
      </w:r>
      <w:r w:rsidRPr="00807CA5">
        <w:rPr>
          <w:rFonts w:ascii="Times New Roman" w:eastAsia="Arial Unicode MS" w:hAnsi="Arial Unicode MS" w:cs="Arial Unicode MS"/>
          <w:bCs/>
          <w:color w:val="000000"/>
          <w:sz w:val="24"/>
          <w:szCs w:val="24"/>
          <w:u w:color="000000"/>
          <w:bdr w:val="nil"/>
          <w:lang w:eastAsia="en-GB"/>
        </w:rPr>
        <w:t xml:space="preserve"> Also other broadcasters could expand their audiences, for example, by serving linguistic minorities in other MS or offering services to Europeans who live in other EU MS than their MS of origin. </w:t>
      </w:r>
      <w:r w:rsidRPr="00807CA5">
        <w:rPr>
          <w:rFonts w:ascii="Times New Roman" w:eastAsia="Times New Roman" w:hAnsi="Times New Roman" w:cs="Times New Roman"/>
          <w:sz w:val="24"/>
          <w:szCs w:val="24"/>
          <w:lang w:eastAsia="en-GB"/>
        </w:rPr>
        <w:t xml:space="preserve">About </w:t>
      </w:r>
      <w:r>
        <w:rPr>
          <w:rFonts w:ascii="Times New Roman" w:eastAsia="Times New Roman" w:hAnsi="Times New Roman" w:cs="Times New Roman"/>
          <w:sz w:val="24"/>
          <w:szCs w:val="24"/>
          <w:lang w:eastAsia="en-GB"/>
        </w:rPr>
        <w:t>4</w:t>
      </w:r>
      <w:r w:rsidRPr="00807CA5">
        <w:rPr>
          <w:rFonts w:ascii="Times New Roman" w:eastAsia="Times New Roman" w:hAnsi="Times New Roman" w:cs="Times New Roman"/>
          <w:sz w:val="24"/>
          <w:szCs w:val="24"/>
          <w:lang w:eastAsia="en-GB"/>
        </w:rPr>
        <w:t xml:space="preserve"> million EU citizens are members of linguistic minorities.</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09"/>
      </w:r>
      <w:r w:rsidRPr="00807CA5">
        <w:rPr>
          <w:rFonts w:ascii="Times New Roman" w:eastAsia="Times New Roman" w:hAnsi="Times New Roman" w:cs="Times New Roman"/>
          <w:sz w:val="24"/>
          <w:szCs w:val="24"/>
          <w:lang w:eastAsia="en-GB"/>
        </w:rPr>
        <w:t xml:space="preserve"> 13.6 million EU citizens live in an EU </w:t>
      </w:r>
      <w:r w:rsidR="00B82096">
        <w:rPr>
          <w:rFonts w:ascii="Times New Roman" w:eastAsia="Times New Roman" w:hAnsi="Times New Roman" w:cs="Times New Roman"/>
          <w:sz w:val="24"/>
          <w:szCs w:val="24"/>
          <w:lang w:eastAsia="en-GB"/>
        </w:rPr>
        <w:t>MS</w:t>
      </w:r>
      <w:r w:rsidRPr="00807CA5">
        <w:rPr>
          <w:rFonts w:ascii="Times New Roman" w:eastAsia="Times New Roman" w:hAnsi="Times New Roman" w:cs="Times New Roman"/>
          <w:sz w:val="24"/>
          <w:szCs w:val="24"/>
          <w:lang w:eastAsia="en-GB"/>
        </w:rPr>
        <w:t xml:space="preserve"> other than their country of citizenship.</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10"/>
      </w:r>
      <w:r w:rsidRPr="00807CA5">
        <w:rPr>
          <w:rFonts w:ascii="open_sansregular" w:eastAsia="Times New Roman" w:hAnsi="open_sansregular" w:cs="Arial"/>
          <w:color w:val="333333"/>
          <w:sz w:val="21"/>
          <w:szCs w:val="21"/>
          <w:lang w:val="en" w:eastAsia="en-GB"/>
        </w:rPr>
        <w:t xml:space="preserve"> </w:t>
      </w:r>
      <w:r w:rsidRPr="00807CA5">
        <w:rPr>
          <w:rFonts w:ascii="Times New Roman" w:eastAsia="Arial Unicode MS" w:hAnsi="Arial Unicode MS" w:cs="Arial Unicode MS"/>
          <w:bCs/>
          <w:color w:val="000000"/>
          <w:sz w:val="24"/>
          <w:szCs w:val="24"/>
          <w:u w:color="000000"/>
          <w:bdr w:val="nil"/>
          <w:lang w:eastAsia="en-GB"/>
        </w:rPr>
        <w:t>These people may have an interest to keep up with the developments in their linguistic/home country as well as maintain cultural links</w:t>
      </w:r>
      <w:r>
        <w:rPr>
          <w:rFonts w:ascii="Times New Roman" w:eastAsia="Arial Unicode MS" w:hAnsi="Arial Unicode MS" w:cs="Arial Unicode MS"/>
          <w:bCs/>
          <w:color w:val="000000"/>
          <w:sz w:val="24"/>
          <w:szCs w:val="24"/>
          <w:u w:color="000000"/>
          <w:bdr w:val="nil"/>
          <w:lang w:eastAsia="en-GB"/>
        </w:rPr>
        <w:t xml:space="preserve"> with that country</w:t>
      </w:r>
      <w:r w:rsidRPr="00807CA5">
        <w:rPr>
          <w:rFonts w:ascii="Times New Roman" w:eastAsia="Arial Unicode MS" w:hAnsi="Arial Unicode MS" w:cs="Arial Unicode MS"/>
          <w:bCs/>
          <w:color w:val="000000"/>
          <w:sz w:val="24"/>
          <w:szCs w:val="24"/>
          <w:u w:color="000000"/>
          <w:bdr w:val="nil"/>
          <w:lang w:eastAsia="en-GB"/>
        </w:rPr>
        <w:t xml:space="preserve"> and therefore would constitute a potential audience for broadcasters. </w:t>
      </w:r>
      <w:r>
        <w:rPr>
          <w:rFonts w:ascii="Times New Roman" w:eastAsia="Arial Unicode MS" w:hAnsi="Arial Unicode MS" w:cs="Arial Unicode MS"/>
          <w:bCs/>
          <w:color w:val="000000"/>
          <w:sz w:val="24"/>
          <w:szCs w:val="24"/>
          <w:u w:color="000000"/>
          <w:bdr w:val="nil"/>
          <w:lang w:val="en" w:eastAsia="en-GB"/>
        </w:rPr>
        <w:t>B</w:t>
      </w:r>
      <w:r w:rsidRPr="00807CA5">
        <w:rPr>
          <w:rFonts w:ascii="Times New Roman" w:eastAsia="Arial Unicode MS" w:hAnsi="Arial Unicode MS" w:cs="Arial Unicode MS"/>
          <w:bCs/>
          <w:color w:val="000000"/>
          <w:sz w:val="24"/>
          <w:szCs w:val="24"/>
          <w:u w:color="000000"/>
          <w:bdr w:val="nil"/>
          <w:lang w:eastAsia="en-GB"/>
        </w:rPr>
        <w:t>y enlarging their audience across borders broadcasters would be able to collect additional revenues.</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11"/>
      </w:r>
      <w:r w:rsidRPr="00807CA5">
        <w:rPr>
          <w:rFonts w:ascii="Times New Roman" w:eastAsia="Arial Unicode MS" w:hAnsi="Arial Unicode MS" w:cs="Arial Unicode MS"/>
          <w:bCs/>
          <w:color w:val="000000"/>
          <w:sz w:val="24"/>
          <w:szCs w:val="24"/>
          <w:u w:color="000000"/>
          <w:bdr w:val="nil"/>
          <w:lang w:eastAsia="en-GB"/>
        </w:rPr>
        <w:t xml:space="preserve"> </w:t>
      </w:r>
    </w:p>
    <w:p w:rsidR="00FC609C" w:rsidRPr="00705E14"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705E14">
        <w:rPr>
          <w:rFonts w:ascii="Times New Roman" w:eastAsia="Arial Unicode MS" w:hAnsi="Arial Unicode MS" w:cs="Arial Unicode MS"/>
          <w:bCs/>
          <w:color w:val="000000"/>
          <w:sz w:val="24"/>
          <w:szCs w:val="24"/>
          <w:u w:color="000000"/>
          <w:bdr w:val="nil"/>
          <w:lang w:eastAsia="en-GB"/>
        </w:rPr>
        <w:t xml:space="preserve">As concerns premium AV content, it is not expected that Option 2 would change its cross-border distribution by broadcasters in a short or medium term. </w:t>
      </w:r>
      <w:r w:rsidR="00007677">
        <w:rPr>
          <w:rFonts w:ascii="Times New Roman" w:eastAsia="Arial Unicode MS" w:hAnsi="Arial Unicode MS" w:cs="Arial Unicode MS"/>
          <w:bCs/>
          <w:color w:val="000000"/>
          <w:sz w:val="24"/>
          <w:szCs w:val="24"/>
          <w:u w:color="000000"/>
          <w:bdr w:val="nil"/>
          <w:lang w:eastAsia="en-GB"/>
        </w:rPr>
        <w:t>Rightholders</w:t>
      </w:r>
      <w:r w:rsidRPr="00705E14">
        <w:rPr>
          <w:rFonts w:ascii="Times New Roman" w:eastAsia="Arial Unicode MS" w:hAnsi="Arial Unicode MS" w:cs="Arial Unicode MS"/>
          <w:bCs/>
          <w:color w:val="000000"/>
          <w:sz w:val="24"/>
          <w:szCs w:val="24"/>
          <w:u w:color="000000"/>
          <w:bdr w:val="nil"/>
          <w:lang w:eastAsia="en-GB"/>
        </w:rPr>
        <w:t xml:space="preserve"> and broadcasters are </w:t>
      </w:r>
      <w:r>
        <w:rPr>
          <w:rFonts w:ascii="Times New Roman" w:eastAsia="Arial Unicode MS" w:hAnsi="Arial Unicode MS" w:cs="Arial Unicode MS"/>
          <w:bCs/>
          <w:color w:val="000000"/>
          <w:sz w:val="24"/>
          <w:szCs w:val="24"/>
          <w:u w:color="000000"/>
          <w:bdr w:val="nil"/>
          <w:lang w:eastAsia="en-GB"/>
        </w:rPr>
        <w:t>likely</w:t>
      </w:r>
      <w:r w:rsidRPr="00705E14">
        <w:rPr>
          <w:rFonts w:ascii="Times New Roman" w:eastAsia="Arial Unicode MS" w:hAnsi="Arial Unicode MS" w:cs="Arial Unicode MS"/>
          <w:bCs/>
          <w:color w:val="000000"/>
          <w:sz w:val="24"/>
          <w:szCs w:val="24"/>
          <w:u w:color="000000"/>
          <w:bdr w:val="nil"/>
          <w:lang w:eastAsia="en-GB"/>
        </w:rPr>
        <w:t xml:space="preserve"> to continue </w:t>
      </w:r>
      <w:r>
        <w:rPr>
          <w:rFonts w:ascii="Times New Roman" w:eastAsia="Arial Unicode MS" w:hAnsi="Arial Unicode MS" w:cs="Arial Unicode MS"/>
          <w:bCs/>
          <w:color w:val="000000"/>
          <w:sz w:val="24"/>
          <w:szCs w:val="24"/>
          <w:u w:color="000000"/>
          <w:bdr w:val="nil"/>
          <w:lang w:eastAsia="en-GB"/>
        </w:rPr>
        <w:t>relying</w:t>
      </w:r>
      <w:r w:rsidRPr="00705E14">
        <w:rPr>
          <w:rFonts w:ascii="Times New Roman" w:eastAsia="Arial Unicode MS" w:hAnsi="Arial Unicode MS" w:cs="Arial Unicode MS"/>
          <w:bCs/>
          <w:color w:val="000000"/>
          <w:sz w:val="24"/>
          <w:szCs w:val="24"/>
          <w:u w:color="000000"/>
          <w:bdr w:val="nil"/>
          <w:lang w:eastAsia="en-GB"/>
        </w:rPr>
        <w:t xml:space="preserve"> on territorial</w:t>
      </w:r>
      <w:r>
        <w:rPr>
          <w:rFonts w:ascii="Times New Roman" w:eastAsia="Arial Unicode MS" w:hAnsi="Arial Unicode MS" w:cs="Arial Unicode MS"/>
          <w:bCs/>
          <w:color w:val="000000"/>
          <w:sz w:val="24"/>
          <w:szCs w:val="24"/>
          <w:u w:color="000000"/>
          <w:bdr w:val="nil"/>
          <w:lang w:eastAsia="en-GB"/>
        </w:rPr>
        <w:t>ly based</w:t>
      </w:r>
      <w:r w:rsidRPr="00705E14">
        <w:rPr>
          <w:rFonts w:ascii="Times New Roman" w:eastAsia="Arial Unicode MS" w:hAnsi="Arial Unicode MS" w:cs="Arial Unicode MS"/>
          <w:bCs/>
          <w:color w:val="000000"/>
          <w:sz w:val="24"/>
          <w:szCs w:val="24"/>
          <w:u w:color="000000"/>
          <w:bdr w:val="nil"/>
          <w:lang w:eastAsia="en-GB"/>
        </w:rPr>
        <w:t xml:space="preserve"> exploitation of this content (see below)</w:t>
      </w:r>
      <w:r>
        <w:rPr>
          <w:rFonts w:ascii="Times New Roman" w:eastAsia="Arial Unicode MS" w:hAnsi="Arial Unicode MS" w:cs="Arial Unicode MS"/>
          <w:bCs/>
          <w:color w:val="000000"/>
          <w:sz w:val="24"/>
          <w:szCs w:val="24"/>
          <w:u w:color="000000"/>
          <w:bdr w:val="nil"/>
          <w:lang w:eastAsia="en-GB"/>
        </w:rPr>
        <w:t>. Also</w:t>
      </w:r>
      <w:r w:rsidRPr="00705E14">
        <w:rPr>
          <w:rFonts w:ascii="Times New Roman" w:eastAsia="Arial Unicode MS" w:hAnsi="Arial Unicode MS" w:cs="Arial Unicode MS"/>
          <w:bCs/>
          <w:color w:val="000000"/>
          <w:sz w:val="24"/>
          <w:szCs w:val="24"/>
          <w:u w:color="000000"/>
          <w:bdr w:val="nil"/>
          <w:lang w:eastAsia="en-GB"/>
        </w:rPr>
        <w:t xml:space="preserve">, broadcasters may continue to geo-block premium AV content across borders. However, such agreements between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705E14">
        <w:rPr>
          <w:rFonts w:ascii="Times New Roman" w:eastAsia="Arial Unicode MS" w:hAnsi="Arial Unicode MS" w:cs="Arial Unicode MS"/>
          <w:bCs/>
          <w:color w:val="000000"/>
          <w:sz w:val="24"/>
          <w:szCs w:val="24"/>
          <w:u w:color="000000"/>
          <w:bdr w:val="nil"/>
          <w:lang w:eastAsia="en-GB"/>
        </w:rPr>
        <w:t xml:space="preserve"> and broadcasters would be subject to the application of EU</w:t>
      </w:r>
      <w:r w:rsidRPr="004942CD">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and national</w:t>
      </w:r>
      <w:r w:rsidRPr="00705E14">
        <w:rPr>
          <w:rFonts w:ascii="Times New Roman" w:eastAsia="Arial Unicode MS" w:hAnsi="Arial Unicode MS" w:cs="Arial Unicode MS"/>
          <w:bCs/>
          <w:color w:val="000000"/>
          <w:sz w:val="24"/>
          <w:szCs w:val="24"/>
          <w:u w:color="000000"/>
          <w:bdr w:val="nil"/>
          <w:lang w:eastAsia="en-GB"/>
        </w:rPr>
        <w:t xml:space="preserve"> law. </w:t>
      </w:r>
      <w:r>
        <w:rPr>
          <w:rFonts w:ascii="Times New Roman" w:eastAsia="Arial Unicode MS" w:hAnsi="Arial Unicode MS" w:cs="Arial Unicode MS"/>
          <w:bCs/>
          <w:color w:val="000000"/>
          <w:sz w:val="24"/>
          <w:szCs w:val="24"/>
          <w:u w:color="000000"/>
          <w:bdr w:val="nil"/>
          <w:lang w:eastAsia="en-GB"/>
        </w:rPr>
        <w:t xml:space="preserv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Times New Roman" w:cs="Times New Roman"/>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licensing costs</w:t>
      </w:r>
      <w:r w:rsidRPr="001C5348">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Times New Roman" w:cs="Arial Unicode MS"/>
          <w:color w:val="000000"/>
          <w:sz w:val="24"/>
          <w:szCs w:val="24"/>
          <w:u w:color="000000"/>
          <w:bdr w:val="nil"/>
          <w:lang w:eastAsia="en-GB"/>
        </w:rPr>
        <w:t xml:space="preserve"> Licen</w:t>
      </w:r>
      <w:r>
        <w:rPr>
          <w:rFonts w:ascii="Times New Roman" w:eastAsia="Arial Unicode MS" w:hAnsi="Times New Roman" w:cs="Arial Unicode MS"/>
          <w:color w:val="000000"/>
          <w:sz w:val="24"/>
          <w:szCs w:val="24"/>
          <w:u w:color="000000"/>
          <w:bdr w:val="nil"/>
          <w:lang w:eastAsia="en-GB"/>
        </w:rPr>
        <w:t>ce</w:t>
      </w:r>
      <w:r w:rsidRPr="00807CA5">
        <w:rPr>
          <w:rFonts w:ascii="Times New Roman" w:eastAsia="Arial Unicode MS" w:hAnsi="Times New Roman" w:cs="Arial Unicode MS"/>
          <w:color w:val="000000"/>
          <w:sz w:val="24"/>
          <w:szCs w:val="24"/>
          <w:u w:color="000000"/>
          <w:bdr w:val="nil"/>
          <w:lang w:eastAsia="en-GB"/>
        </w:rPr>
        <w:t xml:space="preserve"> fees are expected to be an important element in broadcasters' decisions to make their programmes </w:t>
      </w:r>
      <w:r w:rsidRPr="000930E2">
        <w:rPr>
          <w:rFonts w:ascii="Times New Roman" w:eastAsia="Arial Unicode MS" w:hAnsi="Arial Unicode MS" w:cs="Arial Unicode MS"/>
          <w:bCs/>
          <w:color w:val="000000"/>
          <w:sz w:val="24"/>
          <w:szCs w:val="24"/>
          <w:u w:color="000000"/>
          <w:bdr w:val="nil"/>
          <w:lang w:eastAsia="en-GB"/>
        </w:rPr>
        <w:t>available</w:t>
      </w:r>
      <w:r w:rsidRPr="00807CA5">
        <w:rPr>
          <w:rFonts w:ascii="Times New Roman" w:eastAsia="Arial Unicode MS" w:hAnsi="Times New Roman" w:cs="Arial Unicode MS"/>
          <w:color w:val="000000"/>
          <w:sz w:val="24"/>
          <w:szCs w:val="24"/>
          <w:u w:color="000000"/>
          <w:bdr w:val="nil"/>
          <w:lang w:eastAsia="en-GB"/>
        </w:rPr>
        <w:t xml:space="preserve"> across borders</w:t>
      </w:r>
      <w:r>
        <w:rPr>
          <w:rFonts w:ascii="Times New Roman" w:eastAsia="Arial Unicode MS" w:hAnsi="Times New Roman" w:cs="Arial Unicode MS"/>
          <w:color w:val="000000"/>
          <w:sz w:val="24"/>
          <w:szCs w:val="24"/>
          <w:u w:color="000000"/>
          <w:bdr w:val="nil"/>
          <w:lang w:eastAsia="en-GB"/>
        </w:rPr>
        <w:t xml:space="preserve"> and in </w:t>
      </w:r>
      <w:r w:rsidR="00695C5E">
        <w:rPr>
          <w:rFonts w:ascii="Times New Roman" w:eastAsia="Arial Unicode MS" w:hAnsi="Times New Roman" w:cs="Arial Unicode MS"/>
          <w:color w:val="000000"/>
          <w:sz w:val="24"/>
          <w:szCs w:val="24"/>
          <w:u w:color="000000"/>
          <w:bdr w:val="nil"/>
          <w:lang w:eastAsia="en-GB"/>
        </w:rPr>
        <w:t>r</w:t>
      </w:r>
      <w:r w:rsidR="00007677">
        <w:rPr>
          <w:rFonts w:ascii="Times New Roman" w:eastAsia="Arial Unicode MS" w:hAnsi="Times New Roman" w:cs="Arial Unicode MS"/>
          <w:color w:val="000000"/>
          <w:sz w:val="24"/>
          <w:szCs w:val="24"/>
          <w:u w:color="000000"/>
          <w:bdr w:val="nil"/>
          <w:lang w:eastAsia="en-GB"/>
        </w:rPr>
        <w:t>ightholders</w:t>
      </w:r>
      <w:r>
        <w:rPr>
          <w:rFonts w:ascii="Times New Roman" w:eastAsia="Arial Unicode MS" w:hAnsi="Times New Roman" w:cs="Arial Unicode MS"/>
          <w:color w:val="000000"/>
          <w:sz w:val="24"/>
          <w:szCs w:val="24"/>
          <w:u w:color="000000"/>
          <w:bdr w:val="nil"/>
          <w:lang w:eastAsia="en-GB"/>
        </w:rPr>
        <w:t>' decisions to grant licences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vertAlign w:val="superscript"/>
          <w:lang w:eastAsia="en-GB"/>
        </w:rPr>
        <w:footnoteReference w:id="112"/>
      </w:r>
      <w:r w:rsidRPr="00807CA5">
        <w:rPr>
          <w:rFonts w:ascii="Times New Roman" w:eastAsia="Arial Unicode MS" w:hAnsi="Times New Roman" w:cs="Arial Unicode MS"/>
          <w:color w:val="000000"/>
          <w:sz w:val="24"/>
          <w:szCs w:val="24"/>
          <w:u w:color="000000"/>
          <w:bdr w:val="nil"/>
          <w:lang w:eastAsia="en-GB"/>
        </w:rPr>
        <w:t xml:space="preserve"> </w:t>
      </w:r>
      <w:r>
        <w:rPr>
          <w:rFonts w:ascii="Times New Roman" w:eastAsia="Arial Unicode MS" w:hAnsi="Times New Roman" w:cs="Times New Roman"/>
          <w:bCs/>
          <w:color w:val="000000"/>
          <w:sz w:val="24"/>
          <w:szCs w:val="24"/>
          <w:u w:color="000000"/>
          <w:bdr w:val="nil"/>
          <w:lang w:eastAsia="en-GB"/>
        </w:rPr>
        <w:t>I</w:t>
      </w:r>
      <w:r w:rsidRPr="00807CA5">
        <w:rPr>
          <w:rFonts w:ascii="Times New Roman" w:eastAsia="Arial Unicode MS" w:hAnsi="Times New Roman" w:cs="Times New Roman"/>
          <w:bCs/>
          <w:color w:val="000000"/>
          <w:sz w:val="24"/>
          <w:szCs w:val="24"/>
          <w:u w:color="000000"/>
          <w:bdr w:val="nil"/>
          <w:lang w:eastAsia="en-GB"/>
        </w:rPr>
        <w:t>f broadcaster's audience would grow due to cross-border tr</w:t>
      </w:r>
      <w:r w:rsidR="005E06F2">
        <w:rPr>
          <w:rFonts w:ascii="Times New Roman" w:eastAsia="Arial Unicode MS" w:hAnsi="Times New Roman" w:cs="Times New Roman"/>
          <w:bCs/>
          <w:color w:val="000000"/>
          <w:sz w:val="24"/>
          <w:szCs w:val="24"/>
          <w:u w:color="000000"/>
          <w:bdr w:val="nil"/>
          <w:lang w:eastAsia="en-GB"/>
        </w:rPr>
        <w:t>ansmission facilitated by the Co</w:t>
      </w:r>
      <w:r w:rsidRPr="00807CA5">
        <w:rPr>
          <w:rFonts w:ascii="Times New Roman" w:eastAsia="Arial Unicode MS" w:hAnsi="Times New Roman" w:cs="Times New Roman"/>
          <w:bCs/>
          <w:color w:val="000000"/>
          <w:sz w:val="24"/>
          <w:szCs w:val="24"/>
          <w:u w:color="000000"/>
          <w:bdr w:val="nil"/>
          <w:lang w:eastAsia="en-GB"/>
        </w:rPr>
        <w:t>O rule, licence fees are expected to be adjusted (to</w:t>
      </w:r>
      <w:r w:rsidR="000D410A">
        <w:rPr>
          <w:rFonts w:ascii="Times New Roman" w:eastAsia="Arial Unicode MS" w:hAnsi="Times New Roman" w:cs="Times New Roman"/>
          <w:bCs/>
          <w:color w:val="000000"/>
          <w:sz w:val="24"/>
          <w:szCs w:val="24"/>
          <w:u w:color="000000"/>
          <w:bdr w:val="nil"/>
          <w:lang w:eastAsia="en-GB"/>
        </w:rPr>
        <w:t xml:space="preserve"> reflect the larger audience). </w:t>
      </w:r>
      <w:r w:rsidRPr="00807CA5">
        <w:rPr>
          <w:rFonts w:ascii="Times New Roman" w:eastAsia="Arial Unicode MS" w:hAnsi="Times New Roman" w:cs="Times New Roman"/>
          <w:bCs/>
          <w:color w:val="000000"/>
          <w:sz w:val="24"/>
          <w:szCs w:val="24"/>
          <w:u w:color="000000"/>
          <w:bdr w:val="nil"/>
          <w:lang w:eastAsia="en-GB"/>
        </w:rPr>
        <w:t xml:space="preserve">In accordance with this </w:t>
      </w:r>
      <w:r w:rsidR="00996BBA">
        <w:rPr>
          <w:rFonts w:ascii="Times New Roman" w:eastAsia="Arial Unicode MS" w:hAnsi="Times New Roman" w:cs="Times New Roman"/>
          <w:bCs/>
          <w:color w:val="000000"/>
          <w:sz w:val="24"/>
          <w:szCs w:val="24"/>
          <w:u w:color="000000"/>
          <w:bdr w:val="nil"/>
          <w:lang w:eastAsia="en-GB"/>
        </w:rPr>
        <w:t>o</w:t>
      </w:r>
      <w:r w:rsidRPr="00807CA5">
        <w:rPr>
          <w:rFonts w:ascii="Times New Roman" w:eastAsia="Arial Unicode MS" w:hAnsi="Times New Roman" w:cs="Times New Roman"/>
          <w:bCs/>
          <w:color w:val="000000"/>
          <w:sz w:val="24"/>
          <w:szCs w:val="24"/>
          <w:u w:color="000000"/>
          <w:bdr w:val="nil"/>
          <w:lang w:eastAsia="en-GB"/>
        </w:rPr>
        <w:t>ption licence fees should be set taking into account all aspects of the broadcast, including the actual audience, the potential audience and the language version.</w:t>
      </w:r>
      <w:r>
        <w:rPr>
          <w:rFonts w:ascii="Times New Roman" w:eastAsia="Arial Unicode MS" w:hAnsi="Times New Roman" w:cs="Times New Roman"/>
          <w:bCs/>
          <w:color w:val="000000"/>
          <w:sz w:val="24"/>
          <w:szCs w:val="24"/>
          <w:u w:color="000000"/>
          <w:bdr w:val="nil"/>
          <w:lang w:eastAsia="en-GB"/>
        </w:rPr>
        <w:t xml:space="preserve"> </w:t>
      </w:r>
      <w:r w:rsidRPr="00807CA5">
        <w:rPr>
          <w:rFonts w:ascii="Times New Roman" w:eastAsia="Arial Unicode MS" w:hAnsi="Times New Roman" w:cs="Times New Roman"/>
          <w:bCs/>
          <w:color w:val="000000"/>
          <w:sz w:val="24"/>
          <w:szCs w:val="24"/>
          <w:u w:color="000000"/>
          <w:bdr w:val="nil"/>
          <w:lang w:eastAsia="en-GB"/>
        </w:rPr>
        <w:t>The feedback collected during the public consultation shows that setting licence fees for sate</w:t>
      </w:r>
      <w:r w:rsidR="005E06F2">
        <w:rPr>
          <w:rFonts w:ascii="Times New Roman" w:eastAsia="Arial Unicode MS" w:hAnsi="Times New Roman" w:cs="Times New Roman"/>
          <w:bCs/>
          <w:color w:val="000000"/>
          <w:sz w:val="24"/>
          <w:szCs w:val="24"/>
          <w:u w:color="000000"/>
          <w:bdr w:val="nil"/>
          <w:lang w:eastAsia="en-GB"/>
        </w:rPr>
        <w:t>llite transmissions under the Co</w:t>
      </w:r>
      <w:r w:rsidRPr="00807CA5">
        <w:rPr>
          <w:rFonts w:ascii="Times New Roman" w:eastAsia="Arial Unicode MS" w:hAnsi="Times New Roman" w:cs="Times New Roman"/>
          <w:bCs/>
          <w:color w:val="000000"/>
          <w:sz w:val="24"/>
          <w:szCs w:val="24"/>
          <w:u w:color="000000"/>
          <w:bdr w:val="nil"/>
          <w:lang w:eastAsia="en-GB"/>
        </w:rPr>
        <w:t xml:space="preserve">O rule available across borders has not caused any substantial practical problems. </w:t>
      </w:r>
      <w:r>
        <w:rPr>
          <w:rFonts w:ascii="Times New Roman" w:eastAsia="Arial Unicode MS" w:hAnsi="Times New Roman" w:cs="Times New Roman"/>
          <w:bCs/>
          <w:color w:val="000000"/>
          <w:sz w:val="24"/>
          <w:szCs w:val="24"/>
          <w:u w:color="000000"/>
          <w:bdr w:val="nil"/>
          <w:lang w:eastAsia="en-GB"/>
        </w:rPr>
        <w:t>Some respondents to the consultation pointed to</w:t>
      </w:r>
      <w:r w:rsidRPr="00807CA5">
        <w:rPr>
          <w:rFonts w:ascii="Times New Roman" w:eastAsia="Arial Unicode MS" w:hAnsi="Times New Roman" w:cs="Times New Roman"/>
          <w:bCs/>
          <w:color w:val="000000"/>
          <w:sz w:val="24"/>
          <w:szCs w:val="24"/>
          <w:u w:color="000000"/>
          <w:bdr w:val="nil"/>
          <w:lang w:eastAsia="en-GB"/>
        </w:rPr>
        <w:t xml:space="preserve"> difficulties </w:t>
      </w:r>
      <w:r>
        <w:rPr>
          <w:rFonts w:ascii="Times New Roman" w:eastAsia="Arial Unicode MS" w:hAnsi="Times New Roman" w:cs="Times New Roman"/>
          <w:bCs/>
          <w:color w:val="000000"/>
          <w:sz w:val="24"/>
          <w:szCs w:val="24"/>
          <w:u w:color="000000"/>
          <w:bdr w:val="nil"/>
          <w:lang w:eastAsia="en-GB"/>
        </w:rPr>
        <w:t>with</w:t>
      </w:r>
      <w:r w:rsidRPr="00807CA5">
        <w:rPr>
          <w:rFonts w:ascii="Times New Roman" w:eastAsia="Arial Unicode MS" w:hAnsi="Times New Roman" w:cs="Times New Roman"/>
          <w:bCs/>
          <w:color w:val="000000"/>
          <w:sz w:val="24"/>
          <w:szCs w:val="24"/>
          <w:u w:color="000000"/>
          <w:bdr w:val="nil"/>
          <w:lang w:eastAsia="en-GB"/>
        </w:rPr>
        <w:t xml:space="preserve"> measur</w:t>
      </w:r>
      <w:r>
        <w:rPr>
          <w:rFonts w:ascii="Times New Roman" w:eastAsia="Arial Unicode MS" w:hAnsi="Times New Roman" w:cs="Times New Roman"/>
          <w:bCs/>
          <w:color w:val="000000"/>
          <w:sz w:val="24"/>
          <w:szCs w:val="24"/>
          <w:u w:color="000000"/>
          <w:bdr w:val="nil"/>
          <w:lang w:eastAsia="en-GB"/>
        </w:rPr>
        <w:t>ing</w:t>
      </w:r>
      <w:r w:rsidRPr="00807CA5">
        <w:rPr>
          <w:rFonts w:ascii="Times New Roman" w:eastAsia="Arial Unicode MS" w:hAnsi="Times New Roman" w:cs="Times New Roman"/>
          <w:bCs/>
          <w:color w:val="000000"/>
          <w:sz w:val="24"/>
          <w:szCs w:val="24"/>
          <w:u w:color="000000"/>
          <w:bdr w:val="nil"/>
          <w:lang w:eastAsia="en-GB"/>
        </w:rPr>
        <w:t xml:space="preserve"> the audience,</w:t>
      </w:r>
      <w:r>
        <w:rPr>
          <w:rFonts w:ascii="Times New Roman" w:eastAsia="Arial Unicode MS" w:hAnsi="Times New Roman" w:cs="Times New Roman"/>
          <w:bCs/>
          <w:color w:val="000000"/>
          <w:sz w:val="24"/>
          <w:szCs w:val="24"/>
          <w:u w:color="000000"/>
          <w:bdr w:val="nil"/>
          <w:lang w:eastAsia="en-GB"/>
        </w:rPr>
        <w:t xml:space="preserve"> a task</w:t>
      </w:r>
      <w:r w:rsidRPr="00807CA5">
        <w:rPr>
          <w:rFonts w:ascii="Times New Roman" w:eastAsia="Arial Unicode MS" w:hAnsi="Times New Roman" w:cs="Times New Roman"/>
          <w:bCs/>
          <w:color w:val="000000"/>
          <w:sz w:val="24"/>
          <w:szCs w:val="24"/>
          <w:u w:color="000000"/>
          <w:bdr w:val="nil"/>
          <w:lang w:eastAsia="en-GB"/>
        </w:rPr>
        <w:t xml:space="preserve"> which is significantly easier for online services. </w:t>
      </w:r>
    </w:p>
    <w:p w:rsidR="00FC609C" w:rsidRPr="00807CA5" w:rsidRDefault="00FC609C" w:rsidP="000930E2">
      <w:pPr>
        <w:pStyle w:val="Text1"/>
        <w:ind w:left="0"/>
        <w:rPr>
          <w:rFonts w:eastAsia="Arial Unicode MS" w:hAnsi="Arial Unicode MS" w:cs="Arial Unicode MS"/>
          <w:color w:val="000000"/>
          <w:szCs w:val="24"/>
          <w:u w:color="000000"/>
          <w:bdr w:val="nil"/>
        </w:rPr>
      </w:pPr>
      <w:r w:rsidRPr="00807CA5">
        <w:rPr>
          <w:rFonts w:eastAsia="Arial Unicode MS" w:hAnsi="Arial Unicode MS" w:cs="Arial Unicode MS"/>
          <w:b/>
          <w:bCs/>
          <w:color w:val="000000"/>
          <w:szCs w:val="24"/>
          <w:u w:color="000000"/>
          <w:bdr w:val="nil"/>
        </w:rPr>
        <w:t xml:space="preserve">Other service </w:t>
      </w:r>
      <w:r w:rsidRPr="000930E2">
        <w:rPr>
          <w:rFonts w:eastAsia="Arial Unicode MS" w:hAnsi="Arial Unicode MS" w:cs="Arial Unicode MS"/>
          <w:b/>
          <w:bCs/>
          <w:color w:val="000000"/>
          <w:szCs w:val="24"/>
          <w:bdr w:val="nil"/>
        </w:rPr>
        <w:t>providers</w:t>
      </w:r>
      <w:r w:rsidRPr="00807CA5">
        <w:rPr>
          <w:rFonts w:eastAsia="Arial Unicode MS" w:hAnsi="Arial Unicode MS" w:cs="Arial Unicode MS"/>
          <w:color w:val="000000"/>
          <w:szCs w:val="24"/>
          <w:u w:color="000000"/>
          <w:bdr w:val="nil"/>
        </w:rPr>
        <w:t xml:space="preserv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A587E">
        <w:rPr>
          <w:rFonts w:ascii="Times New Roman" w:eastAsia="Arial Unicode MS" w:hAnsi="Arial Unicode MS" w:cs="Arial Unicode MS"/>
          <w:color w:val="000000"/>
          <w:sz w:val="24"/>
          <w:szCs w:val="24"/>
          <w:u w:val="single" w:color="000000"/>
          <w:bdr w:val="nil"/>
          <w:lang w:eastAsia="en-GB"/>
        </w:rPr>
        <w:t xml:space="preserve">Impacts on the </w:t>
      </w:r>
      <w:r w:rsidRPr="008A587E">
        <w:rPr>
          <w:rFonts w:ascii="Times New Roman" w:eastAsia="Arial Unicode MS" w:hAnsi="Times New Roman" w:cs="Arial Unicode MS"/>
          <w:color w:val="000000"/>
          <w:sz w:val="24"/>
          <w:szCs w:val="24"/>
          <w:u w:val="single" w:color="000000"/>
          <w:bdr w:val="nil"/>
          <w:lang w:eastAsia="en-GB"/>
        </w:rPr>
        <w:t>competitive situation</w:t>
      </w:r>
      <w:r w:rsidRPr="001C5348">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Times New Roman"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Option </w:t>
      </w:r>
      <w:r>
        <w:rPr>
          <w:rFonts w:ascii="Times New Roman" w:eastAsia="Arial Unicode MS" w:hAnsi="Arial Unicode MS" w:cs="Arial Unicode MS"/>
          <w:color w:val="000000"/>
          <w:sz w:val="24"/>
          <w:szCs w:val="24"/>
          <w:u w:color="000000"/>
          <w:bdr w:val="nil"/>
          <w:lang w:eastAsia="en-GB"/>
        </w:rPr>
        <w:t>2</w:t>
      </w:r>
      <w:r w:rsidRPr="00807CA5">
        <w:rPr>
          <w:rFonts w:ascii="Times New Roman" w:eastAsia="Arial Unicode MS" w:hAnsi="Arial Unicode MS" w:cs="Arial Unicode MS"/>
          <w:color w:val="000000"/>
          <w:sz w:val="24"/>
          <w:szCs w:val="24"/>
          <w:u w:color="000000"/>
          <w:bdr w:val="nil"/>
          <w:lang w:eastAsia="en-GB"/>
        </w:rPr>
        <w:t xml:space="preserve"> would not significantly affect the on-demand services market because it would not apply to broadcasters' on-demand services, which are not ancillary to the initial broadcast. For example, if a broadcaster creates a V</w:t>
      </w:r>
      <w:r>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 xml:space="preserve">D library, it would need to acquire </w:t>
      </w:r>
      <w:r w:rsidRPr="000930E2">
        <w:rPr>
          <w:rFonts w:ascii="Times New Roman" w:eastAsia="Arial Unicode MS" w:hAnsi="Times New Roman" w:cs="Arial Unicode MS"/>
          <w:color w:val="000000"/>
          <w:sz w:val="24"/>
          <w:szCs w:val="24"/>
          <w:u w:color="000000"/>
          <w:bdr w:val="nil"/>
          <w:lang w:eastAsia="en-GB"/>
        </w:rPr>
        <w:t>rights</w:t>
      </w:r>
      <w:r w:rsidRPr="00807CA5">
        <w:rPr>
          <w:rFonts w:ascii="Times New Roman" w:eastAsia="Arial Unicode MS" w:hAnsi="Arial Unicode MS" w:cs="Arial Unicode MS"/>
          <w:color w:val="000000"/>
          <w:sz w:val="24"/>
          <w:szCs w:val="24"/>
          <w:u w:color="000000"/>
          <w:bdr w:val="nil"/>
          <w:lang w:eastAsia="en-GB"/>
        </w:rPr>
        <w:t xml:space="preserve"> according to the same rules as V</w:t>
      </w:r>
      <w:r>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D</w:t>
      </w:r>
      <w:r w:rsidRPr="00807CA5" w:rsidDel="00080D79">
        <w:rPr>
          <w:rFonts w:ascii="Times New Roman" w:eastAsia="Arial Unicode MS" w:hAnsi="Arial Unicode MS"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service providers. Therefore, on-demand service providers </w:t>
      </w:r>
      <w:r>
        <w:rPr>
          <w:rFonts w:ascii="Times New Roman" w:eastAsia="Arial Unicode MS" w:hAnsi="Arial Unicode MS" w:cs="Arial Unicode MS"/>
          <w:color w:val="000000"/>
          <w:sz w:val="24"/>
          <w:szCs w:val="24"/>
          <w:u w:color="000000"/>
          <w:bdr w:val="nil"/>
          <w:lang w:eastAsia="en-GB"/>
        </w:rPr>
        <w:t>would</w:t>
      </w:r>
      <w:r w:rsidRPr="00807CA5">
        <w:rPr>
          <w:rFonts w:ascii="Times New Roman" w:eastAsia="Arial Unicode MS" w:hAnsi="Arial Unicode MS" w:cs="Arial Unicode MS"/>
          <w:color w:val="000000"/>
          <w:sz w:val="24"/>
          <w:szCs w:val="24"/>
          <w:u w:color="000000"/>
          <w:bdr w:val="nil"/>
          <w:lang w:eastAsia="en-GB"/>
        </w:rPr>
        <w:t xml:space="preserve"> continue competing on an equal footing with broadcasters offering such services.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Yet, there may be a partial overlap between on-demand services</w:t>
      </w:r>
      <w:r>
        <w:rPr>
          <w:rFonts w:ascii="Times New Roman" w:eastAsia="Arial Unicode MS" w:hAnsi="Arial Unicode MS" w:cs="Arial Unicode MS"/>
          <w:color w:val="000000"/>
          <w:sz w:val="24"/>
          <w:szCs w:val="24"/>
          <w:u w:color="000000"/>
          <w:bdr w:val="nil"/>
          <w:lang w:eastAsia="en-GB"/>
        </w:rPr>
        <w:t xml:space="preserve"> (such as </w:t>
      </w:r>
      <w:r w:rsidRPr="00807CA5">
        <w:rPr>
          <w:rFonts w:ascii="Times New Roman" w:eastAsia="Arial Unicode MS" w:hAnsi="Arial Unicode MS" w:cs="Arial Unicode MS"/>
          <w:color w:val="000000"/>
          <w:sz w:val="24"/>
          <w:szCs w:val="24"/>
          <w:u w:color="000000"/>
          <w:bdr w:val="nil"/>
          <w:lang w:eastAsia="en-GB"/>
        </w:rPr>
        <w:t>V</w:t>
      </w:r>
      <w:r>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D</w:t>
      </w:r>
      <w:r>
        <w:rPr>
          <w:rFonts w:ascii="Times New Roman" w:eastAsia="Arial Unicode MS" w:hAnsi="Arial Unicode MS" w:cs="Arial Unicode MS"/>
          <w:color w:val="000000"/>
          <w:sz w:val="24"/>
          <w:szCs w:val="24"/>
          <w:u w:color="000000"/>
          <w:bdr w:val="nil"/>
          <w:lang w:eastAsia="en-GB"/>
        </w:rPr>
        <w:t>)</w:t>
      </w:r>
      <w:r w:rsidRPr="00807CA5">
        <w:rPr>
          <w:rFonts w:ascii="Times New Roman" w:eastAsia="Arial Unicode MS" w:hAnsi="Arial Unicode MS" w:cs="Arial Unicode MS"/>
          <w:color w:val="000000"/>
          <w:sz w:val="24"/>
          <w:szCs w:val="24"/>
          <w:u w:color="000000"/>
          <w:bdr w:val="nil"/>
          <w:lang w:eastAsia="en-GB"/>
        </w:rPr>
        <w:t xml:space="preserve"> and broadcasters' online catch-up services, which in fact are on-demand services for a limited duration</w:t>
      </w:r>
      <w:r w:rsidR="00E34F94">
        <w:rPr>
          <w:rFonts w:ascii="Times New Roman" w:eastAsia="Arial Unicode MS" w:hAnsi="Arial Unicode MS" w:cs="Arial Unicode MS"/>
          <w:color w:val="000000"/>
          <w:sz w:val="24"/>
          <w:szCs w:val="24"/>
          <w:u w:color="000000"/>
          <w:bdr w:val="nil"/>
          <w:lang w:eastAsia="en-GB"/>
        </w:rPr>
        <w:t>.</w:t>
      </w:r>
      <w:r w:rsidRPr="00807CA5">
        <w:rPr>
          <w:rFonts w:ascii="Times New Roman" w:eastAsia="Arial Unicode MS" w:hAnsi="Arial Unicode MS" w:cs="Arial Unicode MS"/>
          <w:color w:val="000000"/>
          <w:sz w:val="24"/>
          <w:szCs w:val="24"/>
          <w:u w:color="000000"/>
          <w:bdr w:val="nil"/>
          <w:vertAlign w:val="superscript"/>
          <w:lang w:eastAsia="en-GB"/>
        </w:rPr>
        <w:footnoteReference w:id="113"/>
      </w:r>
      <w:r w:rsidRPr="00807CA5">
        <w:rPr>
          <w:rFonts w:ascii="Times New Roman" w:eastAsia="Arial Unicode MS" w:hAnsi="Arial Unicode MS" w:cs="Arial Unicode MS"/>
          <w:color w:val="000000"/>
          <w:sz w:val="24"/>
          <w:szCs w:val="24"/>
          <w:u w:color="000000"/>
          <w:bdr w:val="nil"/>
          <w:lang w:eastAsia="en-GB"/>
        </w:rPr>
        <w:t xml:space="preserve"> However, catch-up services do not constitute a complete substitute to V</w:t>
      </w:r>
      <w:r>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D</w:t>
      </w:r>
      <w:r w:rsidRPr="00807CA5" w:rsidDel="00080D79">
        <w:rPr>
          <w:rFonts w:ascii="Times New Roman" w:eastAsia="Arial Unicode MS" w:hAnsi="Arial Unicode MS"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services as they are limited in time and are linked to the initial broadcast transmitted according to a schedule. Moreover, </w:t>
      </w:r>
      <w:r w:rsidR="00695C5E">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sidRPr="00807CA5">
        <w:rPr>
          <w:rFonts w:ascii="Times New Roman" w:eastAsia="Arial Unicode MS" w:hAnsi="Arial Unicode MS" w:cs="Arial Unicode MS"/>
          <w:color w:val="000000"/>
          <w:sz w:val="24"/>
          <w:szCs w:val="24"/>
          <w:u w:color="000000"/>
          <w:bdr w:val="nil"/>
          <w:lang w:eastAsia="en-GB"/>
        </w:rPr>
        <w:t xml:space="preserve"> would be able to address this issue by negotiating with broadcasters limitations to catch-up services.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Other service providers than broadcasters, which transmit linear</w:t>
      </w:r>
      <w:r>
        <w:rPr>
          <w:rFonts w:ascii="Times New Roman" w:eastAsia="Arial Unicode MS" w:hAnsi="Arial Unicode MS" w:cs="Arial Unicode MS"/>
          <w:color w:val="000000"/>
          <w:sz w:val="24"/>
          <w:szCs w:val="24"/>
          <w:u w:color="000000"/>
          <w:bdr w:val="nil"/>
          <w:lang w:eastAsia="en-GB"/>
        </w:rPr>
        <w:t xml:space="preserve"> TV or radio-like</w:t>
      </w:r>
      <w:r w:rsidRPr="00807CA5">
        <w:rPr>
          <w:rFonts w:ascii="Times New Roman" w:eastAsia="Arial Unicode MS" w:hAnsi="Arial Unicode MS" w:cs="Arial Unicode MS"/>
          <w:color w:val="000000"/>
          <w:sz w:val="24"/>
          <w:szCs w:val="24"/>
          <w:u w:color="000000"/>
          <w:bdr w:val="nil"/>
          <w:lang w:eastAsia="en-GB"/>
        </w:rPr>
        <w:t xml:space="preserve"> channels only online (</w:t>
      </w:r>
      <w:r>
        <w:rPr>
          <w:rFonts w:ascii="Times New Roman" w:eastAsia="Arial Unicode MS" w:hAnsi="Arial Unicode MS" w:cs="Arial Unicode MS"/>
          <w:color w:val="000000"/>
          <w:sz w:val="24"/>
          <w:szCs w:val="24"/>
          <w:u w:color="000000"/>
          <w:bdr w:val="nil"/>
          <w:lang w:eastAsia="en-GB"/>
        </w:rPr>
        <w:t xml:space="preserve">operators of </w:t>
      </w:r>
      <w:r w:rsidRPr="00807CA5">
        <w:rPr>
          <w:rFonts w:ascii="Times New Roman" w:eastAsia="Arial Unicode MS" w:hAnsi="Arial Unicode MS" w:cs="Arial Unicode MS"/>
          <w:color w:val="000000"/>
          <w:sz w:val="24"/>
          <w:szCs w:val="24"/>
          <w:u w:color="000000"/>
          <w:bdr w:val="nil"/>
          <w:lang w:eastAsia="en-GB"/>
        </w:rPr>
        <w:t xml:space="preserve">webcasting services) would not benefit from Option </w:t>
      </w:r>
      <w:r>
        <w:rPr>
          <w:rFonts w:ascii="Times New Roman" w:eastAsia="Arial Unicode MS" w:hAnsi="Arial Unicode MS" w:cs="Arial Unicode MS"/>
          <w:color w:val="000000"/>
          <w:sz w:val="24"/>
          <w:szCs w:val="24"/>
          <w:u w:color="000000"/>
          <w:bdr w:val="nil"/>
          <w:lang w:eastAsia="en-GB"/>
        </w:rPr>
        <w:t>2</w:t>
      </w:r>
      <w:r w:rsidRPr="00807CA5">
        <w:rPr>
          <w:rFonts w:ascii="Times New Roman" w:eastAsia="Arial Unicode MS" w:hAnsi="Arial Unicode MS" w:cs="Arial Unicode MS"/>
          <w:color w:val="000000"/>
          <w:sz w:val="24"/>
          <w:szCs w:val="24"/>
          <w:u w:color="000000"/>
          <w:bdr w:val="nil"/>
          <w:lang w:eastAsia="en-GB"/>
        </w:rPr>
        <w:t>. However</w:t>
      </w:r>
      <w:r>
        <w:rPr>
          <w:rFonts w:ascii="Times New Roman" w:eastAsia="Arial Unicode MS" w:hAnsi="Arial Unicode MS" w:cs="Arial Unicode MS"/>
          <w:color w:val="000000"/>
          <w:sz w:val="24"/>
          <w:szCs w:val="24"/>
          <w:u w:color="000000"/>
          <w:bdr w:val="nil"/>
          <w:lang w:eastAsia="en-GB"/>
        </w:rPr>
        <w:t xml:space="preserve"> neither would</w:t>
      </w:r>
      <w:r w:rsidRPr="00807CA5">
        <w:rPr>
          <w:rFonts w:ascii="Times New Roman" w:eastAsia="Arial Unicode MS" w:hAnsi="Arial Unicode MS" w:cs="Arial Unicode MS"/>
          <w:color w:val="000000"/>
          <w:sz w:val="24"/>
          <w:szCs w:val="24"/>
          <w:u w:color="000000"/>
          <w:bdr w:val="nil"/>
          <w:lang w:eastAsia="en-GB"/>
        </w:rPr>
        <w:t xml:space="preserve"> a broadcaster offer</w:t>
      </w:r>
      <w:r>
        <w:rPr>
          <w:rFonts w:ascii="Times New Roman" w:eastAsia="Arial Unicode MS" w:hAnsi="Arial Unicode MS" w:cs="Arial Unicode MS"/>
          <w:color w:val="000000"/>
          <w:sz w:val="24"/>
          <w:szCs w:val="24"/>
          <w:u w:color="000000"/>
          <w:bdr w:val="nil"/>
          <w:lang w:eastAsia="en-GB"/>
        </w:rPr>
        <w:t>ing</w:t>
      </w:r>
      <w:r w:rsidRPr="00807CA5">
        <w:rPr>
          <w:rFonts w:ascii="Times New Roman" w:eastAsia="Arial Unicode MS" w:hAnsi="Arial Unicode MS" w:cs="Arial Unicode MS"/>
          <w:color w:val="000000"/>
          <w:sz w:val="24"/>
          <w:szCs w:val="24"/>
          <w:u w:color="000000"/>
          <w:bdr w:val="nil"/>
          <w:lang w:eastAsia="en-GB"/>
        </w:rPr>
        <w:t xml:space="preserve"> an online-only channel (webcas</w:t>
      </w:r>
      <w:r>
        <w:rPr>
          <w:rFonts w:ascii="Times New Roman" w:eastAsia="Arial Unicode MS" w:hAnsi="Arial Unicode MS" w:cs="Arial Unicode MS"/>
          <w:color w:val="000000"/>
          <w:sz w:val="24"/>
          <w:szCs w:val="24"/>
          <w:u w:color="000000"/>
          <w:bdr w:val="nil"/>
          <w:lang w:eastAsia="en-GB"/>
        </w:rPr>
        <w:t>t</w:t>
      </w:r>
      <w:r w:rsidRPr="00807CA5">
        <w:rPr>
          <w:rFonts w:ascii="Times New Roman" w:eastAsia="Arial Unicode MS" w:hAnsi="Arial Unicode MS" w:cs="Arial Unicode MS"/>
          <w:color w:val="000000"/>
          <w:sz w:val="24"/>
          <w:szCs w:val="24"/>
          <w:u w:color="000000"/>
          <w:bdr w:val="nil"/>
          <w:lang w:eastAsia="en-GB"/>
        </w:rPr>
        <w:t>)</w:t>
      </w:r>
      <w:r>
        <w:rPr>
          <w:rFonts w:ascii="Times New Roman" w:eastAsia="Arial Unicode MS" w:hAnsi="Arial Unicode MS" w:cs="Arial Unicode MS"/>
          <w:color w:val="000000"/>
          <w:sz w:val="24"/>
          <w:szCs w:val="24"/>
          <w:u w:color="000000"/>
          <w:bdr w:val="nil"/>
          <w:lang w:eastAsia="en-GB"/>
        </w:rPr>
        <w:t xml:space="preserve"> and</w:t>
      </w:r>
      <w:r w:rsidRPr="00807CA5">
        <w:rPr>
          <w:rFonts w:ascii="Times New Roman" w:eastAsia="Arial Unicode MS" w:hAnsi="Arial Unicode MS" w:cs="Arial Unicode MS"/>
          <w:color w:val="000000"/>
          <w:sz w:val="24"/>
          <w:szCs w:val="24"/>
          <w:u w:color="000000"/>
          <w:bdr w:val="nil"/>
          <w:lang w:eastAsia="en-GB"/>
        </w:rPr>
        <w:t xml:space="preserve"> therefore</w:t>
      </w:r>
      <w:r>
        <w:rPr>
          <w:rFonts w:ascii="Times New Roman" w:eastAsia="Arial Unicode MS" w:hAnsi="Arial Unicode MS" w:cs="Arial Unicode MS"/>
          <w:color w:val="000000"/>
          <w:sz w:val="24"/>
          <w:szCs w:val="24"/>
          <w:u w:color="000000"/>
          <w:bdr w:val="nil"/>
          <w:lang w:eastAsia="en-GB"/>
        </w:rPr>
        <w:t xml:space="preserve"> such broadcasters</w:t>
      </w:r>
      <w:r w:rsidRPr="00807CA5">
        <w:rPr>
          <w:rFonts w:ascii="Times New Roman" w:eastAsia="Arial Unicode MS" w:hAnsi="Arial Unicode MS" w:cs="Arial Unicode MS"/>
          <w:color w:val="000000"/>
          <w:sz w:val="24"/>
          <w:szCs w:val="24"/>
          <w:u w:color="000000"/>
          <w:bdr w:val="nil"/>
          <w:lang w:eastAsia="en-GB"/>
        </w:rPr>
        <w:t xml:space="preserve"> would compete with such service providers on </w:t>
      </w:r>
      <w:r>
        <w:rPr>
          <w:rFonts w:ascii="Times New Roman" w:eastAsia="Arial Unicode MS" w:hAnsi="Arial Unicode MS" w:cs="Arial Unicode MS"/>
          <w:color w:val="000000"/>
          <w:sz w:val="24"/>
          <w:szCs w:val="24"/>
          <w:u w:color="000000"/>
          <w:bdr w:val="nil"/>
          <w:lang w:eastAsia="en-GB"/>
        </w:rPr>
        <w:t>an equal</w:t>
      </w:r>
      <w:r w:rsidRPr="00807CA5">
        <w:rPr>
          <w:rFonts w:ascii="Times New Roman" w:eastAsia="Arial Unicode MS" w:hAnsi="Arial Unicode MS" w:cs="Arial Unicode MS"/>
          <w:color w:val="000000"/>
          <w:sz w:val="24"/>
          <w:szCs w:val="24"/>
          <w:u w:color="000000"/>
          <w:bdr w:val="nil"/>
          <w:lang w:eastAsia="en-GB"/>
        </w:rPr>
        <w:t xml:space="preserve"> basis. </w:t>
      </w:r>
    </w:p>
    <w:p w:rsidR="00FC609C" w:rsidRPr="00807CA5" w:rsidRDefault="00007677" w:rsidP="000930E2">
      <w:pPr>
        <w:pStyle w:val="Text1"/>
        <w:ind w:left="0"/>
        <w:rPr>
          <w:rFonts w:eastAsia="Arial Unicode MS" w:hAnsi="Arial Unicode MS" w:cs="Arial Unicode MS"/>
          <w:color w:val="000000"/>
          <w:szCs w:val="24"/>
          <w:u w:color="000000"/>
          <w:bdr w:val="nil"/>
        </w:rPr>
      </w:pPr>
      <w:r>
        <w:rPr>
          <w:rFonts w:eastAsia="Arial Unicode MS" w:hAnsi="Arial Unicode MS" w:cs="Arial Unicode MS"/>
          <w:b/>
          <w:color w:val="000000"/>
          <w:szCs w:val="24"/>
          <w:u w:color="000000"/>
          <w:bdr w:val="nil"/>
        </w:rPr>
        <w:t>Rightholders</w:t>
      </w:r>
    </w:p>
    <w:p w:rsidR="00511494"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bdr w:val="nil"/>
          <w:lang w:eastAsia="en-GB"/>
        </w:rPr>
      </w:pPr>
      <w:r w:rsidRPr="008A587E">
        <w:rPr>
          <w:rFonts w:ascii="Times New Roman" w:eastAsia="Arial Unicode MS" w:hAnsi="Arial Unicode MS" w:cs="Arial Unicode MS"/>
          <w:bCs/>
          <w:color w:val="000000"/>
          <w:sz w:val="24"/>
          <w:szCs w:val="24"/>
          <w:u w:val="single" w:color="000000"/>
          <w:bdr w:val="nil"/>
          <w:lang w:eastAsia="en-GB"/>
        </w:rPr>
        <w:t>Impacts on licensing models and revenues</w:t>
      </w:r>
      <w:r w:rsidR="009260DB">
        <w:rPr>
          <w:rFonts w:ascii="Times New Roman" w:eastAsia="Arial Unicode MS" w:hAnsi="Arial Unicode MS" w:cs="Arial Unicode MS"/>
          <w:bCs/>
          <w:color w:val="000000"/>
          <w:sz w:val="24"/>
          <w:szCs w:val="24"/>
          <w:u w:val="single" w:color="000000"/>
          <w:bdr w:val="nil"/>
          <w:lang w:eastAsia="en-GB"/>
        </w:rPr>
        <w:t>:</w:t>
      </w:r>
      <w:r w:rsidR="009260DB" w:rsidRPr="00AD57F7">
        <w:rPr>
          <w:rFonts w:ascii="Times New Roman" w:eastAsia="Arial Unicode MS" w:hAnsi="Arial Unicode MS" w:cs="Arial Unicode MS"/>
          <w:bCs/>
          <w:color w:val="000000"/>
          <w:sz w:val="24"/>
          <w:szCs w:val="24"/>
          <w:bdr w:val="nil"/>
          <w:lang w:eastAsia="en-GB"/>
        </w:rPr>
        <w:t xml:space="preserve"> </w:t>
      </w:r>
      <w:r w:rsidR="00511494" w:rsidRPr="00C37912">
        <w:rPr>
          <w:rFonts w:ascii="Times New Roman" w:eastAsia="Arial Unicode MS" w:hAnsi="Arial Unicode MS" w:cs="Arial Unicode MS"/>
          <w:bCs/>
          <w:color w:val="000000"/>
          <w:sz w:val="24"/>
          <w:szCs w:val="24"/>
          <w:bdr w:val="nil"/>
          <w:lang w:eastAsia="en-GB"/>
        </w:rPr>
        <w:t xml:space="preserve">The introduction of the country of origin would constitute a new constraint for </w:t>
      </w:r>
      <w:r w:rsidR="00695C5E">
        <w:rPr>
          <w:rFonts w:ascii="Times New Roman" w:eastAsia="Arial Unicode MS" w:hAnsi="Arial Unicode MS" w:cs="Arial Unicode MS"/>
          <w:bCs/>
          <w:color w:val="000000"/>
          <w:sz w:val="24"/>
          <w:szCs w:val="24"/>
          <w:bdr w:val="nil"/>
          <w:lang w:eastAsia="en-GB"/>
        </w:rPr>
        <w:t>r</w:t>
      </w:r>
      <w:r w:rsidR="00007677">
        <w:rPr>
          <w:rFonts w:ascii="Times New Roman" w:eastAsia="Arial Unicode MS" w:hAnsi="Arial Unicode MS" w:cs="Arial Unicode MS"/>
          <w:bCs/>
          <w:color w:val="000000"/>
          <w:sz w:val="24"/>
          <w:szCs w:val="24"/>
          <w:bdr w:val="nil"/>
          <w:lang w:eastAsia="en-GB"/>
        </w:rPr>
        <w:t>ightholders</w:t>
      </w:r>
      <w:r w:rsidR="00511494" w:rsidRPr="00C37912">
        <w:rPr>
          <w:rFonts w:ascii="Times New Roman" w:eastAsia="Arial Unicode MS" w:hAnsi="Arial Unicode MS" w:cs="Arial Unicode MS"/>
          <w:bCs/>
          <w:color w:val="000000"/>
          <w:sz w:val="24"/>
          <w:szCs w:val="24"/>
          <w:bdr w:val="nil"/>
          <w:lang w:eastAsia="en-GB"/>
        </w:rPr>
        <w:t xml:space="preserve"> when licensing their content to broadcasters for online transmissions. However, </w:t>
      </w:r>
      <w:r w:rsidR="00511494" w:rsidRPr="00AD57F7">
        <w:rPr>
          <w:rFonts w:ascii="Times New Roman" w:eastAsia="Arial Unicode MS" w:hAnsi="Arial Unicode MS" w:cs="Arial Unicode MS"/>
          <w:bCs/>
          <w:color w:val="000000"/>
          <w:sz w:val="24"/>
          <w:szCs w:val="24"/>
          <w:bdr w:val="nil"/>
          <w:lang w:eastAsia="en-GB"/>
        </w:rPr>
        <w:t>c</w:t>
      </w:r>
      <w:r w:rsidR="009E6CB5" w:rsidRPr="00AD57F7">
        <w:rPr>
          <w:rFonts w:ascii="Times New Roman" w:eastAsia="Arial Unicode MS" w:hAnsi="Arial Unicode MS" w:cs="Arial Unicode MS"/>
          <w:bCs/>
          <w:color w:val="000000"/>
          <w:sz w:val="24"/>
          <w:szCs w:val="24"/>
          <w:bdr w:val="nil"/>
          <w:lang w:eastAsia="en-GB"/>
        </w:rPr>
        <w:t>onsidering its scope of application (limited to online services by broadcasting organisations which are ancillary to the broadcast)</w:t>
      </w:r>
      <w:r w:rsidR="00976562" w:rsidRPr="00AD57F7">
        <w:rPr>
          <w:rFonts w:ascii="Times New Roman" w:eastAsia="Arial Unicode MS" w:hAnsi="Arial Unicode MS" w:cs="Arial Unicode MS"/>
          <w:bCs/>
          <w:color w:val="000000"/>
          <w:sz w:val="24"/>
          <w:szCs w:val="24"/>
          <w:bdr w:val="nil"/>
          <w:lang w:eastAsia="en-GB"/>
        </w:rPr>
        <w:t xml:space="preserve"> and the fact that it does not restrict</w:t>
      </w:r>
      <w:r w:rsidR="007E0E82" w:rsidRPr="00AD57F7">
        <w:rPr>
          <w:rFonts w:ascii="Times New Roman" w:eastAsia="Arial Unicode MS" w:hAnsi="Arial Unicode MS" w:cs="Arial Unicode MS"/>
          <w:bCs/>
          <w:color w:val="000000"/>
          <w:sz w:val="24"/>
          <w:szCs w:val="24"/>
          <w:bdr w:val="nil"/>
          <w:lang w:eastAsia="en-GB"/>
        </w:rPr>
        <w:t xml:space="preserve"> the</w:t>
      </w:r>
      <w:r w:rsidR="00976562" w:rsidRPr="00AD57F7">
        <w:rPr>
          <w:rFonts w:ascii="Times New Roman" w:eastAsia="Arial Unicode MS" w:hAnsi="Arial Unicode MS" w:cs="Arial Unicode MS"/>
          <w:bCs/>
          <w:color w:val="000000"/>
          <w:sz w:val="24"/>
          <w:szCs w:val="24"/>
          <w:bdr w:val="nil"/>
          <w:lang w:eastAsia="en-GB"/>
        </w:rPr>
        <w:t xml:space="preserve"> contractual freedom of the parties</w:t>
      </w:r>
      <w:r w:rsidR="009E6CB5" w:rsidRPr="00AD57F7">
        <w:rPr>
          <w:rFonts w:ascii="Times New Roman" w:eastAsia="Arial Unicode MS" w:hAnsi="Arial Unicode MS" w:cs="Arial Unicode MS"/>
          <w:bCs/>
          <w:color w:val="000000"/>
          <w:sz w:val="24"/>
          <w:szCs w:val="24"/>
          <w:bdr w:val="nil"/>
          <w:lang w:eastAsia="en-GB"/>
        </w:rPr>
        <w:t xml:space="preserve">, Option 2 is not expected to fundamentally disrupt the existing licensing models and the distribution of revenues between </w:t>
      </w:r>
      <w:r w:rsidR="00695C5E">
        <w:rPr>
          <w:rFonts w:ascii="Times New Roman" w:eastAsia="Arial Unicode MS" w:hAnsi="Arial Unicode MS" w:cs="Arial Unicode MS"/>
          <w:bCs/>
          <w:color w:val="000000"/>
          <w:sz w:val="24"/>
          <w:szCs w:val="24"/>
          <w:bdr w:val="nil"/>
          <w:lang w:eastAsia="en-GB"/>
        </w:rPr>
        <w:t>r</w:t>
      </w:r>
      <w:r w:rsidR="00007677">
        <w:rPr>
          <w:rFonts w:ascii="Times New Roman" w:eastAsia="Arial Unicode MS" w:hAnsi="Arial Unicode MS" w:cs="Arial Unicode MS"/>
          <w:bCs/>
          <w:color w:val="000000"/>
          <w:sz w:val="24"/>
          <w:szCs w:val="24"/>
          <w:bdr w:val="nil"/>
          <w:lang w:eastAsia="en-GB"/>
        </w:rPr>
        <w:t>ightholders</w:t>
      </w:r>
      <w:r w:rsidR="009E6CB5" w:rsidRPr="00AD57F7">
        <w:rPr>
          <w:rFonts w:ascii="Times New Roman" w:eastAsia="Arial Unicode MS" w:hAnsi="Arial Unicode MS" w:cs="Arial Unicode MS"/>
          <w:bCs/>
          <w:color w:val="000000"/>
          <w:sz w:val="24"/>
          <w:szCs w:val="24"/>
          <w:bdr w:val="nil"/>
          <w:lang w:eastAsia="en-GB"/>
        </w:rPr>
        <w:t xml:space="preserve"> and broadcasters. </w:t>
      </w:r>
      <w:r w:rsidR="00007677">
        <w:rPr>
          <w:rFonts w:ascii="Times New Roman" w:eastAsia="Arial Unicode MS" w:hAnsi="Arial Unicode MS" w:cs="Arial Unicode MS"/>
          <w:bCs/>
          <w:color w:val="000000"/>
          <w:sz w:val="24"/>
          <w:szCs w:val="24"/>
          <w:bdr w:val="nil"/>
          <w:lang w:eastAsia="en-GB"/>
        </w:rPr>
        <w:t>Rightholders</w:t>
      </w:r>
      <w:r w:rsidR="005A282D" w:rsidRPr="00AD57F7">
        <w:rPr>
          <w:rFonts w:ascii="Times New Roman" w:eastAsia="Arial Unicode MS" w:hAnsi="Arial Unicode MS" w:cs="Arial Unicode MS"/>
          <w:bCs/>
          <w:color w:val="000000"/>
          <w:sz w:val="24"/>
          <w:szCs w:val="24"/>
          <w:bdr w:val="nil"/>
          <w:lang w:eastAsia="en-GB"/>
        </w:rPr>
        <w:t xml:space="preserve"> would remain free to determine whether granting a licence to broadcasters for </w:t>
      </w:r>
      <w:r w:rsidR="00CA18A7" w:rsidRPr="00C37912">
        <w:rPr>
          <w:rFonts w:ascii="Times New Roman" w:eastAsia="Arial Unicode MS" w:hAnsi="Arial Unicode MS" w:cs="Arial Unicode MS"/>
          <w:bCs/>
          <w:color w:val="000000"/>
          <w:sz w:val="24"/>
          <w:szCs w:val="24"/>
          <w:bdr w:val="nil"/>
          <w:lang w:eastAsia="en-GB"/>
        </w:rPr>
        <w:t xml:space="preserve">online services such as </w:t>
      </w:r>
      <w:r w:rsidR="005A282D" w:rsidRPr="00AD57F7">
        <w:rPr>
          <w:rFonts w:ascii="Times New Roman" w:eastAsia="Arial Unicode MS" w:hAnsi="Arial Unicode MS" w:cs="Arial Unicode MS"/>
          <w:bCs/>
          <w:color w:val="000000"/>
          <w:sz w:val="24"/>
          <w:szCs w:val="24"/>
          <w:bdr w:val="nil"/>
          <w:lang w:eastAsia="en-GB"/>
        </w:rPr>
        <w:t>simulcasting and catch-up services and could adapt the conditions of the licence in view of the application of the country of origin (e.g. for instance by defining the time in which the content may be available through catch-up services</w:t>
      </w:r>
      <w:r w:rsidR="00511494" w:rsidRPr="00AD57F7">
        <w:rPr>
          <w:rFonts w:ascii="Times New Roman" w:eastAsia="Arial Unicode MS" w:hAnsi="Arial Unicode MS" w:cs="Arial Unicode MS"/>
          <w:bCs/>
          <w:color w:val="000000"/>
          <w:sz w:val="24"/>
          <w:szCs w:val="24"/>
          <w:bdr w:val="nil"/>
          <w:lang w:eastAsia="en-GB"/>
        </w:rPr>
        <w:t xml:space="preserve">) as well as the licence fees. </w:t>
      </w:r>
      <w:r w:rsidR="00CA18A7" w:rsidRPr="00AD57F7">
        <w:rPr>
          <w:rFonts w:ascii="Times New Roman" w:eastAsia="Arial Unicode MS" w:hAnsi="Arial Unicode MS" w:cs="Arial Unicode MS"/>
          <w:bCs/>
          <w:color w:val="000000"/>
          <w:sz w:val="24"/>
          <w:szCs w:val="24"/>
          <w:bdr w:val="nil"/>
          <w:lang w:eastAsia="en-GB"/>
        </w:rPr>
        <w:t xml:space="preserve">Furthermore, </w:t>
      </w:r>
      <w:r w:rsidR="00CA18A7" w:rsidRPr="00C37912">
        <w:rPr>
          <w:rFonts w:ascii="Times New Roman" w:eastAsia="Arial Unicode MS" w:hAnsi="Arial Unicode MS" w:cs="Arial Unicode MS"/>
          <w:bCs/>
          <w:color w:val="000000"/>
          <w:sz w:val="24"/>
          <w:szCs w:val="24"/>
          <w:bdr w:val="nil"/>
          <w:lang w:eastAsia="en-GB"/>
        </w:rPr>
        <w:t>t</w:t>
      </w:r>
      <w:r w:rsidR="009E6CB5" w:rsidRPr="00AD57F7">
        <w:rPr>
          <w:rFonts w:ascii="Times New Roman" w:eastAsia="Arial Unicode MS" w:hAnsi="Arial Unicode MS" w:cs="Arial Unicode MS"/>
          <w:bCs/>
          <w:color w:val="000000"/>
          <w:sz w:val="24"/>
          <w:szCs w:val="24"/>
          <w:bdr w:val="nil"/>
          <w:lang w:eastAsia="en-GB"/>
        </w:rPr>
        <w:t>he introduction of the country of origin principle w</w:t>
      </w:r>
      <w:r w:rsidR="00976562" w:rsidRPr="00AD57F7">
        <w:rPr>
          <w:rFonts w:ascii="Times New Roman" w:eastAsia="Arial Unicode MS" w:hAnsi="Arial Unicode MS" w:cs="Arial Unicode MS"/>
          <w:bCs/>
          <w:color w:val="000000"/>
          <w:sz w:val="24"/>
          <w:szCs w:val="24"/>
          <w:bdr w:val="nil"/>
          <w:lang w:eastAsia="en-GB"/>
        </w:rPr>
        <w:t xml:space="preserve">ould </w:t>
      </w:r>
      <w:r w:rsidR="009E6CB5" w:rsidRPr="00AD57F7">
        <w:rPr>
          <w:rFonts w:ascii="Times New Roman" w:eastAsia="Arial Unicode MS" w:hAnsi="Arial Unicode MS" w:cs="Arial Unicode MS"/>
          <w:bCs/>
          <w:color w:val="000000"/>
          <w:sz w:val="24"/>
          <w:szCs w:val="24"/>
          <w:bdr w:val="nil"/>
          <w:lang w:eastAsia="en-GB"/>
        </w:rPr>
        <w:t xml:space="preserve">on its own </w:t>
      </w:r>
      <w:r w:rsidR="00E233DB" w:rsidRPr="00AD57F7">
        <w:rPr>
          <w:rFonts w:ascii="Times New Roman" w:eastAsia="Arial Unicode MS" w:hAnsi="Arial Unicode MS" w:cs="Arial Unicode MS"/>
          <w:bCs/>
          <w:color w:val="000000"/>
          <w:sz w:val="24"/>
          <w:szCs w:val="24"/>
          <w:bdr w:val="nil"/>
          <w:lang w:eastAsia="en-GB"/>
        </w:rPr>
        <w:t xml:space="preserve">not affect the possibility for </w:t>
      </w:r>
      <w:r w:rsidR="00695C5E">
        <w:rPr>
          <w:rFonts w:ascii="Times New Roman" w:eastAsia="Arial Unicode MS" w:hAnsi="Arial Unicode MS" w:cs="Arial Unicode MS"/>
          <w:bCs/>
          <w:color w:val="000000"/>
          <w:sz w:val="24"/>
          <w:szCs w:val="24"/>
          <w:bdr w:val="nil"/>
          <w:lang w:eastAsia="en-GB"/>
        </w:rPr>
        <w:t>r</w:t>
      </w:r>
      <w:r w:rsidR="00007677">
        <w:rPr>
          <w:rFonts w:ascii="Times New Roman" w:eastAsia="Arial Unicode MS" w:hAnsi="Arial Unicode MS" w:cs="Arial Unicode MS"/>
          <w:bCs/>
          <w:color w:val="000000"/>
          <w:sz w:val="24"/>
          <w:szCs w:val="24"/>
          <w:bdr w:val="nil"/>
          <w:lang w:eastAsia="en-GB"/>
        </w:rPr>
        <w:t>ightholders</w:t>
      </w:r>
      <w:r w:rsidR="00E233DB" w:rsidRPr="00AD57F7">
        <w:rPr>
          <w:rFonts w:ascii="Times New Roman" w:eastAsia="Arial Unicode MS" w:hAnsi="Arial Unicode MS" w:cs="Arial Unicode MS"/>
          <w:bCs/>
          <w:color w:val="000000"/>
          <w:sz w:val="24"/>
          <w:szCs w:val="24"/>
          <w:bdr w:val="nil"/>
          <w:lang w:eastAsia="en-GB"/>
        </w:rPr>
        <w:t xml:space="preserve"> to agree with broadcasters on </w:t>
      </w:r>
      <w:r w:rsidR="00CA18A7" w:rsidRPr="00AD57F7">
        <w:rPr>
          <w:rFonts w:ascii="Times New Roman" w:eastAsia="Arial Unicode MS" w:hAnsi="Arial Unicode MS" w:cs="Arial Unicode MS"/>
          <w:bCs/>
          <w:color w:val="000000"/>
          <w:sz w:val="24"/>
          <w:szCs w:val="24"/>
          <w:bdr w:val="nil"/>
          <w:lang w:eastAsia="en-GB"/>
        </w:rPr>
        <w:t xml:space="preserve">territorial </w:t>
      </w:r>
      <w:r w:rsidR="00E233DB" w:rsidRPr="00AD57F7">
        <w:rPr>
          <w:rFonts w:ascii="Times New Roman" w:eastAsia="Arial Unicode MS" w:hAnsi="Arial Unicode MS" w:cs="Arial Unicode MS"/>
          <w:bCs/>
          <w:color w:val="000000"/>
          <w:sz w:val="24"/>
          <w:szCs w:val="24"/>
          <w:bdr w:val="nil"/>
          <w:lang w:eastAsia="en-GB"/>
        </w:rPr>
        <w:t xml:space="preserve">limitations concerning the exploitation of </w:t>
      </w:r>
      <w:r w:rsidR="009E6CB5" w:rsidRPr="00AD57F7">
        <w:rPr>
          <w:rFonts w:ascii="Times New Roman" w:eastAsia="Arial Unicode MS" w:hAnsi="Arial Unicode MS" w:cs="Arial Unicode MS"/>
          <w:bCs/>
          <w:color w:val="000000"/>
          <w:sz w:val="24"/>
          <w:szCs w:val="24"/>
          <w:bdr w:val="nil"/>
          <w:lang w:eastAsia="en-GB"/>
        </w:rPr>
        <w:t xml:space="preserve">their </w:t>
      </w:r>
      <w:r w:rsidR="00E233DB" w:rsidRPr="00AD57F7">
        <w:rPr>
          <w:rFonts w:ascii="Times New Roman" w:eastAsia="Arial Unicode MS" w:hAnsi="Arial Unicode MS" w:cs="Arial Unicode MS"/>
          <w:bCs/>
          <w:color w:val="000000"/>
          <w:sz w:val="24"/>
          <w:szCs w:val="24"/>
          <w:bdr w:val="nil"/>
          <w:lang w:eastAsia="en-GB"/>
        </w:rPr>
        <w:t>rights</w:t>
      </w:r>
      <w:r w:rsidR="00976562" w:rsidRPr="00AD57F7">
        <w:rPr>
          <w:rFonts w:ascii="Times New Roman" w:eastAsia="Arial Unicode MS" w:hAnsi="Arial Unicode MS" w:cs="Arial Unicode MS"/>
          <w:bCs/>
          <w:color w:val="000000"/>
          <w:sz w:val="24"/>
          <w:szCs w:val="24"/>
          <w:bdr w:val="nil"/>
          <w:lang w:eastAsia="en-GB"/>
        </w:rPr>
        <w:t xml:space="preserve">. </w:t>
      </w:r>
    </w:p>
    <w:p w:rsidR="00FC609C" w:rsidRPr="00AD57F7" w:rsidRDefault="00976562"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highlight w:val="yellow"/>
          <w:bdr w:val="nil"/>
          <w:lang w:eastAsia="en-GB"/>
        </w:rPr>
      </w:pPr>
      <w:r w:rsidRPr="00AD57F7">
        <w:rPr>
          <w:rFonts w:ascii="Times New Roman" w:eastAsia="Arial Unicode MS" w:hAnsi="Arial Unicode MS" w:cs="Arial Unicode MS"/>
          <w:bCs/>
          <w:color w:val="000000"/>
          <w:sz w:val="24"/>
          <w:szCs w:val="24"/>
          <w:bdr w:val="nil"/>
          <w:lang w:eastAsia="en-GB"/>
        </w:rPr>
        <w:t xml:space="preserve">The impacts </w:t>
      </w:r>
      <w:r w:rsidR="00FC609C" w:rsidRPr="00807CA5">
        <w:rPr>
          <w:rFonts w:ascii="Times New Roman" w:eastAsia="Arial Unicode MS" w:hAnsi="Arial Unicode MS" w:cs="Arial Unicode MS"/>
          <w:bCs/>
          <w:color w:val="000000"/>
          <w:sz w:val="24"/>
          <w:szCs w:val="24"/>
          <w:u w:color="000000"/>
          <w:bdr w:val="nil"/>
          <w:lang w:eastAsia="en-GB"/>
        </w:rPr>
        <w:t xml:space="preserve">would </w:t>
      </w:r>
      <w:r w:rsidR="00511494">
        <w:rPr>
          <w:rFonts w:ascii="Times New Roman" w:eastAsia="Arial Unicode MS" w:hAnsi="Arial Unicode MS" w:cs="Arial Unicode MS"/>
          <w:bCs/>
          <w:color w:val="000000"/>
          <w:sz w:val="24"/>
          <w:szCs w:val="24"/>
          <w:u w:color="000000"/>
          <w:bdr w:val="nil"/>
          <w:lang w:eastAsia="en-GB"/>
        </w:rPr>
        <w:t xml:space="preserve">vary by type of content, depending on the existing licensing practices: </w:t>
      </w:r>
    </w:p>
    <w:p w:rsidR="00FC609C" w:rsidRPr="00D04EF4" w:rsidRDefault="00FC609C" w:rsidP="007D6CF3">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bCs/>
          <w:color w:val="000000"/>
          <w:szCs w:val="24"/>
          <w:u w:color="000000"/>
          <w:bdr w:val="nil"/>
        </w:rPr>
        <w:t xml:space="preserve">Option 2 is not expected to impact the licensing of </w:t>
      </w:r>
      <w:r w:rsidRPr="00D04EF4">
        <w:rPr>
          <w:rFonts w:eastAsia="Arial Unicode MS" w:hAnsi="Arial Unicode MS" w:cs="Arial Unicode MS"/>
          <w:bCs/>
          <w:color w:val="000000"/>
          <w:szCs w:val="24"/>
          <w:u w:color="000000"/>
          <w:bdr w:val="nil"/>
        </w:rPr>
        <w:t>premium</w:t>
      </w:r>
      <w:r w:rsidRPr="00C32C45">
        <w:rPr>
          <w:rFonts w:eastAsia="Arial Unicode MS" w:hAnsi="Arial Unicode MS" w:cs="Arial Unicode MS"/>
          <w:bCs/>
          <w:i/>
          <w:color w:val="000000"/>
          <w:szCs w:val="24"/>
          <w:u w:color="000000"/>
          <w:bdr w:val="nil"/>
        </w:rPr>
        <w:t xml:space="preserve"> </w:t>
      </w:r>
      <w:r w:rsidRPr="00870476">
        <w:rPr>
          <w:rFonts w:eastAsia="Arial Unicode MS" w:hAnsi="Arial Unicode MS" w:cs="Arial Unicode MS"/>
          <w:bCs/>
          <w:color w:val="000000"/>
          <w:szCs w:val="24"/>
          <w:u w:color="000000"/>
          <w:bdr w:val="nil"/>
        </w:rPr>
        <w:t xml:space="preserve">AV </w:t>
      </w:r>
      <w:r>
        <w:rPr>
          <w:rFonts w:eastAsia="Arial Unicode MS" w:hAnsi="Arial Unicode MS" w:cs="Arial Unicode MS"/>
          <w:bCs/>
          <w:color w:val="000000"/>
          <w:szCs w:val="24"/>
          <w:u w:color="000000"/>
          <w:bdr w:val="nil"/>
        </w:rPr>
        <w:t>content (</w:t>
      </w:r>
      <w:r w:rsidR="00695C5E">
        <w:rPr>
          <w:rFonts w:eastAsia="Arial Unicode MS" w:hAnsi="Arial Unicode MS" w:cs="Arial Unicode MS"/>
          <w:bCs/>
          <w:color w:val="000000"/>
          <w:szCs w:val="24"/>
          <w:u w:color="000000"/>
          <w:bdr w:val="nil"/>
        </w:rPr>
        <w:t>r</w:t>
      </w:r>
      <w:r w:rsidR="00007677">
        <w:rPr>
          <w:rFonts w:eastAsia="Arial Unicode MS" w:hAnsi="Arial Unicode MS" w:cs="Arial Unicode MS"/>
          <w:bCs/>
          <w:color w:val="000000"/>
          <w:szCs w:val="24"/>
          <w:u w:color="000000"/>
          <w:bdr w:val="nil"/>
        </w:rPr>
        <w:t>ightholders</w:t>
      </w:r>
      <w:r w:rsidRPr="00807CA5">
        <w:rPr>
          <w:rFonts w:eastAsia="Arial Unicode MS" w:hAnsi="Arial Unicode MS" w:cs="Arial Unicode MS"/>
          <w:bCs/>
          <w:color w:val="000000"/>
          <w:szCs w:val="24"/>
          <w:u w:color="000000"/>
          <w:bdr w:val="nil"/>
        </w:rPr>
        <w:t xml:space="preserve"> </w:t>
      </w:r>
      <w:r>
        <w:rPr>
          <w:rFonts w:eastAsia="Arial Unicode MS" w:hAnsi="Arial Unicode MS" w:cs="Arial Unicode MS"/>
          <w:bCs/>
          <w:color w:val="000000"/>
          <w:szCs w:val="24"/>
          <w:u w:color="000000"/>
          <w:bdr w:val="nil"/>
        </w:rPr>
        <w:t>would be able to</w:t>
      </w:r>
      <w:r w:rsidRPr="00807CA5">
        <w:rPr>
          <w:rFonts w:eastAsia="Arial Unicode MS" w:hAnsi="Arial Unicode MS" w:cs="Arial Unicode MS"/>
          <w:bCs/>
          <w:color w:val="000000"/>
          <w:szCs w:val="24"/>
          <w:u w:color="000000"/>
          <w:bdr w:val="nil"/>
        </w:rPr>
        <w:t xml:space="preserve"> continue licensing</w:t>
      </w:r>
      <w:r>
        <w:rPr>
          <w:rFonts w:eastAsia="Arial Unicode MS" w:hAnsi="Arial Unicode MS" w:cs="Arial Unicode MS"/>
          <w:bCs/>
          <w:color w:val="000000"/>
          <w:szCs w:val="24"/>
          <w:u w:color="000000"/>
          <w:bdr w:val="nil"/>
        </w:rPr>
        <w:t xml:space="preserve"> their rights on a territorial basis, </w:t>
      </w:r>
      <w:r w:rsidRPr="00807CA5">
        <w:rPr>
          <w:rFonts w:eastAsia="Arial Unicode MS" w:hAnsi="Arial Unicode MS" w:cs="Arial Unicode MS"/>
          <w:bCs/>
          <w:color w:val="000000"/>
          <w:szCs w:val="24"/>
          <w:u w:color="000000"/>
          <w:bdr w:val="nil"/>
        </w:rPr>
        <w:t xml:space="preserve">subject to the requirements of </w:t>
      </w:r>
      <w:r>
        <w:rPr>
          <w:rFonts w:eastAsia="Arial Unicode MS" w:hAnsi="Arial Unicode MS" w:cs="Arial Unicode MS"/>
          <w:bCs/>
          <w:color w:val="000000"/>
          <w:szCs w:val="24"/>
          <w:u w:color="000000"/>
          <w:bdr w:val="nil"/>
        </w:rPr>
        <w:t>EU and national</w:t>
      </w:r>
      <w:r w:rsidRPr="00807CA5">
        <w:rPr>
          <w:rFonts w:eastAsia="Arial Unicode MS" w:hAnsi="Arial Unicode MS" w:cs="Arial Unicode MS"/>
          <w:bCs/>
          <w:color w:val="000000"/>
          <w:szCs w:val="24"/>
          <w:u w:color="000000"/>
          <w:bdr w:val="nil"/>
        </w:rPr>
        <w:t xml:space="preserve"> law)</w:t>
      </w:r>
      <w:r>
        <w:rPr>
          <w:rFonts w:eastAsia="Arial Unicode MS" w:hAnsi="Arial Unicode MS" w:cs="Arial Unicode MS"/>
          <w:bCs/>
          <w:color w:val="000000"/>
          <w:szCs w:val="24"/>
          <w:u w:color="000000"/>
          <w:bdr w:val="nil"/>
        </w:rPr>
        <w:t xml:space="preserve">. </w:t>
      </w:r>
      <w:r w:rsidRPr="00D04EF4">
        <w:rPr>
          <w:rFonts w:eastAsia="Arial Unicode MS" w:hAnsi="Arial Unicode MS" w:cs="Arial Unicode MS"/>
          <w:color w:val="000000"/>
          <w:szCs w:val="24"/>
          <w:u w:color="000000"/>
          <w:bdr w:val="nil"/>
        </w:rPr>
        <w:t xml:space="preserve">However, </w:t>
      </w:r>
      <w:r>
        <w:rPr>
          <w:rFonts w:eastAsia="Arial Unicode MS" w:hAnsi="Arial Unicode MS" w:cs="Arial Unicode MS"/>
          <w:color w:val="000000"/>
          <w:szCs w:val="24"/>
          <w:u w:color="000000"/>
          <w:bdr w:val="nil"/>
        </w:rPr>
        <w:t>it</w:t>
      </w:r>
      <w:r w:rsidRPr="00870476">
        <w:rPr>
          <w:rFonts w:eastAsia="Arial Unicode MS" w:hAnsi="Arial Unicode MS" w:cs="Arial Unicode MS"/>
          <w:color w:val="000000"/>
          <w:szCs w:val="24"/>
          <w:u w:color="000000"/>
          <w:bdr w:val="nil"/>
        </w:rPr>
        <w:t xml:space="preserve"> coul</w:t>
      </w:r>
      <w:r w:rsidRPr="002A0F42">
        <w:rPr>
          <w:rFonts w:eastAsia="Arial Unicode MS" w:hAnsi="Arial Unicode MS" w:cs="Arial Unicode MS"/>
          <w:color w:val="000000"/>
          <w:szCs w:val="24"/>
          <w:u w:color="000000"/>
          <w:bdr w:val="nil"/>
        </w:rPr>
        <w:t xml:space="preserve">d be beneficial to those AV </w:t>
      </w:r>
      <w:r w:rsidR="00695C5E">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Pr="002A0F42">
        <w:rPr>
          <w:rFonts w:eastAsia="Arial Unicode MS" w:hAnsi="Arial Unicode MS" w:cs="Arial Unicode MS"/>
          <w:color w:val="000000"/>
          <w:szCs w:val="24"/>
          <w:u w:color="000000"/>
          <w:bdr w:val="nil"/>
        </w:rPr>
        <w:t xml:space="preserve"> whose productions attract smaller audiences and who do not rely on</w:t>
      </w:r>
      <w:r w:rsidR="005E06F2">
        <w:rPr>
          <w:rFonts w:eastAsia="Arial Unicode MS" w:hAnsi="Arial Unicode MS" w:cs="Arial Unicode MS"/>
          <w:color w:val="000000"/>
          <w:szCs w:val="24"/>
          <w:u w:color="000000"/>
          <w:bdr w:val="nil"/>
        </w:rPr>
        <w:t xml:space="preserve"> territorial exclusivity: the Co</w:t>
      </w:r>
      <w:r w:rsidRPr="002A0F42">
        <w:rPr>
          <w:rFonts w:eastAsia="Arial Unicode MS" w:hAnsi="Arial Unicode MS" w:cs="Arial Unicode MS"/>
          <w:color w:val="000000"/>
          <w:szCs w:val="24"/>
          <w:u w:color="000000"/>
          <w:bdr w:val="nil"/>
        </w:rPr>
        <w:t xml:space="preserve">O rule would </w:t>
      </w:r>
      <w:r w:rsidR="007E0E82">
        <w:rPr>
          <w:rFonts w:eastAsia="Arial Unicode MS" w:hAnsi="Arial Unicode MS" w:cs="Arial Unicode MS"/>
          <w:color w:val="000000"/>
          <w:szCs w:val="24"/>
          <w:u w:color="000000"/>
          <w:bdr w:val="nil"/>
        </w:rPr>
        <w:t xml:space="preserve">facilitate the possibility for </w:t>
      </w:r>
      <w:r w:rsidRPr="002A0F42">
        <w:rPr>
          <w:rFonts w:eastAsia="Arial Unicode MS" w:hAnsi="Arial Unicode MS" w:cs="Arial Unicode MS"/>
          <w:color w:val="000000"/>
          <w:szCs w:val="24"/>
          <w:u w:color="000000"/>
          <w:bdr w:val="nil"/>
        </w:rPr>
        <w:t>broadcasters to make such content available across borders and could result in additional revenue</w:t>
      </w:r>
      <w:r w:rsidRPr="00D04EF4">
        <w:rPr>
          <w:rFonts w:eastAsia="Arial Unicode MS" w:hAnsi="Arial Unicode MS" w:cs="Arial Unicode MS"/>
          <w:color w:val="000000"/>
          <w:szCs w:val="24"/>
          <w:u w:color="000000"/>
          <w:bdr w:val="nil"/>
        </w:rPr>
        <w:t xml:space="preserve">s for </w:t>
      </w:r>
      <w:r w:rsidR="00695C5E">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sidRPr="00870476">
        <w:rPr>
          <w:rFonts w:eastAsia="Arial Unicode MS" w:hAnsi="Arial Unicode MS" w:cs="Arial Unicode MS"/>
          <w:color w:val="000000"/>
          <w:szCs w:val="24"/>
          <w:u w:color="000000"/>
          <w:bdr w:val="nil"/>
        </w:rPr>
        <w:t xml:space="preserve">. </w:t>
      </w:r>
    </w:p>
    <w:p w:rsidR="00FC609C" w:rsidRDefault="00FC609C" w:rsidP="007D6CF3">
      <w:pPr>
        <w:pStyle w:val="Text1"/>
        <w:numPr>
          <w:ilvl w:val="0"/>
          <w:numId w:val="37"/>
        </w:numPr>
        <w:ind w:left="426" w:hanging="426"/>
        <w:rPr>
          <w:rFonts w:eastAsia="Arial Unicode MS" w:hAnsi="Arial Unicode MS" w:cs="Arial Unicode MS"/>
          <w:bCs/>
          <w:color w:val="000000"/>
          <w:szCs w:val="24"/>
          <w:u w:color="000000"/>
          <w:bdr w:val="nil"/>
        </w:rPr>
      </w:pPr>
      <w:r w:rsidRPr="00807CA5">
        <w:rPr>
          <w:rFonts w:eastAsia="Arial Unicode MS" w:hAnsi="Arial Unicode MS" w:cs="Arial Unicode MS"/>
          <w:bCs/>
          <w:color w:val="000000"/>
          <w:szCs w:val="24"/>
          <w:u w:color="000000"/>
          <w:bdr w:val="nil"/>
        </w:rPr>
        <w:t xml:space="preserve">Option </w:t>
      </w:r>
      <w:r>
        <w:rPr>
          <w:rFonts w:eastAsia="Arial Unicode MS" w:hAnsi="Arial Unicode MS" w:cs="Arial Unicode MS"/>
          <w:bCs/>
          <w:color w:val="000000"/>
          <w:szCs w:val="24"/>
          <w:u w:color="000000"/>
          <w:bdr w:val="nil"/>
        </w:rPr>
        <w:t>2</w:t>
      </w:r>
      <w:r w:rsidRPr="00807CA5">
        <w:rPr>
          <w:rFonts w:eastAsia="Arial Unicode MS" w:hAnsi="Arial Unicode MS" w:cs="Arial Unicode MS"/>
          <w:bCs/>
          <w:color w:val="000000"/>
          <w:szCs w:val="24"/>
          <w:u w:color="000000"/>
          <w:bdr w:val="nil"/>
        </w:rPr>
        <w:t xml:space="preserve"> is </w:t>
      </w:r>
      <w:r w:rsidRPr="00807CA5">
        <w:rPr>
          <w:rFonts w:eastAsia="Arial Unicode MS" w:hAnsi="Arial Unicode MS" w:cs="Arial Unicode MS"/>
          <w:color w:val="000000"/>
          <w:szCs w:val="24"/>
          <w:u w:color="000000"/>
          <w:bdr w:val="nil"/>
        </w:rPr>
        <w:t>likely</w:t>
      </w:r>
      <w:r w:rsidRPr="00807CA5">
        <w:rPr>
          <w:rFonts w:eastAsia="Arial Unicode MS" w:hAnsi="Arial Unicode MS" w:cs="Arial Unicode MS"/>
          <w:bCs/>
          <w:color w:val="000000"/>
          <w:szCs w:val="24"/>
          <w:u w:color="000000"/>
          <w:bdr w:val="nil"/>
        </w:rPr>
        <w:t xml:space="preserve"> to have a concrete effect on how rights are licensed by </w:t>
      </w:r>
      <w:r w:rsidR="00695C5E">
        <w:rPr>
          <w:rFonts w:eastAsia="Arial Unicode MS" w:hAnsi="Arial Unicode MS" w:cs="Arial Unicode MS"/>
          <w:bCs/>
          <w:color w:val="000000"/>
          <w:szCs w:val="24"/>
          <w:u w:color="000000"/>
          <w:bdr w:val="nil"/>
        </w:rPr>
        <w:t>r</w:t>
      </w:r>
      <w:r w:rsidR="00007677">
        <w:rPr>
          <w:rFonts w:eastAsia="Arial Unicode MS" w:hAnsi="Arial Unicode MS" w:cs="Arial Unicode MS"/>
          <w:bCs/>
          <w:color w:val="000000"/>
          <w:szCs w:val="24"/>
          <w:u w:color="000000"/>
          <w:bdr w:val="nil"/>
        </w:rPr>
        <w:t>ightholders</w:t>
      </w:r>
      <w:r w:rsidRPr="00807CA5">
        <w:rPr>
          <w:rFonts w:eastAsia="Arial Unicode MS" w:hAnsi="Arial Unicode MS" w:cs="Arial Unicode MS"/>
          <w:bCs/>
          <w:color w:val="000000"/>
          <w:szCs w:val="24"/>
          <w:u w:color="000000"/>
          <w:bdr w:val="nil"/>
        </w:rPr>
        <w:t xml:space="preserve"> who do not rely on a geographic distribution of their content, such as </w:t>
      </w:r>
      <w:r w:rsidRPr="00C32C45">
        <w:rPr>
          <w:rFonts w:eastAsia="Arial Unicode MS" w:hAnsi="Arial Unicode MS" w:cs="Arial Unicode MS"/>
          <w:bCs/>
          <w:color w:val="000000"/>
          <w:szCs w:val="24"/>
          <w:u w:color="000000"/>
          <w:bdr w:val="nil"/>
        </w:rPr>
        <w:t>music and visual arts</w:t>
      </w:r>
      <w:r w:rsidRPr="00870476">
        <w:rPr>
          <w:rFonts w:eastAsia="Arial Unicode MS" w:hAnsi="Arial Unicode MS" w:cs="Arial Unicode MS"/>
          <w:bCs/>
          <w:color w:val="000000"/>
          <w:szCs w:val="24"/>
          <w:u w:color="000000"/>
          <w:bdr w:val="nil"/>
        </w:rPr>
        <w:t>.</w:t>
      </w:r>
      <w:r w:rsidRPr="00807CA5">
        <w:rPr>
          <w:rFonts w:eastAsia="Arial Unicode MS" w:hAnsi="Arial Unicode MS" w:cs="Arial Unicode MS"/>
          <w:bCs/>
          <w:color w:val="000000"/>
          <w:szCs w:val="24"/>
          <w:u w:color="000000"/>
          <w:bdr w:val="nil"/>
        </w:rPr>
        <w:t xml:space="preserve"> This option may have a positive impact on their revenues thanks to a large</w:t>
      </w:r>
      <w:r w:rsidR="005E06F2">
        <w:rPr>
          <w:rFonts w:eastAsia="Arial Unicode MS" w:hAnsi="Arial Unicode MS" w:cs="Arial Unicode MS"/>
          <w:bCs/>
          <w:color w:val="000000"/>
          <w:szCs w:val="24"/>
          <w:u w:color="000000"/>
          <w:bdr w:val="nil"/>
        </w:rPr>
        <w:t>r audience facilitated by the Co</w:t>
      </w:r>
      <w:r w:rsidRPr="00807CA5">
        <w:rPr>
          <w:rFonts w:eastAsia="Arial Unicode MS" w:hAnsi="Arial Unicode MS" w:cs="Arial Unicode MS"/>
          <w:bCs/>
          <w:color w:val="000000"/>
          <w:szCs w:val="24"/>
          <w:u w:color="000000"/>
          <w:bdr w:val="nil"/>
        </w:rPr>
        <w:t xml:space="preserve">O rule. </w:t>
      </w:r>
      <w:r w:rsidR="00007677">
        <w:rPr>
          <w:rFonts w:eastAsia="Arial Unicode MS" w:hAnsi="Arial Unicode MS" w:cs="Arial Unicode MS"/>
          <w:bCs/>
          <w:color w:val="000000"/>
          <w:szCs w:val="24"/>
          <w:u w:color="000000"/>
          <w:bdr w:val="nil"/>
        </w:rPr>
        <w:t>Rightholders</w:t>
      </w:r>
      <w:r w:rsidRPr="00807CA5">
        <w:rPr>
          <w:rFonts w:eastAsia="Arial Unicode MS" w:hAnsi="Arial Unicode MS" w:cs="Arial Unicode MS"/>
          <w:bCs/>
          <w:color w:val="000000"/>
          <w:szCs w:val="24"/>
          <w:u w:color="000000"/>
          <w:bdr w:val="nil"/>
        </w:rPr>
        <w:t xml:space="preserve"> are likely to adapt the licensing mechanisms to ensure that the revenues match the exploitation of their content (if this leads to a measureable increase in audience/revenues of that broadcaster). However, where the tariffs are already calculated on the basis of usage</w:t>
      </w:r>
      <w:r>
        <w:rPr>
          <w:rFonts w:eastAsia="Arial Unicode MS" w:hAnsi="Arial Unicode MS" w:cs="Arial Unicode MS"/>
          <w:bCs/>
          <w:color w:val="000000"/>
          <w:szCs w:val="24"/>
          <w:u w:color="000000"/>
          <w:bdr w:val="nil"/>
        </w:rPr>
        <w:t xml:space="preserve"> or the volume of audience</w:t>
      </w:r>
      <w:r w:rsidRPr="00807CA5">
        <w:rPr>
          <w:rFonts w:eastAsia="Arial Unicode MS" w:hAnsi="Arial Unicode MS" w:cs="Arial Unicode MS"/>
          <w:bCs/>
          <w:color w:val="000000"/>
          <w:szCs w:val="24"/>
          <w:u w:color="000000"/>
          <w:bdr w:val="nil"/>
        </w:rPr>
        <w:t xml:space="preserve">, for example a percentage of broadcaster's revenues, no change to the contractual arrangements may be necessary. Moreover, in contrast with the "traditional" broadcasting, </w:t>
      </w:r>
      <w:r w:rsidRPr="00807CA5">
        <w:rPr>
          <w:rFonts w:eastAsia="Arial Unicode MS" w:hAnsi="Arial Unicode MS" w:cs="Arial Unicode MS"/>
          <w:color w:val="000000"/>
          <w:u w:color="000000"/>
          <w:bdr w:val="nil"/>
        </w:rPr>
        <w:t>online distribution can offer accurate measurement of actual usage</w:t>
      </w:r>
      <w:r w:rsidRPr="00807CA5">
        <w:rPr>
          <w:rFonts w:eastAsia="Arial Unicode MS" w:hAnsi="Arial Unicode MS" w:cs="Arial Unicode MS"/>
          <w:bCs/>
          <w:color w:val="000000"/>
          <w:szCs w:val="24"/>
          <w:u w:color="000000"/>
          <w:bdr w:val="nil"/>
        </w:rPr>
        <w:t xml:space="preserve">. </w:t>
      </w:r>
    </w:p>
    <w:p w:rsidR="00FC609C" w:rsidRDefault="00FC609C" w:rsidP="000930E2">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07CA5">
        <w:rPr>
          <w:rFonts w:ascii="Times New Roman" w:eastAsia="Arial Unicode MS" w:hAnsi="Arial Unicode MS" w:cs="Arial Unicode MS"/>
          <w:bCs/>
          <w:color w:val="000000"/>
          <w:sz w:val="24"/>
          <w:szCs w:val="24"/>
          <w:u w:color="000000"/>
          <w:bdr w:val="nil"/>
          <w:lang w:eastAsia="en-GB"/>
        </w:rPr>
        <w:t xml:space="preserve">As regards the rights managed by CMOs, there is a risk that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807CA5">
        <w:rPr>
          <w:rFonts w:ascii="Times New Roman" w:eastAsia="Arial Unicode MS" w:hAnsi="Arial Unicode MS" w:cs="Arial Unicode MS"/>
          <w:bCs/>
          <w:color w:val="000000"/>
          <w:sz w:val="24"/>
          <w:szCs w:val="24"/>
          <w:u w:color="000000"/>
          <w:bdr w:val="nil"/>
          <w:lang w:eastAsia="en-GB"/>
        </w:rPr>
        <w:t xml:space="preserve"> would like to exercise more control over the </w:t>
      </w:r>
      <w:r w:rsidR="005E06F2">
        <w:rPr>
          <w:rFonts w:ascii="Times New Roman" w:eastAsia="Arial Unicode MS" w:hAnsi="Arial Unicode MS" w:cs="Arial Unicode MS"/>
          <w:bCs/>
          <w:color w:val="000000"/>
          <w:sz w:val="24"/>
          <w:szCs w:val="24"/>
          <w:u w:color="000000"/>
          <w:bdr w:val="nil"/>
          <w:lang w:eastAsia="en-GB"/>
        </w:rPr>
        <w:t>licensing of rights under the Co</w:t>
      </w:r>
      <w:r w:rsidRPr="00807CA5">
        <w:rPr>
          <w:rFonts w:ascii="Times New Roman" w:eastAsia="Arial Unicode MS" w:hAnsi="Arial Unicode MS" w:cs="Arial Unicode MS"/>
          <w:bCs/>
          <w:color w:val="000000"/>
          <w:sz w:val="24"/>
          <w:szCs w:val="24"/>
          <w:u w:color="000000"/>
          <w:bdr w:val="nil"/>
          <w:lang w:eastAsia="en-GB"/>
        </w:rPr>
        <w:t xml:space="preserve">O rule and would decide to withdraw rights </w:t>
      </w:r>
      <w:r w:rsidRPr="000930E2">
        <w:rPr>
          <w:rFonts w:ascii="Times New Roman" w:eastAsia="Arial Unicode MS" w:hAnsi="Arial Unicode MS" w:cs="Arial Unicode MS"/>
          <w:color w:val="000000"/>
          <w:sz w:val="24"/>
          <w:szCs w:val="24"/>
          <w:u w:color="000000"/>
          <w:bdr w:val="nil"/>
          <w:lang w:eastAsia="en-GB"/>
        </w:rPr>
        <w:t>from</w:t>
      </w:r>
      <w:r w:rsidRPr="00807CA5">
        <w:rPr>
          <w:rFonts w:ascii="Times New Roman" w:eastAsia="Arial Unicode MS" w:hAnsi="Arial Unicode MS" w:cs="Arial Unicode MS"/>
          <w:bCs/>
          <w:color w:val="000000"/>
          <w:sz w:val="24"/>
          <w:szCs w:val="24"/>
          <w:u w:color="000000"/>
          <w:bdr w:val="nil"/>
          <w:lang w:eastAsia="en-GB"/>
        </w:rPr>
        <w:t xml:space="preserve"> CMOs. This could cause disaggregation of repertoires currently managed by CMOs.</w:t>
      </w:r>
      <w:r>
        <w:rPr>
          <w:rFonts w:ascii="Times New Roman" w:eastAsia="Arial Unicode MS" w:hAnsi="Arial Unicode MS" w:cs="Arial Unicode MS"/>
          <w:bCs/>
          <w:color w:val="000000"/>
          <w:sz w:val="24"/>
          <w:szCs w:val="24"/>
          <w:u w:color="000000"/>
          <w:bdr w:val="nil"/>
          <w:lang w:eastAsia="en-GB"/>
        </w:rPr>
        <w:t xml:space="preserve"> </w:t>
      </w:r>
      <w:r w:rsidRPr="00123CFF">
        <w:rPr>
          <w:rFonts w:ascii="Times New Roman" w:eastAsia="Arial Unicode MS" w:hAnsi="Arial Unicode MS" w:cs="Arial Unicode MS"/>
          <w:bCs/>
          <w:color w:val="000000"/>
          <w:sz w:val="24"/>
          <w:szCs w:val="24"/>
          <w:u w:color="000000"/>
          <w:bdr w:val="nil"/>
          <w:lang w:eastAsia="en-GB"/>
        </w:rPr>
        <w:t xml:space="preserve">However, this risk is limited under Option 2, as the online services covered only concern ancillary services to the initial broadcast. Furthermore, </w:t>
      </w:r>
      <w:r>
        <w:rPr>
          <w:rFonts w:ascii="Times New Roman" w:eastAsia="Arial Unicode MS" w:hAnsi="Arial Unicode MS" w:cs="Arial Unicode MS"/>
          <w:bCs/>
          <w:color w:val="000000"/>
          <w:sz w:val="24"/>
          <w:szCs w:val="24"/>
          <w:u w:color="000000"/>
          <w:bdr w:val="nil"/>
          <w:lang w:eastAsia="en-GB"/>
        </w:rPr>
        <w:t>t</w:t>
      </w:r>
      <w:r w:rsidRPr="00807CA5">
        <w:rPr>
          <w:rFonts w:ascii="Times New Roman" w:eastAsia="Arial Unicode MS" w:hAnsi="Times New Roman" w:cs="Times New Roman"/>
          <w:bCs/>
          <w:color w:val="000000"/>
          <w:sz w:val="24"/>
          <w:szCs w:val="24"/>
          <w:u w:color="000000"/>
          <w:bdr w:val="nil"/>
          <w:lang w:eastAsia="en-GB"/>
        </w:rPr>
        <w:t xml:space="preserve">he feedback </w:t>
      </w:r>
      <w:r>
        <w:rPr>
          <w:rFonts w:ascii="Times New Roman" w:eastAsia="Arial Unicode MS" w:hAnsi="Times New Roman" w:cs="Times New Roman"/>
          <w:bCs/>
          <w:color w:val="000000"/>
          <w:sz w:val="24"/>
          <w:szCs w:val="24"/>
          <w:u w:color="000000"/>
          <w:bdr w:val="nil"/>
          <w:lang w:eastAsia="en-GB"/>
        </w:rPr>
        <w:t>received</w:t>
      </w:r>
      <w:r w:rsidRPr="00807CA5">
        <w:rPr>
          <w:rFonts w:ascii="Times New Roman" w:eastAsia="Arial Unicode MS" w:hAnsi="Times New Roman" w:cs="Times New Roman"/>
          <w:bCs/>
          <w:color w:val="000000"/>
          <w:sz w:val="24"/>
          <w:szCs w:val="24"/>
          <w:u w:color="000000"/>
          <w:bdr w:val="nil"/>
          <w:lang w:eastAsia="en-GB"/>
        </w:rPr>
        <w:t xml:space="preserve"> during the public consultation</w:t>
      </w:r>
      <w:r w:rsidRPr="00807CA5">
        <w:rPr>
          <w:rFonts w:ascii="Times New Roman" w:eastAsia="Arial Unicode MS" w:hAnsi="Arial Unicode MS" w:cs="Arial Unicode MS"/>
          <w:bCs/>
          <w:color w:val="000000"/>
          <w:sz w:val="24"/>
          <w:szCs w:val="24"/>
          <w:u w:color="000000"/>
          <w:bdr w:val="nil"/>
          <w:lang w:eastAsia="en-GB"/>
        </w:rPr>
        <w:t xml:space="preserve"> </w:t>
      </w:r>
      <w:r w:rsidRPr="006955B8">
        <w:rPr>
          <w:rFonts w:ascii="Times New Roman" w:eastAsia="Arial Unicode MS" w:hAnsi="Arial Unicode MS" w:cs="Arial Unicode MS"/>
          <w:bCs/>
          <w:color w:val="000000"/>
          <w:sz w:val="24"/>
          <w:szCs w:val="24"/>
          <w:u w:color="000000"/>
          <w:bdr w:val="nil"/>
          <w:lang w:eastAsia="en-GB"/>
        </w:rPr>
        <w:t>ha</w:t>
      </w:r>
      <w:r w:rsidRPr="00E43CEF">
        <w:rPr>
          <w:rFonts w:ascii="Times New Roman" w:eastAsia="Arial Unicode MS" w:hAnsi="Arial Unicode MS" w:cs="Arial Unicode MS"/>
          <w:bCs/>
          <w:color w:val="000000"/>
          <w:sz w:val="24"/>
          <w:szCs w:val="24"/>
          <w:u w:color="000000"/>
          <w:bdr w:val="nil"/>
          <w:lang w:eastAsia="en-GB"/>
        </w:rPr>
        <w:t xml:space="preserve">ve not identified any </w:t>
      </w:r>
      <w:r>
        <w:rPr>
          <w:rFonts w:ascii="Times New Roman" w:eastAsia="Arial Unicode MS" w:hAnsi="Arial Unicode MS" w:cs="Arial Unicode MS"/>
          <w:bCs/>
          <w:color w:val="000000"/>
          <w:sz w:val="24"/>
          <w:szCs w:val="24"/>
          <w:u w:color="000000"/>
          <w:bdr w:val="nil"/>
          <w:lang w:eastAsia="en-GB"/>
        </w:rPr>
        <w:t xml:space="preserve">concrete </w:t>
      </w:r>
      <w:r w:rsidRPr="00E43CEF">
        <w:rPr>
          <w:rFonts w:ascii="Times New Roman" w:eastAsia="Arial Unicode MS" w:hAnsi="Arial Unicode MS" w:cs="Arial Unicode MS"/>
          <w:bCs/>
          <w:color w:val="000000"/>
          <w:sz w:val="24"/>
          <w:szCs w:val="24"/>
          <w:u w:color="000000"/>
          <w:bdr w:val="nil"/>
          <w:lang w:eastAsia="en-GB"/>
        </w:rPr>
        <w:t>substanti</w:t>
      </w:r>
      <w:r>
        <w:rPr>
          <w:rFonts w:ascii="Times New Roman" w:eastAsia="Arial Unicode MS" w:hAnsi="Arial Unicode MS" w:cs="Arial Unicode MS"/>
          <w:bCs/>
          <w:color w:val="000000"/>
          <w:sz w:val="24"/>
          <w:szCs w:val="24"/>
          <w:u w:color="000000"/>
          <w:bdr w:val="nil"/>
          <w:lang w:eastAsia="en-GB"/>
        </w:rPr>
        <w:t xml:space="preserve">al </w:t>
      </w:r>
      <w:r w:rsidRPr="00807CA5">
        <w:rPr>
          <w:rFonts w:ascii="Times New Roman" w:eastAsia="Arial Unicode MS" w:hAnsi="Arial Unicode MS" w:cs="Arial Unicode MS"/>
          <w:bCs/>
          <w:color w:val="000000"/>
          <w:sz w:val="24"/>
          <w:szCs w:val="24"/>
          <w:u w:color="000000"/>
          <w:bdr w:val="nil"/>
          <w:lang w:eastAsia="en-GB"/>
        </w:rPr>
        <w:t>risk that broadcasters would relocate their place of establishment due to the reasons linked to licensing</w:t>
      </w:r>
      <w:r>
        <w:rPr>
          <w:rFonts w:ascii="Times New Roman" w:eastAsia="Arial Unicode MS" w:hAnsi="Arial Unicode MS" w:cs="Arial Unicode MS"/>
          <w:bCs/>
          <w:color w:val="000000"/>
          <w:sz w:val="24"/>
          <w:szCs w:val="24"/>
          <w:u w:color="000000"/>
          <w:bdr w:val="nil"/>
          <w:lang w:eastAsia="en-GB"/>
        </w:rPr>
        <w:t xml:space="preserve"> of</w:t>
      </w:r>
      <w:r w:rsidRPr="00807CA5">
        <w:rPr>
          <w:rFonts w:ascii="Times New Roman" w:eastAsia="Arial Unicode MS" w:hAnsi="Arial Unicode MS" w:cs="Arial Unicode MS"/>
          <w:bCs/>
          <w:color w:val="000000"/>
          <w:sz w:val="24"/>
          <w:szCs w:val="24"/>
          <w:u w:color="000000"/>
          <w:bdr w:val="nil"/>
          <w:lang w:eastAsia="en-GB"/>
        </w:rPr>
        <w:t xml:space="preserve"> copyright and related rights.</w:t>
      </w:r>
      <w:r>
        <w:rPr>
          <w:rFonts w:ascii="Times New Roman" w:eastAsia="Arial Unicode MS" w:hAnsi="Arial Unicode MS" w:cs="Arial Unicode MS"/>
          <w:bCs/>
          <w:color w:val="000000"/>
          <w:sz w:val="24"/>
          <w:szCs w:val="24"/>
          <w:u w:color="000000"/>
          <w:bdr w:val="nil"/>
          <w:lang w:eastAsia="en-GB"/>
        </w:rPr>
        <w:t xml:space="preserve"> This is mainly due to the fact that broadcasters are generally established in the country where their main audience is located and rely on infrastructures which cannot be easily relocated. </w:t>
      </w:r>
      <w:r w:rsidRPr="00807CA5">
        <w:rPr>
          <w:rFonts w:ascii="Times New Roman" w:eastAsia="Arial Unicode MS" w:hAnsi="Arial Unicode MS" w:cs="Arial Unicode MS"/>
          <w:bCs/>
          <w:color w:val="000000"/>
          <w:sz w:val="24"/>
          <w:szCs w:val="24"/>
          <w:u w:color="000000"/>
          <w:bdr w:val="nil"/>
          <w:lang w:eastAsia="en-GB"/>
        </w:rPr>
        <w:t xml:space="preserve">Therefore, this </w:t>
      </w:r>
      <w:r w:rsidR="00996BBA">
        <w:rPr>
          <w:rFonts w:ascii="Times New Roman" w:eastAsia="Arial Unicode MS" w:hAnsi="Arial Unicode MS" w:cs="Arial Unicode MS"/>
          <w:bCs/>
          <w:color w:val="000000"/>
          <w:sz w:val="24"/>
          <w:szCs w:val="24"/>
          <w:u w:color="000000"/>
          <w:bdr w:val="nil"/>
          <w:lang w:eastAsia="en-GB"/>
        </w:rPr>
        <w:t>o</w:t>
      </w:r>
      <w:r w:rsidRPr="00807CA5">
        <w:rPr>
          <w:rFonts w:ascii="Times New Roman" w:eastAsia="Arial Unicode MS" w:hAnsi="Arial Unicode MS" w:cs="Arial Unicode MS"/>
          <w:bCs/>
          <w:color w:val="000000"/>
          <w:sz w:val="24"/>
          <w:szCs w:val="24"/>
          <w:u w:color="000000"/>
          <w:bdr w:val="nil"/>
          <w:lang w:eastAsia="en-GB"/>
        </w:rPr>
        <w:t xml:space="preserve">ption would not create any substantial risks that the revenues of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807CA5">
        <w:rPr>
          <w:rFonts w:ascii="Times New Roman" w:eastAsia="Arial Unicode MS" w:hAnsi="Arial Unicode MS" w:cs="Arial Unicode MS"/>
          <w:bCs/>
          <w:color w:val="000000"/>
          <w:sz w:val="24"/>
          <w:szCs w:val="24"/>
          <w:u w:color="000000"/>
          <w:bdr w:val="nil"/>
          <w:lang w:eastAsia="en-GB"/>
        </w:rPr>
        <w:t xml:space="preserve"> would suffer due to "establishment shopping" by broadcasters. </w:t>
      </w:r>
    </w:p>
    <w:p w:rsidR="00FC609C" w:rsidRPr="00807CA5" w:rsidRDefault="00FC609C" w:rsidP="000930E2">
      <w:pPr>
        <w:pStyle w:val="Text1"/>
        <w:ind w:left="0"/>
        <w:rPr>
          <w:rFonts w:eastAsia="Arial Unicode MS" w:hAnsi="Arial Unicode MS" w:cs="Arial Unicode MS"/>
          <w:color w:val="000000"/>
          <w:szCs w:val="24"/>
          <w:u w:color="000000"/>
          <w:bdr w:val="nil"/>
        </w:rPr>
      </w:pPr>
      <w:r w:rsidRPr="000930E2">
        <w:rPr>
          <w:rFonts w:eastAsia="Arial Unicode MS" w:hAnsi="Arial Unicode MS" w:cs="Arial Unicode MS"/>
          <w:b/>
          <w:bCs/>
          <w:color w:val="000000"/>
          <w:szCs w:val="24"/>
          <w:bdr w:val="nil"/>
        </w:rPr>
        <w:t>Consumers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access to online transmission services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w:t>
      </w:r>
      <w:r>
        <w:rPr>
          <w:rFonts w:ascii="Times New Roman" w:eastAsia="Arial Unicode MS" w:hAnsi="Arial Unicode MS" w:cs="Arial Unicode MS"/>
          <w:bCs/>
          <w:color w:val="000000"/>
          <w:sz w:val="24"/>
          <w:szCs w:val="24"/>
          <w:u w:color="000000"/>
          <w:bdr w:val="nil"/>
          <w:lang w:eastAsia="en-GB"/>
        </w:rPr>
        <w:t xml:space="preserve">Option 2 </w:t>
      </w:r>
      <w:r w:rsidR="002E45F1">
        <w:rPr>
          <w:rFonts w:ascii="Times New Roman" w:eastAsia="Arial Unicode MS" w:hAnsi="Arial Unicode MS" w:cs="Arial Unicode MS"/>
          <w:bCs/>
          <w:color w:val="000000"/>
          <w:sz w:val="24"/>
          <w:szCs w:val="24"/>
          <w:u w:color="000000"/>
          <w:bdr w:val="nil"/>
          <w:lang w:eastAsia="en-GB"/>
        </w:rPr>
        <w:t xml:space="preserve">is expected to result in </w:t>
      </w:r>
      <w:r>
        <w:rPr>
          <w:rFonts w:ascii="Times New Roman" w:eastAsia="Arial Unicode MS" w:hAnsi="Arial Unicode MS" w:cs="Arial Unicode MS"/>
          <w:bCs/>
          <w:color w:val="000000"/>
          <w:sz w:val="24"/>
          <w:szCs w:val="24"/>
          <w:u w:color="000000"/>
          <w:bdr w:val="nil"/>
          <w:lang w:eastAsia="en-GB"/>
        </w:rPr>
        <w:t xml:space="preserve">  c</w:t>
      </w:r>
      <w:r w:rsidRPr="00807CA5">
        <w:rPr>
          <w:rFonts w:ascii="Times New Roman" w:eastAsia="Arial Unicode MS" w:hAnsi="Arial Unicode MS" w:cs="Arial Unicode MS"/>
          <w:bCs/>
          <w:color w:val="000000"/>
          <w:sz w:val="24"/>
          <w:szCs w:val="24"/>
          <w:u w:color="000000"/>
          <w:bdr w:val="nil"/>
          <w:lang w:eastAsia="en-GB"/>
        </w:rPr>
        <w:t>onsumers</w:t>
      </w:r>
      <w:r w:rsidR="002E45F1">
        <w:rPr>
          <w:rFonts w:ascii="Times New Roman" w:eastAsia="Arial Unicode MS" w:hAnsi="Arial Unicode MS" w:cs="Arial Unicode MS"/>
          <w:bCs/>
          <w:color w:val="000000"/>
          <w:sz w:val="24"/>
          <w:szCs w:val="24"/>
          <w:u w:color="000000"/>
          <w:bdr w:val="nil"/>
          <w:lang w:eastAsia="en-GB"/>
        </w:rPr>
        <w:t xml:space="preserve"> </w:t>
      </w:r>
      <w:r w:rsidR="002E45F1" w:rsidRPr="00807CA5">
        <w:rPr>
          <w:rFonts w:ascii="Times New Roman" w:eastAsia="Arial Unicode MS" w:hAnsi="Arial Unicode MS" w:cs="Arial Unicode MS"/>
          <w:bCs/>
          <w:color w:val="000000"/>
          <w:sz w:val="24"/>
          <w:szCs w:val="24"/>
          <w:u w:color="000000"/>
          <w:bdr w:val="nil"/>
          <w:lang w:eastAsia="en-GB"/>
        </w:rPr>
        <w:t>hav</w:t>
      </w:r>
      <w:r w:rsidR="002E45F1">
        <w:rPr>
          <w:rFonts w:ascii="Times New Roman" w:eastAsia="Arial Unicode MS" w:hAnsi="Arial Unicode MS" w:cs="Arial Unicode MS"/>
          <w:bCs/>
          <w:color w:val="000000"/>
          <w:sz w:val="24"/>
          <w:szCs w:val="24"/>
          <w:u w:color="000000"/>
          <w:bdr w:val="nil"/>
          <w:lang w:eastAsia="en-GB"/>
        </w:rPr>
        <w:t>ing</w:t>
      </w:r>
      <w:r w:rsidR="002E45F1" w:rsidRPr="00807CA5">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 xml:space="preserve">access to more broadcasters' programmes across borders, especially to content which is distributed without territorial exclusivity. </w:t>
      </w:r>
      <w:r w:rsidR="002E45F1">
        <w:rPr>
          <w:rFonts w:ascii="Times New Roman" w:eastAsia="Arial Unicode MS" w:hAnsi="Arial Unicode MS" w:cs="Arial Unicode MS"/>
          <w:bCs/>
          <w:color w:val="000000"/>
          <w:sz w:val="24"/>
          <w:szCs w:val="24"/>
          <w:u w:color="000000"/>
          <w:bdr w:val="nil"/>
          <w:lang w:eastAsia="en-GB"/>
        </w:rPr>
        <w:t>However, a</w:t>
      </w:r>
      <w:r w:rsidR="002E45F1">
        <w:rPr>
          <w:rFonts w:ascii="Times New Roman" w:eastAsia="Times New Roman" w:hAnsi="Times New Roman" w:cs="Times New Roman"/>
          <w:color w:val="000000"/>
          <w:sz w:val="24"/>
          <w:szCs w:val="24"/>
          <w:u w:color="000000"/>
          <w:bdr w:val="nil"/>
          <w:lang w:eastAsia="en-GB"/>
        </w:rPr>
        <w:t xml:space="preserve">s this option would not oblige broadcasters to transmit TV and radio programmes across borders, </w:t>
      </w:r>
      <w:r w:rsidR="00C37912">
        <w:rPr>
          <w:rFonts w:ascii="Times New Roman" w:eastAsia="Times New Roman" w:hAnsi="Times New Roman" w:cs="Times New Roman"/>
          <w:color w:val="000000"/>
          <w:sz w:val="24"/>
          <w:szCs w:val="24"/>
          <w:u w:color="000000"/>
          <w:bdr w:val="nil"/>
          <w:lang w:eastAsia="en-GB"/>
        </w:rPr>
        <w:t xml:space="preserve">the </w:t>
      </w:r>
      <w:r w:rsidR="002E45F1">
        <w:rPr>
          <w:rFonts w:ascii="Times New Roman" w:eastAsia="Times New Roman" w:hAnsi="Times New Roman" w:cs="Times New Roman"/>
          <w:color w:val="000000"/>
          <w:sz w:val="24"/>
          <w:szCs w:val="24"/>
          <w:u w:color="000000"/>
          <w:bdr w:val="nil"/>
          <w:lang w:eastAsia="en-GB"/>
        </w:rPr>
        <w:t xml:space="preserve">availability of their programmes to consumers would depend on a number of factors including agreements between broadcasters and </w:t>
      </w:r>
      <w:r w:rsidR="00695C5E">
        <w:rPr>
          <w:rFonts w:ascii="Times New Roman" w:eastAsia="Times New Roman" w:hAnsi="Times New Roman" w:cs="Times New Roman"/>
          <w:color w:val="000000"/>
          <w:sz w:val="24"/>
          <w:szCs w:val="24"/>
          <w:u w:color="000000"/>
          <w:bdr w:val="nil"/>
          <w:lang w:eastAsia="en-GB"/>
        </w:rPr>
        <w:t>r</w:t>
      </w:r>
      <w:r w:rsidR="00007677">
        <w:rPr>
          <w:rFonts w:ascii="Times New Roman" w:eastAsia="Times New Roman" w:hAnsi="Times New Roman" w:cs="Times New Roman"/>
          <w:color w:val="000000"/>
          <w:sz w:val="24"/>
          <w:szCs w:val="24"/>
          <w:u w:color="000000"/>
          <w:bdr w:val="nil"/>
          <w:lang w:eastAsia="en-GB"/>
        </w:rPr>
        <w:t>ightholders</w:t>
      </w:r>
      <w:r w:rsidR="002E45F1">
        <w:rPr>
          <w:rFonts w:ascii="Times New Roman" w:eastAsia="Times New Roman" w:hAnsi="Times New Roman" w:cs="Times New Roman"/>
          <w:color w:val="000000"/>
          <w:sz w:val="24"/>
          <w:szCs w:val="24"/>
          <w:u w:color="000000"/>
          <w:bdr w:val="nil"/>
          <w:lang w:eastAsia="en-GB"/>
        </w:rPr>
        <w:t xml:space="preserve"> (subject to applicable laws)</w:t>
      </w:r>
      <w:r w:rsidR="00C37912">
        <w:rPr>
          <w:rFonts w:ascii="Times New Roman" w:eastAsia="Times New Roman" w:hAnsi="Times New Roman" w:cs="Times New Roman"/>
          <w:color w:val="000000"/>
          <w:sz w:val="24"/>
          <w:szCs w:val="24"/>
          <w:u w:color="000000"/>
          <w:bdr w:val="nil"/>
          <w:lang w:eastAsia="en-GB"/>
        </w:rPr>
        <w:t xml:space="preserve"> and</w:t>
      </w:r>
      <w:r w:rsidR="007E0E82">
        <w:rPr>
          <w:rFonts w:ascii="Times New Roman" w:eastAsia="Times New Roman" w:hAnsi="Times New Roman" w:cs="Times New Roman"/>
          <w:color w:val="000000"/>
          <w:sz w:val="24"/>
          <w:szCs w:val="24"/>
          <w:u w:color="000000"/>
          <w:bdr w:val="nil"/>
          <w:lang w:eastAsia="en-GB"/>
        </w:rPr>
        <w:t xml:space="preserve"> broadcasters' commercial decisions</w:t>
      </w:r>
      <w:r w:rsidR="002E45F1">
        <w:rPr>
          <w:rFonts w:ascii="Times New Roman" w:eastAsia="Times New Roman" w:hAnsi="Times New Roman" w:cs="Times New Roman"/>
          <w:color w:val="000000"/>
          <w:sz w:val="24"/>
          <w:szCs w:val="24"/>
          <w:u w:color="000000"/>
          <w:bdr w:val="nil"/>
          <w:lang w:eastAsia="en-GB"/>
        </w:rPr>
        <w:t>.</w:t>
      </w:r>
      <w:r w:rsidR="007E0E82" w:rsidRPr="00D1507D">
        <w:rPr>
          <w:rFonts w:ascii="Times New Roman" w:hAnsi="Times New Roman"/>
          <w:color w:val="000000"/>
          <w:sz w:val="24"/>
          <w:u w:color="000000"/>
          <w:bdr w:val="nil"/>
        </w:rPr>
        <w:t xml:space="preserve"> </w:t>
      </w:r>
      <w:r w:rsidRPr="00807CA5">
        <w:rPr>
          <w:rFonts w:ascii="Times New Roman" w:eastAsia="Arial Unicode MS" w:hAnsi="Arial Unicode MS" w:cs="Arial Unicode MS"/>
          <w:bCs/>
          <w:color w:val="000000"/>
          <w:sz w:val="24"/>
          <w:szCs w:val="24"/>
          <w:u w:color="000000"/>
          <w:bdr w:val="nil"/>
          <w:lang w:eastAsia="en-GB"/>
        </w:rPr>
        <w:t xml:space="preserve">As concerns premium </w:t>
      </w:r>
      <w:r w:rsidRPr="00C32C45">
        <w:rPr>
          <w:rFonts w:ascii="Times New Roman" w:eastAsia="Arial Unicode MS" w:hAnsi="Arial Unicode MS" w:cs="Arial Unicode MS"/>
          <w:bCs/>
          <w:color w:val="000000"/>
          <w:sz w:val="24"/>
          <w:szCs w:val="24"/>
          <w:u w:color="000000"/>
          <w:bdr w:val="nil"/>
          <w:lang w:eastAsia="en-GB"/>
        </w:rPr>
        <w:t>AV</w:t>
      </w:r>
      <w:r w:rsidRPr="00807CA5">
        <w:rPr>
          <w:rFonts w:ascii="Times New Roman" w:eastAsia="Arial Unicode MS" w:hAnsi="Arial Unicode MS" w:cs="Arial Unicode MS"/>
          <w:bCs/>
          <w:color w:val="000000"/>
          <w:sz w:val="24"/>
          <w:szCs w:val="24"/>
          <w:u w:color="000000"/>
          <w:bdr w:val="nil"/>
          <w:lang w:eastAsia="en-GB"/>
        </w:rPr>
        <w:t xml:space="preserve"> content, restrictions to cross-border access may continue to apply, as explained above. </w:t>
      </w:r>
    </w:p>
    <w:p w:rsidR="00FC609C" w:rsidRPr="00870476"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15305B">
        <w:rPr>
          <w:rFonts w:ascii="Times New Roman" w:eastAsia="Arial Unicode MS" w:hAnsi="Times New Roman" w:cs="Arial Unicode MS"/>
          <w:color w:val="000000"/>
          <w:sz w:val="24"/>
          <w:szCs w:val="24"/>
          <w:u w:val="single" w:color="000000"/>
          <w:bdr w:val="nil"/>
          <w:lang w:eastAsia="en-GB"/>
        </w:rPr>
        <w:t>Impacts on consumer prices</w:t>
      </w:r>
      <w:r>
        <w:rPr>
          <w:rFonts w:ascii="Times New Roman" w:eastAsia="Arial Unicode MS" w:hAnsi="Arial Unicode MS" w:cs="Arial Unicode MS"/>
          <w:bCs/>
          <w:color w:val="000000"/>
          <w:sz w:val="24"/>
          <w:szCs w:val="24"/>
          <w:u w:color="000000"/>
          <w:bdr w:val="nil"/>
          <w:lang w:eastAsia="en-GB"/>
        </w:rPr>
        <w:t xml:space="preserve">: The impact on prices would depend on </w:t>
      </w:r>
      <w:r>
        <w:rPr>
          <w:rFonts w:ascii="Times New Roman" w:eastAsia="Arial Unicode MS" w:hAnsi="Arial Unicode MS" w:cs="Arial Unicode MS"/>
          <w:color w:val="000000"/>
          <w:sz w:val="24"/>
          <w:szCs w:val="24"/>
          <w:u w:color="000000"/>
          <w:bdr w:val="nil"/>
          <w:lang w:eastAsia="en-GB"/>
        </w:rPr>
        <w:t xml:space="preserve">broadcasters' business models and on their decision to make their online transmissions accessible on a cross-border basis for free (or on ad-financed basis) or for payment. The increased cross-border availability of broadcasters' online services could have an impact on consumers' decisions related to their consumption of TV programmes, e.g. on whether to take a package service (retransmission services) or not. As consumers would have more choice in terms of available programmes across borders, they may better structure their consumption depending on their needs.  </w:t>
      </w:r>
    </w:p>
    <w:p w:rsidR="00FC609C" w:rsidRDefault="00FC609C" w:rsidP="000930E2">
      <w:pPr>
        <w:pStyle w:val="Text1"/>
        <w:ind w:left="0"/>
        <w:rPr>
          <w:rFonts w:ascii="Times New Roman Bold" w:eastAsia="Arial Unicode MS" w:hAnsi="Times New Roman Bold" w:hint="eastAsia"/>
          <w:b/>
          <w:smallCaps/>
          <w:szCs w:val="24"/>
          <w:bdr w:val="nil"/>
        </w:rPr>
      </w:pPr>
      <w:r w:rsidRPr="008E65EE">
        <w:rPr>
          <w:rFonts w:ascii="Times New Roman Bold" w:eastAsia="Arial Unicode MS" w:hAnsi="Times New Roman Bold"/>
          <w:b/>
          <w:smallCaps/>
          <w:szCs w:val="24"/>
          <w:bdr w:val="nil"/>
        </w:rPr>
        <w:t>Social impacts</w:t>
      </w:r>
    </w:p>
    <w:p w:rsidR="00FC609C" w:rsidRDefault="00FC609C" w:rsidP="000930E2">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Pr>
          <w:rFonts w:ascii="Times New Roman" w:eastAsia="Arial Unicode MS" w:hAnsi="Arial Unicode MS" w:cs="Arial Unicode MS"/>
          <w:color w:val="000000"/>
          <w:sz w:val="24"/>
          <w:szCs w:val="24"/>
          <w:u w:color="000000"/>
          <w:bdr w:val="nil"/>
          <w:lang w:eastAsia="en-GB"/>
        </w:rPr>
        <w:t>B</w:t>
      </w:r>
      <w:r w:rsidRPr="00807CA5">
        <w:rPr>
          <w:rFonts w:ascii="Times New Roman" w:eastAsia="Arial Unicode MS" w:hAnsi="Arial Unicode MS" w:cs="Arial Unicode MS"/>
          <w:color w:val="000000"/>
          <w:sz w:val="24"/>
          <w:szCs w:val="24"/>
          <w:u w:color="000000"/>
          <w:bdr w:val="nil"/>
          <w:lang w:eastAsia="en-GB"/>
        </w:rPr>
        <w:t xml:space="preserve">enefits may be expected in terms of enhanced access to </w:t>
      </w:r>
      <w:r>
        <w:rPr>
          <w:rFonts w:ascii="Times New Roman" w:eastAsia="Arial Unicode MS" w:hAnsi="Arial Unicode MS" w:cs="Arial Unicode MS"/>
          <w:color w:val="000000"/>
          <w:sz w:val="24"/>
          <w:szCs w:val="24"/>
          <w:u w:color="000000"/>
          <w:bdr w:val="nil"/>
          <w:lang w:eastAsia="en-GB"/>
        </w:rPr>
        <w:t xml:space="preserve">information and </w:t>
      </w:r>
      <w:r w:rsidRPr="00807CA5">
        <w:rPr>
          <w:rFonts w:ascii="Times New Roman" w:eastAsia="Arial Unicode MS" w:hAnsi="Arial Unicode MS" w:cs="Arial Unicode MS"/>
          <w:color w:val="000000"/>
          <w:sz w:val="24"/>
          <w:szCs w:val="24"/>
          <w:u w:color="000000"/>
          <w:bdr w:val="nil"/>
          <w:lang w:eastAsia="en-GB"/>
        </w:rPr>
        <w:t xml:space="preserve">cultural content, </w:t>
      </w:r>
      <w:r>
        <w:rPr>
          <w:rFonts w:ascii="Times New Roman" w:eastAsia="Arial Unicode MS" w:hAnsi="Arial Unicode MS" w:cs="Arial Unicode MS"/>
          <w:color w:val="000000"/>
          <w:sz w:val="24"/>
          <w:szCs w:val="24"/>
          <w:u w:color="000000"/>
          <w:bdr w:val="nil"/>
          <w:lang w:eastAsia="en-GB"/>
        </w:rPr>
        <w:t>in particular</w:t>
      </w:r>
      <w:r w:rsidRPr="00807CA5">
        <w:rPr>
          <w:rFonts w:ascii="Times New Roman" w:eastAsia="Arial Unicode MS" w:hAnsi="Arial Unicode MS" w:cs="Arial Unicode MS"/>
          <w:color w:val="000000"/>
          <w:sz w:val="24"/>
          <w:szCs w:val="24"/>
          <w:u w:color="000000"/>
          <w:bdr w:val="nil"/>
          <w:lang w:eastAsia="en-GB"/>
        </w:rPr>
        <w:t xml:space="preserve"> news, current events and cultural programmes.</w:t>
      </w:r>
      <w:r>
        <w:rPr>
          <w:rFonts w:ascii="Times New Roman" w:eastAsia="Arial Unicode MS" w:hAnsi="Arial Unicode MS" w:cs="Arial Unicode MS"/>
          <w:color w:val="000000"/>
          <w:sz w:val="24"/>
          <w:szCs w:val="24"/>
          <w:u w:color="000000"/>
          <w:bdr w:val="nil"/>
          <w:lang w:eastAsia="en-GB"/>
        </w:rPr>
        <w:t xml:space="preserve"> As a result, </w:t>
      </w:r>
      <w:r>
        <w:rPr>
          <w:rFonts w:ascii="Times New Roman" w:eastAsia="Arial Unicode MS" w:hAnsi="Arial Unicode MS" w:cs="Arial Unicode MS"/>
          <w:bCs/>
          <w:color w:val="000000"/>
          <w:sz w:val="24"/>
          <w:szCs w:val="24"/>
          <w:u w:color="000000"/>
          <w:bdr w:val="nil"/>
          <w:lang w:eastAsia="en-GB"/>
        </w:rPr>
        <w:t>c</w:t>
      </w:r>
      <w:r w:rsidRPr="00807CA5">
        <w:rPr>
          <w:rFonts w:ascii="Times New Roman" w:eastAsia="Arial Unicode MS" w:hAnsi="Arial Unicode MS" w:cs="Arial Unicode MS"/>
          <w:bCs/>
          <w:color w:val="000000"/>
          <w:sz w:val="24"/>
          <w:szCs w:val="24"/>
          <w:u w:color="000000"/>
          <w:bdr w:val="nil"/>
          <w:lang w:eastAsia="en-GB"/>
        </w:rPr>
        <w:t>onsumers w</w:t>
      </w:r>
      <w:r>
        <w:rPr>
          <w:rFonts w:ascii="Times New Roman" w:eastAsia="Arial Unicode MS" w:hAnsi="Arial Unicode MS" w:cs="Arial Unicode MS"/>
          <w:bCs/>
          <w:color w:val="000000"/>
          <w:sz w:val="24"/>
          <w:szCs w:val="24"/>
          <w:u w:color="000000"/>
          <w:bdr w:val="nil"/>
          <w:lang w:eastAsia="en-GB"/>
        </w:rPr>
        <w:t>ould</w:t>
      </w:r>
      <w:r w:rsidRPr="00807CA5">
        <w:rPr>
          <w:rFonts w:ascii="Times New Roman" w:eastAsia="Arial Unicode MS" w:hAnsi="Arial Unicode MS" w:cs="Arial Unicode MS"/>
          <w:bCs/>
          <w:color w:val="000000"/>
          <w:sz w:val="24"/>
          <w:szCs w:val="24"/>
          <w:u w:color="000000"/>
          <w:bdr w:val="nil"/>
          <w:lang w:eastAsia="en-GB"/>
        </w:rPr>
        <w:t xml:space="preserve"> be able to</w:t>
      </w:r>
      <w:r>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better</w:t>
      </w:r>
      <w:r>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bCs/>
          <w:color w:val="000000"/>
          <w:sz w:val="24"/>
          <w:szCs w:val="24"/>
          <w:u w:color="000000"/>
          <w:bdr w:val="nil"/>
          <w:lang w:eastAsia="en-GB"/>
        </w:rPr>
        <w:t xml:space="preserve">satisfy their diversified </w:t>
      </w:r>
      <w:r>
        <w:rPr>
          <w:rFonts w:ascii="Times New Roman" w:eastAsia="Arial Unicode MS" w:hAnsi="Arial Unicode MS" w:cs="Arial Unicode MS"/>
          <w:bCs/>
          <w:color w:val="000000"/>
          <w:sz w:val="24"/>
          <w:szCs w:val="24"/>
          <w:u w:color="000000"/>
          <w:bdr w:val="nil"/>
          <w:lang w:eastAsia="en-GB"/>
        </w:rPr>
        <w:t>interests for programmes originating from other MS</w:t>
      </w:r>
      <w:r w:rsidRPr="00807CA5">
        <w:rPr>
          <w:rFonts w:ascii="Times New Roman" w:eastAsia="Arial Unicode MS" w:hAnsi="Arial Unicode MS" w:cs="Arial Unicode MS"/>
          <w:bCs/>
          <w:color w:val="000000"/>
          <w:sz w:val="24"/>
          <w:szCs w:val="24"/>
          <w:u w:color="000000"/>
          <w:bdr w:val="nil"/>
          <w:lang w:eastAsia="en-GB"/>
        </w:rPr>
        <w:t xml:space="preserve">, including cultural, educational (e.g. learning languages) and entertainment. This is in particular relevant for non-fiction content, which is less available to consumers through </w:t>
      </w:r>
      <w:r>
        <w:rPr>
          <w:rFonts w:ascii="Times New Roman" w:eastAsia="Arial Unicode MS" w:hAnsi="Arial Unicode MS" w:cs="Arial Unicode MS"/>
          <w:bCs/>
          <w:color w:val="000000"/>
          <w:sz w:val="24"/>
          <w:szCs w:val="24"/>
          <w:u w:color="000000"/>
          <w:bdr w:val="nil"/>
          <w:lang w:eastAsia="en-GB"/>
        </w:rPr>
        <w:t xml:space="preserve">means </w:t>
      </w:r>
      <w:r w:rsidRPr="00807CA5">
        <w:rPr>
          <w:rFonts w:ascii="Times New Roman" w:eastAsia="Arial Unicode MS" w:hAnsi="Arial Unicode MS" w:cs="Arial Unicode MS"/>
          <w:bCs/>
          <w:color w:val="000000"/>
          <w:sz w:val="24"/>
          <w:szCs w:val="24"/>
          <w:u w:color="000000"/>
          <w:bdr w:val="nil"/>
          <w:lang w:eastAsia="en-GB"/>
        </w:rPr>
        <w:t xml:space="preserve">other than broadcasters' programmes. </w:t>
      </w:r>
      <w:r w:rsidRPr="00807CA5">
        <w:rPr>
          <w:rFonts w:ascii="Times New Roman" w:eastAsia="Arial Unicode MS" w:hAnsi="Arial Unicode MS" w:cs="Arial Unicode MS"/>
          <w:color w:val="000000"/>
          <w:sz w:val="24"/>
          <w:szCs w:val="24"/>
          <w:u w:color="000000"/>
          <w:bdr w:val="nil"/>
          <w:lang w:eastAsia="en-GB"/>
        </w:rPr>
        <w:t xml:space="preserve">  </w:t>
      </w:r>
    </w:p>
    <w:p w:rsidR="00FC609C" w:rsidRPr="00C32C45" w:rsidRDefault="00FC609C" w:rsidP="000930E2">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 xml:space="preserve">Impacts on fundamental rights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Times New Roman" w:cs="Times New Roman"/>
          <w:color w:val="000000"/>
          <w:sz w:val="24"/>
          <w:szCs w:val="24"/>
          <w:u w:color="000000"/>
          <w:bdr w:val="nil"/>
          <w:lang w:eastAsia="en-GB"/>
        </w:rPr>
        <w:t xml:space="preserve">By establishing the licensing regime applicable to certain types of cross-border online transmissions, </w:t>
      </w:r>
      <w:r w:rsidR="00ED1DF4">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 xml:space="preserve">ption </w:t>
      </w:r>
      <w:r w:rsidR="00ED1DF4">
        <w:rPr>
          <w:rFonts w:ascii="Times New Roman" w:eastAsia="Arial Unicode MS" w:hAnsi="Arial Unicode MS" w:cs="Arial Unicode MS"/>
          <w:color w:val="000000"/>
          <w:sz w:val="24"/>
          <w:szCs w:val="24"/>
          <w:u w:color="000000"/>
          <w:bdr w:val="nil"/>
          <w:lang w:eastAsia="en-GB"/>
        </w:rPr>
        <w:t xml:space="preserve">2 </w:t>
      </w:r>
      <w:r w:rsidRPr="00807CA5">
        <w:rPr>
          <w:rFonts w:ascii="Times New Roman" w:eastAsia="Arial Unicode MS" w:hAnsi="Arial Unicode MS" w:cs="Arial Unicode MS"/>
          <w:color w:val="000000"/>
          <w:sz w:val="24"/>
          <w:szCs w:val="24"/>
          <w:u w:color="000000"/>
          <w:bdr w:val="nil"/>
          <w:lang w:eastAsia="en-GB"/>
        </w:rPr>
        <w:t xml:space="preserve">would have a </w:t>
      </w:r>
      <w:r w:rsidR="00ED1DF4">
        <w:rPr>
          <w:rFonts w:ascii="Times New Roman" w:eastAsia="Arial Unicode MS" w:hAnsi="Arial Unicode MS" w:cs="Arial Unicode MS"/>
          <w:color w:val="000000"/>
          <w:sz w:val="24"/>
          <w:szCs w:val="24"/>
          <w:u w:color="000000"/>
          <w:bdr w:val="nil"/>
          <w:lang w:eastAsia="en-GB"/>
        </w:rPr>
        <w:t>slight</w:t>
      </w:r>
      <w:r w:rsidR="00CA18A7">
        <w:rPr>
          <w:rFonts w:ascii="Times New Roman" w:eastAsia="Arial Unicode MS" w:hAnsi="Arial Unicode MS" w:cs="Arial Unicode MS"/>
          <w:color w:val="000000"/>
          <w:sz w:val="24"/>
          <w:szCs w:val="24"/>
          <w:u w:color="000000"/>
          <w:bdr w:val="nil"/>
          <w:lang w:eastAsia="en-GB"/>
        </w:rPr>
        <w:t>ly</w:t>
      </w:r>
      <w:r w:rsidR="00ED1DF4" w:rsidRPr="00807CA5">
        <w:rPr>
          <w:rFonts w:ascii="Times New Roman" w:eastAsia="Arial Unicode MS" w:hAnsi="Arial Unicode MS"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negative impact on copyright as property right</w:t>
      </w:r>
      <w:r w:rsidR="00ED1DF4">
        <w:rPr>
          <w:rFonts w:ascii="Times New Roman" w:eastAsia="Arial Unicode MS" w:hAnsi="Arial Unicode MS" w:cs="Arial Unicode MS"/>
          <w:color w:val="000000"/>
          <w:sz w:val="24"/>
          <w:szCs w:val="24"/>
          <w:u w:color="000000"/>
          <w:bdr w:val="nil"/>
          <w:lang w:eastAsia="en-GB"/>
        </w:rPr>
        <w:t>, limited by the targeted scope of the proposed intervention (broadcasters' online ancillary services)</w:t>
      </w:r>
      <w:r w:rsidRPr="00807CA5">
        <w:rPr>
          <w:rFonts w:ascii="Times New Roman" w:eastAsia="Arial Unicode MS" w:hAnsi="Arial Unicode MS" w:cs="Arial Unicode MS"/>
          <w:color w:val="000000"/>
          <w:sz w:val="24"/>
          <w:szCs w:val="24"/>
          <w:u w:color="000000"/>
          <w:bdr w:val="nil"/>
          <w:lang w:eastAsia="en-GB"/>
        </w:rPr>
        <w:t xml:space="preserve">. It would have a </w:t>
      </w:r>
      <w:r w:rsidRPr="000930E2">
        <w:rPr>
          <w:rFonts w:ascii="Times New Roman" w:eastAsia="Arial Unicode MS" w:hAnsi="Arial Unicode MS" w:cs="Arial Unicode MS"/>
          <w:bCs/>
          <w:color w:val="000000"/>
          <w:sz w:val="24"/>
          <w:szCs w:val="24"/>
          <w:u w:color="000000"/>
          <w:bdr w:val="nil"/>
          <w:lang w:eastAsia="en-GB"/>
        </w:rPr>
        <w:t>positive</w:t>
      </w:r>
      <w:r w:rsidRPr="00807CA5">
        <w:rPr>
          <w:rFonts w:ascii="Times New Roman" w:eastAsia="Arial Unicode MS" w:hAnsi="Arial Unicode MS" w:cs="Arial Unicode MS"/>
          <w:color w:val="000000"/>
          <w:sz w:val="24"/>
          <w:szCs w:val="24"/>
          <w:u w:color="000000"/>
          <w:bdr w:val="nil"/>
          <w:lang w:eastAsia="en-GB"/>
        </w:rPr>
        <w:t xml:space="preserve"> impact on the freedom of information, to the extent that this option would facilitate access to information.</w:t>
      </w:r>
    </w:p>
    <w:p w:rsidR="001D5DE0" w:rsidRDefault="001D5DE0">
      <w:pPr>
        <w:rPr>
          <w:rFonts w:ascii="Times New Roman" w:eastAsia="Times New Roman" w:hAnsi="Times New Roman" w:cs="Times New Roman"/>
          <w:b/>
          <w:color w:val="000000"/>
          <w:sz w:val="24"/>
          <w:szCs w:val="24"/>
          <w:u w:val="single"/>
          <w:bdr w:val="nil"/>
          <w:lang w:eastAsia="en-GB"/>
        </w:rPr>
      </w:pPr>
      <w:r>
        <w:rPr>
          <w:rFonts w:eastAsia="Times New Roman"/>
          <w:b/>
          <w:color w:val="000000"/>
          <w:szCs w:val="24"/>
          <w:u w:val="single"/>
          <w:bdr w:val="nil"/>
        </w:rPr>
        <w:br w:type="page"/>
      </w:r>
    </w:p>
    <w:p w:rsidR="00FC609C" w:rsidRPr="000930E2" w:rsidRDefault="00FC609C" w:rsidP="000930E2">
      <w:pPr>
        <w:pStyle w:val="Text1"/>
        <w:ind w:left="0"/>
        <w:rPr>
          <w:rFonts w:eastAsia="Times New Roman"/>
          <w:b/>
          <w:color w:val="000000"/>
          <w:szCs w:val="24"/>
          <w:u w:val="single"/>
          <w:bdr w:val="nil"/>
        </w:rPr>
      </w:pPr>
      <w:r w:rsidRPr="000930E2">
        <w:rPr>
          <w:rFonts w:eastAsia="Times New Roman"/>
          <w:b/>
          <w:color w:val="000000"/>
          <w:szCs w:val="24"/>
          <w:u w:val="single"/>
          <w:bdr w:val="nil"/>
        </w:rPr>
        <w:t>Option 3 – Application of country of origin to the clearing of rights for the services covered by Option 2 and for TV and radio-like linear online transmissions (and services ancillary to such transmissions)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 xml:space="preserve">The core difference between Options </w:t>
      </w:r>
      <w:r>
        <w:rPr>
          <w:rFonts w:ascii="Times New Roman" w:eastAsia="Arial Unicode MS" w:hAnsi="Arial Unicode MS" w:cs="Arial Unicode MS"/>
          <w:color w:val="000000"/>
          <w:sz w:val="24"/>
          <w:szCs w:val="24"/>
          <w:u w:color="000000"/>
          <w:bdr w:val="nil"/>
          <w:lang w:eastAsia="en-GB"/>
        </w:rPr>
        <w:t>2</w:t>
      </w:r>
      <w:r w:rsidRPr="00807CA5">
        <w:rPr>
          <w:rFonts w:ascii="Times New Roman" w:eastAsia="Arial Unicode MS" w:hAnsi="Arial Unicode MS" w:cs="Arial Unicode MS"/>
          <w:color w:val="000000"/>
          <w:sz w:val="24"/>
          <w:szCs w:val="24"/>
          <w:u w:color="000000"/>
          <w:bdr w:val="nil"/>
          <w:lang w:eastAsia="en-GB"/>
        </w:rPr>
        <w:t xml:space="preserve"> and </w:t>
      </w:r>
      <w:r>
        <w:rPr>
          <w:rFonts w:ascii="Times New Roman" w:eastAsia="Arial Unicode MS" w:hAnsi="Arial Unicode MS" w:cs="Arial Unicode MS"/>
          <w:color w:val="000000"/>
          <w:sz w:val="24"/>
          <w:szCs w:val="24"/>
          <w:u w:color="000000"/>
          <w:bdr w:val="nil"/>
          <w:lang w:eastAsia="en-GB"/>
        </w:rPr>
        <w:t>3</w:t>
      </w:r>
      <w:r w:rsidRPr="00807CA5">
        <w:rPr>
          <w:rFonts w:ascii="Times New Roman" w:eastAsia="Arial Unicode MS" w:hAnsi="Arial Unicode MS" w:cs="Arial Unicode MS"/>
          <w:color w:val="000000"/>
          <w:sz w:val="24"/>
          <w:szCs w:val="24"/>
          <w:u w:color="000000"/>
          <w:bdr w:val="nil"/>
          <w:lang w:eastAsia="en-GB"/>
        </w:rPr>
        <w:t xml:space="preserve"> is that Option </w:t>
      </w:r>
      <w:r>
        <w:rPr>
          <w:rFonts w:ascii="Times New Roman" w:eastAsia="Arial Unicode MS" w:hAnsi="Arial Unicode MS" w:cs="Arial Unicode MS"/>
          <w:color w:val="000000"/>
          <w:sz w:val="24"/>
          <w:szCs w:val="24"/>
          <w:u w:color="000000"/>
          <w:bdr w:val="nil"/>
          <w:lang w:eastAsia="en-GB"/>
        </w:rPr>
        <w:t>3</w:t>
      </w:r>
      <w:r w:rsidRPr="00807CA5">
        <w:rPr>
          <w:rFonts w:ascii="Times New Roman" w:eastAsia="Arial Unicode MS" w:hAnsi="Arial Unicode MS" w:cs="Arial Unicode MS"/>
          <w:color w:val="000000"/>
          <w:sz w:val="24"/>
          <w:szCs w:val="24"/>
          <w:u w:color="000000"/>
          <w:bdr w:val="nil"/>
          <w:lang w:eastAsia="en-GB"/>
        </w:rPr>
        <w:t xml:space="preserve"> also covers</w:t>
      </w:r>
      <w:r>
        <w:rPr>
          <w:rFonts w:ascii="Times New Roman" w:eastAsia="Arial Unicode MS" w:hAnsi="Arial Unicode MS" w:cs="Arial Unicode MS"/>
          <w:color w:val="000000"/>
          <w:sz w:val="24"/>
          <w:szCs w:val="24"/>
          <w:u w:color="000000"/>
          <w:bdr w:val="nil"/>
          <w:lang w:eastAsia="en-GB"/>
        </w:rPr>
        <w:t xml:space="preserve"> online linear TV and radio-like transmissions</w:t>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w:t>
      </w:r>
      <w:r w:rsidRPr="00807CA5">
        <w:rPr>
          <w:rFonts w:ascii="Times New Roman" w:eastAsia="Arial Unicode MS" w:hAnsi="Arial Unicode MS" w:cs="Arial Unicode MS"/>
          <w:color w:val="000000"/>
          <w:sz w:val="24"/>
          <w:szCs w:val="24"/>
          <w:u w:color="000000"/>
          <w:bdr w:val="nil"/>
          <w:lang w:eastAsia="en-GB"/>
        </w:rPr>
        <w:t>webcasting services</w:t>
      </w:r>
      <w:r>
        <w:rPr>
          <w:rFonts w:ascii="Times New Roman" w:eastAsia="Arial Unicode MS" w:hAnsi="Arial Unicode MS" w:cs="Arial Unicode MS"/>
          <w:color w:val="000000"/>
          <w:sz w:val="24"/>
          <w:szCs w:val="24"/>
          <w:u w:color="000000"/>
          <w:bdr w:val="nil"/>
          <w:lang w:eastAsia="en-GB"/>
        </w:rPr>
        <w:t>)</w:t>
      </w:r>
      <w:r>
        <w:rPr>
          <w:rStyle w:val="FootnoteReference"/>
          <w:rFonts w:ascii="Times New Roman" w:eastAsia="Arial Unicode MS" w:hAnsi="Arial Unicode MS" w:cs="Arial Unicode MS"/>
          <w:color w:val="000000"/>
          <w:sz w:val="24"/>
          <w:szCs w:val="24"/>
          <w:u w:color="000000"/>
          <w:bdr w:val="nil"/>
          <w:lang w:eastAsia="en-GB"/>
        </w:rPr>
        <w:footnoteReference w:id="114"/>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and</w:t>
      </w:r>
      <w:r w:rsidRPr="00807CA5">
        <w:rPr>
          <w:rFonts w:ascii="Times New Roman" w:eastAsia="Arial Unicode MS" w:hAnsi="Arial Unicode MS" w:cs="Arial Unicode MS"/>
          <w:color w:val="000000"/>
          <w:sz w:val="24"/>
          <w:szCs w:val="24"/>
          <w:u w:color="000000"/>
          <w:bdr w:val="nil"/>
          <w:lang w:eastAsia="en-GB"/>
        </w:rPr>
        <w:t xml:space="preserve"> online services ancillary to webcasting. The impacts discussed below are linked to these additional services. One general challenge in assessing impacts of this </w:t>
      </w:r>
      <w:r w:rsidR="00996BBA">
        <w:rPr>
          <w:rFonts w:ascii="Times New Roman" w:eastAsia="Arial Unicode MS" w:hAnsi="Arial Unicode MS" w:cs="Arial Unicode MS"/>
          <w:color w:val="000000"/>
          <w:sz w:val="24"/>
          <w:szCs w:val="24"/>
          <w:u w:color="000000"/>
          <w:bdr w:val="nil"/>
          <w:lang w:eastAsia="en-GB"/>
        </w:rPr>
        <w:t>o</w:t>
      </w:r>
      <w:r w:rsidRPr="00807CA5">
        <w:rPr>
          <w:rFonts w:ascii="Times New Roman" w:eastAsia="Arial Unicode MS" w:hAnsi="Arial Unicode MS" w:cs="Arial Unicode MS"/>
          <w:color w:val="000000"/>
          <w:sz w:val="24"/>
          <w:szCs w:val="24"/>
          <w:u w:color="000000"/>
          <w:bdr w:val="nil"/>
          <w:lang w:eastAsia="en-GB"/>
        </w:rPr>
        <w:t xml:space="preserve">ption is the fact that webcasting market (in the sense of online-only, linear TV or radio-like services) is at a development stage and not yet fully formed. As opposed to </w:t>
      </w:r>
      <w:r>
        <w:rPr>
          <w:rFonts w:ascii="Times New Roman" w:eastAsia="Arial Unicode MS" w:hAnsi="Arial Unicode MS" w:cs="Arial Unicode MS"/>
          <w:color w:val="000000"/>
          <w:sz w:val="24"/>
          <w:szCs w:val="24"/>
          <w:u w:color="000000"/>
          <w:bdr w:val="nil"/>
          <w:lang w:eastAsia="en-GB"/>
        </w:rPr>
        <w:t xml:space="preserve">settled </w:t>
      </w:r>
      <w:r w:rsidRPr="00807CA5">
        <w:rPr>
          <w:rFonts w:ascii="Times New Roman" w:eastAsia="Arial Unicode MS" w:hAnsi="Arial Unicode MS" w:cs="Arial Unicode MS"/>
          <w:color w:val="000000"/>
          <w:sz w:val="24"/>
          <w:szCs w:val="24"/>
          <w:u w:color="000000"/>
          <w:bdr w:val="nil"/>
          <w:lang w:eastAsia="en-GB"/>
        </w:rPr>
        <w:t xml:space="preserve">rules pertaining to broadcasting organisations, the acquis and national regulatory frameworks regarding webcasting services are only developing, including the very definition of these </w:t>
      </w:r>
      <w:r w:rsidRPr="001417B8">
        <w:rPr>
          <w:rFonts w:ascii="Times New Roman" w:eastAsia="Arial Unicode MS" w:hAnsi="Arial Unicode MS" w:cs="Arial Unicode MS"/>
          <w:color w:val="000000"/>
          <w:sz w:val="24"/>
          <w:szCs w:val="24"/>
          <w:u w:color="000000"/>
          <w:bdr w:val="nil"/>
          <w:lang w:eastAsia="en-GB"/>
        </w:rPr>
        <w:t>services.</w:t>
      </w:r>
    </w:p>
    <w:p w:rsidR="00FC609C" w:rsidRDefault="00FC609C" w:rsidP="000930E2">
      <w:pPr>
        <w:pStyle w:val="Text1"/>
        <w:ind w:left="0"/>
        <w:rPr>
          <w:rFonts w:eastAsia="Arial Unicode MS" w:hAnsi="Arial Unicode MS" w:cs="Arial Unicode MS"/>
          <w:b/>
          <w:bCs/>
          <w:color w:val="000000"/>
          <w:szCs w:val="24"/>
          <w:bdr w:val="nil"/>
        </w:rPr>
      </w:pPr>
      <w:r w:rsidRPr="008E65EE">
        <w:rPr>
          <w:rFonts w:ascii="Times New Roman Bold" w:eastAsia="Arial Unicode MS" w:hAnsi="Times New Roman Bold"/>
          <w:b/>
          <w:smallCaps/>
          <w:szCs w:val="24"/>
          <w:bdr w:val="nil"/>
        </w:rPr>
        <w:t>Impacts on stakeholders</w:t>
      </w:r>
      <w:r w:rsidRPr="002E226D">
        <w:rPr>
          <w:rFonts w:eastAsia="Arial Unicode MS" w:hAnsi="Arial Unicode MS" w:cs="Arial Unicode MS"/>
          <w:b/>
          <w:bCs/>
          <w:color w:val="000000"/>
          <w:szCs w:val="24"/>
          <w:bdr w:val="nil"/>
        </w:rPr>
        <w:t xml:space="preserve"> </w:t>
      </w:r>
    </w:p>
    <w:p w:rsidR="00FC609C" w:rsidRPr="00807CA5" w:rsidRDefault="00FC609C" w:rsidP="000930E2">
      <w:pPr>
        <w:pStyle w:val="Text1"/>
        <w:ind w:left="0"/>
        <w:rPr>
          <w:rFonts w:eastAsia="Arial Unicode MS" w:hAnsi="Arial Unicode MS" w:cs="Arial Unicode MS"/>
          <w:b/>
          <w:bCs/>
          <w:color w:val="000000"/>
          <w:szCs w:val="24"/>
          <w:u w:color="000000"/>
          <w:bdr w:val="nil"/>
        </w:rPr>
      </w:pPr>
      <w:r w:rsidRPr="000930E2">
        <w:rPr>
          <w:rFonts w:eastAsia="Arial Unicode MS" w:hAnsi="Arial Unicode MS" w:cs="Arial Unicode MS"/>
          <w:b/>
          <w:bCs/>
          <w:color w:val="000000"/>
          <w:szCs w:val="24"/>
          <w:bdr w:val="nil"/>
        </w:rPr>
        <w:t>Broadcasters</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123CFF">
        <w:rPr>
          <w:rFonts w:ascii="Times New Roman" w:eastAsia="Arial Unicode MS" w:hAnsi="Arial Unicode MS" w:cs="Arial Unicode MS"/>
          <w:bCs/>
          <w:color w:val="000000"/>
          <w:sz w:val="24"/>
          <w:szCs w:val="24"/>
          <w:u w:color="000000"/>
          <w:bdr w:val="nil"/>
          <w:lang w:eastAsia="en-GB"/>
        </w:rPr>
        <w:t>The impacts of Option 3 on broadcasters could in principle be comparable to the ones described under Option 2. In addition, broadcasters</w:t>
      </w:r>
      <w:r w:rsidR="005E06F2">
        <w:rPr>
          <w:rFonts w:ascii="Times New Roman" w:eastAsia="Arial Unicode MS" w:hAnsi="Arial Unicode MS" w:cs="Arial Unicode MS"/>
          <w:bCs/>
          <w:color w:val="000000"/>
          <w:sz w:val="24"/>
          <w:szCs w:val="24"/>
          <w:u w:color="000000"/>
          <w:bdr w:val="nil"/>
          <w:lang w:eastAsia="en-GB"/>
        </w:rPr>
        <w:t xml:space="preserve"> would be able to rely on the Co</w:t>
      </w:r>
      <w:r w:rsidRPr="00123CFF">
        <w:rPr>
          <w:rFonts w:ascii="Times New Roman" w:eastAsia="Arial Unicode MS" w:hAnsi="Arial Unicode MS" w:cs="Arial Unicode MS"/>
          <w:bCs/>
          <w:color w:val="000000"/>
          <w:sz w:val="24"/>
          <w:szCs w:val="24"/>
          <w:u w:color="000000"/>
          <w:bdr w:val="nil"/>
          <w:lang w:eastAsia="en-GB"/>
        </w:rPr>
        <w:t xml:space="preserve">O rule for their webcasts. However, the higher risk of content disaggregation identified under Option 3 (see 'impacts </w:t>
      </w:r>
      <w:r w:rsidRPr="000930E2">
        <w:rPr>
          <w:rFonts w:ascii="Times New Roman" w:eastAsia="Arial Unicode MS" w:hAnsi="Arial Unicode MS" w:cs="Arial Unicode MS"/>
          <w:color w:val="000000"/>
          <w:sz w:val="24"/>
          <w:szCs w:val="24"/>
          <w:u w:color="000000"/>
          <w:bdr w:val="nil"/>
          <w:lang w:eastAsia="en-GB"/>
        </w:rPr>
        <w:t>on</w:t>
      </w:r>
      <w:r w:rsidRPr="00123CFF">
        <w:rPr>
          <w:rFonts w:ascii="Times New Roman" w:eastAsia="Arial Unicode MS" w:hAnsi="Arial Unicode MS" w:cs="Arial Unicode MS"/>
          <w:bCs/>
          <w:color w:val="000000"/>
          <w:sz w:val="24"/>
          <w:szCs w:val="24"/>
          <w:u w:color="000000"/>
          <w:bdr w:val="nil"/>
          <w:lang w:eastAsia="en-GB"/>
        </w:rPr>
        <w:t xml:space="preserve">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sidRPr="00123CFF">
        <w:rPr>
          <w:rFonts w:ascii="Times New Roman" w:eastAsia="Arial Unicode MS" w:hAnsi="Arial Unicode MS" w:cs="Arial Unicode MS"/>
          <w:bCs/>
          <w:color w:val="000000"/>
          <w:sz w:val="24"/>
          <w:szCs w:val="24"/>
          <w:u w:color="000000"/>
          <w:bdr w:val="nil"/>
          <w:lang w:eastAsia="en-GB"/>
        </w:rPr>
        <w:t>' below) is likely to have a negative impact on transaction costs (even if licensing would be required only for one territory, the number of individual transactions may increase)</w:t>
      </w:r>
      <w:r w:rsidRPr="00123CFF">
        <w:rPr>
          <w:rFonts w:eastAsia="Arial"/>
          <w:color w:val="000000"/>
          <w:u w:color="000000"/>
          <w:lang w:val="en-US"/>
        </w:rPr>
        <w:t xml:space="preserve"> </w:t>
      </w:r>
      <w:r w:rsidRPr="00123CFF">
        <w:rPr>
          <w:rFonts w:ascii="Times New Roman" w:eastAsia="Arial Unicode MS" w:hAnsi="Arial Unicode MS" w:cs="Arial Unicode MS"/>
          <w:bCs/>
          <w:color w:val="000000"/>
          <w:sz w:val="24"/>
          <w:szCs w:val="24"/>
          <w:u w:color="000000"/>
          <w:bdr w:val="nil"/>
          <w:lang w:eastAsia="en-GB"/>
        </w:rPr>
        <w:t>and undermine the effectiveness of Option 3 in terms of facilitation of licensing.</w:t>
      </w:r>
    </w:p>
    <w:p w:rsidR="00FC609C" w:rsidRPr="008A587E" w:rsidRDefault="00FC609C" w:rsidP="000930E2">
      <w:pPr>
        <w:pStyle w:val="Text1"/>
        <w:ind w:left="0"/>
        <w:rPr>
          <w:rFonts w:eastAsia="Arial Unicode MS" w:hAnsi="Arial Unicode MS" w:cs="Arial Unicode MS"/>
          <w:color w:val="000000"/>
          <w:szCs w:val="24"/>
          <w:bdr w:val="nil"/>
        </w:rPr>
      </w:pPr>
      <w:r w:rsidRPr="000930E2">
        <w:rPr>
          <w:rFonts w:eastAsia="Arial Unicode MS" w:hAnsi="Arial Unicode MS" w:cs="Arial Unicode MS"/>
          <w:b/>
          <w:bCs/>
          <w:color w:val="000000"/>
          <w:szCs w:val="24"/>
          <w:bdr w:val="nil"/>
        </w:rPr>
        <w:t>Webcasters</w:t>
      </w:r>
    </w:p>
    <w:p w:rsidR="00FC609C"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 xml:space="preserve">Option </w:t>
      </w:r>
      <w:r>
        <w:rPr>
          <w:rFonts w:ascii="Times New Roman" w:eastAsia="Arial Unicode MS" w:hAnsi="Arial Unicode MS" w:cs="Arial Unicode MS"/>
          <w:color w:val="000000"/>
          <w:sz w:val="24"/>
          <w:szCs w:val="24"/>
          <w:u w:color="000000"/>
          <w:bdr w:val="nil"/>
          <w:lang w:eastAsia="en-GB"/>
        </w:rPr>
        <w:t>3</w:t>
      </w:r>
      <w:r w:rsidRPr="00807CA5">
        <w:rPr>
          <w:rFonts w:ascii="Times New Roman" w:eastAsia="Arial Unicode MS" w:hAnsi="Arial Unicode MS" w:cs="Arial Unicode MS"/>
          <w:color w:val="000000"/>
          <w:sz w:val="24"/>
          <w:szCs w:val="24"/>
          <w:u w:color="000000"/>
          <w:bdr w:val="nil"/>
          <w:lang w:eastAsia="en-GB"/>
        </w:rPr>
        <w:t xml:space="preserve"> would align </w:t>
      </w:r>
      <w:r w:rsidRPr="008A587E">
        <w:rPr>
          <w:rFonts w:ascii="Times New Roman" w:eastAsia="Arial Unicode MS" w:hAnsi="Arial Unicode MS" w:cs="Arial Unicode MS"/>
          <w:color w:val="000000"/>
          <w:sz w:val="24"/>
          <w:szCs w:val="24"/>
          <w:u w:color="000000"/>
          <w:bdr w:val="nil"/>
          <w:lang w:eastAsia="en-GB"/>
        </w:rPr>
        <w:t>webcasters'</w:t>
      </w:r>
      <w:r w:rsidRPr="00807CA5">
        <w:rPr>
          <w:rFonts w:ascii="Times New Roman" w:eastAsia="Arial Unicode MS" w:hAnsi="Arial Unicode MS" w:cs="Arial Unicode MS"/>
          <w:color w:val="000000"/>
          <w:sz w:val="24"/>
          <w:szCs w:val="24"/>
          <w:u w:color="000000"/>
          <w:bdr w:val="nil"/>
          <w:lang w:eastAsia="en-GB"/>
        </w:rPr>
        <w:t xml:space="preserve"> licensing regime to that of broadcasters. Webcasters </w:t>
      </w:r>
      <w:r>
        <w:rPr>
          <w:rFonts w:ascii="Times New Roman" w:eastAsia="Arial Unicode MS" w:hAnsi="Arial Unicode MS" w:cs="Arial Unicode MS"/>
          <w:color w:val="000000"/>
          <w:sz w:val="24"/>
          <w:szCs w:val="24"/>
          <w:u w:color="000000"/>
          <w:bdr w:val="nil"/>
          <w:lang w:eastAsia="en-GB"/>
        </w:rPr>
        <w:t>could in principle</w:t>
      </w:r>
      <w:r w:rsidRPr="00807CA5">
        <w:rPr>
          <w:rFonts w:ascii="Times New Roman" w:eastAsia="Arial Unicode MS" w:hAnsi="Arial Unicode MS" w:cs="Arial Unicode MS"/>
          <w:color w:val="000000"/>
          <w:sz w:val="24"/>
          <w:szCs w:val="24"/>
          <w:u w:color="000000"/>
          <w:bdr w:val="nil"/>
          <w:lang w:eastAsia="en-GB"/>
        </w:rPr>
        <w:t xml:space="preserve"> save transaction costs for their online transmissions</w:t>
      </w:r>
      <w:r>
        <w:rPr>
          <w:rFonts w:ascii="Times New Roman" w:eastAsia="Arial Unicode MS" w:hAnsi="Arial Unicode MS" w:cs="Arial Unicode MS"/>
          <w:color w:val="000000"/>
          <w:sz w:val="24"/>
          <w:szCs w:val="24"/>
          <w:u w:color="000000"/>
          <w:bdr w:val="nil"/>
          <w:lang w:eastAsia="en-GB"/>
        </w:rPr>
        <w:t xml:space="preserve"> and</w:t>
      </w:r>
      <w:r w:rsidRPr="00807CA5">
        <w:rPr>
          <w:rFonts w:ascii="Times New Roman" w:eastAsia="Arial Unicode MS" w:hAnsi="Arial Unicode MS" w:cs="Arial Unicode MS"/>
          <w:color w:val="000000"/>
          <w:sz w:val="24"/>
          <w:szCs w:val="24"/>
          <w:u w:color="000000"/>
          <w:bdr w:val="nil"/>
          <w:lang w:eastAsia="en-GB"/>
        </w:rPr>
        <w:t xml:space="preserve"> have better possibilities to offer their services across borders</w:t>
      </w:r>
      <w:r>
        <w:rPr>
          <w:rFonts w:ascii="Times New Roman" w:eastAsia="Arial Unicode MS" w:hAnsi="Arial Unicode MS" w:cs="Arial Unicode MS"/>
          <w:color w:val="000000"/>
          <w:sz w:val="24"/>
          <w:szCs w:val="24"/>
          <w:u w:color="000000"/>
          <w:bdr w:val="nil"/>
          <w:lang w:eastAsia="en-GB"/>
        </w:rPr>
        <w:t xml:space="preserve"> in the same way as in the case of broadcasters described under Option 2</w:t>
      </w:r>
      <w:r w:rsidRPr="00807CA5">
        <w:rPr>
          <w:rFonts w:ascii="Times New Roman" w:eastAsia="Arial Unicode MS" w:hAnsi="Arial Unicode MS" w:cs="Arial Unicode MS"/>
          <w:color w:val="000000"/>
          <w:sz w:val="24"/>
          <w:szCs w:val="24"/>
          <w:u w:color="000000"/>
          <w:bdr w:val="nil"/>
          <w:lang w:eastAsia="en-GB"/>
        </w:rPr>
        <w:t>.</w:t>
      </w:r>
      <w:r>
        <w:rPr>
          <w:rFonts w:ascii="Times New Roman" w:eastAsia="Arial Unicode MS" w:hAnsi="Arial Unicode MS" w:cs="Arial Unicode MS"/>
          <w:color w:val="000000"/>
          <w:sz w:val="24"/>
          <w:szCs w:val="24"/>
          <w:u w:color="000000"/>
          <w:bdr w:val="nil"/>
          <w:lang w:eastAsia="en-GB"/>
        </w:rPr>
        <w:t xml:space="preserve"> However, they may also be negatively affected by the risk of disaggregation of repertoire brought about by this </w:t>
      </w:r>
      <w:r w:rsidR="00996BBA">
        <w:rPr>
          <w:rFonts w:ascii="Times New Roman" w:eastAsia="Arial Unicode MS" w:hAnsi="Arial Unicode MS" w:cs="Arial Unicode MS"/>
          <w:color w:val="000000"/>
          <w:sz w:val="24"/>
          <w:szCs w:val="24"/>
          <w:u w:color="000000"/>
          <w:bdr w:val="nil"/>
          <w:lang w:eastAsia="en-GB"/>
        </w:rPr>
        <w:t>o</w:t>
      </w:r>
      <w:r>
        <w:rPr>
          <w:rFonts w:ascii="Times New Roman" w:eastAsia="Arial Unicode MS" w:hAnsi="Arial Unicode MS" w:cs="Arial Unicode MS"/>
          <w:color w:val="000000"/>
          <w:sz w:val="24"/>
          <w:szCs w:val="24"/>
          <w:u w:color="000000"/>
          <w:bdr w:val="nil"/>
          <w:lang w:eastAsia="en-GB"/>
        </w:rPr>
        <w:t>ption (</w:t>
      </w:r>
      <w:r>
        <w:rPr>
          <w:rFonts w:ascii="Times New Roman" w:eastAsia="Arial Unicode MS" w:hAnsi="Arial Unicode MS" w:cs="Arial Unicode MS"/>
          <w:bCs/>
          <w:color w:val="000000"/>
          <w:sz w:val="24"/>
          <w:szCs w:val="24"/>
          <w:u w:color="000000"/>
          <w:bdr w:val="nil"/>
          <w:lang w:eastAsia="en-GB"/>
        </w:rPr>
        <w:t xml:space="preserve">see 'impacts on </w:t>
      </w:r>
      <w:r w:rsidR="00695C5E">
        <w:rPr>
          <w:rFonts w:ascii="Times New Roman" w:eastAsia="Arial Unicode MS" w:hAnsi="Arial Unicode MS" w:cs="Arial Unicode MS"/>
          <w:bCs/>
          <w:color w:val="000000"/>
          <w:sz w:val="24"/>
          <w:szCs w:val="24"/>
          <w:u w:color="000000"/>
          <w:bdr w:val="nil"/>
          <w:lang w:eastAsia="en-GB"/>
        </w:rPr>
        <w:t>r</w:t>
      </w:r>
      <w:r w:rsidR="00007677">
        <w:rPr>
          <w:rFonts w:ascii="Times New Roman" w:eastAsia="Arial Unicode MS" w:hAnsi="Arial Unicode MS" w:cs="Arial Unicode MS"/>
          <w:bCs/>
          <w:color w:val="000000"/>
          <w:sz w:val="24"/>
          <w:szCs w:val="24"/>
          <w:u w:color="000000"/>
          <w:bdr w:val="nil"/>
          <w:lang w:eastAsia="en-GB"/>
        </w:rPr>
        <w:t>ightholders</w:t>
      </w:r>
      <w:r>
        <w:rPr>
          <w:rFonts w:ascii="Times New Roman" w:eastAsia="Arial Unicode MS" w:hAnsi="Arial Unicode MS" w:cs="Arial Unicode MS"/>
          <w:bCs/>
          <w:color w:val="000000"/>
          <w:sz w:val="24"/>
          <w:szCs w:val="24"/>
          <w:u w:color="000000"/>
          <w:bdr w:val="nil"/>
          <w:lang w:eastAsia="en-GB"/>
        </w:rPr>
        <w:t>' below</w:t>
      </w:r>
      <w:r>
        <w:rPr>
          <w:rFonts w:ascii="Times New Roman" w:eastAsia="Arial Unicode MS" w:hAnsi="Arial Unicode MS" w:cs="Arial Unicode MS"/>
          <w:color w:val="000000"/>
          <w:sz w:val="24"/>
          <w:szCs w:val="24"/>
          <w:u w:color="000000"/>
          <w:bdr w:val="nil"/>
          <w:lang w:eastAsia="en-GB"/>
        </w:rPr>
        <w:t xml:space="preserve">). </w:t>
      </w:r>
    </w:p>
    <w:p w:rsidR="00FC609C" w:rsidRDefault="00FC609C" w:rsidP="000930E2">
      <w:pPr>
        <w:pStyle w:val="Text1"/>
        <w:ind w:left="0"/>
        <w:rPr>
          <w:rFonts w:eastAsia="Arial Unicode MS" w:hAnsi="Arial Unicode MS" w:cs="Arial Unicode MS"/>
          <w:i/>
          <w:color w:val="000000"/>
          <w:szCs w:val="24"/>
          <w:u w:val="single" w:color="000000"/>
          <w:bdr w:val="nil"/>
        </w:rPr>
      </w:pPr>
      <w:r w:rsidRPr="00807CA5">
        <w:rPr>
          <w:rFonts w:eastAsia="Arial Unicode MS" w:hAnsi="Arial Unicode MS" w:cs="Arial Unicode MS"/>
          <w:b/>
          <w:bCs/>
          <w:color w:val="000000"/>
          <w:szCs w:val="24"/>
          <w:u w:color="000000"/>
          <w:bdr w:val="nil"/>
        </w:rPr>
        <w:t xml:space="preserve">Other </w:t>
      </w:r>
      <w:r w:rsidRPr="000930E2">
        <w:rPr>
          <w:rFonts w:eastAsia="Arial Unicode MS" w:hAnsi="Arial Unicode MS" w:cs="Arial Unicode MS"/>
          <w:b/>
          <w:bCs/>
          <w:color w:val="000000"/>
          <w:szCs w:val="24"/>
          <w:bdr w:val="nil"/>
        </w:rPr>
        <w:t>service</w:t>
      </w:r>
      <w:r w:rsidRPr="00807CA5">
        <w:rPr>
          <w:rFonts w:eastAsia="Arial Unicode MS" w:hAnsi="Arial Unicode MS" w:cs="Arial Unicode MS"/>
          <w:b/>
          <w:bCs/>
          <w:color w:val="000000"/>
          <w:szCs w:val="24"/>
          <w:u w:color="000000"/>
          <w:bdr w:val="nil"/>
        </w:rPr>
        <w:t xml:space="preserve"> providers</w:t>
      </w:r>
      <w:r w:rsidRPr="00807CA5">
        <w:rPr>
          <w:rFonts w:eastAsia="Arial Unicode MS" w:hAnsi="Arial Unicode MS" w:cs="Arial Unicode MS"/>
          <w:i/>
          <w:color w:val="000000"/>
          <w:szCs w:val="24"/>
          <w:u w:val="single" w:color="000000"/>
          <w:bdr w:val="nil"/>
        </w:rPr>
        <w:t xml:space="preserve"> </w:t>
      </w:r>
    </w:p>
    <w:p w:rsidR="00FC609C"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A587E">
        <w:rPr>
          <w:rFonts w:ascii="Times New Roman" w:eastAsia="Arial Unicode MS" w:hAnsi="Arial Unicode MS" w:cs="Arial Unicode MS"/>
          <w:color w:val="000000"/>
          <w:sz w:val="24"/>
          <w:szCs w:val="24"/>
          <w:u w:val="single" w:color="000000"/>
          <w:bdr w:val="nil"/>
          <w:lang w:eastAsia="en-GB"/>
        </w:rPr>
        <w:t xml:space="preserve">Impacts on the </w:t>
      </w:r>
      <w:r w:rsidRPr="008A587E">
        <w:rPr>
          <w:rFonts w:ascii="Times New Roman" w:eastAsia="Arial Unicode MS" w:hAnsi="Times New Roman" w:cs="Arial Unicode MS"/>
          <w:color w:val="000000"/>
          <w:sz w:val="24"/>
          <w:szCs w:val="24"/>
          <w:u w:val="single" w:color="000000"/>
          <w:bdr w:val="nil"/>
          <w:lang w:eastAsia="en-GB"/>
        </w:rPr>
        <w:t>competitive situation</w:t>
      </w:r>
      <w:r w:rsidRPr="001C5348">
        <w:rPr>
          <w:rFonts w:ascii="Times New Roman" w:eastAsia="Arial Unicode MS" w:hAnsi="Times New Roman" w:cs="Arial Unicode MS"/>
          <w:color w:val="000000"/>
          <w:sz w:val="24"/>
          <w:szCs w:val="24"/>
          <w:u w:color="000000"/>
          <w:bdr w:val="nil"/>
          <w:lang w:eastAsia="en-GB"/>
        </w:rPr>
        <w:t>:</w:t>
      </w:r>
      <w:r w:rsidRPr="00C43783">
        <w:rPr>
          <w:rFonts w:ascii="Times New Roman" w:eastAsia="Arial Unicode MS" w:hAnsi="Times New Roman" w:cs="Arial Unicode MS"/>
          <w:color w:val="000000"/>
          <w:sz w:val="24"/>
          <w:szCs w:val="24"/>
          <w:u w:color="000000"/>
          <w:bdr w:val="nil"/>
          <w:lang w:eastAsia="en-GB"/>
        </w:rPr>
        <w:t xml:space="preserve"> </w:t>
      </w:r>
      <w:r w:rsidRPr="00C43783">
        <w:rPr>
          <w:rFonts w:ascii="Times New Roman" w:eastAsia="Arial Unicode MS" w:hAnsi="Arial Unicode MS" w:cs="Arial Unicode MS"/>
          <w:color w:val="000000"/>
          <w:sz w:val="24"/>
          <w:szCs w:val="24"/>
          <w:u w:color="000000"/>
          <w:bdr w:val="nil"/>
          <w:lang w:eastAsia="en-GB"/>
        </w:rPr>
        <w:t xml:space="preserve">Option </w:t>
      </w:r>
      <w:r>
        <w:rPr>
          <w:rFonts w:ascii="Times New Roman" w:eastAsia="Arial Unicode MS" w:hAnsi="Arial Unicode MS" w:cs="Arial Unicode MS"/>
          <w:color w:val="000000"/>
          <w:sz w:val="24"/>
          <w:szCs w:val="24"/>
          <w:u w:color="000000"/>
          <w:bdr w:val="nil"/>
          <w:lang w:eastAsia="en-GB"/>
        </w:rPr>
        <w:t>3</w:t>
      </w:r>
      <w:r w:rsidRPr="00C43783">
        <w:rPr>
          <w:rFonts w:ascii="Times New Roman" w:eastAsia="Arial Unicode MS" w:hAnsi="Arial Unicode MS" w:cs="Arial Unicode MS"/>
          <w:color w:val="000000"/>
          <w:sz w:val="24"/>
          <w:szCs w:val="24"/>
          <w:u w:color="000000"/>
          <w:bdr w:val="nil"/>
          <w:lang w:eastAsia="en-GB"/>
        </w:rPr>
        <w:t xml:space="preserve"> could substantially impact the competitive situation between </w:t>
      </w:r>
      <w:r w:rsidRPr="008A587E">
        <w:rPr>
          <w:rFonts w:ascii="Times New Roman" w:eastAsia="Arial Unicode MS" w:hAnsi="Arial Unicode MS" w:cs="Arial Unicode MS"/>
          <w:color w:val="000000"/>
          <w:sz w:val="24"/>
          <w:szCs w:val="24"/>
          <w:u w:color="000000"/>
          <w:bdr w:val="nil"/>
          <w:lang w:eastAsia="en-GB"/>
        </w:rPr>
        <w:t xml:space="preserve">service providers offering on-demand services </w:t>
      </w:r>
      <w:r w:rsidRPr="001C5348">
        <w:rPr>
          <w:rFonts w:ascii="Times New Roman" w:eastAsia="Arial Unicode MS" w:hAnsi="Arial Unicode MS" w:cs="Arial Unicode MS"/>
          <w:color w:val="000000"/>
          <w:sz w:val="24"/>
          <w:szCs w:val="24"/>
          <w:u w:color="000000"/>
          <w:bdr w:val="nil"/>
          <w:lang w:eastAsia="en-GB"/>
        </w:rPr>
        <w:t>(V</w:t>
      </w:r>
      <w:r w:rsidR="007A3F3B">
        <w:rPr>
          <w:rFonts w:ascii="Times New Roman" w:eastAsia="Arial Unicode MS" w:hAnsi="Arial Unicode MS" w:cs="Arial Unicode MS"/>
          <w:color w:val="000000"/>
          <w:sz w:val="24"/>
          <w:szCs w:val="24"/>
          <w:u w:color="000000"/>
          <w:bdr w:val="nil"/>
          <w:lang w:eastAsia="en-GB"/>
        </w:rPr>
        <w:t>o</w:t>
      </w:r>
      <w:r w:rsidRPr="001C5348">
        <w:rPr>
          <w:rFonts w:ascii="Times New Roman" w:eastAsia="Arial Unicode MS" w:hAnsi="Arial Unicode MS" w:cs="Arial Unicode MS"/>
          <w:color w:val="000000"/>
          <w:sz w:val="24"/>
          <w:szCs w:val="24"/>
          <w:u w:color="000000"/>
          <w:bdr w:val="nil"/>
          <w:lang w:eastAsia="en-GB"/>
        </w:rPr>
        <w:t xml:space="preserve">D, music on demand, which would not be covered under this </w:t>
      </w:r>
      <w:r w:rsidR="00996BBA">
        <w:rPr>
          <w:rFonts w:ascii="Times New Roman" w:eastAsia="Arial Unicode MS" w:hAnsi="Arial Unicode MS" w:cs="Arial Unicode MS"/>
          <w:color w:val="000000"/>
          <w:sz w:val="24"/>
          <w:szCs w:val="24"/>
          <w:u w:color="000000"/>
          <w:bdr w:val="nil"/>
          <w:lang w:eastAsia="en-GB"/>
        </w:rPr>
        <w:t>o</w:t>
      </w:r>
      <w:r w:rsidRPr="001C5348">
        <w:rPr>
          <w:rFonts w:ascii="Times New Roman" w:eastAsia="Arial Unicode MS" w:hAnsi="Arial Unicode MS" w:cs="Arial Unicode MS"/>
          <w:color w:val="000000"/>
          <w:sz w:val="24"/>
          <w:szCs w:val="24"/>
          <w:u w:color="000000"/>
          <w:bdr w:val="nil"/>
          <w:lang w:eastAsia="en-GB"/>
        </w:rPr>
        <w:t xml:space="preserve">ption) and service providers offering webcasting services. Increasingly, webcasting </w:t>
      </w:r>
      <w:r w:rsidRPr="00C43783">
        <w:rPr>
          <w:rFonts w:ascii="Times New Roman" w:eastAsia="Arial Unicode MS" w:hAnsi="Arial Unicode MS" w:cs="Arial Unicode MS"/>
          <w:color w:val="000000"/>
          <w:sz w:val="24"/>
          <w:szCs w:val="24"/>
          <w:u w:color="000000"/>
          <w:bdr w:val="nil"/>
          <w:lang w:eastAsia="en-GB"/>
        </w:rPr>
        <w:t xml:space="preserve">services can directly compete with on-demand services. </w:t>
      </w:r>
      <w:r w:rsidRPr="00807CA5">
        <w:rPr>
          <w:rFonts w:ascii="Times New Roman" w:eastAsia="Arial Unicode MS" w:hAnsi="Arial Unicode MS" w:cs="Arial Unicode MS"/>
          <w:color w:val="000000"/>
          <w:sz w:val="24"/>
          <w:szCs w:val="24"/>
          <w:u w:color="000000"/>
          <w:bdr w:val="nil"/>
          <w:lang w:eastAsia="en-GB"/>
        </w:rPr>
        <w:t xml:space="preserve">Especially over time, the </w:t>
      </w:r>
      <w:r w:rsidRPr="000930E2">
        <w:rPr>
          <w:rFonts w:ascii="Times New Roman" w:eastAsia="Arial Unicode MS" w:hAnsi="Arial Unicode MS" w:cs="Arial Unicode MS"/>
          <w:bCs/>
          <w:color w:val="000000"/>
          <w:sz w:val="24"/>
          <w:szCs w:val="24"/>
          <w:u w:color="000000"/>
          <w:bdr w:val="nil"/>
          <w:lang w:eastAsia="en-GB"/>
        </w:rPr>
        <w:t>boundary</w:t>
      </w:r>
      <w:r w:rsidRPr="00807CA5">
        <w:rPr>
          <w:rFonts w:ascii="Times New Roman" w:eastAsia="Arial Unicode MS" w:hAnsi="Arial Unicode MS" w:cs="Arial Unicode MS"/>
          <w:color w:val="000000"/>
          <w:sz w:val="24"/>
          <w:szCs w:val="24"/>
          <w:u w:color="000000"/>
          <w:bdr w:val="nil"/>
          <w:lang w:eastAsia="en-GB"/>
        </w:rPr>
        <w:t xml:space="preserve"> between on-demand services and online linear transmissions may be even more blurred. Services offered to consumers by new entrants have evolved: service providers such as Spotify and Deezer do not only offer on-demand services on the basis of catalogues but also online radio-like services, offering to consumers special programming (e.g. </w:t>
      </w:r>
      <w:r>
        <w:rPr>
          <w:rFonts w:ascii="Times New Roman" w:eastAsia="Arial Unicode MS" w:hAnsi="Arial Unicode MS" w:cs="Arial Unicode MS"/>
          <w:color w:val="000000"/>
          <w:sz w:val="24"/>
          <w:szCs w:val="24"/>
          <w:u w:color="000000"/>
          <w:bdr w:val="nil"/>
          <w:lang w:eastAsia="en-GB"/>
        </w:rPr>
        <w:t xml:space="preserve">'artist radio' or </w:t>
      </w:r>
      <w:r w:rsidRPr="00807CA5">
        <w:rPr>
          <w:rFonts w:ascii="Times New Roman" w:eastAsia="Arial Unicode MS" w:hAnsi="Arial Unicode MS" w:cs="Arial Unicode MS"/>
          <w:color w:val="000000"/>
          <w:sz w:val="24"/>
          <w:szCs w:val="24"/>
          <w:u w:color="000000"/>
          <w:bdr w:val="nil"/>
          <w:lang w:eastAsia="en-GB"/>
        </w:rPr>
        <w:t xml:space="preserve">'channels') which are often partly interactive (e.g. the subscriber may influence the transmission by indicating his or her preferences and dislikes). </w:t>
      </w:r>
      <w:r>
        <w:rPr>
          <w:rFonts w:ascii="Times New Roman" w:eastAsia="Arial Unicode MS" w:hAnsi="Arial Unicode MS" w:cs="Arial Unicode MS"/>
          <w:color w:val="000000"/>
          <w:sz w:val="24"/>
          <w:szCs w:val="24"/>
          <w:u w:color="000000"/>
          <w:bdr w:val="nil"/>
          <w:lang w:eastAsia="en-GB"/>
        </w:rPr>
        <w:t xml:space="preserve">Similar services are being developed by platforms such as YouTube. </w:t>
      </w:r>
      <w:r w:rsidRPr="00807CA5">
        <w:rPr>
          <w:rFonts w:ascii="Times New Roman" w:eastAsia="Arial Unicode MS" w:hAnsi="Arial Unicode MS" w:cs="Arial Unicode MS"/>
          <w:color w:val="000000"/>
          <w:sz w:val="24"/>
          <w:szCs w:val="24"/>
          <w:u w:color="000000"/>
          <w:bdr w:val="nil"/>
          <w:lang w:eastAsia="en-GB"/>
        </w:rPr>
        <w:t xml:space="preserve">With these new models emerging, it becomes more difficult to distinguish what constitutes an online linear transmission and an on-demand service. Therefore, Option </w:t>
      </w:r>
      <w:r>
        <w:rPr>
          <w:rFonts w:ascii="Times New Roman" w:eastAsia="Arial Unicode MS" w:hAnsi="Arial Unicode MS" w:cs="Arial Unicode MS"/>
          <w:color w:val="000000"/>
          <w:sz w:val="24"/>
          <w:szCs w:val="24"/>
          <w:u w:color="000000"/>
          <w:bdr w:val="nil"/>
          <w:lang w:eastAsia="en-GB"/>
        </w:rPr>
        <w:t>3</w:t>
      </w:r>
      <w:r w:rsidRPr="00807CA5">
        <w:rPr>
          <w:rFonts w:ascii="Times New Roman" w:eastAsia="Arial Unicode MS" w:hAnsi="Arial Unicode MS" w:cs="Arial Unicode MS"/>
          <w:color w:val="000000"/>
          <w:sz w:val="24"/>
          <w:szCs w:val="24"/>
          <w:u w:color="000000"/>
          <w:bdr w:val="nil"/>
          <w:lang w:eastAsia="en-GB"/>
        </w:rPr>
        <w:t xml:space="preserve"> could create a grey area, where it would not be clear whether certain online services would be covered by the legal intervention or not. </w:t>
      </w:r>
      <w:r>
        <w:rPr>
          <w:rFonts w:ascii="Times New Roman" w:eastAsia="Arial Unicode MS" w:hAnsi="Arial Unicode MS" w:cs="Arial Unicode MS"/>
          <w:color w:val="000000"/>
          <w:sz w:val="24"/>
          <w:szCs w:val="24"/>
          <w:u w:color="000000"/>
          <w:bdr w:val="nil"/>
          <w:lang w:eastAsia="en-GB"/>
        </w:rPr>
        <w:t>As a result</w:t>
      </w:r>
      <w:r w:rsidRPr="00807CA5">
        <w:rPr>
          <w:rFonts w:ascii="Times New Roman" w:eastAsia="Arial Unicode MS" w:hAnsi="Arial Unicode MS" w:cs="Arial Unicode MS"/>
          <w:color w:val="000000"/>
          <w:sz w:val="24"/>
          <w:szCs w:val="24"/>
          <w:u w:color="000000"/>
          <w:bdr w:val="nil"/>
          <w:lang w:eastAsia="en-GB"/>
        </w:rPr>
        <w:t xml:space="preserve">, it would not provide to the market players the necessary legal certainty nor would it ensure an even competitive situation.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Pr>
          <w:rFonts w:ascii="Times New Roman" w:eastAsia="Arial Unicode MS" w:hAnsi="Arial Unicode MS" w:cs="Arial Unicode MS"/>
          <w:color w:val="000000"/>
          <w:sz w:val="24"/>
          <w:szCs w:val="24"/>
          <w:u w:color="000000"/>
          <w:bdr w:val="nil"/>
          <w:lang w:eastAsia="en-GB"/>
        </w:rPr>
        <w:t>Furthermore</w:t>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online service providers</w:t>
      </w:r>
      <w:r w:rsidRPr="00807CA5">
        <w:rPr>
          <w:rFonts w:ascii="Times New Roman" w:eastAsia="Arial Unicode MS" w:hAnsi="Arial Unicode MS" w:cs="Arial Unicode MS"/>
          <w:color w:val="000000"/>
          <w:sz w:val="24"/>
          <w:szCs w:val="24"/>
          <w:u w:color="000000"/>
          <w:bdr w:val="nil"/>
          <w:lang w:eastAsia="en-GB"/>
        </w:rPr>
        <w:t xml:space="preserve"> can relocate their services more easily than traditional broadcasters and </w:t>
      </w:r>
      <w:r w:rsidRPr="000930E2">
        <w:rPr>
          <w:rFonts w:ascii="Times New Roman" w:eastAsia="Arial Unicode MS" w:hAnsi="Arial Unicode MS" w:cs="Arial Unicode MS"/>
          <w:bCs/>
          <w:color w:val="000000"/>
          <w:sz w:val="24"/>
          <w:szCs w:val="24"/>
          <w:u w:color="000000"/>
          <w:bdr w:val="nil"/>
          <w:lang w:eastAsia="en-GB"/>
        </w:rPr>
        <w:t>therefore</w:t>
      </w:r>
      <w:r w:rsidRPr="00807CA5">
        <w:rPr>
          <w:rFonts w:ascii="Times New Roman" w:eastAsia="Arial Unicode MS" w:hAnsi="Arial Unicode MS" w:cs="Arial Unicode MS"/>
          <w:color w:val="000000"/>
          <w:sz w:val="24"/>
          <w:szCs w:val="24"/>
          <w:u w:color="000000"/>
          <w:bdr w:val="nil"/>
          <w:lang w:eastAsia="en-GB"/>
        </w:rPr>
        <w:t xml:space="preserve"> they can gain a competitive advantage over broadcasters by relocating their establishment to a jurisdiction with lower copyright fees.</w:t>
      </w:r>
    </w:p>
    <w:p w:rsidR="00FC609C" w:rsidRPr="00807CA5" w:rsidRDefault="00007677" w:rsidP="000930E2">
      <w:pPr>
        <w:pStyle w:val="Text1"/>
        <w:ind w:left="0"/>
        <w:rPr>
          <w:rFonts w:eastAsia="Arial Unicode MS" w:hAnsi="Arial Unicode MS" w:cs="Arial Unicode MS"/>
          <w:color w:val="000000"/>
          <w:szCs w:val="24"/>
          <w:u w:color="000000"/>
          <w:bdr w:val="nil"/>
        </w:rPr>
      </w:pPr>
      <w:r>
        <w:rPr>
          <w:rFonts w:eastAsia="Arial Unicode MS" w:hAnsi="Arial Unicode MS" w:cs="Arial Unicode MS"/>
          <w:b/>
          <w:color w:val="000000"/>
          <w:szCs w:val="24"/>
          <w:u w:color="000000"/>
          <w:bdr w:val="nil"/>
        </w:rPr>
        <w:t>Rightholders</w:t>
      </w:r>
    </w:p>
    <w:p w:rsidR="00FC609C"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A587E">
        <w:rPr>
          <w:rFonts w:ascii="Times New Roman" w:eastAsia="Arial Unicode MS" w:hAnsi="Arial Unicode MS" w:cs="Arial Unicode MS"/>
          <w:bCs/>
          <w:color w:val="000000"/>
          <w:sz w:val="24"/>
          <w:szCs w:val="24"/>
          <w:u w:val="single" w:color="000000"/>
          <w:bdr w:val="nil"/>
          <w:lang w:eastAsia="en-GB"/>
        </w:rPr>
        <w:t>Impacts on licensing models and revenues</w:t>
      </w:r>
      <w:r w:rsidRPr="00807CA5">
        <w:rPr>
          <w:rFonts w:ascii="Times New Roman" w:eastAsia="Arial Unicode MS" w:hAnsi="Arial Unicode MS" w:cs="Arial Unicode MS"/>
          <w:bCs/>
          <w:color w:val="000000"/>
          <w:sz w:val="24"/>
          <w:szCs w:val="24"/>
          <w:u w:color="000000"/>
          <w:bdr w:val="nil"/>
          <w:lang w:eastAsia="en-GB"/>
        </w:rPr>
        <w:t>:</w:t>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 xml:space="preserve">Under Option 3, the application </w:t>
      </w:r>
      <w:r w:rsidR="005E06F2">
        <w:rPr>
          <w:rFonts w:ascii="Times New Roman" w:eastAsia="Arial Unicode MS" w:hAnsi="Arial Unicode MS" w:cs="Arial Unicode MS"/>
          <w:color w:val="000000"/>
          <w:sz w:val="24"/>
          <w:szCs w:val="24"/>
          <w:u w:color="000000"/>
          <w:bdr w:val="nil"/>
          <w:lang w:eastAsia="en-GB"/>
        </w:rPr>
        <w:t>of the Co</w:t>
      </w:r>
      <w:r>
        <w:rPr>
          <w:rFonts w:ascii="Times New Roman" w:eastAsia="Arial Unicode MS" w:hAnsi="Arial Unicode MS" w:cs="Arial Unicode MS"/>
          <w:color w:val="000000"/>
          <w:sz w:val="24"/>
          <w:szCs w:val="24"/>
          <w:u w:color="000000"/>
          <w:bdr w:val="nil"/>
          <w:lang w:eastAsia="en-GB"/>
        </w:rPr>
        <w:t xml:space="preserve">O rule to webcasters could lead to new forms of content exploitation (e.g. similar to near on-demand services) which would be fundamentally different from broadcasters' online ancillary services. For example, it is possible to imagine linear streaming services providing access to a limited range of content (one or several films, one or several recordings) in a near on-demand manner over certain period of time - such services would be competing with on-demand services (where the latter would not be </w:t>
      </w:r>
      <w:r w:rsidR="005E06F2">
        <w:rPr>
          <w:rFonts w:ascii="Times New Roman" w:eastAsia="Arial Unicode MS" w:hAnsi="Arial Unicode MS" w:cs="Arial Unicode MS"/>
          <w:color w:val="000000"/>
          <w:sz w:val="24"/>
          <w:szCs w:val="24"/>
          <w:u w:color="000000"/>
          <w:bdr w:val="nil"/>
          <w:lang w:eastAsia="en-GB"/>
        </w:rPr>
        <w:t>able to rely on the Co</w:t>
      </w:r>
      <w:r>
        <w:rPr>
          <w:rFonts w:ascii="Times New Roman" w:eastAsia="Arial Unicode MS" w:hAnsi="Arial Unicode MS" w:cs="Arial Unicode MS"/>
          <w:color w:val="000000"/>
          <w:sz w:val="24"/>
          <w:szCs w:val="24"/>
          <w:u w:color="000000"/>
          <w:bdr w:val="nil"/>
          <w:lang w:eastAsia="en-GB"/>
        </w:rPr>
        <w:t xml:space="preserve">O rule).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807CA5">
        <w:rPr>
          <w:rFonts w:ascii="Times New Roman" w:eastAsia="Arial Unicode MS" w:hAnsi="Arial Unicode MS" w:cs="Arial Unicode MS"/>
          <w:color w:val="000000"/>
          <w:sz w:val="24"/>
          <w:szCs w:val="24"/>
          <w:u w:color="000000"/>
          <w:bdr w:val="nil"/>
          <w:lang w:eastAsia="en-GB"/>
        </w:rPr>
        <w:t xml:space="preserve">Option </w:t>
      </w:r>
      <w:r>
        <w:rPr>
          <w:rFonts w:ascii="Times New Roman" w:eastAsia="Arial Unicode MS" w:hAnsi="Arial Unicode MS" w:cs="Arial Unicode MS"/>
          <w:color w:val="000000"/>
          <w:sz w:val="24"/>
          <w:szCs w:val="24"/>
          <w:u w:color="000000"/>
          <w:bdr w:val="nil"/>
          <w:lang w:eastAsia="en-GB"/>
        </w:rPr>
        <w:t xml:space="preserve">3 </w:t>
      </w:r>
      <w:r w:rsidRPr="00807CA5">
        <w:rPr>
          <w:rFonts w:ascii="Times New Roman" w:eastAsia="Arial Unicode MS" w:hAnsi="Arial Unicode MS" w:cs="Arial Unicode MS"/>
          <w:color w:val="000000"/>
          <w:sz w:val="24"/>
          <w:szCs w:val="24"/>
          <w:u w:color="000000"/>
          <w:bdr w:val="nil"/>
          <w:lang w:eastAsia="en-GB"/>
        </w:rPr>
        <w:t>would</w:t>
      </w:r>
      <w:r>
        <w:rPr>
          <w:rFonts w:ascii="Times New Roman" w:eastAsia="Arial Unicode MS" w:hAnsi="Arial Unicode MS" w:cs="Arial Unicode MS"/>
          <w:color w:val="000000"/>
          <w:sz w:val="24"/>
          <w:szCs w:val="24"/>
          <w:u w:color="000000"/>
          <w:bdr w:val="nil"/>
          <w:lang w:eastAsia="en-GB"/>
        </w:rPr>
        <w:t xml:space="preserve"> generate market uncertainty for </w:t>
      </w:r>
      <w:r w:rsidR="007A3F3B">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Pr>
          <w:rFonts w:ascii="Times New Roman" w:eastAsia="Arial Unicode MS" w:hAnsi="Arial Unicode MS" w:cs="Arial Unicode MS"/>
          <w:color w:val="000000"/>
          <w:sz w:val="24"/>
          <w:szCs w:val="24"/>
          <w:u w:color="000000"/>
          <w:bdr w:val="nil"/>
          <w:lang w:eastAsia="en-GB"/>
        </w:rPr>
        <w:t xml:space="preserve"> and significantly</w:t>
      </w:r>
      <w:r w:rsidRPr="00807CA5">
        <w:rPr>
          <w:rFonts w:ascii="Times New Roman" w:eastAsia="Arial Unicode MS" w:hAnsi="Arial Unicode MS" w:cs="Arial Unicode MS"/>
          <w:color w:val="000000"/>
          <w:sz w:val="24"/>
          <w:szCs w:val="24"/>
          <w:u w:color="000000"/>
          <w:bdr w:val="nil"/>
          <w:lang w:eastAsia="en-GB"/>
        </w:rPr>
        <w:t xml:space="preserve"> increase the risk</w:t>
      </w:r>
      <w:r>
        <w:rPr>
          <w:rFonts w:ascii="Times New Roman" w:eastAsia="Arial Unicode MS" w:hAnsi="Arial Unicode MS" w:cs="Arial Unicode MS"/>
          <w:color w:val="000000"/>
          <w:sz w:val="24"/>
          <w:szCs w:val="24"/>
          <w:u w:color="000000"/>
          <w:bdr w:val="nil"/>
          <w:lang w:eastAsia="en-GB"/>
        </w:rPr>
        <w:t xml:space="preserve"> of content disaggregation of rights currently held by CMOs</w:t>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 xml:space="preserve">As mentioned above, </w:t>
      </w:r>
      <w:r w:rsidRPr="00807CA5">
        <w:rPr>
          <w:rFonts w:ascii="Times New Roman" w:eastAsia="Arial Unicode MS" w:hAnsi="Arial Unicode MS" w:cs="Arial Unicode MS"/>
          <w:color w:val="000000"/>
          <w:sz w:val="24"/>
          <w:szCs w:val="24"/>
          <w:u w:color="000000"/>
          <w:bdr w:val="nil"/>
          <w:lang w:eastAsia="en-GB"/>
        </w:rPr>
        <w:t>it is easy</w:t>
      </w:r>
      <w:r>
        <w:rPr>
          <w:rFonts w:ascii="Times New Roman" w:eastAsia="Arial Unicode MS" w:hAnsi="Arial Unicode MS" w:cs="Arial Unicode MS"/>
          <w:color w:val="000000"/>
          <w:sz w:val="24"/>
          <w:szCs w:val="24"/>
          <w:u w:color="000000"/>
          <w:bdr w:val="nil"/>
          <w:lang w:eastAsia="en-GB"/>
        </w:rPr>
        <w:t xml:space="preserve"> for </w:t>
      </w:r>
      <w:r w:rsidRPr="00807CA5">
        <w:rPr>
          <w:rFonts w:ascii="Times New Roman" w:eastAsia="Arial Unicode MS" w:hAnsi="Arial Unicode MS" w:cs="Arial Unicode MS"/>
          <w:color w:val="000000"/>
          <w:sz w:val="24"/>
          <w:szCs w:val="24"/>
          <w:u w:color="000000"/>
          <w:bdr w:val="nil"/>
          <w:lang w:eastAsia="en-GB"/>
        </w:rPr>
        <w:t>online operators</w:t>
      </w:r>
      <w:r>
        <w:rPr>
          <w:rFonts w:ascii="Times New Roman" w:eastAsia="Arial Unicode MS" w:hAnsi="Arial Unicode MS"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to relocate their establishment in the EU, for instance in order to lower fees paid to </w:t>
      </w:r>
      <w:r w:rsidR="007A3F3B">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sidRPr="00807CA5">
        <w:rPr>
          <w:rFonts w:ascii="Times New Roman" w:eastAsia="Arial Unicode MS" w:hAnsi="Arial Unicode MS" w:cs="Arial Unicode MS"/>
          <w:color w:val="000000"/>
          <w:sz w:val="24"/>
          <w:szCs w:val="24"/>
          <w:u w:color="000000"/>
          <w:bdr w:val="nil"/>
          <w:lang w:eastAsia="en-GB"/>
        </w:rPr>
        <w:t xml:space="preserve"> or for reasons not related to copyright (e.g. taxes or the regulatory regime). The risk of "establishment shopping" would in particular apply when rights are managed by CMOs (especially music). As </w:t>
      </w:r>
      <w:r w:rsidR="007A3F3B">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sidRPr="00807CA5">
        <w:rPr>
          <w:rFonts w:ascii="Times New Roman" w:eastAsia="Arial Unicode MS" w:hAnsi="Arial Unicode MS" w:cs="Arial Unicode MS"/>
          <w:color w:val="000000"/>
          <w:sz w:val="24"/>
          <w:szCs w:val="24"/>
          <w:u w:color="000000"/>
          <w:bdr w:val="nil"/>
          <w:lang w:eastAsia="en-GB"/>
        </w:rPr>
        <w:t xml:space="preserve"> cannot directly control the tariffs fixed by CMOs for the licensing of rights, there is a risk that service providers, who heavily rely on music content, would establish in territories with lower tariffs.</w:t>
      </w:r>
      <w:r w:rsidRPr="00807CA5">
        <w:rPr>
          <w:rFonts w:ascii="Times New Roman" w:eastAsia="Arial Unicode MS" w:hAnsi="Arial Unicode MS" w:cs="Arial Unicode MS"/>
          <w:color w:val="000000"/>
          <w:sz w:val="24"/>
          <w:szCs w:val="24"/>
          <w:u w:color="000000"/>
          <w:bdr w:val="nil"/>
          <w:vertAlign w:val="superscript"/>
          <w:lang w:eastAsia="en-GB"/>
        </w:rPr>
        <w:footnoteReference w:id="115"/>
      </w:r>
      <w:r w:rsidRPr="00807CA5">
        <w:rPr>
          <w:rFonts w:ascii="Times New Roman" w:eastAsia="Arial Unicode MS" w:hAnsi="Arial Unicode MS" w:cs="Arial Unicode MS"/>
          <w:color w:val="000000"/>
          <w:sz w:val="24"/>
          <w:szCs w:val="24"/>
          <w:u w:color="000000"/>
          <w:bdr w:val="nil"/>
          <w:lang w:eastAsia="en-GB"/>
        </w:rPr>
        <w:t xml:space="preserve"> </w:t>
      </w:r>
      <w:r w:rsidRPr="00610306">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 xml:space="preserve">Thus it could encourage "race to the bottom" in terms of copyright fees. This would be detrimental to </w:t>
      </w:r>
      <w:r w:rsidR="007A3F3B">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Pr>
          <w:rFonts w:ascii="Times New Roman" w:eastAsia="Arial Unicode MS" w:hAnsi="Arial Unicode MS" w:cs="Arial Unicode MS"/>
          <w:color w:val="000000"/>
          <w:sz w:val="24"/>
          <w:szCs w:val="24"/>
          <w:u w:color="000000"/>
          <w:bdr w:val="nil"/>
          <w:lang w:eastAsia="en-GB"/>
        </w:rPr>
        <w:t xml:space="preserve"> and</w:t>
      </w:r>
      <w:r w:rsidR="000D410A">
        <w:rPr>
          <w:rFonts w:ascii="Times New Roman" w:eastAsia="Arial Unicode MS" w:hAnsi="Arial Unicode MS" w:cs="Arial Unicode MS"/>
          <w:color w:val="000000"/>
          <w:sz w:val="24"/>
          <w:szCs w:val="24"/>
          <w:u w:color="000000"/>
          <w:bdr w:val="nil"/>
          <w:lang w:eastAsia="en-GB"/>
        </w:rPr>
        <w:t xml:space="preserve"> could trigger</w:t>
      </w:r>
      <w:r w:rsidRPr="00807CA5">
        <w:rPr>
          <w:rFonts w:ascii="Times New Roman" w:eastAsia="Arial Unicode MS" w:hAnsi="Arial Unicode MS" w:cs="Arial Unicode MS"/>
          <w:color w:val="000000"/>
          <w:sz w:val="24"/>
          <w:szCs w:val="24"/>
          <w:u w:color="000000"/>
          <w:bdr w:val="nil"/>
          <w:lang w:eastAsia="en-GB"/>
        </w:rPr>
        <w:t xml:space="preserve"> withdraw</w:t>
      </w:r>
      <w:r>
        <w:rPr>
          <w:rFonts w:ascii="Times New Roman" w:eastAsia="Arial Unicode MS" w:hAnsi="Arial Unicode MS" w:cs="Arial Unicode MS"/>
          <w:color w:val="000000"/>
          <w:sz w:val="24"/>
          <w:szCs w:val="24"/>
          <w:u w:color="000000"/>
          <w:bdr w:val="nil"/>
          <w:lang w:eastAsia="en-GB"/>
        </w:rPr>
        <w:t>al of</w:t>
      </w:r>
      <w:r w:rsidRPr="00807CA5">
        <w:rPr>
          <w:rFonts w:ascii="Times New Roman" w:eastAsia="Arial Unicode MS" w:hAnsi="Arial Unicode MS" w:cs="Arial Unicode MS"/>
          <w:color w:val="000000"/>
          <w:sz w:val="24"/>
          <w:szCs w:val="24"/>
          <w:u w:color="000000"/>
          <w:bdr w:val="nil"/>
          <w:lang w:eastAsia="en-GB"/>
        </w:rPr>
        <w:t xml:space="preserve"> their rights from local CMOs in order to protect their revenues. </w:t>
      </w:r>
      <w:r>
        <w:rPr>
          <w:rFonts w:ascii="Times New Roman" w:eastAsia="Arial Unicode MS" w:hAnsi="Arial Unicode MS" w:cs="Arial Unicode MS"/>
          <w:color w:val="000000"/>
          <w:sz w:val="24"/>
          <w:szCs w:val="24"/>
          <w:u w:color="000000"/>
          <w:bdr w:val="nil"/>
          <w:lang w:eastAsia="en-GB"/>
        </w:rPr>
        <w:t>Also, as t</w:t>
      </w:r>
      <w:r w:rsidR="005E06F2">
        <w:rPr>
          <w:rFonts w:ascii="Times New Roman" w:eastAsia="Arial Unicode MS" w:hAnsi="Arial Unicode MS" w:cs="Arial Unicode MS"/>
          <w:color w:val="000000"/>
          <w:sz w:val="24"/>
          <w:szCs w:val="24"/>
          <w:u w:color="000000"/>
          <w:bdr w:val="nil"/>
          <w:lang w:eastAsia="en-GB"/>
        </w:rPr>
        <w:t>he application of the Co</w:t>
      </w:r>
      <w:r w:rsidRPr="00807CA5">
        <w:rPr>
          <w:rFonts w:ascii="Times New Roman" w:eastAsia="Arial Unicode MS" w:hAnsi="Arial Unicode MS" w:cs="Arial Unicode MS"/>
          <w:color w:val="000000"/>
          <w:sz w:val="24"/>
          <w:szCs w:val="24"/>
          <w:u w:color="000000"/>
          <w:bdr w:val="nil"/>
          <w:lang w:eastAsia="en-GB"/>
        </w:rPr>
        <w:t>O principle to a market which is not yet fully formed</w:t>
      </w:r>
      <w:r>
        <w:rPr>
          <w:rFonts w:ascii="Times New Roman" w:eastAsia="Arial Unicode MS" w:hAnsi="Arial Unicode MS" w:cs="Arial Unicode MS"/>
          <w:color w:val="000000"/>
          <w:sz w:val="24"/>
          <w:szCs w:val="24"/>
          <w:u w:color="000000"/>
          <w:bdr w:val="nil"/>
          <w:lang w:eastAsia="en-GB"/>
        </w:rPr>
        <w:t xml:space="preserve"> and where boundaries with on-demand (such as VoD) services are not clearly delineated</w:t>
      </w:r>
      <w:r w:rsidRPr="00807CA5">
        <w:rPr>
          <w:rFonts w:ascii="Times New Roman" w:eastAsia="Arial Unicode MS" w:hAnsi="Arial Unicode MS" w:cs="Arial Unicode MS"/>
          <w:color w:val="000000"/>
          <w:sz w:val="24"/>
          <w:szCs w:val="24"/>
          <w:u w:color="000000"/>
          <w:bdr w:val="nil"/>
          <w:lang w:eastAsia="en-GB"/>
        </w:rPr>
        <w:t xml:space="preserve"> would be likely to drive </w:t>
      </w:r>
      <w:r w:rsidR="007A3F3B">
        <w:rPr>
          <w:rFonts w:ascii="Times New Roman" w:eastAsia="Arial Unicode MS" w:hAnsi="Arial Unicode MS" w:cs="Arial Unicode MS"/>
          <w:color w:val="000000"/>
          <w:sz w:val="24"/>
          <w:szCs w:val="24"/>
          <w:u w:color="000000"/>
          <w:bdr w:val="nil"/>
          <w:lang w:eastAsia="en-GB"/>
        </w:rPr>
        <w:t>r</w:t>
      </w:r>
      <w:r w:rsidR="00007677">
        <w:rPr>
          <w:rFonts w:ascii="Times New Roman" w:eastAsia="Arial Unicode MS" w:hAnsi="Arial Unicode MS" w:cs="Arial Unicode MS"/>
          <w:color w:val="000000"/>
          <w:sz w:val="24"/>
          <w:szCs w:val="24"/>
          <w:u w:color="000000"/>
          <w:bdr w:val="nil"/>
          <w:lang w:eastAsia="en-GB"/>
        </w:rPr>
        <w:t>ightholders</w:t>
      </w:r>
      <w:r w:rsidRPr="00807CA5">
        <w:rPr>
          <w:rFonts w:ascii="Times New Roman" w:eastAsia="Arial Unicode MS" w:hAnsi="Arial Unicode MS" w:cs="Arial Unicode MS"/>
          <w:color w:val="000000"/>
          <w:sz w:val="24"/>
          <w:szCs w:val="24"/>
          <w:u w:color="000000"/>
          <w:bdr w:val="nil"/>
          <w:lang w:eastAsia="en-GB"/>
        </w:rPr>
        <w:t xml:space="preserve"> to withdraw rights from CMOs in order to exercise more control over the licensing.</w:t>
      </w:r>
      <w:r>
        <w:rPr>
          <w:rStyle w:val="FootnoteReference"/>
          <w:rFonts w:ascii="Times New Roman" w:eastAsia="Arial Unicode MS" w:hAnsi="Arial Unicode MS" w:cs="Arial Unicode MS"/>
          <w:color w:val="000000"/>
          <w:sz w:val="24"/>
          <w:szCs w:val="24"/>
          <w:u w:color="000000"/>
          <w:bdr w:val="nil"/>
          <w:lang w:eastAsia="en-GB"/>
        </w:rPr>
        <w:footnoteReference w:id="116"/>
      </w:r>
      <w:r>
        <w:rPr>
          <w:rFonts w:ascii="Times New Roman" w:eastAsia="Arial Unicode MS" w:hAnsi="Arial Unicode MS" w:cs="Arial Unicode M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As a result, this could lead to disaggregation of repertoires managed by CMOs, contrary to the </w:t>
      </w:r>
      <w:r w:rsidRPr="00807CA5">
        <w:rPr>
          <w:rFonts w:ascii="Times New Roman" w:eastAsia="Arial Unicode MS" w:hAnsi="Times New Roman" w:cs="Times New Roman"/>
          <w:noProof/>
          <w:sz w:val="24"/>
          <w:szCs w:val="24"/>
          <w:u w:color="000000"/>
          <w:bdr w:val="nil"/>
          <w:lang w:eastAsia="en-GB"/>
        </w:rPr>
        <w:t xml:space="preserve">objective of </w:t>
      </w:r>
      <w:r>
        <w:rPr>
          <w:rFonts w:ascii="Times New Roman" w:eastAsia="Arial Unicode MS" w:hAnsi="Times New Roman" w:cs="Times New Roman"/>
          <w:noProof/>
          <w:sz w:val="24"/>
          <w:szCs w:val="24"/>
          <w:u w:color="000000"/>
          <w:bdr w:val="nil"/>
          <w:lang w:eastAsia="en-GB"/>
        </w:rPr>
        <w:t xml:space="preserve">the </w:t>
      </w:r>
      <w:r>
        <w:rPr>
          <w:rFonts w:ascii="Times New Roman" w:hAnsi="Times New Roman"/>
          <w:bCs/>
          <w:noProof/>
          <w:sz w:val="24"/>
          <w:szCs w:val="24"/>
          <w:lang w:eastAsia="en-GB"/>
        </w:rPr>
        <w:t>CRM Directive</w:t>
      </w:r>
      <w:r w:rsidRPr="00807CA5">
        <w:rPr>
          <w:rFonts w:ascii="Times New Roman" w:eastAsia="Arial Unicode MS" w:hAnsi="Times New Roman" w:cs="Times New Roman"/>
          <w:noProof/>
          <w:sz w:val="24"/>
          <w:szCs w:val="24"/>
          <w:u w:color="000000"/>
          <w:bdr w:val="nil"/>
          <w:lang w:eastAsia="en-GB"/>
        </w:rPr>
        <w:t>.</w:t>
      </w:r>
      <w:r w:rsidRPr="00807CA5">
        <w:rPr>
          <w:rFonts w:ascii="Times New Roman" w:eastAsia="Arial Unicode MS" w:hAnsi="Arial Unicode MS" w:cs="Arial Unicode MS"/>
          <w:color w:val="000000"/>
          <w:sz w:val="24"/>
          <w:szCs w:val="24"/>
          <w:u w:color="000000"/>
          <w:bdr w:val="nil"/>
          <w:lang w:eastAsia="en-GB"/>
        </w:rPr>
        <w:t xml:space="preserve"> </w:t>
      </w:r>
    </w:p>
    <w:p w:rsidR="00FC609C" w:rsidRPr="00807CA5" w:rsidRDefault="00FC609C" w:rsidP="000930E2">
      <w:pPr>
        <w:pStyle w:val="Text1"/>
        <w:ind w:left="0"/>
        <w:rPr>
          <w:rFonts w:eastAsia="Arial Unicode MS" w:hAnsi="Arial Unicode MS" w:cs="Arial Unicode MS"/>
          <w:b/>
          <w:bCs/>
          <w:color w:val="000000"/>
          <w:szCs w:val="24"/>
          <w:u w:color="000000"/>
          <w:bdr w:val="nil"/>
        </w:rPr>
      </w:pPr>
      <w:r w:rsidRPr="000930E2">
        <w:rPr>
          <w:rFonts w:eastAsia="Arial Unicode MS" w:hAnsi="Arial Unicode MS" w:cs="Arial Unicode MS"/>
          <w:b/>
          <w:bCs/>
          <w:color w:val="000000"/>
          <w:szCs w:val="24"/>
          <w:bdr w:val="nil"/>
        </w:rPr>
        <w:t>Consumers</w:t>
      </w:r>
    </w:p>
    <w:p w:rsidR="00FC609C" w:rsidRPr="00870476"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bCs/>
          <w:color w:val="000000"/>
          <w:sz w:val="24"/>
          <w:szCs w:val="24"/>
          <w:u w:color="000000"/>
          <w:bdr w:val="nil"/>
          <w:lang w:eastAsia="en-GB"/>
        </w:rPr>
      </w:pPr>
      <w:r w:rsidRPr="008A587E">
        <w:rPr>
          <w:rFonts w:ascii="Times New Roman" w:eastAsia="Arial Unicode MS" w:hAnsi="Times New Roman" w:cs="Arial Unicode MS"/>
          <w:color w:val="000000"/>
          <w:sz w:val="24"/>
          <w:szCs w:val="24"/>
          <w:u w:val="single" w:color="000000"/>
          <w:bdr w:val="nil"/>
          <w:lang w:eastAsia="en-GB"/>
        </w:rPr>
        <w:t>Impacts on access to online transmission services</w:t>
      </w:r>
      <w:r w:rsidRPr="00807CA5">
        <w:rPr>
          <w:rFonts w:ascii="Times New Roman" w:eastAsia="Arial Unicode MS" w:hAnsi="Times New Roman" w:cs="Arial Unicode MS"/>
          <w:color w:val="000000"/>
          <w:sz w:val="24"/>
          <w:szCs w:val="24"/>
          <w:u w:color="000000"/>
          <w:bdr w:val="nil"/>
          <w:lang w:eastAsia="en-GB"/>
        </w:rPr>
        <w:t>:</w:t>
      </w:r>
      <w:r w:rsidRPr="00807CA5">
        <w:rPr>
          <w:rFonts w:ascii="Times New Roman" w:eastAsia="Arial Unicode MS" w:hAnsi="Arial Unicode MS" w:cs="Arial Unicode MS"/>
          <w:bCs/>
          <w:color w:val="000000"/>
          <w:sz w:val="24"/>
          <w:szCs w:val="24"/>
          <w:u w:color="000000"/>
          <w:bdr w:val="nil"/>
          <w:lang w:eastAsia="en-GB"/>
        </w:rPr>
        <w:t xml:space="preserve"> </w:t>
      </w:r>
      <w:r w:rsidRPr="00807CA5">
        <w:rPr>
          <w:rFonts w:ascii="Times New Roman" w:eastAsia="Arial Unicode MS" w:hAnsi="Arial Unicode MS" w:cs="Arial Unicode MS"/>
          <w:color w:val="000000"/>
          <w:sz w:val="24"/>
          <w:szCs w:val="24"/>
          <w:u w:color="000000"/>
          <w:bdr w:val="nil"/>
          <w:lang w:eastAsia="en-GB"/>
        </w:rPr>
        <w:t xml:space="preserve">Impacts on consumers would </w:t>
      </w:r>
      <w:r>
        <w:rPr>
          <w:rFonts w:ascii="Times New Roman" w:eastAsia="Arial Unicode MS" w:hAnsi="Arial Unicode MS" w:cs="Arial Unicode MS"/>
          <w:color w:val="000000"/>
          <w:sz w:val="24"/>
          <w:szCs w:val="24"/>
          <w:u w:color="000000"/>
          <w:bdr w:val="nil"/>
          <w:lang w:eastAsia="en-GB"/>
        </w:rPr>
        <w:t xml:space="preserve">depend on the effects that this </w:t>
      </w:r>
      <w:r w:rsidR="00996BBA">
        <w:rPr>
          <w:rFonts w:ascii="Times New Roman" w:eastAsia="Arial Unicode MS" w:hAnsi="Arial Unicode MS" w:cs="Arial Unicode MS"/>
          <w:color w:val="000000"/>
          <w:sz w:val="24"/>
          <w:szCs w:val="24"/>
          <w:u w:color="000000"/>
          <w:bdr w:val="nil"/>
          <w:lang w:eastAsia="en-GB"/>
        </w:rPr>
        <w:t>o</w:t>
      </w:r>
      <w:r>
        <w:rPr>
          <w:rFonts w:ascii="Times New Roman" w:eastAsia="Arial Unicode MS" w:hAnsi="Arial Unicode MS" w:cs="Arial Unicode MS"/>
          <w:color w:val="000000"/>
          <w:sz w:val="24"/>
          <w:szCs w:val="24"/>
          <w:u w:color="000000"/>
          <w:bdr w:val="nil"/>
          <w:lang w:eastAsia="en-GB"/>
        </w:rPr>
        <w:t>ption would have in the effective facilitation of licensing</w:t>
      </w:r>
      <w:r w:rsidRPr="00807CA5">
        <w:rPr>
          <w:rFonts w:ascii="Times New Roman" w:eastAsia="Arial Unicode MS" w:hAnsi="Arial Unicode MS" w:cs="Arial Unicode MS"/>
          <w:color w:val="000000"/>
          <w:sz w:val="24"/>
          <w:szCs w:val="24"/>
          <w:u w:color="000000"/>
          <w:bdr w:val="nil"/>
          <w:lang w:eastAsia="en-GB"/>
        </w:rPr>
        <w:t xml:space="preserve">. </w:t>
      </w:r>
      <w:r>
        <w:rPr>
          <w:rFonts w:ascii="Times New Roman" w:eastAsia="Arial Unicode MS" w:hAnsi="Arial Unicode MS" w:cs="Arial Unicode MS"/>
          <w:color w:val="000000"/>
          <w:sz w:val="24"/>
          <w:szCs w:val="24"/>
          <w:u w:color="000000"/>
          <w:bdr w:val="nil"/>
          <w:lang w:eastAsia="en-GB"/>
        </w:rPr>
        <w:t>In addition to the positive impacts mentioned under Option 2, consumers could benefit from cross-border access to webcasting services, notably with regard</w:t>
      </w:r>
      <w:r w:rsidRPr="00807CA5">
        <w:rPr>
          <w:rFonts w:ascii="Times New Roman" w:eastAsia="Arial Unicode MS" w:hAnsi="Arial Unicode MS" w:cs="Arial Unicode MS"/>
          <w:bCs/>
          <w:color w:val="000000"/>
          <w:sz w:val="24"/>
          <w:szCs w:val="24"/>
          <w:u w:color="000000"/>
          <w:bdr w:val="nil"/>
          <w:lang w:eastAsia="en-GB"/>
        </w:rPr>
        <w:t xml:space="preserve"> to content distributed without territorial exclusivity.</w:t>
      </w:r>
      <w:r>
        <w:rPr>
          <w:rFonts w:ascii="Times New Roman" w:eastAsia="Arial Unicode MS" w:hAnsi="Arial Unicode MS" w:cs="Arial Unicode MS"/>
          <w:bCs/>
          <w:color w:val="000000"/>
          <w:sz w:val="24"/>
          <w:szCs w:val="24"/>
          <w:u w:color="000000"/>
          <w:bdr w:val="nil"/>
          <w:lang w:eastAsia="en-GB"/>
        </w:rPr>
        <w:t xml:space="preserve"> However, due to a risk of negative impact on broadcasters' transaction costs explained above, there is a risk that the impact on consumers may be negative.</w:t>
      </w:r>
      <w:r w:rsidR="008C4000">
        <w:rPr>
          <w:rFonts w:ascii="Times New Roman" w:eastAsia="Arial Unicode MS" w:hAnsi="Arial Unicode MS" w:cs="Arial Unicode MS"/>
          <w:bCs/>
          <w:color w:val="000000"/>
          <w:sz w:val="24"/>
          <w:szCs w:val="24"/>
          <w:u w:color="000000"/>
          <w:bdr w:val="nil"/>
          <w:lang w:eastAsia="en-GB"/>
        </w:rPr>
        <w:t xml:space="preserve"> </w:t>
      </w:r>
    </w:p>
    <w:p w:rsidR="00FC609C" w:rsidRPr="00807CA5" w:rsidRDefault="00FC609C"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15305B">
        <w:rPr>
          <w:rFonts w:ascii="Times New Roman" w:eastAsia="Arial Unicode MS" w:hAnsi="Times New Roman" w:cs="Arial Unicode MS"/>
          <w:color w:val="000000"/>
          <w:sz w:val="24"/>
          <w:szCs w:val="24"/>
          <w:u w:val="single" w:color="000000"/>
          <w:bdr w:val="nil"/>
          <w:lang w:eastAsia="en-GB"/>
        </w:rPr>
        <w:t>Impacts on consumer prices</w:t>
      </w:r>
      <w:r>
        <w:rPr>
          <w:rFonts w:ascii="Times New Roman" w:eastAsia="Arial Unicode MS" w:hAnsi="Arial Unicode MS" w:cs="Arial Unicode MS"/>
          <w:bCs/>
          <w:color w:val="000000"/>
          <w:sz w:val="24"/>
          <w:szCs w:val="24"/>
          <w:u w:color="000000"/>
          <w:bdr w:val="nil"/>
          <w:lang w:eastAsia="en-GB"/>
        </w:rPr>
        <w:t>: would be similar to the impacts described under Option 2,</w:t>
      </w:r>
      <w:r>
        <w:rPr>
          <w:rFonts w:ascii="Times New Roman" w:eastAsia="Arial Unicode MS" w:hAnsi="Arial Unicode MS" w:cs="Arial Unicode MS"/>
          <w:color w:val="000000"/>
          <w:sz w:val="24"/>
          <w:szCs w:val="24"/>
          <w:u w:color="000000"/>
          <w:bdr w:val="nil"/>
          <w:lang w:eastAsia="en-GB"/>
        </w:rPr>
        <w:t xml:space="preserve"> as long as this </w:t>
      </w:r>
      <w:r w:rsidR="00996BBA">
        <w:rPr>
          <w:rFonts w:ascii="Times New Roman" w:eastAsia="Arial Unicode MS" w:hAnsi="Arial Unicode MS" w:cs="Arial Unicode MS"/>
          <w:color w:val="000000"/>
          <w:sz w:val="24"/>
          <w:szCs w:val="24"/>
          <w:u w:color="000000"/>
          <w:bdr w:val="nil"/>
          <w:lang w:eastAsia="en-GB"/>
        </w:rPr>
        <w:t>o</w:t>
      </w:r>
      <w:r>
        <w:rPr>
          <w:rFonts w:ascii="Times New Roman" w:eastAsia="Arial Unicode MS" w:hAnsi="Arial Unicode MS" w:cs="Arial Unicode MS"/>
          <w:color w:val="000000"/>
          <w:sz w:val="24"/>
          <w:szCs w:val="24"/>
          <w:u w:color="000000"/>
          <w:bdr w:val="nil"/>
          <w:lang w:eastAsia="en-GB"/>
        </w:rPr>
        <w:t xml:space="preserve">ption leads to more availability of </w:t>
      </w:r>
      <w:r w:rsidRPr="000930E2">
        <w:rPr>
          <w:rFonts w:ascii="Times New Roman" w:eastAsia="Arial Unicode MS" w:hAnsi="Arial Unicode MS" w:cs="Arial Unicode MS"/>
          <w:bCs/>
          <w:color w:val="000000"/>
          <w:sz w:val="24"/>
          <w:szCs w:val="24"/>
          <w:u w:color="000000"/>
          <w:bdr w:val="nil"/>
          <w:lang w:eastAsia="en-GB"/>
        </w:rPr>
        <w:t>cross</w:t>
      </w:r>
      <w:r>
        <w:rPr>
          <w:rFonts w:ascii="Times New Roman" w:eastAsia="Arial Unicode MS" w:hAnsi="Arial Unicode MS" w:cs="Arial Unicode MS"/>
          <w:color w:val="000000"/>
          <w:sz w:val="24"/>
          <w:szCs w:val="24"/>
          <w:u w:color="000000"/>
          <w:bdr w:val="nil"/>
          <w:lang w:eastAsia="en-GB"/>
        </w:rPr>
        <w:t xml:space="preserve">-border services. </w:t>
      </w:r>
    </w:p>
    <w:p w:rsidR="00FC609C" w:rsidRDefault="00FC609C" w:rsidP="000930E2">
      <w:pPr>
        <w:pStyle w:val="Text1"/>
        <w:ind w:left="0"/>
        <w:rPr>
          <w:rFonts w:ascii="Times New Roman Bold" w:eastAsia="Arial Unicode MS" w:hAnsi="Times New Roman Bold" w:hint="eastAsia"/>
          <w:b/>
          <w:smallCaps/>
          <w:szCs w:val="24"/>
          <w:bdr w:val="nil"/>
        </w:rPr>
      </w:pPr>
      <w:r w:rsidRPr="008E65EE">
        <w:rPr>
          <w:rFonts w:ascii="Times New Roman Bold" w:eastAsia="Arial Unicode MS" w:hAnsi="Times New Roman Bold"/>
          <w:b/>
          <w:smallCaps/>
          <w:szCs w:val="24"/>
          <w:bdr w:val="nil"/>
        </w:rPr>
        <w:t>Social impacts</w:t>
      </w:r>
    </w:p>
    <w:p w:rsidR="008C4000" w:rsidRPr="00D1507D" w:rsidRDefault="00FC609C" w:rsidP="00AD57F7">
      <w:pPr>
        <w:pBdr>
          <w:top w:val="nil"/>
          <w:left w:val="nil"/>
          <w:bottom w:val="nil"/>
          <w:right w:val="nil"/>
          <w:between w:val="nil"/>
          <w:bar w:val="nil"/>
        </w:pBdr>
        <w:spacing w:after="120" w:line="240" w:lineRule="auto"/>
        <w:jc w:val="both"/>
        <w:rPr>
          <w:u w:color="000000"/>
          <w:bdr w:val="nil"/>
        </w:rPr>
      </w:pPr>
      <w:r>
        <w:rPr>
          <w:rFonts w:ascii="Times New Roman" w:eastAsia="Arial Unicode MS" w:hAnsi="Arial Unicode MS" w:cs="Arial Unicode MS"/>
          <w:bCs/>
          <w:color w:val="000000"/>
          <w:sz w:val="24"/>
          <w:szCs w:val="24"/>
          <w:u w:color="000000"/>
          <w:bdr w:val="nil"/>
          <w:lang w:eastAsia="en-GB"/>
        </w:rPr>
        <w:t>T</w:t>
      </w:r>
      <w:r>
        <w:rPr>
          <w:rFonts w:ascii="Times New Roman" w:eastAsia="Arial Unicode MS" w:hAnsi="Arial Unicode MS" w:cs="Arial Unicode MS"/>
          <w:color w:val="000000"/>
          <w:sz w:val="24"/>
          <w:szCs w:val="24"/>
          <w:u w:color="000000"/>
          <w:bdr w:val="nil"/>
          <w:lang w:eastAsia="en-GB"/>
        </w:rPr>
        <w:t xml:space="preserve">he risks associated with Option 3 may result in this </w:t>
      </w:r>
      <w:r w:rsidR="00996BBA">
        <w:rPr>
          <w:rFonts w:ascii="Times New Roman" w:eastAsia="Arial Unicode MS" w:hAnsi="Arial Unicode MS" w:cs="Arial Unicode MS"/>
          <w:color w:val="000000"/>
          <w:sz w:val="24"/>
          <w:szCs w:val="24"/>
          <w:u w:color="000000"/>
          <w:bdr w:val="nil"/>
          <w:lang w:eastAsia="en-GB"/>
        </w:rPr>
        <w:t>o</w:t>
      </w:r>
      <w:r>
        <w:rPr>
          <w:rFonts w:ascii="Times New Roman" w:eastAsia="Arial Unicode MS" w:hAnsi="Arial Unicode MS" w:cs="Arial Unicode MS"/>
          <w:color w:val="000000"/>
          <w:sz w:val="24"/>
          <w:szCs w:val="24"/>
          <w:u w:color="000000"/>
          <w:bdr w:val="nil"/>
          <w:lang w:eastAsia="en-GB"/>
        </w:rPr>
        <w:t xml:space="preserve">ption, as explained above, having a neutral or even negative impact on the distribution of and access to cultural content. </w:t>
      </w:r>
    </w:p>
    <w:p w:rsidR="00FC609C" w:rsidRPr="00C32C45" w:rsidRDefault="00FC609C" w:rsidP="000930E2">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 xml:space="preserve">Impacts on fundamental rights </w:t>
      </w:r>
    </w:p>
    <w:p w:rsidR="00FC609C" w:rsidRPr="00807CA5" w:rsidRDefault="00CA18A7" w:rsidP="00FC609C">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Pr>
          <w:rFonts w:ascii="Times New Roman" w:eastAsia="Arial Unicode MS" w:hAnsi="Arial Unicode MS" w:cs="Arial Unicode MS"/>
          <w:color w:val="000000"/>
          <w:sz w:val="24"/>
          <w:szCs w:val="24"/>
          <w:u w:color="000000"/>
          <w:bdr w:val="nil"/>
          <w:lang w:eastAsia="en-GB"/>
        </w:rPr>
        <w:t>Because it w</w:t>
      </w:r>
      <w:r w:rsidR="005530E8">
        <w:rPr>
          <w:rFonts w:ascii="Times New Roman" w:eastAsia="Arial Unicode MS" w:hAnsi="Arial Unicode MS" w:cs="Arial Unicode MS"/>
          <w:color w:val="000000"/>
          <w:sz w:val="24"/>
          <w:szCs w:val="24"/>
          <w:u w:color="000000"/>
          <w:bdr w:val="nil"/>
          <w:lang w:eastAsia="en-GB"/>
        </w:rPr>
        <w:t>ould</w:t>
      </w:r>
      <w:r>
        <w:rPr>
          <w:rFonts w:ascii="Times New Roman" w:eastAsia="Arial Unicode MS" w:hAnsi="Arial Unicode MS" w:cs="Arial Unicode MS"/>
          <w:color w:val="000000"/>
          <w:sz w:val="24"/>
          <w:szCs w:val="24"/>
          <w:u w:color="000000"/>
          <w:bdr w:val="nil"/>
          <w:lang w:eastAsia="en-GB"/>
        </w:rPr>
        <w:t xml:space="preserve"> impose a licensing regime for cross-border transmissions to a wider range of services (compared to Option 2)</w:t>
      </w:r>
      <w:r w:rsidR="003C2677">
        <w:rPr>
          <w:rFonts w:ascii="Times New Roman" w:eastAsia="Arial Unicode MS" w:hAnsi="Arial Unicode MS" w:cs="Arial Unicode MS"/>
          <w:color w:val="000000"/>
          <w:sz w:val="24"/>
          <w:szCs w:val="24"/>
          <w:u w:color="000000"/>
          <w:bdr w:val="nil"/>
          <w:lang w:eastAsia="en-GB"/>
        </w:rPr>
        <w:t xml:space="preserve">, </w:t>
      </w:r>
      <w:r w:rsidR="00FC609C" w:rsidRPr="00807CA5">
        <w:rPr>
          <w:rFonts w:ascii="Times New Roman" w:eastAsia="Arial Unicode MS" w:hAnsi="Arial Unicode MS" w:cs="Arial Unicode MS"/>
          <w:color w:val="000000"/>
          <w:sz w:val="24"/>
          <w:szCs w:val="24"/>
          <w:u w:color="000000"/>
          <w:bdr w:val="nil"/>
          <w:lang w:eastAsia="en-GB"/>
        </w:rPr>
        <w:t xml:space="preserve">Option </w:t>
      </w:r>
      <w:r w:rsidR="00AA35B6">
        <w:rPr>
          <w:rFonts w:ascii="Times New Roman" w:eastAsia="Arial Unicode MS" w:hAnsi="Arial Unicode MS" w:cs="Arial Unicode MS"/>
          <w:color w:val="000000"/>
          <w:sz w:val="24"/>
          <w:szCs w:val="24"/>
          <w:u w:color="000000"/>
          <w:bdr w:val="nil"/>
          <w:lang w:eastAsia="en-GB"/>
        </w:rPr>
        <w:t>3</w:t>
      </w:r>
      <w:r w:rsidR="00AA35B6" w:rsidRPr="00807CA5">
        <w:rPr>
          <w:rFonts w:ascii="Times New Roman" w:eastAsia="Arial Unicode MS" w:hAnsi="Arial Unicode MS" w:cs="Arial Unicode MS"/>
          <w:color w:val="000000"/>
          <w:sz w:val="24"/>
          <w:szCs w:val="24"/>
          <w:u w:color="000000"/>
          <w:bdr w:val="nil"/>
          <w:lang w:eastAsia="en-GB"/>
        </w:rPr>
        <w:t xml:space="preserve"> </w:t>
      </w:r>
      <w:r w:rsidR="00FC609C" w:rsidRPr="00807CA5">
        <w:rPr>
          <w:rFonts w:ascii="Times New Roman" w:eastAsia="Arial Unicode MS" w:hAnsi="Arial Unicode MS" w:cs="Arial Unicode MS"/>
          <w:color w:val="000000"/>
          <w:sz w:val="24"/>
          <w:szCs w:val="24"/>
          <w:u w:color="000000"/>
          <w:bdr w:val="nil"/>
          <w:lang w:eastAsia="en-GB"/>
        </w:rPr>
        <w:t>would negatively affect copyright as property right. It</w:t>
      </w:r>
      <w:r w:rsidR="00FC609C">
        <w:rPr>
          <w:rFonts w:ascii="Times New Roman" w:eastAsia="Arial Unicode MS" w:hAnsi="Arial Unicode MS" w:cs="Arial Unicode MS"/>
          <w:color w:val="000000"/>
          <w:sz w:val="24"/>
          <w:szCs w:val="24"/>
          <w:u w:color="000000"/>
          <w:bdr w:val="nil"/>
          <w:lang w:eastAsia="en-GB"/>
        </w:rPr>
        <w:t xml:space="preserve">s impact </w:t>
      </w:r>
      <w:r w:rsidR="00FC609C" w:rsidRPr="00807CA5">
        <w:rPr>
          <w:rFonts w:ascii="Times New Roman" w:eastAsia="Arial Unicode MS" w:hAnsi="Arial Unicode MS" w:cs="Arial Unicode MS"/>
          <w:color w:val="000000"/>
          <w:sz w:val="24"/>
          <w:szCs w:val="24"/>
          <w:u w:color="000000"/>
          <w:bdr w:val="nil"/>
          <w:lang w:eastAsia="en-GB"/>
        </w:rPr>
        <w:t xml:space="preserve">on the freedom of information </w:t>
      </w:r>
      <w:r w:rsidR="00FC609C">
        <w:rPr>
          <w:rFonts w:ascii="Times New Roman" w:eastAsia="Arial Unicode MS" w:hAnsi="Arial Unicode MS" w:cs="Arial Unicode MS"/>
          <w:color w:val="000000"/>
          <w:sz w:val="24"/>
          <w:szCs w:val="24"/>
          <w:u w:color="000000"/>
          <w:bdr w:val="nil"/>
          <w:lang w:eastAsia="en-GB"/>
        </w:rPr>
        <w:t xml:space="preserve">would depend on </w:t>
      </w:r>
      <w:r w:rsidR="00FC609C" w:rsidRPr="00807CA5">
        <w:rPr>
          <w:rFonts w:ascii="Times New Roman" w:eastAsia="Arial Unicode MS" w:hAnsi="Arial Unicode MS" w:cs="Arial Unicode MS"/>
          <w:color w:val="000000"/>
          <w:sz w:val="24"/>
          <w:szCs w:val="24"/>
          <w:u w:color="000000"/>
          <w:bdr w:val="nil"/>
          <w:lang w:eastAsia="en-GB"/>
        </w:rPr>
        <w:t xml:space="preserve">the extent </w:t>
      </w:r>
      <w:r w:rsidR="00FC609C">
        <w:rPr>
          <w:rFonts w:ascii="Times New Roman" w:eastAsia="Arial Unicode MS" w:hAnsi="Arial Unicode MS" w:cs="Arial Unicode MS"/>
          <w:color w:val="000000"/>
          <w:sz w:val="24"/>
          <w:szCs w:val="24"/>
          <w:u w:color="000000"/>
          <w:bdr w:val="nil"/>
          <w:lang w:eastAsia="en-GB"/>
        </w:rPr>
        <w:t xml:space="preserve">to which </w:t>
      </w:r>
      <w:r w:rsidR="00FC609C" w:rsidRPr="00807CA5">
        <w:rPr>
          <w:rFonts w:ascii="Times New Roman" w:eastAsia="Arial Unicode MS" w:hAnsi="Arial Unicode MS" w:cs="Arial Unicode MS"/>
          <w:color w:val="000000"/>
          <w:sz w:val="24"/>
          <w:szCs w:val="24"/>
          <w:u w:color="000000"/>
          <w:bdr w:val="nil"/>
          <w:lang w:eastAsia="en-GB"/>
        </w:rPr>
        <w:t>this option would facilitate access to information.</w:t>
      </w:r>
    </w:p>
    <w:p w:rsidR="00FC609C" w:rsidRPr="00305C10" w:rsidRDefault="00FC609C" w:rsidP="0066043F">
      <w:pPr>
        <w:pStyle w:val="Heading5"/>
        <w:tabs>
          <w:tab w:val="left" w:pos="851"/>
        </w:tabs>
        <w:rPr>
          <w:rFonts w:eastAsia="Arial Unicode MS"/>
          <w:i/>
        </w:rPr>
      </w:pPr>
      <w:r w:rsidRPr="0066043F">
        <w:t>3.2.2.4.</w:t>
      </w:r>
      <w:r w:rsidR="0066043F">
        <w:tab/>
      </w:r>
      <w:r w:rsidRPr="0066043F">
        <w:t>How do the options compare?</w:t>
      </w:r>
    </w:p>
    <w:p w:rsidR="00FC609C" w:rsidRPr="00333E57" w:rsidRDefault="00FC609C" w:rsidP="00FC609C">
      <w:pPr>
        <w:spacing w:after="0"/>
        <w:rPr>
          <w:rFonts w:ascii="Times New Roman" w:hAnsi="Times New Roman" w:cs="Times New Roman"/>
          <w:sz w:val="16"/>
          <w:szCs w:val="16"/>
        </w:rPr>
      </w:pPr>
    </w:p>
    <w:tbl>
      <w:tblPr>
        <w:tblStyle w:val="TableGrid7"/>
        <w:tblW w:w="9288" w:type="dxa"/>
        <w:tblLayout w:type="fixed"/>
        <w:tblLook w:val="04A0" w:firstRow="1" w:lastRow="0" w:firstColumn="1" w:lastColumn="0" w:noHBand="0" w:noVBand="1"/>
      </w:tblPr>
      <w:tblGrid>
        <w:gridCol w:w="1526"/>
        <w:gridCol w:w="1701"/>
        <w:gridCol w:w="1843"/>
        <w:gridCol w:w="2268"/>
        <w:gridCol w:w="1950"/>
      </w:tblGrid>
      <w:tr w:rsidR="00FC609C" w:rsidRPr="00807CA5" w:rsidTr="0066043F">
        <w:tc>
          <w:tcPr>
            <w:tcW w:w="1526" w:type="dxa"/>
          </w:tcPr>
          <w:p w:rsidR="00FC609C" w:rsidRPr="00C32C45" w:rsidRDefault="00FC609C" w:rsidP="00FC609C">
            <w:pPr>
              <w:rPr>
                <w:b/>
                <w:szCs w:val="24"/>
                <w:lang w:val="en-US"/>
              </w:rPr>
            </w:pPr>
            <w:r w:rsidRPr="00C32C45">
              <w:rPr>
                <w:b/>
                <w:szCs w:val="24"/>
                <w:lang w:val="en-US"/>
              </w:rPr>
              <w:t>Option</w:t>
            </w:r>
          </w:p>
        </w:tc>
        <w:tc>
          <w:tcPr>
            <w:tcW w:w="1701" w:type="dxa"/>
          </w:tcPr>
          <w:p w:rsidR="00FC609C" w:rsidRPr="00C32C45" w:rsidRDefault="00FC609C" w:rsidP="00FC609C">
            <w:pPr>
              <w:rPr>
                <w:b/>
                <w:szCs w:val="24"/>
                <w:lang w:val="en-US"/>
              </w:rPr>
            </w:pPr>
            <w:r w:rsidRPr="00C32C45">
              <w:rPr>
                <w:b/>
                <w:szCs w:val="24"/>
                <w:lang w:val="en-US"/>
              </w:rPr>
              <w:t>Effectiveness</w:t>
            </w:r>
          </w:p>
        </w:tc>
        <w:tc>
          <w:tcPr>
            <w:tcW w:w="1843" w:type="dxa"/>
          </w:tcPr>
          <w:p w:rsidR="00FC609C" w:rsidRPr="00C32C45" w:rsidRDefault="00FC609C" w:rsidP="00FC609C">
            <w:pPr>
              <w:rPr>
                <w:b/>
                <w:szCs w:val="24"/>
                <w:lang w:val="en-US"/>
              </w:rPr>
            </w:pPr>
            <w:r w:rsidRPr="00C32C45">
              <w:rPr>
                <w:b/>
                <w:szCs w:val="24"/>
                <w:lang w:val="en-US"/>
              </w:rPr>
              <w:t>Efficiency</w:t>
            </w:r>
          </w:p>
        </w:tc>
        <w:tc>
          <w:tcPr>
            <w:tcW w:w="2268" w:type="dxa"/>
          </w:tcPr>
          <w:p w:rsidR="00FC609C" w:rsidRPr="00C32C45" w:rsidRDefault="00FC609C" w:rsidP="00FC609C">
            <w:pPr>
              <w:rPr>
                <w:b/>
                <w:szCs w:val="24"/>
                <w:lang w:val="en-US"/>
              </w:rPr>
            </w:pPr>
            <w:r w:rsidRPr="00C32C45">
              <w:rPr>
                <w:b/>
                <w:szCs w:val="24"/>
                <w:lang w:val="en-US"/>
              </w:rPr>
              <w:t>Impact on stakeholders</w:t>
            </w:r>
          </w:p>
        </w:tc>
        <w:tc>
          <w:tcPr>
            <w:tcW w:w="1950" w:type="dxa"/>
          </w:tcPr>
          <w:p w:rsidR="00FC609C" w:rsidRPr="00C32C45" w:rsidRDefault="00FC609C" w:rsidP="00FC609C">
            <w:pPr>
              <w:rPr>
                <w:b/>
                <w:szCs w:val="24"/>
                <w:lang w:val="en-US"/>
              </w:rPr>
            </w:pPr>
            <w:r w:rsidRPr="00C32C45">
              <w:rPr>
                <w:b/>
                <w:szCs w:val="24"/>
                <w:lang w:val="en-US"/>
              </w:rPr>
              <w:t>Social impacts and fundamental rights</w:t>
            </w:r>
          </w:p>
        </w:tc>
      </w:tr>
      <w:tr w:rsidR="00FC609C" w:rsidRPr="00807CA5" w:rsidTr="0066043F">
        <w:tc>
          <w:tcPr>
            <w:tcW w:w="1526" w:type="dxa"/>
          </w:tcPr>
          <w:p w:rsidR="00FC609C" w:rsidRPr="00C32C45" w:rsidRDefault="00FC609C" w:rsidP="00FC609C">
            <w:pPr>
              <w:rPr>
                <w:b/>
                <w:szCs w:val="24"/>
                <w:lang w:val="en-US"/>
              </w:rPr>
            </w:pPr>
            <w:r w:rsidRPr="00C32C45">
              <w:rPr>
                <w:b/>
                <w:szCs w:val="24"/>
                <w:lang w:val="en-US"/>
              </w:rPr>
              <w:t>Baseline</w:t>
            </w:r>
          </w:p>
        </w:tc>
        <w:tc>
          <w:tcPr>
            <w:tcW w:w="1701" w:type="dxa"/>
          </w:tcPr>
          <w:p w:rsidR="00FC609C" w:rsidRPr="00807CA5" w:rsidRDefault="00FC609C" w:rsidP="00FC609C">
            <w:pPr>
              <w:ind w:right="-108"/>
              <w:rPr>
                <w:rFonts w:eastAsia="Arial"/>
                <w:color w:val="000000"/>
                <w:u w:color="000000"/>
                <w:lang w:val="en-US"/>
              </w:rPr>
            </w:pPr>
            <w:r w:rsidRPr="00807CA5">
              <w:rPr>
                <w:rFonts w:eastAsia="Arial"/>
                <w:color w:val="000000"/>
                <w:u w:color="000000"/>
                <w:lang w:val="en-US"/>
              </w:rPr>
              <w:t>(0) Limited availability of TV and radio programmes across borders would persist</w:t>
            </w:r>
          </w:p>
        </w:tc>
        <w:tc>
          <w:tcPr>
            <w:tcW w:w="1843"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No direct costs associated with the baseline option </w:t>
            </w:r>
          </w:p>
          <w:p w:rsidR="00FC609C" w:rsidRPr="00807CA5" w:rsidRDefault="00FC609C" w:rsidP="00FC609C">
            <w:pPr>
              <w:rPr>
                <w:szCs w:val="24"/>
                <w:lang w:val="en-US"/>
              </w:rPr>
            </w:pPr>
          </w:p>
        </w:tc>
        <w:tc>
          <w:tcPr>
            <w:tcW w:w="2268" w:type="dxa"/>
          </w:tcPr>
          <w:p w:rsidR="00FC609C" w:rsidRPr="00807CA5" w:rsidRDefault="00FC609C" w:rsidP="00FC609C">
            <w:pPr>
              <w:rPr>
                <w:rFonts w:eastAsia="Arial"/>
                <w:color w:val="000000"/>
                <w:szCs w:val="24"/>
                <w:u w:color="000000"/>
                <w:lang w:val="en-US"/>
              </w:rPr>
            </w:pPr>
            <w:r w:rsidRPr="00807CA5">
              <w:rPr>
                <w:rFonts w:eastAsia="Arial"/>
                <w:color w:val="000000"/>
                <w:u w:color="000000"/>
                <w:lang w:val="en-US"/>
              </w:rPr>
              <w:t xml:space="preserve">(0) Impacts on stakeholders would depend on developments in the licensing market </w:t>
            </w:r>
          </w:p>
        </w:tc>
        <w:tc>
          <w:tcPr>
            <w:tcW w:w="1950"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No direct impact on cultural diversity </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No direct impact on fundamental rights </w:t>
            </w:r>
          </w:p>
        </w:tc>
      </w:tr>
    </w:tbl>
    <w:tbl>
      <w:tblPr>
        <w:tblStyle w:val="TableGrid71"/>
        <w:tblW w:w="9288" w:type="dxa"/>
        <w:tblLayout w:type="fixed"/>
        <w:tblLook w:val="04A0" w:firstRow="1" w:lastRow="0" w:firstColumn="1" w:lastColumn="0" w:noHBand="0" w:noVBand="1"/>
      </w:tblPr>
      <w:tblGrid>
        <w:gridCol w:w="1526"/>
        <w:gridCol w:w="1701"/>
        <w:gridCol w:w="1843"/>
        <w:gridCol w:w="2268"/>
        <w:gridCol w:w="1950"/>
      </w:tblGrid>
      <w:tr w:rsidR="00FC609C" w:rsidRPr="00807CA5" w:rsidTr="0066043F">
        <w:tc>
          <w:tcPr>
            <w:tcW w:w="1526" w:type="dxa"/>
          </w:tcPr>
          <w:p w:rsidR="00FC609C" w:rsidRPr="00C32C45" w:rsidRDefault="00FC609C" w:rsidP="00FC609C">
            <w:pPr>
              <w:rPr>
                <w:b/>
                <w:szCs w:val="24"/>
                <w:lang w:val="en-US"/>
              </w:rPr>
            </w:pPr>
            <w:r w:rsidRPr="00C32C45">
              <w:rPr>
                <w:b/>
                <w:szCs w:val="24"/>
                <w:lang w:val="en-US"/>
              </w:rPr>
              <w:t>Option 1 – Voluntary agreements to facilitate the clearing of rights for broadcasters' online services ancillary to their broadcasts</w:t>
            </w:r>
          </w:p>
        </w:tc>
        <w:tc>
          <w:tcPr>
            <w:tcW w:w="1701"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 Would enhance access to broadcasters online transmissions across borders</w:t>
            </w:r>
            <w:r>
              <w:rPr>
                <w:rFonts w:eastAsia="Arial"/>
                <w:color w:val="000000"/>
                <w:u w:color="000000"/>
                <w:lang w:val="en-US"/>
              </w:rPr>
              <w:t xml:space="preserve"> to a limited extent</w:t>
            </w:r>
          </w:p>
        </w:tc>
        <w:tc>
          <w:tcPr>
            <w:tcW w:w="1843"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(0/-) Po</w:t>
            </w:r>
            <w:r>
              <w:rPr>
                <w:rFonts w:eastAsia="Arial"/>
                <w:color w:val="000000"/>
                <w:u w:color="000000"/>
                <w:lang w:val="en-US"/>
              </w:rPr>
              <w:t xml:space="preserve">ssible one-off costs linked to </w:t>
            </w:r>
            <w:r w:rsidRPr="00807CA5">
              <w:rPr>
                <w:rFonts w:eastAsia="Arial"/>
                <w:color w:val="000000"/>
                <w:u w:color="000000"/>
                <w:lang w:val="en-US"/>
              </w:rPr>
              <w:t xml:space="preserve">negotiation of </w:t>
            </w:r>
            <w:r>
              <w:rPr>
                <w:rFonts w:eastAsia="Arial"/>
                <w:color w:val="000000"/>
                <w:u w:color="000000"/>
                <w:lang w:val="en-US"/>
              </w:rPr>
              <w:t>voluntary agreements</w:t>
            </w:r>
            <w:r w:rsidRPr="00807CA5">
              <w:rPr>
                <w:rFonts w:eastAsia="Arial"/>
                <w:color w:val="000000"/>
                <w:u w:color="000000"/>
                <w:lang w:val="en-US"/>
              </w:rPr>
              <w:t xml:space="preserve"> but expected to be limited</w:t>
            </w:r>
          </w:p>
        </w:tc>
        <w:tc>
          <w:tcPr>
            <w:tcW w:w="2268"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w:t>
            </w:r>
            <w:r>
              <w:rPr>
                <w:rFonts w:eastAsia="Arial"/>
                <w:color w:val="000000"/>
                <w:u w:color="000000"/>
                <w:lang w:val="en-US"/>
              </w:rPr>
              <w:t xml:space="preserve"> Limited r</w:t>
            </w:r>
            <w:r w:rsidRPr="00807CA5">
              <w:rPr>
                <w:rFonts w:eastAsia="Arial"/>
                <w:color w:val="000000"/>
                <w:u w:color="000000"/>
                <w:lang w:val="en-US"/>
              </w:rPr>
              <w:t>educ</w:t>
            </w:r>
            <w:r>
              <w:rPr>
                <w:rFonts w:eastAsia="Arial"/>
                <w:color w:val="000000"/>
                <w:u w:color="000000"/>
                <w:lang w:val="en-US"/>
              </w:rPr>
              <w:t>tion of</w:t>
            </w:r>
            <w:r w:rsidRPr="00807CA5">
              <w:rPr>
                <w:rFonts w:eastAsia="Arial"/>
                <w:color w:val="000000"/>
                <w:u w:color="000000"/>
                <w:lang w:val="en-US"/>
              </w:rPr>
              <w:t xml:space="preserve"> transaction costs for broadcasters due to </w:t>
            </w:r>
            <w:r>
              <w:rPr>
                <w:rFonts w:eastAsia="Arial"/>
                <w:color w:val="000000"/>
                <w:u w:color="000000"/>
                <w:lang w:val="en-US"/>
              </w:rPr>
              <w:t>the possibilities of aggregation of rights</w:t>
            </w:r>
            <w:r w:rsidRPr="00807CA5">
              <w:rPr>
                <w:rFonts w:eastAsia="Arial"/>
                <w:color w:val="000000"/>
                <w:u w:color="000000"/>
                <w:lang w:val="en-US"/>
              </w:rPr>
              <w:t>; better opportunities to offer their online services across borders</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Neutral impact on other service providers </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Impacts on revenues of </w:t>
            </w:r>
            <w:r w:rsidR="007A3F3B">
              <w:rPr>
                <w:rFonts w:eastAsia="Arial"/>
                <w:color w:val="000000"/>
                <w:u w:color="000000"/>
                <w:lang w:val="en-US"/>
              </w:rPr>
              <w:t>r</w:t>
            </w:r>
            <w:r w:rsidR="00007677">
              <w:rPr>
                <w:rFonts w:eastAsia="Arial"/>
                <w:color w:val="000000"/>
                <w:u w:color="000000"/>
                <w:lang w:val="en-US"/>
              </w:rPr>
              <w:t>ightholders</w:t>
            </w:r>
            <w:r w:rsidRPr="00807CA5">
              <w:rPr>
                <w:rFonts w:eastAsia="Arial"/>
                <w:color w:val="000000"/>
                <w:u w:color="000000"/>
                <w:lang w:val="en-US"/>
              </w:rPr>
              <w:t xml:space="preserve"> expected to be neutral or adjusted according to the usage</w:t>
            </w:r>
          </w:p>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 xml:space="preserve">+) </w:t>
            </w:r>
            <w:r>
              <w:rPr>
                <w:rFonts w:eastAsia="Arial"/>
                <w:color w:val="000000"/>
                <w:u w:color="000000"/>
                <w:lang w:val="en-US"/>
              </w:rPr>
              <w:t>Limited improvement to</w:t>
            </w:r>
            <w:r w:rsidRPr="00807CA5">
              <w:rPr>
                <w:rFonts w:eastAsia="Arial"/>
                <w:color w:val="000000"/>
                <w:u w:color="000000"/>
                <w:lang w:val="en-US"/>
              </w:rPr>
              <w:t xml:space="preserve"> cross-border availability of content for consumers</w:t>
            </w:r>
          </w:p>
        </w:tc>
        <w:tc>
          <w:tcPr>
            <w:tcW w:w="1950"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 xml:space="preserve">+) </w:t>
            </w:r>
            <w:r>
              <w:rPr>
                <w:rFonts w:eastAsia="Arial"/>
                <w:color w:val="000000"/>
                <w:u w:color="000000"/>
                <w:lang w:val="en-US"/>
              </w:rPr>
              <w:t>Limited p</w:t>
            </w:r>
            <w:r w:rsidRPr="00807CA5">
              <w:rPr>
                <w:rFonts w:eastAsia="Arial"/>
                <w:color w:val="000000"/>
                <w:u w:color="000000"/>
                <w:lang w:val="en-US"/>
              </w:rPr>
              <w:t>ositive impact on cultural diversity</w:t>
            </w:r>
          </w:p>
          <w:p w:rsidR="00FC609C" w:rsidRPr="00807CA5" w:rsidRDefault="00FC609C" w:rsidP="00FC609C">
            <w:pPr>
              <w:rPr>
                <w:rFonts w:eastAsia="Arial"/>
                <w:color w:val="000000"/>
                <w:u w:color="000000"/>
                <w:lang w:val="en-US"/>
              </w:rPr>
            </w:pPr>
            <w:r>
              <w:rPr>
                <w:rFonts w:eastAsia="Arial"/>
                <w:color w:val="000000"/>
                <w:u w:color="000000"/>
                <w:lang w:val="en-US"/>
              </w:rPr>
              <w:t>(</w:t>
            </w:r>
            <w:r w:rsidRPr="00807CA5">
              <w:rPr>
                <w:rFonts w:eastAsia="Arial"/>
                <w:color w:val="000000"/>
                <w:u w:color="000000"/>
                <w:lang w:val="en-US"/>
              </w:rPr>
              <w:t xml:space="preserve">0) </w:t>
            </w:r>
            <w:r>
              <w:rPr>
                <w:rFonts w:eastAsia="Arial"/>
                <w:color w:val="000000"/>
                <w:u w:color="000000"/>
                <w:lang w:val="en-US"/>
              </w:rPr>
              <w:t>Neutral</w:t>
            </w:r>
            <w:r w:rsidRPr="00807CA5">
              <w:rPr>
                <w:rFonts w:eastAsia="Arial"/>
                <w:color w:val="000000"/>
                <w:u w:color="000000"/>
                <w:lang w:val="en-US"/>
              </w:rPr>
              <w:t xml:space="preserve"> impact on the right of property</w:t>
            </w:r>
          </w:p>
          <w:p w:rsidR="00FC609C" w:rsidRPr="00807CA5" w:rsidRDefault="00FC609C" w:rsidP="003C2677">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 Limited p</w:t>
            </w:r>
            <w:r w:rsidRPr="00807CA5">
              <w:rPr>
                <w:rFonts w:eastAsia="Arial"/>
                <w:color w:val="000000"/>
                <w:u w:color="000000"/>
                <w:lang w:val="en-US"/>
              </w:rPr>
              <w:t xml:space="preserve">ositive impact on the </w:t>
            </w:r>
            <w:r w:rsidR="003C2677">
              <w:rPr>
                <w:rFonts w:eastAsia="Arial"/>
                <w:color w:val="000000"/>
                <w:u w:color="000000"/>
                <w:lang w:val="en-US"/>
              </w:rPr>
              <w:t>freedom to</w:t>
            </w:r>
            <w:r w:rsidRPr="00807CA5">
              <w:rPr>
                <w:rFonts w:eastAsia="Arial"/>
                <w:color w:val="000000"/>
                <w:u w:color="000000"/>
                <w:lang w:val="en-US"/>
              </w:rPr>
              <w:t xml:space="preserve"> information</w:t>
            </w:r>
          </w:p>
        </w:tc>
      </w:tr>
    </w:tbl>
    <w:tbl>
      <w:tblPr>
        <w:tblStyle w:val="TableGrid7"/>
        <w:tblW w:w="9288" w:type="dxa"/>
        <w:tblLayout w:type="fixed"/>
        <w:tblLook w:val="04A0" w:firstRow="1" w:lastRow="0" w:firstColumn="1" w:lastColumn="0" w:noHBand="0" w:noVBand="1"/>
      </w:tblPr>
      <w:tblGrid>
        <w:gridCol w:w="1526"/>
        <w:gridCol w:w="1701"/>
        <w:gridCol w:w="1843"/>
        <w:gridCol w:w="2268"/>
        <w:gridCol w:w="1950"/>
      </w:tblGrid>
      <w:tr w:rsidR="00FC609C" w:rsidRPr="00807CA5" w:rsidTr="0066043F">
        <w:tc>
          <w:tcPr>
            <w:tcW w:w="1526" w:type="dxa"/>
          </w:tcPr>
          <w:p w:rsidR="00FC609C" w:rsidRPr="00C32C45" w:rsidRDefault="00FC609C" w:rsidP="00FC609C">
            <w:pPr>
              <w:rPr>
                <w:b/>
                <w:szCs w:val="24"/>
                <w:lang w:val="en-US"/>
              </w:rPr>
            </w:pPr>
            <w:r w:rsidRPr="00C32C45">
              <w:rPr>
                <w:b/>
                <w:szCs w:val="24"/>
                <w:lang w:val="en-US"/>
              </w:rPr>
              <w:t>Option 2 – Application of country of origin to the clearing of rights for broadcasters' online services ancillary to their initial broadcast</w:t>
            </w:r>
          </w:p>
        </w:tc>
        <w:tc>
          <w:tcPr>
            <w:tcW w:w="1701"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Would enhance access to broadcasters online transmissions across borders</w:t>
            </w:r>
          </w:p>
        </w:tc>
        <w:tc>
          <w:tcPr>
            <w:tcW w:w="1843"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Possible one-off costs linked to renegotiation of contracts </w:t>
            </w:r>
          </w:p>
        </w:tc>
        <w:tc>
          <w:tcPr>
            <w:tcW w:w="2268"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Reduced transaction costs for broadcasters due to simplified clearance of rights; </w:t>
            </w:r>
            <w:r>
              <w:rPr>
                <w:rFonts w:eastAsia="Arial"/>
                <w:color w:val="000000"/>
                <w:u w:color="000000"/>
                <w:lang w:val="en-US"/>
              </w:rPr>
              <w:t>wider</w:t>
            </w:r>
            <w:r w:rsidRPr="00807CA5">
              <w:rPr>
                <w:rFonts w:eastAsia="Arial"/>
                <w:color w:val="000000"/>
                <w:u w:color="000000"/>
                <w:lang w:val="en-US"/>
              </w:rPr>
              <w:t xml:space="preserve"> opportunities to offer their online services across borders</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Neutral or marginal negative impact on other service providers </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(0/+) Impacts on revenues of </w:t>
            </w:r>
            <w:r w:rsidR="007A3F3B">
              <w:rPr>
                <w:rFonts w:eastAsia="Arial"/>
                <w:color w:val="000000"/>
                <w:u w:color="000000"/>
                <w:lang w:val="en-US"/>
              </w:rPr>
              <w:t>r</w:t>
            </w:r>
            <w:r w:rsidR="00007677">
              <w:rPr>
                <w:rFonts w:eastAsia="Arial"/>
                <w:color w:val="000000"/>
                <w:u w:color="000000"/>
                <w:lang w:val="en-US"/>
              </w:rPr>
              <w:t>ightholders</w:t>
            </w:r>
            <w:r w:rsidRPr="00807CA5">
              <w:rPr>
                <w:rFonts w:eastAsia="Arial"/>
                <w:color w:val="000000"/>
                <w:u w:color="000000"/>
                <w:lang w:val="en-US"/>
              </w:rPr>
              <w:t xml:space="preserve"> expected to be neutral or adjusted according to the usage</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Improved cross-border availability of content for consumers </w:t>
            </w:r>
          </w:p>
        </w:tc>
        <w:tc>
          <w:tcPr>
            <w:tcW w:w="1950"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Positive impact </w:t>
            </w:r>
            <w:r>
              <w:rPr>
                <w:rFonts w:eastAsia="Arial"/>
                <w:color w:val="000000"/>
                <w:u w:color="000000"/>
                <w:lang w:val="en-US"/>
              </w:rPr>
              <w:t xml:space="preserve">on </w:t>
            </w:r>
            <w:r w:rsidRPr="002B3A9F">
              <w:rPr>
                <w:rFonts w:eastAsia="Arial"/>
                <w:color w:val="000000"/>
                <w:u w:color="000000"/>
                <w:lang w:val="en-US"/>
              </w:rPr>
              <w:t>access to information and cultural content</w:t>
            </w:r>
          </w:p>
          <w:p w:rsidR="00FC609C" w:rsidRPr="00807CA5" w:rsidRDefault="00FC609C" w:rsidP="00FC609C">
            <w:pPr>
              <w:rPr>
                <w:rFonts w:eastAsia="Arial"/>
                <w:color w:val="000000"/>
                <w:u w:color="000000"/>
                <w:lang w:val="en-US"/>
              </w:rPr>
            </w:pPr>
            <w:r w:rsidRPr="00807CA5">
              <w:rPr>
                <w:rFonts w:eastAsia="Arial"/>
                <w:color w:val="000000"/>
                <w:u w:color="000000"/>
                <w:lang w:val="en-US"/>
              </w:rPr>
              <w:t>(-/0) Limited negative impact on the right of property</w:t>
            </w:r>
          </w:p>
          <w:p w:rsidR="00FC609C" w:rsidRPr="00807CA5" w:rsidRDefault="00FC609C" w:rsidP="003C2677">
            <w:pPr>
              <w:rPr>
                <w:rFonts w:eastAsia="Arial"/>
                <w:color w:val="000000"/>
                <w:u w:color="000000"/>
                <w:lang w:val="en-US"/>
              </w:rPr>
            </w:pPr>
            <w:r w:rsidRPr="00807CA5">
              <w:rPr>
                <w:rFonts w:eastAsia="Arial"/>
                <w:color w:val="000000"/>
                <w:u w:color="000000"/>
                <w:lang w:val="en-US"/>
              </w:rPr>
              <w:t xml:space="preserve">(+) Positive impact on the </w:t>
            </w:r>
            <w:r w:rsidR="003C2677">
              <w:rPr>
                <w:rFonts w:eastAsia="Arial"/>
                <w:color w:val="000000"/>
                <w:u w:color="000000"/>
                <w:lang w:val="en-US"/>
              </w:rPr>
              <w:t>freedom of</w:t>
            </w:r>
            <w:r w:rsidRPr="00807CA5">
              <w:rPr>
                <w:rFonts w:eastAsia="Arial"/>
                <w:color w:val="000000"/>
                <w:u w:color="000000"/>
                <w:lang w:val="en-US"/>
              </w:rPr>
              <w:t xml:space="preserve"> information</w:t>
            </w:r>
          </w:p>
        </w:tc>
      </w:tr>
      <w:tr w:rsidR="00FC609C" w:rsidRPr="00807CA5" w:rsidTr="0066043F">
        <w:tc>
          <w:tcPr>
            <w:tcW w:w="1526" w:type="dxa"/>
          </w:tcPr>
          <w:p w:rsidR="00FC609C" w:rsidRPr="00807CA5" w:rsidRDefault="00FC609C" w:rsidP="00FC609C">
            <w:pPr>
              <w:rPr>
                <w:szCs w:val="24"/>
                <w:lang w:val="en-US"/>
              </w:rPr>
            </w:pPr>
            <w:r w:rsidRPr="00C32C45">
              <w:rPr>
                <w:b/>
                <w:szCs w:val="24"/>
                <w:lang w:val="en-US"/>
              </w:rPr>
              <w:t>Option 3 – Application of country of origin to the clearing of rights for the services covered by Option 2 and for TV and radio-like linear online transmissions (and services ancillary to such transmission</w:t>
            </w:r>
            <w:r>
              <w:rPr>
                <w:b/>
                <w:szCs w:val="24"/>
                <w:lang w:val="en-US"/>
              </w:rPr>
              <w:t>s</w:t>
            </w:r>
            <w:r w:rsidRPr="005F5018">
              <w:rPr>
                <w:szCs w:val="24"/>
                <w:lang w:val="en-US"/>
              </w:rPr>
              <w:t>)</w:t>
            </w:r>
          </w:p>
        </w:tc>
        <w:tc>
          <w:tcPr>
            <w:tcW w:w="1701"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w:t>
            </w:r>
            <w:r>
              <w:rPr>
                <w:rFonts w:eastAsia="Arial"/>
                <w:color w:val="000000"/>
                <w:u w:color="000000"/>
                <w:lang w:val="en-US"/>
              </w:rPr>
              <w:t>Market uncertainty and risk of disaggregation of repertoire may hamper the effectiveness of the Option</w:t>
            </w:r>
          </w:p>
        </w:tc>
        <w:tc>
          <w:tcPr>
            <w:tcW w:w="1843"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Possible </w:t>
            </w:r>
            <w:r>
              <w:rPr>
                <w:rFonts w:eastAsia="Arial"/>
                <w:color w:val="000000"/>
                <w:u w:color="000000"/>
                <w:lang w:val="en-US"/>
              </w:rPr>
              <w:t xml:space="preserve">high compliance  </w:t>
            </w:r>
            <w:r w:rsidRPr="00807CA5">
              <w:rPr>
                <w:rFonts w:eastAsia="Arial"/>
                <w:color w:val="000000"/>
                <w:u w:color="000000"/>
                <w:lang w:val="en-US"/>
              </w:rPr>
              <w:t xml:space="preserve">costs linked to </w:t>
            </w:r>
            <w:r>
              <w:rPr>
                <w:rFonts w:eastAsia="Arial"/>
                <w:color w:val="000000"/>
                <w:u w:color="000000"/>
                <w:lang w:val="en-US"/>
              </w:rPr>
              <w:t xml:space="preserve">the risk of disaggregation of repertoire </w:t>
            </w:r>
          </w:p>
        </w:tc>
        <w:tc>
          <w:tcPr>
            <w:tcW w:w="2268" w:type="dxa"/>
          </w:tcPr>
          <w:p w:rsidR="00FC609C"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w:t>
            </w:r>
            <w:r w:rsidRPr="00807CA5">
              <w:rPr>
                <w:rFonts w:eastAsia="Arial"/>
                <w:color w:val="000000"/>
                <w:u w:color="000000"/>
                <w:lang w:val="en-US"/>
              </w:rPr>
              <w:t xml:space="preserve">) </w:t>
            </w:r>
            <w:r>
              <w:rPr>
                <w:rFonts w:eastAsia="Arial"/>
                <w:color w:val="000000"/>
                <w:u w:color="000000"/>
                <w:lang w:val="en-US"/>
              </w:rPr>
              <w:t>Simplified clearance of rights applying to webcasts but risk of negative impact on t</w:t>
            </w:r>
            <w:r w:rsidRPr="00807CA5">
              <w:rPr>
                <w:rFonts w:eastAsia="Arial"/>
                <w:color w:val="000000"/>
                <w:u w:color="000000"/>
                <w:lang w:val="en-US"/>
              </w:rPr>
              <w:t>ransaction costs</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w:t>
            </w:r>
            <w:r>
              <w:rPr>
                <w:rFonts w:eastAsia="Arial"/>
                <w:color w:val="000000"/>
                <w:u w:color="000000"/>
                <w:lang w:val="en-US"/>
              </w:rPr>
              <w:t>Legal uncertai</w:t>
            </w:r>
            <w:r w:rsidR="005E06F2">
              <w:rPr>
                <w:rFonts w:eastAsia="Arial"/>
                <w:color w:val="000000"/>
                <w:u w:color="000000"/>
                <w:lang w:val="en-US"/>
              </w:rPr>
              <w:t>nty on the application of the Co</w:t>
            </w:r>
            <w:r>
              <w:rPr>
                <w:rFonts w:eastAsia="Arial"/>
                <w:color w:val="000000"/>
                <w:u w:color="000000"/>
                <w:lang w:val="en-US"/>
              </w:rPr>
              <w:t xml:space="preserve">O rule to certain online services </w:t>
            </w:r>
          </w:p>
          <w:p w:rsidR="00FC609C" w:rsidRPr="00807CA5" w:rsidRDefault="00FC609C" w:rsidP="00FC609C">
            <w:pPr>
              <w:rPr>
                <w:rFonts w:eastAsia="Arial"/>
                <w:color w:val="000000"/>
                <w:u w:color="000000"/>
                <w:lang w:val="en-US"/>
              </w:rPr>
            </w:pPr>
            <w:r w:rsidRPr="00807CA5" w:rsidDel="009106B7">
              <w:rPr>
                <w:rFonts w:eastAsia="Arial"/>
                <w:color w:val="000000"/>
                <w:u w:color="000000"/>
                <w:lang w:val="en-US"/>
              </w:rPr>
              <w:t xml:space="preserve"> </w:t>
            </w:r>
            <w:r w:rsidRPr="00807CA5">
              <w:rPr>
                <w:rFonts w:eastAsia="Arial"/>
                <w:color w:val="000000"/>
                <w:u w:color="000000"/>
                <w:lang w:val="en-US"/>
              </w:rPr>
              <w:t xml:space="preserve">(-) Impacts on protection of </w:t>
            </w:r>
            <w:r w:rsidR="007A3F3B">
              <w:rPr>
                <w:rFonts w:eastAsia="Arial"/>
                <w:color w:val="000000"/>
                <w:u w:color="000000"/>
                <w:lang w:val="en-US"/>
              </w:rPr>
              <w:t>r</w:t>
            </w:r>
            <w:r w:rsidR="00007677">
              <w:rPr>
                <w:rFonts w:eastAsia="Arial"/>
                <w:color w:val="000000"/>
                <w:u w:color="000000"/>
                <w:lang w:val="en-US"/>
              </w:rPr>
              <w:t>ightholders</w:t>
            </w:r>
            <w:r w:rsidRPr="00807CA5">
              <w:rPr>
                <w:rFonts w:eastAsia="Arial"/>
                <w:color w:val="000000"/>
                <w:u w:color="000000"/>
                <w:lang w:val="en-US"/>
              </w:rPr>
              <w:t xml:space="preserve"> interests expected to be negative due to the risks of "establishment shopping"</w:t>
            </w:r>
          </w:p>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w:t>
            </w:r>
            <w:r>
              <w:rPr>
                <w:rFonts w:eastAsia="Arial"/>
                <w:color w:val="000000"/>
                <w:u w:color="000000"/>
                <w:lang w:val="en-US"/>
              </w:rPr>
              <w:t xml:space="preserve"> Risk of no effect (or negative effect) on  </w:t>
            </w:r>
            <w:r w:rsidRPr="00807CA5">
              <w:rPr>
                <w:rFonts w:eastAsia="Arial"/>
                <w:color w:val="000000"/>
                <w:u w:color="000000"/>
                <w:lang w:val="en-US"/>
              </w:rPr>
              <w:t>cross-border availability of content for consumers</w:t>
            </w:r>
            <w:r>
              <w:rPr>
                <w:rFonts w:eastAsia="Arial"/>
                <w:color w:val="000000"/>
                <w:u w:color="000000"/>
                <w:lang w:val="en-US"/>
              </w:rPr>
              <w:t xml:space="preserve"> </w:t>
            </w:r>
          </w:p>
        </w:tc>
        <w:tc>
          <w:tcPr>
            <w:tcW w:w="1950" w:type="dxa"/>
          </w:tcPr>
          <w:p w:rsidR="00FC609C" w:rsidRPr="00807CA5" w:rsidRDefault="00FC609C" w:rsidP="00FC609C">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 xml:space="preserve">) </w:t>
            </w:r>
            <w:r>
              <w:rPr>
                <w:rFonts w:eastAsia="Arial"/>
                <w:color w:val="000000"/>
                <w:u w:color="000000"/>
                <w:lang w:val="en-US"/>
              </w:rPr>
              <w:t>Risk of negative</w:t>
            </w:r>
            <w:r w:rsidRPr="00807CA5">
              <w:rPr>
                <w:rFonts w:eastAsia="Arial"/>
                <w:color w:val="000000"/>
                <w:u w:color="000000"/>
                <w:lang w:val="en-US"/>
              </w:rPr>
              <w:t xml:space="preserve"> impact o</w:t>
            </w:r>
            <w:r>
              <w:rPr>
                <w:rFonts w:eastAsia="Arial"/>
                <w:color w:val="000000"/>
                <w:u w:color="000000"/>
                <w:lang w:val="en-US"/>
              </w:rPr>
              <w:t>n access to cultural content</w:t>
            </w:r>
          </w:p>
          <w:p w:rsidR="00FC609C" w:rsidRPr="00807CA5" w:rsidRDefault="00FC609C" w:rsidP="00FC609C">
            <w:pPr>
              <w:rPr>
                <w:rFonts w:eastAsia="Arial"/>
                <w:color w:val="000000"/>
                <w:u w:color="000000"/>
                <w:lang w:val="en-US"/>
              </w:rPr>
            </w:pPr>
            <w:r w:rsidRPr="00807CA5">
              <w:rPr>
                <w:rFonts w:eastAsia="Arial"/>
                <w:color w:val="000000"/>
                <w:u w:color="000000"/>
                <w:lang w:val="en-US"/>
              </w:rPr>
              <w:t xml:space="preserve">(-) </w:t>
            </w:r>
            <w:r w:rsidR="003C2677">
              <w:rPr>
                <w:rFonts w:eastAsia="Arial"/>
                <w:color w:val="000000"/>
                <w:u w:color="000000"/>
                <w:lang w:val="en-US"/>
              </w:rPr>
              <w:t>N</w:t>
            </w:r>
            <w:r w:rsidRPr="00807CA5">
              <w:rPr>
                <w:rFonts w:eastAsia="Arial"/>
                <w:color w:val="000000"/>
                <w:u w:color="000000"/>
                <w:lang w:val="en-US"/>
              </w:rPr>
              <w:t>egative impact on the right of property</w:t>
            </w:r>
          </w:p>
          <w:p w:rsidR="00FC609C" w:rsidRPr="00807CA5" w:rsidRDefault="00FC609C" w:rsidP="003C2677">
            <w:pPr>
              <w:rPr>
                <w:rFonts w:eastAsia="Arial"/>
                <w:color w:val="000000"/>
                <w:u w:color="000000"/>
                <w:lang w:val="en-US"/>
              </w:rPr>
            </w:pPr>
            <w:r w:rsidRPr="00807CA5">
              <w:rPr>
                <w:rFonts w:eastAsia="Arial"/>
                <w:color w:val="000000"/>
                <w:u w:color="000000"/>
                <w:lang w:val="en-US"/>
              </w:rPr>
              <w:t>(</w:t>
            </w:r>
            <w:r>
              <w:rPr>
                <w:rFonts w:eastAsia="Arial"/>
                <w:color w:val="000000"/>
                <w:u w:color="000000"/>
                <w:lang w:val="en-US"/>
              </w:rPr>
              <w:t>0/-</w:t>
            </w:r>
            <w:r w:rsidRPr="00807CA5">
              <w:rPr>
                <w:rFonts w:eastAsia="Arial"/>
                <w:color w:val="000000"/>
                <w:u w:color="000000"/>
                <w:lang w:val="en-US"/>
              </w:rPr>
              <w:t>)</w:t>
            </w:r>
            <w:r>
              <w:rPr>
                <w:rFonts w:eastAsia="Arial"/>
                <w:color w:val="000000"/>
                <w:u w:color="000000"/>
                <w:lang w:val="en-US"/>
              </w:rPr>
              <w:t xml:space="preserve"> </w:t>
            </w:r>
            <w:r w:rsidR="003C2677">
              <w:rPr>
                <w:rFonts w:eastAsia="Arial"/>
                <w:color w:val="000000"/>
                <w:u w:color="000000"/>
                <w:lang w:val="en-US"/>
              </w:rPr>
              <w:t>Risk of</w:t>
            </w:r>
            <w:r>
              <w:rPr>
                <w:rFonts w:eastAsia="Arial"/>
                <w:color w:val="000000"/>
                <w:u w:color="000000"/>
                <w:lang w:val="en-US"/>
              </w:rPr>
              <w:t xml:space="preserve"> negative </w:t>
            </w:r>
            <w:r w:rsidRPr="00807CA5">
              <w:rPr>
                <w:rFonts w:eastAsia="Arial"/>
                <w:color w:val="000000"/>
                <w:u w:color="000000"/>
                <w:lang w:val="en-US"/>
              </w:rPr>
              <w:t xml:space="preserve">impact on the </w:t>
            </w:r>
            <w:r w:rsidR="003C2677">
              <w:rPr>
                <w:rFonts w:eastAsia="Arial"/>
                <w:color w:val="000000"/>
                <w:u w:color="000000"/>
                <w:lang w:val="en-US"/>
              </w:rPr>
              <w:t>freedom</w:t>
            </w:r>
            <w:r w:rsidRPr="00807CA5">
              <w:rPr>
                <w:rFonts w:eastAsia="Arial"/>
                <w:color w:val="000000"/>
                <w:u w:color="000000"/>
                <w:lang w:val="en-US"/>
              </w:rPr>
              <w:t xml:space="preserve"> </w:t>
            </w:r>
            <w:r w:rsidR="003C2677">
              <w:rPr>
                <w:rFonts w:eastAsia="Arial"/>
                <w:color w:val="000000"/>
                <w:u w:color="000000"/>
                <w:lang w:val="en-US"/>
              </w:rPr>
              <w:t>of</w:t>
            </w:r>
            <w:r w:rsidR="003C2677" w:rsidRPr="00807CA5">
              <w:rPr>
                <w:rFonts w:eastAsia="Arial"/>
                <w:color w:val="000000"/>
                <w:u w:color="000000"/>
                <w:lang w:val="en-US"/>
              </w:rPr>
              <w:t xml:space="preserve"> </w:t>
            </w:r>
            <w:r w:rsidRPr="00807CA5">
              <w:rPr>
                <w:rFonts w:eastAsia="Arial"/>
                <w:color w:val="000000"/>
                <w:u w:color="000000"/>
                <w:lang w:val="en-US"/>
              </w:rPr>
              <w:t xml:space="preserve">information </w:t>
            </w:r>
          </w:p>
        </w:tc>
      </w:tr>
    </w:tbl>
    <w:p w:rsidR="0005581B" w:rsidRDefault="00FC609C" w:rsidP="008C4000">
      <w:pPr>
        <w:pBdr>
          <w:top w:val="nil"/>
          <w:left w:val="nil"/>
          <w:bottom w:val="nil"/>
          <w:right w:val="nil"/>
          <w:between w:val="nil"/>
          <w:bar w:val="nil"/>
        </w:pBdr>
        <w:spacing w:before="240" w:after="120" w:line="240" w:lineRule="auto"/>
        <w:jc w:val="both"/>
        <w:rPr>
          <w:rFonts w:ascii="Times New Roman" w:eastAsia="Arial Unicode MS" w:hAnsi="Times New Roman" w:cs="Times New Roman"/>
          <w:sz w:val="24"/>
          <w:szCs w:val="24"/>
          <w:bdr w:val="nil"/>
          <w:lang w:val="en-US"/>
        </w:rPr>
      </w:pPr>
      <w:r w:rsidRPr="00CC27DB">
        <w:rPr>
          <w:rFonts w:ascii="Times New Roman" w:eastAsia="Arial Unicode MS" w:hAnsi="Times New Roman" w:cs="Times New Roman"/>
          <w:b/>
          <w:sz w:val="24"/>
          <w:szCs w:val="24"/>
          <w:bdr w:val="nil"/>
          <w:lang w:val="en-US"/>
        </w:rPr>
        <w:t>Option 2</w:t>
      </w:r>
      <w:r w:rsidRPr="0005581B">
        <w:rPr>
          <w:rFonts w:ascii="Times New Roman" w:eastAsia="Arial Unicode MS" w:hAnsi="Times New Roman" w:cs="Times New Roman"/>
          <w:b/>
          <w:sz w:val="24"/>
          <w:szCs w:val="24"/>
          <w:bdr w:val="nil"/>
          <w:lang w:val="en-US"/>
        </w:rPr>
        <w:t xml:space="preserve"> </w:t>
      </w:r>
      <w:r w:rsidRPr="00D1507D">
        <w:rPr>
          <w:rFonts w:ascii="Times New Roman" w:hAnsi="Times New Roman"/>
          <w:b/>
          <w:sz w:val="24"/>
          <w:bdr w:val="nil"/>
          <w:lang w:val="en-US"/>
        </w:rPr>
        <w:t xml:space="preserve">is the preferred option, as it facilitates cross-border transmission of broadcasters' TV and radio programmes online, while preserving a balanced landscape taking into account the interests of </w:t>
      </w:r>
      <w:r w:rsidR="007A3F3B">
        <w:rPr>
          <w:rFonts w:ascii="Times New Roman" w:hAnsi="Times New Roman"/>
          <w:b/>
          <w:sz w:val="24"/>
          <w:bdr w:val="nil"/>
          <w:lang w:val="en-US"/>
        </w:rPr>
        <w:t>r</w:t>
      </w:r>
      <w:r w:rsidR="00007677">
        <w:rPr>
          <w:rFonts w:ascii="Times New Roman" w:hAnsi="Times New Roman"/>
          <w:b/>
          <w:sz w:val="24"/>
          <w:bdr w:val="nil"/>
          <w:lang w:val="en-US"/>
        </w:rPr>
        <w:t>ightholders</w:t>
      </w:r>
      <w:r w:rsidRPr="00807CA5">
        <w:rPr>
          <w:rFonts w:ascii="Times New Roman" w:eastAsia="Arial Unicode MS" w:hAnsi="Times New Roman" w:cs="Times New Roman"/>
          <w:sz w:val="24"/>
          <w:szCs w:val="24"/>
          <w:bdr w:val="nil"/>
          <w:lang w:val="en-US"/>
        </w:rPr>
        <w:t xml:space="preserve">. </w:t>
      </w:r>
      <w:r>
        <w:rPr>
          <w:rFonts w:ascii="Times New Roman" w:eastAsia="Arial Unicode MS" w:hAnsi="Times New Roman" w:cs="Times New Roman"/>
          <w:sz w:val="24"/>
          <w:szCs w:val="24"/>
          <w:bdr w:val="nil"/>
          <w:lang w:val="en-US"/>
        </w:rPr>
        <w:t>The b</w:t>
      </w:r>
      <w:r w:rsidRPr="00807CA5">
        <w:rPr>
          <w:rFonts w:ascii="Times New Roman" w:eastAsia="Arial Unicode MS" w:hAnsi="Times New Roman" w:cs="Times New Roman"/>
          <w:sz w:val="24"/>
          <w:szCs w:val="24"/>
          <w:bdr w:val="nil"/>
          <w:lang w:val="en-US"/>
        </w:rPr>
        <w:t xml:space="preserve">aseline option would not allow reaching the objectives identified in this IA. </w:t>
      </w:r>
      <w:r>
        <w:rPr>
          <w:rFonts w:ascii="Times New Roman" w:eastAsia="Arial Unicode MS" w:hAnsi="Times New Roman" w:cs="Times New Roman"/>
          <w:sz w:val="24"/>
          <w:szCs w:val="24"/>
          <w:bdr w:val="nil"/>
          <w:lang w:val="en-US"/>
        </w:rPr>
        <w:t xml:space="preserve">Option 1 could enhance </w:t>
      </w:r>
      <w:r w:rsidR="003C2677">
        <w:rPr>
          <w:rFonts w:ascii="Times New Roman" w:eastAsia="Arial Unicode MS" w:hAnsi="Times New Roman" w:cs="Times New Roman"/>
          <w:sz w:val="24"/>
          <w:szCs w:val="24"/>
          <w:bdr w:val="nil"/>
          <w:lang w:val="en-US"/>
        </w:rPr>
        <w:t xml:space="preserve">online and cross-border </w:t>
      </w:r>
      <w:r>
        <w:rPr>
          <w:rFonts w:ascii="Times New Roman" w:eastAsia="Arial Unicode MS" w:hAnsi="Times New Roman" w:cs="Times New Roman"/>
          <w:sz w:val="24"/>
          <w:szCs w:val="24"/>
          <w:bdr w:val="nil"/>
          <w:lang w:val="en-US"/>
        </w:rPr>
        <w:t xml:space="preserve">access to </w:t>
      </w:r>
      <w:r w:rsidR="003C2677">
        <w:rPr>
          <w:rFonts w:ascii="Times New Roman" w:eastAsia="Arial Unicode MS" w:hAnsi="Times New Roman" w:cs="Times New Roman"/>
          <w:sz w:val="24"/>
          <w:szCs w:val="24"/>
          <w:bdr w:val="nil"/>
          <w:lang w:val="en-US"/>
        </w:rPr>
        <w:t xml:space="preserve">some of the </w:t>
      </w:r>
      <w:r>
        <w:rPr>
          <w:rFonts w:ascii="Times New Roman" w:eastAsia="Arial Unicode MS" w:hAnsi="Times New Roman" w:cs="Times New Roman"/>
          <w:sz w:val="24"/>
          <w:szCs w:val="24"/>
          <w:bdr w:val="nil"/>
          <w:lang w:val="en-US"/>
        </w:rPr>
        <w:t xml:space="preserve">broadcasters' </w:t>
      </w:r>
      <w:r w:rsidR="003C2677">
        <w:rPr>
          <w:rFonts w:ascii="Times New Roman" w:eastAsia="Arial Unicode MS" w:hAnsi="Times New Roman" w:cs="Times New Roman"/>
          <w:sz w:val="24"/>
          <w:szCs w:val="24"/>
          <w:bdr w:val="nil"/>
          <w:lang w:val="en-US"/>
        </w:rPr>
        <w:t>programmes</w:t>
      </w:r>
      <w:r>
        <w:rPr>
          <w:rFonts w:ascii="Times New Roman" w:eastAsia="Arial Unicode MS" w:hAnsi="Times New Roman" w:cs="Times New Roman"/>
          <w:sz w:val="24"/>
          <w:szCs w:val="24"/>
          <w:bdr w:val="nil"/>
          <w:lang w:val="en-US"/>
        </w:rPr>
        <w:t xml:space="preserve"> but its outcome would be more uncertain than the one of Option 2. </w:t>
      </w:r>
      <w:r w:rsidR="008C4000">
        <w:rPr>
          <w:rFonts w:ascii="Times New Roman" w:eastAsia="Arial Unicode MS" w:hAnsi="Times New Roman" w:cs="Times New Roman"/>
          <w:sz w:val="24"/>
          <w:szCs w:val="24"/>
          <w:bdr w:val="nil"/>
          <w:lang w:val="en-US"/>
        </w:rPr>
        <w:t xml:space="preserve">While </w:t>
      </w:r>
      <w:r w:rsidR="008C4000" w:rsidRPr="00807CA5">
        <w:rPr>
          <w:rFonts w:ascii="Times New Roman" w:eastAsia="Arial Unicode MS" w:hAnsi="Times New Roman" w:cs="Times New Roman"/>
          <w:sz w:val="24"/>
          <w:szCs w:val="24"/>
          <w:bdr w:val="nil"/>
          <w:lang w:val="en-US"/>
        </w:rPr>
        <w:t xml:space="preserve">Option </w:t>
      </w:r>
      <w:r w:rsidR="008C4000">
        <w:rPr>
          <w:rFonts w:ascii="Times New Roman" w:eastAsia="Arial Unicode MS" w:hAnsi="Times New Roman" w:cs="Times New Roman"/>
          <w:sz w:val="24"/>
          <w:szCs w:val="24"/>
          <w:bdr w:val="nil"/>
          <w:lang w:val="en-US"/>
        </w:rPr>
        <w:t>3</w:t>
      </w:r>
      <w:r w:rsidR="008C4000" w:rsidRPr="00807CA5">
        <w:rPr>
          <w:rFonts w:ascii="Times New Roman" w:eastAsia="Arial Unicode MS" w:hAnsi="Times New Roman" w:cs="Times New Roman"/>
          <w:sz w:val="24"/>
          <w:szCs w:val="24"/>
          <w:bdr w:val="nil"/>
          <w:lang w:val="en-US"/>
        </w:rPr>
        <w:t xml:space="preserve"> </w:t>
      </w:r>
      <w:r w:rsidR="008C4000">
        <w:rPr>
          <w:rFonts w:ascii="Times New Roman" w:eastAsia="Arial Unicode MS" w:hAnsi="Times New Roman" w:cs="Times New Roman"/>
          <w:sz w:val="24"/>
          <w:szCs w:val="24"/>
          <w:bdr w:val="nil"/>
          <w:lang w:val="en-US"/>
        </w:rPr>
        <w:t xml:space="preserve">seems more 'technologically neutral' than Option 2, it </w:t>
      </w:r>
      <w:r w:rsidR="00A60F1D">
        <w:rPr>
          <w:rFonts w:ascii="Times New Roman" w:eastAsia="Arial Unicode MS" w:hAnsi="Times New Roman" w:cs="Times New Roman"/>
          <w:sz w:val="24"/>
          <w:szCs w:val="24"/>
          <w:bdr w:val="nil"/>
          <w:lang w:val="en-US"/>
        </w:rPr>
        <w:t>is likely to</w:t>
      </w:r>
      <w:r w:rsidR="00A60F1D" w:rsidRPr="00807CA5">
        <w:rPr>
          <w:rFonts w:ascii="Times New Roman" w:eastAsia="Arial Unicode MS" w:hAnsi="Times New Roman" w:cs="Times New Roman"/>
          <w:sz w:val="24"/>
          <w:szCs w:val="24"/>
          <w:bdr w:val="nil"/>
          <w:lang w:val="en-US"/>
        </w:rPr>
        <w:t xml:space="preserve"> </w:t>
      </w:r>
      <w:r w:rsidR="008C4000" w:rsidRPr="00807CA5">
        <w:rPr>
          <w:rFonts w:ascii="Times New Roman" w:eastAsia="Arial Unicode MS" w:hAnsi="Times New Roman" w:cs="Times New Roman"/>
          <w:sz w:val="24"/>
          <w:szCs w:val="24"/>
          <w:bdr w:val="nil"/>
          <w:lang w:val="en-US"/>
        </w:rPr>
        <w:t>create legal uncertainty as it would be very difficult to draw the boundary between services covered by the intervention and not</w:t>
      </w:r>
      <w:r w:rsidR="008C4000">
        <w:rPr>
          <w:rFonts w:ascii="Times New Roman" w:eastAsia="Arial Unicode MS" w:hAnsi="Times New Roman" w:cs="Times New Roman"/>
          <w:sz w:val="24"/>
          <w:szCs w:val="24"/>
          <w:bdr w:val="nil"/>
          <w:lang w:val="en-US"/>
        </w:rPr>
        <w:t xml:space="preserve"> (i.e. on-demand services)</w:t>
      </w:r>
      <w:r w:rsidR="008C4000" w:rsidRPr="00807CA5">
        <w:rPr>
          <w:rFonts w:ascii="Times New Roman" w:eastAsia="Arial Unicode MS" w:hAnsi="Times New Roman" w:cs="Times New Roman"/>
          <w:sz w:val="24"/>
          <w:szCs w:val="24"/>
          <w:bdr w:val="nil"/>
          <w:lang w:val="en-US"/>
        </w:rPr>
        <w:t>, in particular in a future-proof manner.</w:t>
      </w:r>
      <w:r w:rsidR="008C4000">
        <w:rPr>
          <w:rFonts w:ascii="Times New Roman" w:eastAsia="Arial Unicode MS" w:hAnsi="Times New Roman" w:cs="Times New Roman"/>
          <w:sz w:val="24"/>
          <w:szCs w:val="24"/>
          <w:bdr w:val="nil"/>
          <w:lang w:val="en-US"/>
        </w:rPr>
        <w:t xml:space="preserve"> It </w:t>
      </w:r>
      <w:r w:rsidR="00A60F1D">
        <w:rPr>
          <w:rFonts w:ascii="Times New Roman" w:eastAsia="Arial Unicode MS" w:hAnsi="Times New Roman" w:cs="Times New Roman"/>
          <w:sz w:val="24"/>
          <w:szCs w:val="24"/>
          <w:bdr w:val="nil"/>
          <w:lang w:val="en-US"/>
        </w:rPr>
        <w:t xml:space="preserve">also entails </w:t>
      </w:r>
      <w:r w:rsidR="00A60F1D" w:rsidRPr="00807CA5">
        <w:rPr>
          <w:rFonts w:ascii="Times New Roman" w:eastAsia="Arial Unicode MS" w:hAnsi="Times New Roman" w:cs="Times New Roman"/>
          <w:sz w:val="24"/>
          <w:szCs w:val="24"/>
          <w:bdr w:val="nil"/>
          <w:lang w:val="en-US"/>
        </w:rPr>
        <w:t>risks of establishment shopping</w:t>
      </w:r>
      <w:r w:rsidR="00A60F1D">
        <w:rPr>
          <w:rFonts w:ascii="Times New Roman" w:eastAsia="Arial Unicode MS" w:hAnsi="Times New Roman" w:cs="Times New Roman"/>
          <w:sz w:val="24"/>
          <w:szCs w:val="24"/>
          <w:bdr w:val="nil"/>
          <w:lang w:val="en-US"/>
        </w:rPr>
        <w:t xml:space="preserve"> and </w:t>
      </w:r>
      <w:r w:rsidR="008C4000">
        <w:rPr>
          <w:rFonts w:ascii="Times New Roman" w:eastAsia="Arial Unicode MS" w:hAnsi="Times New Roman" w:cs="Times New Roman"/>
          <w:sz w:val="24"/>
          <w:szCs w:val="24"/>
          <w:bdr w:val="nil"/>
          <w:lang w:val="en-US"/>
        </w:rPr>
        <w:t xml:space="preserve">may lead to a </w:t>
      </w:r>
      <w:r w:rsidR="008C4000" w:rsidRPr="0066043F">
        <w:rPr>
          <w:rFonts w:ascii="Times New Roman" w:eastAsia="Arial Unicode MS" w:hAnsi="Arial Unicode MS" w:cs="Arial Unicode MS"/>
          <w:color w:val="000000"/>
          <w:sz w:val="24"/>
          <w:szCs w:val="24"/>
          <w:u w:color="000000"/>
          <w:bdr w:val="nil"/>
          <w:lang w:eastAsia="en-GB"/>
        </w:rPr>
        <w:t>fragmentation</w:t>
      </w:r>
      <w:r w:rsidR="008C4000">
        <w:rPr>
          <w:rFonts w:ascii="Times New Roman" w:eastAsia="Arial Unicode MS" w:hAnsi="Times New Roman" w:cs="Times New Roman"/>
          <w:sz w:val="24"/>
          <w:szCs w:val="24"/>
          <w:bdr w:val="nil"/>
          <w:lang w:val="en-US"/>
        </w:rPr>
        <w:t xml:space="preserve"> of rights (notably those managed by CMOs).</w:t>
      </w:r>
      <w:r w:rsidR="008C4000" w:rsidRPr="00807CA5">
        <w:rPr>
          <w:rFonts w:ascii="Times New Roman" w:eastAsia="Arial Unicode MS" w:hAnsi="Times New Roman" w:cs="Times New Roman"/>
          <w:sz w:val="24"/>
          <w:szCs w:val="24"/>
          <w:bdr w:val="nil"/>
          <w:lang w:val="en-US"/>
        </w:rPr>
        <w:t xml:space="preserve"> </w:t>
      </w:r>
    </w:p>
    <w:p w:rsidR="00FC609C" w:rsidRPr="00D1507D" w:rsidRDefault="0019259B" w:rsidP="00D1507D">
      <w:pPr>
        <w:pBdr>
          <w:top w:val="nil"/>
          <w:left w:val="nil"/>
          <w:bottom w:val="nil"/>
          <w:right w:val="nil"/>
          <w:between w:val="nil"/>
          <w:bar w:val="nil"/>
        </w:pBdr>
        <w:spacing w:before="240" w:after="120" w:line="240" w:lineRule="auto"/>
        <w:jc w:val="both"/>
        <w:rPr>
          <w:rFonts w:ascii="Times New Roman" w:hAnsi="Times New Roman"/>
          <w:color w:val="000000"/>
          <w:sz w:val="24"/>
          <w:u w:color="000000"/>
          <w:bdr w:val="nil"/>
        </w:rPr>
      </w:pPr>
      <w:r w:rsidRPr="00AD57F7">
        <w:rPr>
          <w:rFonts w:ascii="Times New Roman" w:eastAsia="Arial Unicode MS" w:hAnsi="Times New Roman" w:cs="Times New Roman"/>
          <w:color w:val="000000"/>
          <w:sz w:val="24"/>
          <w:szCs w:val="24"/>
          <w:u w:val="single"/>
          <w:bdr w:val="nil"/>
          <w:lang w:eastAsia="en-GB"/>
        </w:rPr>
        <w:t xml:space="preserve">Proportionality </w:t>
      </w:r>
      <w:r w:rsidR="001D22E0" w:rsidRPr="00AD57F7">
        <w:rPr>
          <w:rFonts w:ascii="Times New Roman" w:eastAsia="Arial Unicode MS" w:hAnsi="Times New Roman" w:cs="Times New Roman"/>
          <w:color w:val="000000"/>
          <w:sz w:val="24"/>
          <w:szCs w:val="24"/>
          <w:u w:val="single"/>
          <w:bdr w:val="nil"/>
          <w:lang w:eastAsia="en-GB"/>
        </w:rPr>
        <w:t xml:space="preserve">of the preferred option </w:t>
      </w:r>
      <w:r w:rsidRPr="00AD57F7">
        <w:rPr>
          <w:rFonts w:ascii="Times New Roman" w:eastAsia="Arial Unicode MS" w:hAnsi="Times New Roman" w:cs="Times New Roman"/>
          <w:color w:val="000000"/>
          <w:sz w:val="24"/>
          <w:szCs w:val="24"/>
          <w:u w:val="single"/>
          <w:bdr w:val="nil"/>
          <w:lang w:eastAsia="en-GB"/>
        </w:rPr>
        <w:t>and impacts on MS</w:t>
      </w:r>
      <w:r w:rsidRPr="001D22E0">
        <w:rPr>
          <w:rFonts w:ascii="Times New Roman" w:eastAsia="Arial Unicode MS" w:hAnsi="Times New Roman" w:cs="Times New Roman"/>
          <w:color w:val="000000"/>
          <w:sz w:val="24"/>
          <w:szCs w:val="24"/>
          <w:u w:color="000000"/>
          <w:bdr w:val="nil"/>
          <w:lang w:eastAsia="en-GB"/>
        </w:rPr>
        <w:t xml:space="preserve">: </w:t>
      </w:r>
      <w:r w:rsidR="00FC609C" w:rsidRPr="00AD57F7">
        <w:rPr>
          <w:rFonts w:ascii="Times New Roman" w:eastAsia="Arial Unicode MS" w:hAnsi="Times New Roman" w:cs="Times New Roman"/>
          <w:b/>
          <w:color w:val="000000"/>
          <w:sz w:val="24"/>
          <w:szCs w:val="24"/>
          <w:u w:color="000000"/>
          <w:bdr w:val="nil"/>
          <w:lang w:eastAsia="en-GB"/>
        </w:rPr>
        <w:t>Option 2</w:t>
      </w:r>
      <w:r w:rsidR="0005581B" w:rsidRPr="00AD57F7">
        <w:rPr>
          <w:rFonts w:ascii="Times New Roman" w:eastAsia="Arial Unicode MS" w:hAnsi="Times New Roman" w:cs="Times New Roman"/>
          <w:b/>
          <w:color w:val="000000"/>
          <w:sz w:val="24"/>
          <w:szCs w:val="24"/>
          <w:u w:color="000000"/>
          <w:bdr w:val="nil"/>
          <w:lang w:eastAsia="en-GB"/>
        </w:rPr>
        <w:t xml:space="preserve"> is based on an enabling mechanism (introduction of the country of origin) which is expected to significantly reduce </w:t>
      </w:r>
      <w:r w:rsidR="003960FE" w:rsidRPr="00AD57F7">
        <w:rPr>
          <w:rFonts w:ascii="Times New Roman" w:eastAsia="Arial Unicode MS" w:hAnsi="Times New Roman" w:cs="Times New Roman"/>
          <w:b/>
          <w:color w:val="000000"/>
          <w:sz w:val="24"/>
          <w:szCs w:val="24"/>
          <w:u w:color="000000"/>
          <w:bdr w:val="nil"/>
          <w:lang w:eastAsia="en-GB"/>
        </w:rPr>
        <w:t xml:space="preserve">the </w:t>
      </w:r>
      <w:r w:rsidR="00954B70" w:rsidRPr="00AD57F7">
        <w:rPr>
          <w:rFonts w:ascii="Times New Roman" w:eastAsia="Arial Unicode MS" w:hAnsi="Times New Roman" w:cs="Times New Roman"/>
          <w:b/>
          <w:color w:val="000000"/>
          <w:sz w:val="24"/>
          <w:szCs w:val="24"/>
          <w:u w:color="000000"/>
          <w:bdr w:val="nil"/>
          <w:lang w:eastAsia="en-GB"/>
        </w:rPr>
        <w:t xml:space="preserve">broadcasters' </w:t>
      </w:r>
      <w:r w:rsidR="003960FE" w:rsidRPr="00AD57F7">
        <w:rPr>
          <w:rFonts w:ascii="Times New Roman" w:eastAsia="Arial Unicode MS" w:hAnsi="Times New Roman" w:cs="Times New Roman"/>
          <w:b/>
          <w:color w:val="000000"/>
          <w:sz w:val="24"/>
          <w:szCs w:val="24"/>
          <w:u w:color="000000"/>
          <w:bdr w:val="nil"/>
          <w:lang w:eastAsia="en-GB"/>
        </w:rPr>
        <w:t xml:space="preserve">transaction costs associated to the clearance of rights for online transmissions. It constitutes a targeted intervention (limited to broadcasters' ancillary online services and not affecting the contractual freedom of broadcasters and </w:t>
      </w:r>
      <w:r w:rsidR="007A3F3B">
        <w:rPr>
          <w:rFonts w:ascii="Times New Roman" w:eastAsia="Arial Unicode MS" w:hAnsi="Times New Roman" w:cs="Times New Roman"/>
          <w:b/>
          <w:color w:val="000000"/>
          <w:sz w:val="24"/>
          <w:szCs w:val="24"/>
          <w:u w:color="000000"/>
          <w:bdr w:val="nil"/>
          <w:lang w:eastAsia="en-GB"/>
        </w:rPr>
        <w:t>r</w:t>
      </w:r>
      <w:r w:rsidR="00007677">
        <w:rPr>
          <w:rFonts w:ascii="Times New Roman" w:eastAsia="Arial Unicode MS" w:hAnsi="Times New Roman" w:cs="Times New Roman"/>
          <w:b/>
          <w:color w:val="000000"/>
          <w:sz w:val="24"/>
          <w:szCs w:val="24"/>
          <w:u w:color="000000"/>
          <w:bdr w:val="nil"/>
          <w:lang w:eastAsia="en-GB"/>
        </w:rPr>
        <w:t>ightholders</w:t>
      </w:r>
      <w:r w:rsidR="003960FE" w:rsidRPr="00AD57F7">
        <w:rPr>
          <w:rFonts w:ascii="Times New Roman" w:eastAsia="Arial Unicode MS" w:hAnsi="Times New Roman" w:cs="Times New Roman"/>
          <w:b/>
          <w:color w:val="000000"/>
          <w:sz w:val="24"/>
          <w:szCs w:val="24"/>
          <w:u w:color="000000"/>
          <w:bdr w:val="nil"/>
          <w:lang w:eastAsia="en-GB"/>
        </w:rPr>
        <w:t xml:space="preserve">) which is not expected to </w:t>
      </w:r>
      <w:r w:rsidR="007B60D7" w:rsidRPr="00C37912">
        <w:rPr>
          <w:rFonts w:ascii="Times New Roman" w:eastAsia="Arial Unicode MS" w:hAnsi="Times New Roman" w:cs="Times New Roman"/>
          <w:b/>
          <w:color w:val="000000"/>
          <w:sz w:val="24"/>
          <w:szCs w:val="24"/>
          <w:u w:color="000000"/>
          <w:bdr w:val="nil"/>
          <w:lang w:eastAsia="en-GB"/>
        </w:rPr>
        <w:t xml:space="preserve">have disruptive effects </w:t>
      </w:r>
      <w:r w:rsidR="00AD3B44" w:rsidRPr="00C37912">
        <w:rPr>
          <w:rFonts w:ascii="Times New Roman" w:eastAsia="Arial Unicode MS" w:hAnsi="Times New Roman" w:cs="Times New Roman"/>
          <w:b/>
          <w:color w:val="000000"/>
          <w:sz w:val="24"/>
          <w:szCs w:val="24"/>
          <w:u w:color="000000"/>
          <w:bdr w:val="nil"/>
          <w:lang w:eastAsia="en-GB"/>
        </w:rPr>
        <w:t xml:space="preserve">on </w:t>
      </w:r>
      <w:r w:rsidR="007A3F3B">
        <w:rPr>
          <w:rFonts w:ascii="Times New Roman" w:eastAsia="Arial Unicode MS" w:hAnsi="Times New Roman" w:cs="Times New Roman"/>
          <w:b/>
          <w:color w:val="000000"/>
          <w:sz w:val="24"/>
          <w:szCs w:val="24"/>
          <w:u w:color="000000"/>
          <w:bdr w:val="nil"/>
          <w:lang w:eastAsia="en-GB"/>
        </w:rPr>
        <w:t>r</w:t>
      </w:r>
      <w:r w:rsidR="00007677">
        <w:rPr>
          <w:rFonts w:ascii="Times New Roman" w:eastAsia="Arial Unicode MS" w:hAnsi="Times New Roman" w:cs="Times New Roman"/>
          <w:b/>
          <w:color w:val="000000"/>
          <w:sz w:val="24"/>
          <w:szCs w:val="24"/>
          <w:u w:color="000000"/>
          <w:bdr w:val="nil"/>
          <w:lang w:eastAsia="en-GB"/>
        </w:rPr>
        <w:t>ightholders</w:t>
      </w:r>
      <w:r w:rsidR="00954B70" w:rsidRPr="00AD57F7">
        <w:rPr>
          <w:rFonts w:ascii="Times New Roman" w:eastAsia="Arial Unicode MS" w:hAnsi="Times New Roman" w:cs="Times New Roman"/>
          <w:b/>
          <w:color w:val="000000"/>
          <w:sz w:val="24"/>
          <w:szCs w:val="24"/>
          <w:u w:color="000000"/>
          <w:bdr w:val="nil"/>
          <w:lang w:eastAsia="en-GB"/>
        </w:rPr>
        <w:t xml:space="preserve">. </w:t>
      </w:r>
      <w:r w:rsidR="00954B70" w:rsidRPr="00CC27DB">
        <w:rPr>
          <w:rFonts w:ascii="Times New Roman" w:eastAsia="Arial Unicode MS" w:hAnsi="Times New Roman" w:cs="Times New Roman"/>
          <w:color w:val="000000"/>
          <w:sz w:val="24"/>
          <w:szCs w:val="24"/>
          <w:u w:color="000000"/>
          <w:bdr w:val="nil"/>
          <w:lang w:eastAsia="en-GB"/>
        </w:rPr>
        <w:t>It is</w:t>
      </w:r>
      <w:r w:rsidR="003960FE" w:rsidRPr="00034B2D">
        <w:rPr>
          <w:rFonts w:ascii="Times New Roman" w:eastAsia="Arial Unicode MS" w:hAnsi="Times New Roman" w:cs="Times New Roman"/>
          <w:color w:val="000000"/>
          <w:sz w:val="24"/>
          <w:szCs w:val="24"/>
          <w:u w:color="000000"/>
          <w:bdr w:val="nil"/>
          <w:lang w:eastAsia="en-GB"/>
        </w:rPr>
        <w:t xml:space="preserve"> therefore a proportionate approach to facilitating online access to TV and radio programmes across borde</w:t>
      </w:r>
      <w:r w:rsidR="003960FE" w:rsidRPr="00CC27DB">
        <w:rPr>
          <w:rFonts w:ascii="Times New Roman" w:eastAsia="Arial Unicode MS" w:hAnsi="Times New Roman" w:cs="Times New Roman"/>
          <w:color w:val="000000"/>
          <w:sz w:val="24"/>
          <w:szCs w:val="24"/>
          <w:u w:color="000000"/>
          <w:bdr w:val="nil"/>
          <w:lang w:eastAsia="en-GB"/>
        </w:rPr>
        <w:t>rs.</w:t>
      </w:r>
      <w:r w:rsidR="003960FE" w:rsidRPr="00D1507D">
        <w:rPr>
          <w:rFonts w:ascii="Times New Roman" w:hAnsi="Times New Roman"/>
          <w:color w:val="000000"/>
          <w:sz w:val="24"/>
          <w:u w:color="000000"/>
          <w:bdr w:val="nil"/>
        </w:rPr>
        <w:t xml:space="preserve"> </w:t>
      </w:r>
      <w:r w:rsidR="00FC609C" w:rsidRPr="00CC27DB">
        <w:rPr>
          <w:rFonts w:ascii="Times New Roman" w:eastAsia="Arial Unicode MS" w:hAnsi="Arial Unicode MS" w:cs="Arial Unicode MS"/>
          <w:color w:val="000000"/>
          <w:sz w:val="24"/>
          <w:szCs w:val="24"/>
          <w:u w:color="000000"/>
          <w:bdr w:val="nil"/>
          <w:lang w:val="en-US" w:eastAsia="en-GB"/>
        </w:rPr>
        <w:t xml:space="preserve">The limited impacts of Option 2 on copyright as a </w:t>
      </w:r>
      <w:r w:rsidR="00FC609C" w:rsidRPr="00CC27DB">
        <w:rPr>
          <w:rFonts w:ascii="Times New Roman" w:eastAsia="Arial Unicode MS" w:hAnsi="Arial Unicode MS" w:cs="Arial Unicode MS"/>
          <w:color w:val="000000"/>
          <w:sz w:val="24"/>
          <w:szCs w:val="24"/>
          <w:u w:color="000000"/>
          <w:bdr w:val="nil"/>
          <w:lang w:eastAsia="en-GB"/>
        </w:rPr>
        <w:t>property</w:t>
      </w:r>
      <w:r w:rsidR="00FC609C" w:rsidRPr="00CC27DB">
        <w:rPr>
          <w:rFonts w:ascii="Times New Roman" w:eastAsia="Arial Unicode MS" w:hAnsi="Arial Unicode MS" w:cs="Arial Unicode MS"/>
          <w:color w:val="000000"/>
          <w:sz w:val="24"/>
          <w:szCs w:val="24"/>
          <w:u w:color="000000"/>
          <w:bdr w:val="nil"/>
          <w:lang w:val="en-US" w:eastAsia="en-GB"/>
        </w:rPr>
        <w:t xml:space="preserve"> right </w:t>
      </w:r>
      <w:r w:rsidR="00FC609C" w:rsidRPr="00CC27DB">
        <w:rPr>
          <w:rFonts w:ascii="Times New Roman" w:eastAsia="Arial Unicode MS" w:hAnsi="Arial Unicode MS" w:cs="Arial Unicode MS"/>
          <w:color w:val="000000"/>
          <w:sz w:val="24"/>
          <w:szCs w:val="24"/>
          <w:u w:color="000000"/>
          <w:bdr w:val="nil"/>
          <w:lang w:eastAsia="en-GB"/>
        </w:rPr>
        <w:t>would be justified in view of the Treaty fundamental freedom to provide and receive services across borders.</w:t>
      </w:r>
      <w:r w:rsidR="00D41181" w:rsidRPr="00CC27DB">
        <w:rPr>
          <w:rFonts w:ascii="Times New Roman" w:hAnsi="Times New Roman"/>
          <w:sz w:val="24"/>
          <w:szCs w:val="24"/>
          <w:vertAlign w:val="superscript"/>
        </w:rPr>
        <w:footnoteReference w:id="117"/>
      </w:r>
      <w:r w:rsidR="00FC609C" w:rsidRPr="00CC27DB">
        <w:rPr>
          <w:rFonts w:ascii="Times New Roman" w:eastAsia="Arial Unicode MS" w:hAnsi="Arial Unicode MS" w:cs="Arial Unicode MS"/>
          <w:color w:val="000000"/>
          <w:sz w:val="24"/>
          <w:szCs w:val="24"/>
          <w:u w:color="000000"/>
          <w:bdr w:val="nil"/>
          <w:lang w:eastAsia="en-GB"/>
        </w:rPr>
        <w:t xml:space="preserve">  </w:t>
      </w:r>
    </w:p>
    <w:p w:rsidR="00DC51F1" w:rsidRPr="00AD57F7" w:rsidRDefault="00DC51F1" w:rsidP="00AD57F7">
      <w:pPr>
        <w:spacing w:line="240" w:lineRule="auto"/>
        <w:jc w:val="both"/>
        <w:rPr>
          <w:rFonts w:ascii="Times New Roman" w:hAnsi="Times New Roman" w:cs="Times New Roman"/>
          <w:sz w:val="24"/>
          <w:szCs w:val="24"/>
        </w:rPr>
      </w:pPr>
      <w:r>
        <w:rPr>
          <w:rFonts w:ascii="Times New Roman" w:hAnsi="Times New Roman" w:cs="Times New Roman"/>
          <w:sz w:val="24"/>
          <w:szCs w:val="24"/>
        </w:rPr>
        <w:t>Option 2</w:t>
      </w:r>
      <w:r w:rsidRPr="00734980">
        <w:rPr>
          <w:rFonts w:ascii="Times New Roman" w:hAnsi="Times New Roman" w:cs="Times New Roman"/>
          <w:sz w:val="24"/>
          <w:szCs w:val="24"/>
        </w:rPr>
        <w:t xml:space="preserve"> will not </w:t>
      </w:r>
      <w:r w:rsidR="007E0E82">
        <w:rPr>
          <w:rFonts w:ascii="Times New Roman" w:hAnsi="Times New Roman" w:cs="Times New Roman"/>
          <w:sz w:val="24"/>
          <w:szCs w:val="24"/>
        </w:rPr>
        <w:t>impose</w:t>
      </w:r>
      <w:r w:rsidR="00C37912">
        <w:rPr>
          <w:rFonts w:ascii="Times New Roman" w:hAnsi="Times New Roman" w:cs="Times New Roman"/>
          <w:sz w:val="24"/>
          <w:szCs w:val="24"/>
        </w:rPr>
        <w:t xml:space="preserve"> any administrative burden on MS</w:t>
      </w:r>
      <w:r w:rsidR="007E0E82">
        <w:rPr>
          <w:rFonts w:ascii="Times New Roman" w:hAnsi="Times New Roman" w:cs="Times New Roman"/>
          <w:sz w:val="24"/>
          <w:szCs w:val="24"/>
        </w:rPr>
        <w:t xml:space="preserve">; </w:t>
      </w:r>
      <w:r w:rsidR="00C37912">
        <w:rPr>
          <w:rFonts w:ascii="Times New Roman" w:hAnsi="Times New Roman" w:cs="Times New Roman"/>
          <w:sz w:val="24"/>
          <w:szCs w:val="24"/>
        </w:rPr>
        <w:t xml:space="preserve">it will require </w:t>
      </w:r>
      <w:r w:rsidR="001E43A4">
        <w:rPr>
          <w:rFonts w:ascii="Times New Roman" w:hAnsi="Times New Roman" w:cs="Times New Roman"/>
          <w:sz w:val="24"/>
          <w:szCs w:val="24"/>
        </w:rPr>
        <w:t xml:space="preserve">the application in the MS copyright system of specific rules for </w:t>
      </w:r>
      <w:r w:rsidR="00C37912">
        <w:rPr>
          <w:rFonts w:ascii="Times New Roman" w:hAnsi="Times New Roman" w:cs="Times New Roman"/>
          <w:sz w:val="24"/>
          <w:szCs w:val="24"/>
        </w:rPr>
        <w:t xml:space="preserve">the licensing of rights for </w:t>
      </w:r>
      <w:r w:rsidR="001E43A4">
        <w:rPr>
          <w:rFonts w:ascii="Times New Roman" w:hAnsi="Times New Roman" w:cs="Times New Roman"/>
          <w:sz w:val="24"/>
          <w:szCs w:val="24"/>
        </w:rPr>
        <w:t xml:space="preserve">the </w:t>
      </w:r>
      <w:r w:rsidR="00C37912">
        <w:rPr>
          <w:rFonts w:ascii="Times New Roman" w:hAnsi="Times New Roman" w:cs="Times New Roman"/>
          <w:sz w:val="24"/>
          <w:szCs w:val="24"/>
        </w:rPr>
        <w:t>services</w:t>
      </w:r>
      <w:r w:rsidR="001E43A4">
        <w:rPr>
          <w:rFonts w:ascii="Times New Roman" w:hAnsi="Times New Roman" w:cs="Times New Roman"/>
          <w:sz w:val="24"/>
          <w:szCs w:val="24"/>
        </w:rPr>
        <w:t xml:space="preserve"> covered by this option</w:t>
      </w:r>
      <w:r w:rsidR="00C37912">
        <w:rPr>
          <w:rFonts w:ascii="Times New Roman" w:hAnsi="Times New Roman" w:cs="Times New Roman"/>
          <w:sz w:val="24"/>
          <w:szCs w:val="24"/>
        </w:rPr>
        <w:t>.</w:t>
      </w:r>
    </w:p>
    <w:p w:rsidR="006C71DB" w:rsidRPr="006C71DB" w:rsidRDefault="000C715B" w:rsidP="00CF38F1">
      <w:pPr>
        <w:pStyle w:val="Heading3"/>
      </w:pPr>
      <w:bookmarkStart w:id="31" w:name="_Toc461114708"/>
      <w:r>
        <w:t>Digital</w:t>
      </w:r>
      <w:r w:rsidRPr="0061118E">
        <w:t xml:space="preserve"> </w:t>
      </w:r>
      <w:r w:rsidR="0061118E" w:rsidRPr="0061118E">
        <w:t>retransmissions of TV</w:t>
      </w:r>
      <w:r>
        <w:t xml:space="preserve"> and </w:t>
      </w:r>
      <w:r w:rsidR="0061118E" w:rsidRPr="0061118E">
        <w:t>radio programmes</w:t>
      </w:r>
      <w:bookmarkEnd w:id="31"/>
    </w:p>
    <w:p w:rsidR="00995446" w:rsidRPr="00305C10" w:rsidRDefault="00995446" w:rsidP="0066043F">
      <w:pPr>
        <w:pStyle w:val="Heading5"/>
        <w:tabs>
          <w:tab w:val="left" w:pos="851"/>
        </w:tabs>
      </w:pPr>
      <w:bookmarkStart w:id="32" w:name="_Toc1"/>
      <w:bookmarkStart w:id="33" w:name="_Toc434927415"/>
      <w:bookmarkStart w:id="34" w:name="_Toc442345446"/>
      <w:r w:rsidRPr="00305C10">
        <w:t>3.2.3.1.</w:t>
      </w:r>
      <w:r w:rsidR="0066043F">
        <w:tab/>
      </w:r>
      <w:r w:rsidRPr="00305C10">
        <w:t>What is the problem and why is it a problem?</w:t>
      </w:r>
    </w:p>
    <w:p w:rsidR="00995446" w:rsidRDefault="00995446" w:rsidP="00995446">
      <w:pPr>
        <w:spacing w:after="120" w:line="240" w:lineRule="auto"/>
        <w:jc w:val="both"/>
        <w:rPr>
          <w:rFonts w:ascii="Times New Roman" w:eastAsia="Arial Unicode MS" w:hAnsi="Arial Unicode MS" w:cs="Arial Unicode MS"/>
          <w:i/>
          <w:color w:val="000000"/>
          <w:sz w:val="24"/>
          <w:szCs w:val="24"/>
          <w:u w:color="000000"/>
          <w:bdr w:val="nil"/>
          <w:lang w:val="en-US" w:eastAsia="en-GB"/>
        </w:rPr>
      </w:pPr>
      <w:r w:rsidRPr="00807CA5">
        <w:rPr>
          <w:rFonts w:ascii="Times New Roman" w:eastAsia="Arial Unicode MS" w:hAnsi="Arial Unicode MS" w:cs="Arial Unicode MS"/>
          <w:b/>
          <w:i/>
          <w:color w:val="000000"/>
          <w:sz w:val="24"/>
          <w:szCs w:val="24"/>
          <w:u w:color="000000"/>
          <w:bdr w:val="nil"/>
          <w:lang w:val="en-US" w:eastAsia="en-GB"/>
        </w:rPr>
        <w:t xml:space="preserve">Problem: </w:t>
      </w:r>
      <w:r>
        <w:rPr>
          <w:rFonts w:ascii="Times New Roman" w:eastAsia="Arial Unicode MS" w:hAnsi="Arial Unicode MS" w:cs="Arial Unicode MS"/>
          <w:i/>
          <w:color w:val="000000"/>
          <w:sz w:val="24"/>
          <w:szCs w:val="24"/>
          <w:u w:color="000000"/>
          <w:bdr w:val="nil"/>
          <w:lang w:val="en-US" w:eastAsia="en-GB"/>
        </w:rPr>
        <w:t>Providers of retransmission services</w:t>
      </w:r>
      <w:r w:rsidRPr="00807CA5">
        <w:rPr>
          <w:rFonts w:ascii="Times New Roman" w:eastAsia="Arial Unicode MS" w:hAnsi="Arial Unicode MS" w:cs="Arial Unicode MS"/>
          <w:i/>
          <w:color w:val="000000"/>
          <w:sz w:val="24"/>
          <w:szCs w:val="24"/>
          <w:u w:color="000000"/>
          <w:bdr w:val="nil"/>
          <w:lang w:val="en-US" w:eastAsia="en-GB"/>
        </w:rPr>
        <w:t xml:space="preserve"> face practical difficulties with the acquisition of rights for </w:t>
      </w:r>
      <w:r>
        <w:rPr>
          <w:rFonts w:ascii="Times New Roman" w:eastAsia="Arial Unicode MS" w:hAnsi="Arial Unicode MS" w:cs="Arial Unicode MS"/>
          <w:i/>
          <w:color w:val="000000"/>
          <w:sz w:val="24"/>
          <w:szCs w:val="24"/>
          <w:u w:color="000000"/>
          <w:bdr w:val="nil"/>
          <w:lang w:val="en-US" w:eastAsia="en-GB"/>
        </w:rPr>
        <w:t>retransmission of TV and radio channels from other Member States by means other than cable</w:t>
      </w:r>
    </w:p>
    <w:p w:rsidR="00C27157" w:rsidRPr="00305C10" w:rsidRDefault="00C27157" w:rsidP="00333E57">
      <w:pPr>
        <w:pBdr>
          <w:top w:val="nil"/>
          <w:left w:val="nil"/>
          <w:bottom w:val="nil"/>
          <w:right w:val="nil"/>
          <w:between w:val="nil"/>
          <w:bar w:val="nil"/>
        </w:pBdr>
        <w:spacing w:after="120" w:line="240" w:lineRule="auto"/>
        <w:jc w:val="both"/>
        <w:rPr>
          <w:rFonts w:ascii="Times New Roman" w:eastAsia="Calibri" w:hAnsi="Times New Roman" w:cs="Times New Roman"/>
          <w:sz w:val="24"/>
          <w:szCs w:val="24"/>
        </w:rPr>
      </w:pPr>
      <w:r w:rsidRPr="00C32C45">
        <w:rPr>
          <w:rFonts w:ascii="Times New Roman" w:eastAsia="Calibri" w:hAnsi="Times New Roman" w:cs="Times New Roman"/>
          <w:sz w:val="24"/>
          <w:szCs w:val="24"/>
          <w:u w:val="single"/>
        </w:rPr>
        <w:t>Description of the problem:</w:t>
      </w:r>
      <w:r w:rsidRPr="00EF2A3E">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Nowadays TV and radio channels reach viewers and listeners through several types of retransmission service providers: cable TV/radio providers, satellite TV/radio (package) providers, </w:t>
      </w:r>
      <w:r>
        <w:rPr>
          <w:rFonts w:ascii="Times New Roman" w:eastAsia="Calibri" w:hAnsi="Times New Roman" w:cs="Times New Roman"/>
          <w:sz w:val="24"/>
          <w:szCs w:val="24"/>
        </w:rPr>
        <w:t>IPTV</w:t>
      </w:r>
      <w:r w:rsidRPr="00305C10">
        <w:rPr>
          <w:rFonts w:ascii="Times New Roman" w:eastAsia="Calibri" w:hAnsi="Times New Roman" w:cs="Times New Roman"/>
          <w:sz w:val="24"/>
          <w:szCs w:val="24"/>
        </w:rPr>
        <w:t xml:space="preserve"> (TV/radio </w:t>
      </w:r>
      <w:r>
        <w:rPr>
          <w:rFonts w:ascii="Times New Roman" w:eastAsia="Calibri" w:hAnsi="Times New Roman" w:cs="Times New Roman"/>
          <w:sz w:val="24"/>
          <w:szCs w:val="24"/>
        </w:rPr>
        <w:t xml:space="preserve">over </w:t>
      </w:r>
      <w:r w:rsidRPr="00305C10">
        <w:rPr>
          <w:rFonts w:ascii="Times New Roman" w:eastAsia="Calibri" w:hAnsi="Times New Roman" w:cs="Times New Roman"/>
          <w:sz w:val="24"/>
          <w:szCs w:val="24"/>
        </w:rPr>
        <w:t>closed circuit IP-based network</w:t>
      </w:r>
      <w:r>
        <w:rPr>
          <w:rFonts w:ascii="Times New Roman" w:eastAsia="Calibri" w:hAnsi="Times New Roman" w:cs="Times New Roman"/>
          <w:sz w:val="24"/>
          <w:szCs w:val="24"/>
        </w:rPr>
        <w:t>s)</w:t>
      </w:r>
      <w:r w:rsidRPr="00305C10">
        <w:rPr>
          <w:rFonts w:ascii="Times New Roman" w:eastAsia="Calibri" w:hAnsi="Times New Roman" w:cs="Times New Roman"/>
          <w:sz w:val="24"/>
          <w:szCs w:val="24"/>
        </w:rPr>
        <w:t xml:space="preserve"> providers, digital terrestrial TV (DTT) providers and also the emerging over-the-top (OTT) TV/radio service providers.</w:t>
      </w:r>
      <w:r>
        <w:rPr>
          <w:rStyle w:val="FootnoteReference"/>
          <w:rFonts w:ascii="Times New Roman" w:eastAsia="Calibri" w:hAnsi="Times New Roman" w:cs="Times New Roman"/>
          <w:sz w:val="24"/>
          <w:szCs w:val="24"/>
        </w:rPr>
        <w:footnoteReference w:id="118"/>
      </w:r>
      <w:r w:rsidRPr="00305C10">
        <w:rPr>
          <w:rFonts w:ascii="Times New Roman" w:eastAsia="Calibri" w:hAnsi="Times New Roman" w:cs="Times New Roman"/>
          <w:sz w:val="24"/>
          <w:szCs w:val="24"/>
        </w:rPr>
        <w:t xml:space="preserve"> The core business activity of retransmission service providers is to aggregate TV and radio channels into packages (basic, premium, thematic, etc.) and to provide them to consumers simultaneously to their initial transmission, unaltered and unabridged, typically against payment. </w:t>
      </w:r>
    </w:p>
    <w:p w:rsidR="00C27157" w:rsidRPr="00305C10" w:rsidRDefault="00C27157" w:rsidP="00333E57">
      <w:pPr>
        <w:pBdr>
          <w:top w:val="nil"/>
          <w:left w:val="nil"/>
          <w:bottom w:val="nil"/>
          <w:right w:val="nil"/>
          <w:between w:val="nil"/>
          <w:bar w:val="nil"/>
        </w:pBd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Retransmission of TV and radio channels has proved to be a highly successful means to enable Europeans to access broadcasts from other </w:t>
      </w:r>
      <w:r>
        <w:rPr>
          <w:rFonts w:ascii="Times New Roman" w:eastAsia="Calibri" w:hAnsi="Times New Roman" w:cs="Times New Roman"/>
          <w:sz w:val="24"/>
          <w:szCs w:val="24"/>
        </w:rPr>
        <w:t>MS</w:t>
      </w:r>
      <w:r w:rsidRPr="00305C10">
        <w:rPr>
          <w:rFonts w:ascii="Times New Roman" w:eastAsia="Calibri" w:hAnsi="Times New Roman" w:cs="Times New Roman"/>
          <w:sz w:val="24"/>
          <w:szCs w:val="24"/>
        </w:rPr>
        <w:t xml:space="preserve">: e.g. 177 "foreign" TV channels are available to cable subscribers in </w:t>
      </w:r>
      <w:r w:rsidR="00131B94">
        <w:rPr>
          <w:rFonts w:ascii="Times New Roman" w:eastAsia="Calibri" w:hAnsi="Times New Roman" w:cs="Times New Roman"/>
          <w:sz w:val="24"/>
          <w:szCs w:val="24"/>
        </w:rPr>
        <w:t>DE</w:t>
      </w:r>
      <w:r w:rsidRPr="00305C10">
        <w:rPr>
          <w:rFonts w:ascii="Times New Roman" w:eastAsia="Calibri" w:hAnsi="Times New Roman" w:cs="Times New Roman"/>
          <w:sz w:val="24"/>
          <w:szCs w:val="24"/>
        </w:rPr>
        <w:t xml:space="preserve">, 150 in </w:t>
      </w:r>
      <w:r w:rsidR="00131B94">
        <w:rPr>
          <w:rFonts w:ascii="Times New Roman" w:eastAsia="Calibri" w:hAnsi="Times New Roman" w:cs="Times New Roman"/>
          <w:sz w:val="24"/>
          <w:szCs w:val="24"/>
        </w:rPr>
        <w:t>FR</w:t>
      </w:r>
      <w:r w:rsidRPr="00305C10">
        <w:rPr>
          <w:rFonts w:ascii="Times New Roman" w:eastAsia="Calibri" w:hAnsi="Times New Roman" w:cs="Times New Roman"/>
          <w:sz w:val="24"/>
          <w:szCs w:val="24"/>
        </w:rPr>
        <w:t xml:space="preserve">, 158 in </w:t>
      </w:r>
      <w:r w:rsidR="00131B94">
        <w:rPr>
          <w:rFonts w:ascii="Times New Roman" w:eastAsia="Calibri" w:hAnsi="Times New Roman" w:cs="Times New Roman"/>
          <w:sz w:val="24"/>
          <w:szCs w:val="24"/>
        </w:rPr>
        <w:t>NL</w:t>
      </w:r>
      <w:r w:rsidRPr="00305C10">
        <w:rPr>
          <w:rFonts w:ascii="Times New Roman" w:eastAsia="Calibri" w:hAnsi="Times New Roman" w:cs="Times New Roman"/>
          <w:sz w:val="24"/>
          <w:szCs w:val="24"/>
        </w:rPr>
        <w:t xml:space="preserve">, 143 in </w:t>
      </w:r>
      <w:r w:rsidR="00131B94">
        <w:rPr>
          <w:rFonts w:ascii="Times New Roman" w:eastAsia="Calibri" w:hAnsi="Times New Roman" w:cs="Times New Roman"/>
          <w:sz w:val="24"/>
          <w:szCs w:val="24"/>
        </w:rPr>
        <w:t>PT</w:t>
      </w:r>
      <w:r w:rsidRPr="00305C10">
        <w:rPr>
          <w:rFonts w:ascii="Times New Roman" w:eastAsia="Calibri" w:hAnsi="Times New Roman" w:cs="Times New Roman"/>
          <w:sz w:val="24"/>
          <w:szCs w:val="24"/>
        </w:rPr>
        <w:t xml:space="preserve">, 163 in </w:t>
      </w:r>
      <w:r w:rsidR="00131B94">
        <w:rPr>
          <w:rFonts w:ascii="Times New Roman" w:eastAsia="Calibri" w:hAnsi="Times New Roman" w:cs="Times New Roman"/>
          <w:sz w:val="24"/>
          <w:szCs w:val="24"/>
        </w:rPr>
        <w:t>DK</w:t>
      </w:r>
      <w:r w:rsidRPr="00305C10">
        <w:rPr>
          <w:rFonts w:ascii="Times New Roman" w:eastAsia="Calibri" w:hAnsi="Times New Roman" w:cs="Times New Roman"/>
          <w:sz w:val="24"/>
          <w:szCs w:val="24"/>
        </w:rPr>
        <w:t xml:space="preserve">, 159 in </w:t>
      </w:r>
      <w:r w:rsidR="00131B94">
        <w:rPr>
          <w:rFonts w:ascii="Times New Roman" w:eastAsia="Calibri" w:hAnsi="Times New Roman" w:cs="Times New Roman"/>
          <w:sz w:val="24"/>
          <w:szCs w:val="24"/>
        </w:rPr>
        <w:t>PL</w:t>
      </w:r>
      <w:r w:rsidRPr="00305C10">
        <w:rPr>
          <w:rFonts w:ascii="Times New Roman" w:eastAsia="Calibri" w:hAnsi="Times New Roman" w:cs="Times New Roman"/>
          <w:sz w:val="24"/>
          <w:szCs w:val="24"/>
        </w:rPr>
        <w:t xml:space="preserve">, 168 in </w:t>
      </w:r>
      <w:r w:rsidR="00131B94" w:rsidRPr="00305C10">
        <w:rPr>
          <w:rFonts w:ascii="Times New Roman" w:eastAsia="Calibri" w:hAnsi="Times New Roman" w:cs="Times New Roman"/>
          <w:sz w:val="24"/>
          <w:szCs w:val="24"/>
        </w:rPr>
        <w:t>I</w:t>
      </w:r>
      <w:r w:rsidR="00131B94">
        <w:rPr>
          <w:rFonts w:ascii="Times New Roman" w:eastAsia="Calibri" w:hAnsi="Times New Roman" w:cs="Times New Roman"/>
          <w:sz w:val="24"/>
          <w:szCs w:val="24"/>
        </w:rPr>
        <w:t>E</w:t>
      </w:r>
      <w:r w:rsidR="00131B94" w:rsidRPr="00305C10">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and 232 in </w:t>
      </w:r>
      <w:r w:rsidR="00131B94">
        <w:rPr>
          <w:rFonts w:ascii="Times New Roman" w:eastAsia="Calibri" w:hAnsi="Times New Roman" w:cs="Times New Roman"/>
          <w:sz w:val="24"/>
          <w:szCs w:val="24"/>
        </w:rPr>
        <w:t>HU</w:t>
      </w:r>
      <w:r w:rsidR="00874FF5">
        <w:rPr>
          <w:rFonts w:ascii="Times New Roman" w:eastAsia="Calibri" w:hAnsi="Times New Roman" w:cs="Times New Roman"/>
          <w:sz w:val="24"/>
          <w:szCs w:val="24"/>
        </w:rPr>
        <w:t>.</w:t>
      </w:r>
      <w:r w:rsidRPr="00305C10">
        <w:rPr>
          <w:rFonts w:ascii="Times New Roman" w:eastAsia="Calibri" w:hAnsi="Times New Roman" w:cs="Times New Roman"/>
          <w:sz w:val="24"/>
          <w:szCs w:val="24"/>
          <w:vertAlign w:val="superscript"/>
        </w:rPr>
        <w:footnoteReference w:id="119"/>
      </w:r>
    </w:p>
    <w:p w:rsidR="00C27157" w:rsidRPr="00305C10" w:rsidRDefault="00C27157" w:rsidP="00333E57">
      <w:pPr>
        <w:pBdr>
          <w:top w:val="nil"/>
          <w:left w:val="nil"/>
          <w:bottom w:val="nil"/>
          <w:right w:val="nil"/>
          <w:between w:val="nil"/>
          <w:bar w:val="nil"/>
        </w:pBdr>
        <w:spacing w:after="120" w:line="240" w:lineRule="auto"/>
        <w:jc w:val="both"/>
        <w:rPr>
          <w:rFonts w:ascii="Times New Roman" w:hAnsi="Times New Roman" w:cs="Times New Roman"/>
          <w:sz w:val="24"/>
          <w:szCs w:val="24"/>
        </w:rPr>
      </w:pPr>
      <w:r w:rsidRPr="00305C10">
        <w:rPr>
          <w:rFonts w:ascii="Times New Roman" w:hAnsi="Times New Roman" w:cs="Times New Roman"/>
          <w:sz w:val="24"/>
          <w:szCs w:val="24"/>
        </w:rPr>
        <w:t>IPTV and OTT ha</w:t>
      </w:r>
      <w:r>
        <w:rPr>
          <w:rFonts w:ascii="Times New Roman" w:hAnsi="Times New Roman" w:cs="Times New Roman"/>
          <w:sz w:val="24"/>
          <w:szCs w:val="24"/>
        </w:rPr>
        <w:t>ve</w:t>
      </w:r>
      <w:r w:rsidRPr="00305C10">
        <w:rPr>
          <w:rFonts w:ascii="Times New Roman" w:hAnsi="Times New Roman" w:cs="Times New Roman"/>
          <w:sz w:val="24"/>
          <w:szCs w:val="24"/>
        </w:rPr>
        <w:t xml:space="preserve"> been developing at a fast pace recently, which is explained by several technological and business factors: (i) IPTV and OTT have superior retransmission capacity; (ii) they are more attractive to consumers due to built-in interactivity of services and can be enjoyed (in the case of OTT) without the need for a dedicated hardware (such as a set-top-box and/or a satellite antenna); (iii) they are well promoted by numerous operators and major Internet platforms.</w:t>
      </w:r>
    </w:p>
    <w:p w:rsidR="00C27157" w:rsidRPr="00305C10" w:rsidRDefault="00C27157" w:rsidP="00333E57">
      <w:pPr>
        <w:pBdr>
          <w:top w:val="nil"/>
          <w:left w:val="nil"/>
          <w:bottom w:val="nil"/>
          <w:right w:val="nil"/>
          <w:between w:val="nil"/>
          <w:bar w:val="nil"/>
        </w:pBd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When distributing TV and radio </w:t>
      </w:r>
      <w:r w:rsidRPr="00333E57">
        <w:rPr>
          <w:rFonts w:ascii="Times New Roman" w:hAnsi="Times New Roman" w:cs="Times New Roman"/>
          <w:sz w:val="24"/>
          <w:szCs w:val="24"/>
        </w:rPr>
        <w:t>channels</w:t>
      </w:r>
      <w:r w:rsidRPr="00305C10">
        <w:rPr>
          <w:rFonts w:ascii="Times New Roman" w:eastAsia="Calibri" w:hAnsi="Times New Roman" w:cs="Times New Roman"/>
          <w:sz w:val="24"/>
          <w:szCs w:val="24"/>
        </w:rPr>
        <w:t xml:space="preserve"> and programmes running on them, retransmission service providers routinely engage in a copyright-relevant act of communication to the public. </w:t>
      </w:r>
    </w:p>
    <w:p w:rsidR="00C27157" w:rsidRPr="00305C10" w:rsidRDefault="00C27157" w:rsidP="00333E57">
      <w:pPr>
        <w:pBdr>
          <w:top w:val="nil"/>
          <w:left w:val="nil"/>
          <w:bottom w:val="nil"/>
          <w:right w:val="nil"/>
          <w:between w:val="nil"/>
          <w:bar w:val="nil"/>
        </w:pBd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The Satellite and Cable Directive provides for a system of mandatory collective management for retransmissions by cable of TV and </w:t>
      </w:r>
      <w:r w:rsidRPr="00333E57">
        <w:rPr>
          <w:rFonts w:ascii="Times New Roman" w:hAnsi="Times New Roman" w:cs="Times New Roman"/>
          <w:sz w:val="24"/>
          <w:szCs w:val="24"/>
        </w:rPr>
        <w:t>radio</w:t>
      </w:r>
      <w:r w:rsidRPr="00305C10">
        <w:rPr>
          <w:rFonts w:ascii="Times New Roman" w:eastAsia="Calibri" w:hAnsi="Times New Roman" w:cs="Times New Roman"/>
          <w:sz w:val="24"/>
          <w:szCs w:val="24"/>
        </w:rPr>
        <w:t xml:space="preserve"> broadcasts from another MS. This means that the right of cable retransmission with regard to TV / radio broadcasts from other MS cannot be exercised by </w:t>
      </w:r>
      <w:r w:rsidR="007A3F3B">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Pr="00305C10">
        <w:rPr>
          <w:rFonts w:ascii="Times New Roman" w:eastAsia="Calibri" w:hAnsi="Times New Roman" w:cs="Times New Roman"/>
          <w:sz w:val="24"/>
          <w:szCs w:val="24"/>
        </w:rPr>
        <w:t xml:space="preserve"> individually but may only be exercised by a collective </w:t>
      </w:r>
      <w:r w:rsidR="005D46C1">
        <w:rPr>
          <w:rFonts w:ascii="Times New Roman" w:eastAsia="Calibri" w:hAnsi="Times New Roman" w:cs="Times New Roman"/>
          <w:sz w:val="24"/>
          <w:szCs w:val="24"/>
        </w:rPr>
        <w:t>CMO</w:t>
      </w:r>
      <w:r w:rsidR="00663AAD">
        <w:rPr>
          <w:rStyle w:val="FootnoteReference"/>
          <w:rFonts w:ascii="Times New Roman" w:eastAsia="Calibri" w:hAnsi="Times New Roman" w:cs="Times New Roman"/>
          <w:sz w:val="24"/>
          <w:szCs w:val="24"/>
        </w:rPr>
        <w:footnoteReference w:id="120"/>
      </w:r>
      <w:r w:rsidRPr="00305C10">
        <w:rPr>
          <w:rFonts w:ascii="Times New Roman" w:eastAsia="Calibri" w:hAnsi="Times New Roman" w:cs="Times New Roman"/>
          <w:sz w:val="24"/>
          <w:szCs w:val="24"/>
        </w:rPr>
        <w:t xml:space="preserve">. The only exception is made for the rights exercised by broadcasting organisations in respect of their own transmissions. </w:t>
      </w:r>
    </w:p>
    <w:p w:rsidR="00C27157" w:rsidRPr="00305C10" w:rsidRDefault="00C27157" w:rsidP="00333E57">
      <w:pPr>
        <w:pBdr>
          <w:top w:val="nil"/>
          <w:left w:val="nil"/>
          <w:bottom w:val="nil"/>
          <w:right w:val="nil"/>
          <w:between w:val="nil"/>
          <w:bar w:val="nil"/>
        </w:pBd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The rationale behind this system is to ensure that cable operators are in a position to acquire all rights necessary for </w:t>
      </w:r>
      <w:r w:rsidRPr="00333E57">
        <w:rPr>
          <w:rFonts w:ascii="Times New Roman" w:hAnsi="Times New Roman" w:cs="Times New Roman"/>
          <w:sz w:val="24"/>
          <w:szCs w:val="24"/>
        </w:rPr>
        <w:t>retransmission</w:t>
      </w:r>
      <w:r w:rsidRPr="00305C10">
        <w:rPr>
          <w:rFonts w:ascii="Times New Roman" w:eastAsia="Calibri" w:hAnsi="Times New Roman" w:cs="Times New Roman"/>
          <w:sz w:val="24"/>
          <w:szCs w:val="24"/>
        </w:rPr>
        <w:t xml:space="preserve"> of TV and radio channels and that there are no black-outs in the retransmitted channels or programmes. At the time of adoption of the Directive it was considered that individual licensing was impractical in the case of retransmission, while voluntary collective management would not guarantee the absence of black-outs.</w:t>
      </w:r>
      <w:r w:rsidRPr="00305C10">
        <w:rPr>
          <w:rFonts w:ascii="Times New Roman" w:eastAsia="Calibri" w:hAnsi="Times New Roman" w:cs="Times New Roman"/>
          <w:sz w:val="24"/>
          <w:szCs w:val="24"/>
          <w:vertAlign w:val="superscript"/>
        </w:rPr>
        <w:footnoteReference w:id="121"/>
      </w:r>
      <w:r>
        <w:rPr>
          <w:rFonts w:ascii="Times New Roman" w:eastAsia="Calibri" w:hAnsi="Times New Roman" w:cs="Times New Roman"/>
          <w:sz w:val="24"/>
          <w:szCs w:val="24"/>
        </w:rPr>
        <w:t xml:space="preserve"> The system provided for in the Satellite and Cable Directive is limited to retransmissions by cable and therefore does not extend to retransmissions by other means such as IPTV or OTT. This means that, depending on the MS (see below), providers of retransmission services by means other than cable cannot benefit from the system facilitating the clearance of relevant rights.</w:t>
      </w:r>
      <w:r w:rsidRPr="00BA05F0">
        <w:rPr>
          <w:rStyle w:val="FootnoteReference"/>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122"/>
      </w:r>
      <w:r>
        <w:rPr>
          <w:rFonts w:ascii="Times New Roman" w:eastAsia="Calibri" w:hAnsi="Times New Roman" w:cs="Times New Roman"/>
          <w:sz w:val="24"/>
          <w:szCs w:val="24"/>
        </w:rPr>
        <w:t xml:space="preserve"> Such providers therefore face a heavy rights clearing burden in order to be able to provide their services.</w:t>
      </w:r>
    </w:p>
    <w:p w:rsidR="00C27157" w:rsidRPr="00305C10" w:rsidRDefault="00C27157" w:rsidP="00C27157">
      <w:pPr>
        <w:spacing w:after="120" w:line="240" w:lineRule="auto"/>
        <w:jc w:val="both"/>
        <w:rPr>
          <w:rFonts w:ascii="Times New Roman" w:eastAsia="Calibri" w:hAnsi="Times New Roman" w:cs="Times New Roman"/>
          <w:sz w:val="24"/>
          <w:szCs w:val="24"/>
        </w:rPr>
      </w:pPr>
      <w:r w:rsidRPr="00C32C45">
        <w:rPr>
          <w:rFonts w:ascii="Times New Roman" w:eastAsia="Calibri" w:hAnsi="Times New Roman" w:cs="Times New Roman"/>
          <w:sz w:val="24"/>
          <w:szCs w:val="24"/>
          <w:u w:val="single"/>
        </w:rPr>
        <w:t>Drivers</w:t>
      </w:r>
      <w:r w:rsidRPr="00DB5A9E">
        <w:rPr>
          <w:rFonts w:ascii="Times New Roman" w:eastAsia="Calibri" w:hAnsi="Times New Roman" w:cs="Times New Roman"/>
          <w:sz w:val="24"/>
          <w:szCs w:val="24"/>
        </w:rPr>
        <w:t>: [</w:t>
      </w:r>
      <w:r w:rsidR="00C03C08" w:rsidRPr="00C03C08">
        <w:rPr>
          <w:rFonts w:ascii="Times New Roman" w:eastAsia="Calibri" w:hAnsi="Times New Roman" w:cs="Times New Roman"/>
          <w:i/>
          <w:sz w:val="24"/>
          <w:szCs w:val="24"/>
        </w:rPr>
        <w:t>C</w:t>
      </w:r>
      <w:r w:rsidRPr="00C32C45">
        <w:rPr>
          <w:rFonts w:ascii="Times New Roman" w:eastAsia="Calibri" w:hAnsi="Times New Roman" w:cs="Times New Roman"/>
          <w:i/>
          <w:sz w:val="24"/>
          <w:szCs w:val="24"/>
        </w:rPr>
        <w:t>omplex clearance of rights</w:t>
      </w:r>
      <w:r w:rsidRPr="00DB5A9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Taking into account that each channel delivers numerous programmes composed of a multitude of copyright-protected works, that a typical retransmission service provider offers multiple ch</w:t>
      </w:r>
      <w:r w:rsidRPr="00333E57">
        <w:rPr>
          <w:rFonts w:ascii="Times New Roman" w:hAnsi="Times New Roman" w:cs="Times New Roman"/>
          <w:sz w:val="24"/>
          <w:szCs w:val="24"/>
        </w:rPr>
        <w:t>a</w:t>
      </w:r>
      <w:r w:rsidRPr="00305C10">
        <w:rPr>
          <w:rFonts w:ascii="Times New Roman" w:eastAsia="Calibri" w:hAnsi="Times New Roman" w:cs="Times New Roman"/>
          <w:sz w:val="24"/>
          <w:szCs w:val="24"/>
        </w:rPr>
        <w:t xml:space="preserve">nnels, that the retransmission service provider has no control over the use of works in particular channels and no time to obtain licences for those works, the potential copyright clearing burden for retransmission service providers is important. </w:t>
      </w:r>
    </w:p>
    <w:p w:rsidR="00C27157" w:rsidRPr="00333E57" w:rsidRDefault="00C27157" w:rsidP="00C27157">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Arial Unicode MS" w:hAnsi="Arial Unicode MS" w:cs="Arial Unicode MS"/>
          <w:color w:val="000000"/>
          <w:sz w:val="20"/>
          <w:szCs w:val="20"/>
          <w:u w:color="000000"/>
          <w:lang w:eastAsia="en-GB"/>
        </w:rPr>
      </w:pPr>
      <w:r w:rsidRPr="00333E57">
        <w:rPr>
          <w:rFonts w:ascii="Times New Roman" w:eastAsia="Arial Unicode MS" w:hAnsi="Arial Unicode MS" w:cs="Arial Unicode MS"/>
          <w:color w:val="000000"/>
          <w:sz w:val="20"/>
          <w:szCs w:val="20"/>
          <w:u w:val="single" w:color="000000"/>
          <w:lang w:eastAsia="en-GB"/>
        </w:rPr>
        <w:t>Example:</w:t>
      </w:r>
      <w:r w:rsidRPr="00333E57">
        <w:rPr>
          <w:rFonts w:ascii="Times New Roman" w:eastAsia="Arial Unicode MS" w:hAnsi="Arial Unicode MS" w:cs="Arial Unicode MS"/>
          <w:color w:val="000000"/>
          <w:sz w:val="20"/>
          <w:szCs w:val="20"/>
          <w:u w:color="000000"/>
          <w:lang w:eastAsia="en-GB"/>
        </w:rPr>
        <w:t xml:space="preserve"> </w:t>
      </w:r>
    </w:p>
    <w:p w:rsidR="00C27157" w:rsidRPr="00C32C45" w:rsidRDefault="00C27157" w:rsidP="00C27157">
      <w:pPr>
        <w:pBdr>
          <w:top w:val="single" w:sz="4" w:space="0" w:color="000000"/>
          <w:left w:val="single" w:sz="4" w:space="0" w:color="000000"/>
          <w:bottom w:val="single" w:sz="4" w:space="0" w:color="000000"/>
          <w:right w:val="single" w:sz="4" w:space="0" w:color="000000"/>
        </w:pBdr>
        <w:spacing w:after="120" w:line="240" w:lineRule="auto"/>
        <w:jc w:val="both"/>
        <w:rPr>
          <w:rFonts w:ascii="Times New Roman" w:eastAsia="Arial Unicode MS" w:hAnsi="Arial Unicode MS" w:cs="Arial Unicode MS"/>
          <w:color w:val="000000"/>
          <w:sz w:val="18"/>
          <w:szCs w:val="20"/>
          <w:u w:color="000000"/>
          <w:lang w:eastAsia="en-GB"/>
        </w:rPr>
      </w:pPr>
      <w:r w:rsidRPr="00333E57">
        <w:rPr>
          <w:rFonts w:ascii="Times New Roman" w:eastAsia="Arial Unicode MS" w:hAnsi="Times New Roman" w:cs="Times New Roman"/>
          <w:bCs/>
          <w:iCs/>
          <w:color w:val="000000"/>
          <w:sz w:val="20"/>
          <w:szCs w:val="20"/>
          <w:u w:color="000000"/>
          <w:lang w:eastAsia="en-GB"/>
        </w:rPr>
        <w:t xml:space="preserve">Belgian IPTV provider Proximus offers around 100 TV channels </w:t>
      </w:r>
      <w:r w:rsidRPr="00333E57">
        <w:rPr>
          <w:rFonts w:ascii="Times New Roman" w:eastAsia="Arial Unicode MS" w:hAnsi="Times New Roman" w:cs="Times New Roman"/>
          <w:color w:val="000000"/>
          <w:sz w:val="20"/>
          <w:szCs w:val="20"/>
          <w:u w:color="000000"/>
          <w:lang w:eastAsia="en-GB"/>
        </w:rPr>
        <w:t xml:space="preserve">in its basic package, among them a channel of ZDF, German broadcaster. ZDF handles approximately </w:t>
      </w:r>
      <w:r w:rsidRPr="00333E57">
        <w:rPr>
          <w:rFonts w:ascii="Times New Roman" w:eastAsia="Arial Unicode MS" w:hAnsi="Times New Roman" w:cs="Times New Roman"/>
          <w:bCs/>
          <w:iCs/>
          <w:color w:val="000000"/>
          <w:sz w:val="20"/>
          <w:szCs w:val="20"/>
          <w:u w:color="000000"/>
          <w:lang w:eastAsia="en-GB"/>
        </w:rPr>
        <w:t xml:space="preserve">70,000 contracts with </w:t>
      </w:r>
      <w:r w:rsidR="00687496">
        <w:rPr>
          <w:rFonts w:ascii="Times New Roman" w:eastAsia="Arial Unicode MS" w:hAnsi="Times New Roman" w:cs="Times New Roman"/>
          <w:bCs/>
          <w:iCs/>
          <w:color w:val="000000"/>
          <w:sz w:val="20"/>
          <w:szCs w:val="20"/>
          <w:u w:color="000000"/>
          <w:lang w:eastAsia="en-GB"/>
        </w:rPr>
        <w:t>r</w:t>
      </w:r>
      <w:r w:rsidR="00007677">
        <w:rPr>
          <w:rFonts w:ascii="Times New Roman" w:eastAsia="Arial Unicode MS" w:hAnsi="Times New Roman" w:cs="Times New Roman"/>
          <w:bCs/>
          <w:iCs/>
          <w:color w:val="000000"/>
          <w:sz w:val="20"/>
          <w:szCs w:val="20"/>
          <w:u w:color="000000"/>
          <w:lang w:eastAsia="en-GB"/>
        </w:rPr>
        <w:t>ightholders</w:t>
      </w:r>
      <w:r w:rsidRPr="00333E57">
        <w:rPr>
          <w:rFonts w:ascii="Times New Roman" w:eastAsia="Arial Unicode MS" w:hAnsi="Times New Roman" w:cs="Times New Roman"/>
          <w:bCs/>
          <w:iCs/>
          <w:color w:val="000000"/>
          <w:sz w:val="20"/>
          <w:szCs w:val="20"/>
          <w:u w:color="000000"/>
          <w:lang w:eastAsia="en-GB"/>
        </w:rPr>
        <w:t xml:space="preserve"> each year</w:t>
      </w:r>
      <w:r w:rsidR="00874FF5" w:rsidRPr="00333E57">
        <w:rPr>
          <w:rFonts w:ascii="Times New Roman" w:eastAsia="Arial Unicode MS" w:hAnsi="Times New Roman" w:cs="Times New Roman"/>
          <w:bCs/>
          <w:iCs/>
          <w:color w:val="000000"/>
          <w:sz w:val="20"/>
          <w:szCs w:val="20"/>
          <w:u w:color="000000"/>
          <w:lang w:eastAsia="en-GB"/>
        </w:rPr>
        <w:t>.</w:t>
      </w:r>
      <w:r w:rsidRPr="00333E57">
        <w:rPr>
          <w:rFonts w:ascii="Times New Roman" w:eastAsia="Arial Unicode MS" w:hAnsi="Times New Roman" w:cs="Times New Roman"/>
          <w:bCs/>
          <w:iCs/>
          <w:color w:val="000000"/>
          <w:sz w:val="20"/>
          <w:szCs w:val="20"/>
          <w:u w:color="000000"/>
          <w:vertAlign w:val="superscript"/>
          <w:lang w:eastAsia="en-GB"/>
        </w:rPr>
        <w:footnoteReference w:id="123"/>
      </w:r>
      <w:r w:rsidRPr="00333E57">
        <w:rPr>
          <w:rFonts w:ascii="Times New Roman" w:eastAsia="Arial Unicode MS" w:hAnsi="Times New Roman" w:cs="Times New Roman"/>
          <w:bCs/>
          <w:iCs/>
          <w:color w:val="000000"/>
          <w:sz w:val="20"/>
          <w:szCs w:val="20"/>
          <w:u w:color="000000"/>
          <w:lang w:eastAsia="en-GB"/>
        </w:rPr>
        <w:t xml:space="preserve"> Since ZDF has 9 generalist and thematic channels in total</w:t>
      </w:r>
      <w:r w:rsidR="00874FF5" w:rsidRPr="00333E57">
        <w:rPr>
          <w:rFonts w:ascii="Times New Roman" w:eastAsia="Arial Unicode MS" w:hAnsi="Times New Roman" w:cs="Times New Roman"/>
          <w:bCs/>
          <w:iCs/>
          <w:color w:val="000000"/>
          <w:sz w:val="20"/>
          <w:szCs w:val="20"/>
          <w:u w:color="000000"/>
          <w:lang w:eastAsia="en-GB"/>
        </w:rPr>
        <w:t>,</w:t>
      </w:r>
      <w:r w:rsidRPr="00333E57">
        <w:rPr>
          <w:rStyle w:val="FootnoteReference"/>
          <w:rFonts w:ascii="Times New Roman" w:eastAsia="Arial Unicode MS" w:hAnsi="Times New Roman" w:cs="Times New Roman"/>
          <w:bCs/>
          <w:iCs/>
          <w:color w:val="000000"/>
          <w:sz w:val="20"/>
          <w:szCs w:val="20"/>
          <w:u w:color="000000"/>
          <w:lang w:eastAsia="en-GB"/>
        </w:rPr>
        <w:footnoteReference w:id="124"/>
      </w:r>
      <w:r w:rsidRPr="00333E57">
        <w:rPr>
          <w:rFonts w:ascii="Times New Roman" w:eastAsia="Arial Unicode MS" w:hAnsi="Times New Roman" w:cs="Times New Roman"/>
          <w:bCs/>
          <w:iCs/>
          <w:color w:val="000000"/>
          <w:sz w:val="20"/>
          <w:szCs w:val="20"/>
          <w:u w:color="000000"/>
          <w:lang w:eastAsia="en-GB"/>
        </w:rPr>
        <w:t xml:space="preserve"> each channel can be said to represent (approximately) the "copyright clearing burden" of 7,700 contracts. Extrapolating this "copyright clearing burden" to 100 TV channels offered by Proximus and considering that </w:t>
      </w:r>
      <w:r w:rsidRPr="00333E57">
        <w:rPr>
          <w:rFonts w:ascii="Times New Roman" w:eastAsia="Arial Unicode MS" w:hAnsi="Times New Roman" w:cs="Times New Roman"/>
          <w:color w:val="000000"/>
          <w:sz w:val="20"/>
          <w:szCs w:val="20"/>
          <w:u w:color="000000"/>
          <w:lang w:eastAsia="en-GB"/>
        </w:rPr>
        <w:t xml:space="preserve"> 15 of these channels are retransmitted in both standard and high-definition quality, the potential copyright clearing burden for Proximus can be estimated at approximately 650,000 contracts per year ((100-15)x7,700).</w:t>
      </w:r>
    </w:p>
    <w:p w:rsidR="00C27157" w:rsidRDefault="00C27157" w:rsidP="00C27157">
      <w:pP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In other words, providers of retransmission services offered on satellite, IPTV, mobile, DTT or OTT platforms face the same problems the cable operators once faced, in particular when they retransmit TV and radio broadcasts from other </w:t>
      </w:r>
      <w:r>
        <w:rPr>
          <w:rFonts w:ascii="Times New Roman" w:eastAsia="Calibri" w:hAnsi="Times New Roman" w:cs="Times New Roman"/>
          <w:sz w:val="24"/>
          <w:szCs w:val="24"/>
        </w:rPr>
        <w:t>MS</w:t>
      </w:r>
      <w:r w:rsidRPr="00305C10">
        <w:rPr>
          <w:rFonts w:ascii="Times New Roman" w:eastAsia="Calibri" w:hAnsi="Times New Roman" w:cs="Times New Roman"/>
          <w:sz w:val="24"/>
          <w:szCs w:val="24"/>
        </w:rPr>
        <w:t>.</w:t>
      </w:r>
    </w:p>
    <w:p w:rsidR="00C27157" w:rsidRPr="00305C10" w:rsidRDefault="00C27157" w:rsidP="00C2715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problems are mitigated (but not solved) by the practice of some broadcasters whereby they</w:t>
      </w:r>
      <w:r w:rsidRPr="004D791A">
        <w:rPr>
          <w:rFonts w:ascii="Times New Roman" w:eastAsia="Calibri" w:hAnsi="Times New Roman" w:cs="Times New Roman"/>
          <w:sz w:val="24"/>
          <w:szCs w:val="24"/>
        </w:rPr>
        <w:t xml:space="preserve"> aggregate retransmission rights from other rights holders (e.g. </w:t>
      </w:r>
      <w:r w:rsidR="00F506EA">
        <w:rPr>
          <w:rFonts w:ascii="Times New Roman" w:eastAsia="Calibri" w:hAnsi="Times New Roman" w:cs="Times New Roman"/>
          <w:sz w:val="24"/>
          <w:szCs w:val="24"/>
        </w:rPr>
        <w:t xml:space="preserve">AV </w:t>
      </w:r>
      <w:r w:rsidRPr="004D791A">
        <w:rPr>
          <w:rFonts w:ascii="Times New Roman" w:eastAsia="Calibri" w:hAnsi="Times New Roman" w:cs="Times New Roman"/>
          <w:sz w:val="24"/>
          <w:szCs w:val="24"/>
        </w:rPr>
        <w:t xml:space="preserve">producers) and grant </w:t>
      </w:r>
      <w:r w:rsidRPr="004D791A">
        <w:rPr>
          <w:rFonts w:ascii="Times New Roman" w:hAnsi="Times New Roman" w:cs="Times New Roman"/>
          <w:sz w:val="24"/>
          <w:szCs w:val="24"/>
        </w:rPr>
        <w:t>the "all-rights-included" licences</w:t>
      </w:r>
      <w:r w:rsidRPr="004D791A">
        <w:rPr>
          <w:rFonts w:ascii="Times New Roman" w:hAnsi="Times New Roman" w:cs="Times New Roman"/>
          <w:sz w:val="24"/>
          <w:szCs w:val="24"/>
          <w:vertAlign w:val="superscript"/>
        </w:rPr>
        <w:footnoteReference w:id="125"/>
      </w:r>
      <w:r w:rsidRPr="004D791A">
        <w:rPr>
          <w:rFonts w:ascii="Times New Roman" w:hAnsi="Times New Roman" w:cs="Times New Roman"/>
          <w:sz w:val="24"/>
          <w:szCs w:val="24"/>
        </w:rPr>
        <w:t xml:space="preserve"> to retransmission service providers</w:t>
      </w:r>
      <w:r w:rsidRPr="004D791A">
        <w:rPr>
          <w:rFonts w:ascii="Times New Roman" w:eastAsia="Calibri" w:hAnsi="Times New Roman" w:cs="Times New Roman"/>
          <w:sz w:val="24"/>
          <w:szCs w:val="24"/>
        </w:rPr>
        <w:t>.</w:t>
      </w:r>
    </w:p>
    <w:p w:rsidR="00C27157" w:rsidRPr="00305C10" w:rsidRDefault="00C27157" w:rsidP="00C27157">
      <w:pP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The licensing problems described above mainly concern TV. They affect radio retransmission to a much lesser extent, since (i) radio broadcasts contain fewer types of works protected by copyright (notably, no images or </w:t>
      </w:r>
      <w:r w:rsidR="00F506EA">
        <w:rPr>
          <w:rFonts w:ascii="Times New Roman" w:eastAsia="Calibri" w:hAnsi="Times New Roman" w:cs="Times New Roman"/>
          <w:sz w:val="24"/>
          <w:szCs w:val="24"/>
        </w:rPr>
        <w:t xml:space="preserve">AV </w:t>
      </w:r>
      <w:r w:rsidRPr="00305C10">
        <w:rPr>
          <w:rFonts w:ascii="Times New Roman" w:eastAsia="Calibri" w:hAnsi="Times New Roman" w:cs="Times New Roman"/>
          <w:sz w:val="24"/>
          <w:szCs w:val="24"/>
        </w:rPr>
        <w:t>works) and (ii) there are well established collective management structures for the main type of copyright-protected work used in radio broadcasts, i.e. music, which makes it easier for the retransmission services other than cable to obtain the required retransmission licences.</w:t>
      </w:r>
    </w:p>
    <w:p w:rsidR="00C27157" w:rsidRPr="00305C10" w:rsidRDefault="00C27157" w:rsidP="00C27157">
      <w:pPr>
        <w:spacing w:after="120" w:line="240" w:lineRule="auto"/>
        <w:jc w:val="both"/>
      </w:pPr>
      <w:r>
        <w:rPr>
          <w:rFonts w:ascii="Times New Roman" w:eastAsia="Calibri" w:hAnsi="Times New Roman" w:cs="Times New Roman"/>
          <w:sz w:val="24"/>
          <w:szCs w:val="24"/>
        </w:rPr>
        <w:t>[</w:t>
      </w:r>
      <w:r w:rsidR="00C03C08">
        <w:rPr>
          <w:rFonts w:ascii="Times New Roman" w:eastAsia="Calibri" w:hAnsi="Times New Roman" w:cs="Times New Roman"/>
          <w:i/>
          <w:sz w:val="24"/>
          <w:szCs w:val="24"/>
        </w:rPr>
        <w:t>L</w:t>
      </w:r>
      <w:r>
        <w:rPr>
          <w:rFonts w:ascii="Times New Roman" w:eastAsia="Calibri" w:hAnsi="Times New Roman" w:cs="Times New Roman"/>
          <w:i/>
          <w:sz w:val="24"/>
          <w:szCs w:val="24"/>
        </w:rPr>
        <w:t>egal or practical solutions available only in certain MS</w:t>
      </w:r>
      <w:r>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Legislation </w:t>
      </w:r>
      <w:r>
        <w:rPr>
          <w:rFonts w:ascii="Times New Roman" w:eastAsia="Calibri" w:hAnsi="Times New Roman" w:cs="Times New Roman"/>
          <w:sz w:val="24"/>
          <w:szCs w:val="24"/>
        </w:rPr>
        <w:t>in some</w:t>
      </w:r>
      <w:r w:rsidRPr="00305C10">
        <w:rPr>
          <w:rFonts w:ascii="Times New Roman" w:eastAsia="Calibri" w:hAnsi="Times New Roman" w:cs="Times New Roman"/>
          <w:sz w:val="24"/>
          <w:szCs w:val="24"/>
        </w:rPr>
        <w:t xml:space="preserve"> </w:t>
      </w:r>
      <w:r>
        <w:rPr>
          <w:rFonts w:ascii="Times New Roman" w:eastAsia="Calibri" w:hAnsi="Times New Roman" w:cs="Times New Roman"/>
          <w:sz w:val="24"/>
          <w:szCs w:val="24"/>
        </w:rPr>
        <w:t>MS</w:t>
      </w:r>
      <w:r w:rsidRPr="00305C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have considered </w:t>
      </w:r>
      <w:r w:rsidRPr="00305C10">
        <w:rPr>
          <w:rFonts w:ascii="Times New Roman" w:eastAsia="Calibri" w:hAnsi="Times New Roman" w:cs="Times New Roman"/>
          <w:sz w:val="24"/>
          <w:szCs w:val="24"/>
        </w:rPr>
        <w:t>retransmissions over "closed"</w:t>
      </w:r>
      <w:r w:rsidRPr="00305C10">
        <w:rPr>
          <w:rFonts w:ascii="Times New Roman" w:eastAsia="Calibri" w:hAnsi="Times New Roman" w:cs="Times New Roman"/>
          <w:sz w:val="24"/>
          <w:szCs w:val="24"/>
          <w:vertAlign w:val="superscript"/>
        </w:rPr>
        <w:footnoteReference w:id="126"/>
      </w:r>
      <w:r w:rsidRPr="00305C10">
        <w:rPr>
          <w:rFonts w:ascii="Times New Roman" w:eastAsia="Calibri" w:hAnsi="Times New Roman" w:cs="Times New Roman"/>
          <w:sz w:val="24"/>
          <w:szCs w:val="24"/>
        </w:rPr>
        <w:t xml:space="preserve"> electronic communications network</w:t>
      </w:r>
      <w:r>
        <w:rPr>
          <w:rFonts w:ascii="Times New Roman" w:eastAsia="Calibri" w:hAnsi="Times New Roman" w:cs="Times New Roman"/>
          <w:sz w:val="24"/>
          <w:szCs w:val="24"/>
        </w:rPr>
        <w:t>s</w:t>
      </w:r>
      <w:r w:rsidRPr="00305C10">
        <w:rPr>
          <w:rFonts w:ascii="Times New Roman" w:eastAsia="Calibri" w:hAnsi="Times New Roman" w:cs="Times New Roman"/>
          <w:sz w:val="24"/>
          <w:szCs w:val="24"/>
        </w:rPr>
        <w:t xml:space="preserve"> (e.g. Slovakia, Austria) or over a particular network (e.g. DTT in </w:t>
      </w:r>
      <w:r w:rsidR="007A3F3B" w:rsidRPr="00305C10">
        <w:rPr>
          <w:rFonts w:ascii="Times New Roman" w:eastAsia="Calibri" w:hAnsi="Times New Roman" w:cs="Times New Roman"/>
          <w:sz w:val="24"/>
          <w:szCs w:val="24"/>
        </w:rPr>
        <w:t>I</w:t>
      </w:r>
      <w:r w:rsidR="007A3F3B">
        <w:rPr>
          <w:rFonts w:ascii="Times New Roman" w:eastAsia="Calibri" w:hAnsi="Times New Roman" w:cs="Times New Roman"/>
          <w:sz w:val="24"/>
          <w:szCs w:val="24"/>
        </w:rPr>
        <w:t>E</w:t>
      </w:r>
      <w:r w:rsidRPr="00305C10">
        <w:rPr>
          <w:rFonts w:ascii="Times New Roman" w:eastAsia="Calibri" w:hAnsi="Times New Roman" w:cs="Times New Roman"/>
          <w:sz w:val="24"/>
          <w:szCs w:val="24"/>
        </w:rPr>
        <w:t>)</w:t>
      </w:r>
      <w:r>
        <w:rPr>
          <w:rFonts w:ascii="Times New Roman" w:eastAsia="Calibri" w:hAnsi="Times New Roman" w:cs="Times New Roman"/>
          <w:sz w:val="24"/>
          <w:szCs w:val="24"/>
        </w:rPr>
        <w:t xml:space="preserve"> as equivalent to cable (and hence under the mandatory collective management system)</w:t>
      </w:r>
      <w:r w:rsidRPr="00305C10">
        <w:rPr>
          <w:rFonts w:ascii="Times New Roman" w:eastAsia="Calibri" w:hAnsi="Times New Roman" w:cs="Times New Roman"/>
          <w:sz w:val="24"/>
          <w:szCs w:val="24"/>
        </w:rPr>
        <w:t>.</w:t>
      </w:r>
    </w:p>
    <w:p w:rsidR="00C27157" w:rsidRPr="00305C10" w:rsidRDefault="00C27157" w:rsidP="00C27157">
      <w:pPr>
        <w:spacing w:after="120" w:line="240" w:lineRule="auto"/>
        <w:jc w:val="both"/>
        <w:rPr>
          <w:rFonts w:ascii="Times New Roman" w:eastAsia="Calibri" w:hAnsi="Times New Roman" w:cs="Times New Roman"/>
          <w:sz w:val="24"/>
          <w:szCs w:val="24"/>
        </w:rPr>
      </w:pPr>
      <w:r w:rsidRPr="00305C10">
        <w:rPr>
          <w:rFonts w:ascii="Times New Roman" w:eastAsia="Calibri" w:hAnsi="Times New Roman" w:cs="Times New Roman"/>
          <w:sz w:val="24"/>
          <w:szCs w:val="24"/>
        </w:rPr>
        <w:t xml:space="preserve">In some </w:t>
      </w:r>
      <w:r>
        <w:rPr>
          <w:rFonts w:ascii="Times New Roman" w:eastAsia="Calibri" w:hAnsi="Times New Roman" w:cs="Times New Roman"/>
          <w:sz w:val="24"/>
          <w:szCs w:val="24"/>
        </w:rPr>
        <w:t>MS</w:t>
      </w:r>
      <w:r w:rsidRPr="00305C10">
        <w:rPr>
          <w:rFonts w:ascii="Times New Roman" w:eastAsia="Calibri" w:hAnsi="Times New Roman" w:cs="Times New Roman"/>
          <w:sz w:val="24"/>
          <w:szCs w:val="24"/>
        </w:rPr>
        <w:t xml:space="preserve">, in addition to the mandatory collective </w:t>
      </w:r>
      <w:r>
        <w:rPr>
          <w:rFonts w:ascii="Times New Roman" w:eastAsia="Calibri" w:hAnsi="Times New Roman" w:cs="Times New Roman"/>
          <w:sz w:val="24"/>
          <w:szCs w:val="24"/>
        </w:rPr>
        <w:t>management</w:t>
      </w:r>
      <w:r w:rsidRPr="00305C10">
        <w:rPr>
          <w:rFonts w:ascii="Times New Roman" w:eastAsia="Calibri" w:hAnsi="Times New Roman" w:cs="Times New Roman"/>
          <w:sz w:val="24"/>
          <w:szCs w:val="24"/>
        </w:rPr>
        <w:t xml:space="preserve"> implemented for cable retransmission, voluntary collective licensing schemes are in place to license other retransmission services: e.g. IPTV in I</w:t>
      </w:r>
      <w:r w:rsidR="007A3F3B">
        <w:rPr>
          <w:rFonts w:ascii="Times New Roman" w:eastAsia="Calibri" w:hAnsi="Times New Roman" w:cs="Times New Roman"/>
          <w:sz w:val="24"/>
          <w:szCs w:val="24"/>
        </w:rPr>
        <w:t>E</w:t>
      </w:r>
      <w:r w:rsidRPr="00305C10">
        <w:rPr>
          <w:rFonts w:ascii="Times New Roman" w:eastAsia="Calibri" w:hAnsi="Times New Roman" w:cs="Times New Roman"/>
          <w:sz w:val="24"/>
          <w:szCs w:val="24"/>
        </w:rPr>
        <w:t xml:space="preserve">, </w:t>
      </w:r>
      <w:r w:rsidR="007A3F3B" w:rsidRPr="00305C10">
        <w:rPr>
          <w:rFonts w:ascii="Times New Roman" w:eastAsia="Calibri" w:hAnsi="Times New Roman" w:cs="Times New Roman"/>
          <w:sz w:val="24"/>
          <w:szCs w:val="24"/>
        </w:rPr>
        <w:t>N</w:t>
      </w:r>
      <w:r w:rsidR="007A3F3B">
        <w:rPr>
          <w:rFonts w:ascii="Times New Roman" w:eastAsia="Calibri" w:hAnsi="Times New Roman" w:cs="Times New Roman"/>
          <w:sz w:val="24"/>
          <w:szCs w:val="24"/>
        </w:rPr>
        <w:t>L</w:t>
      </w:r>
      <w:r w:rsidRPr="00305C10">
        <w:rPr>
          <w:rFonts w:ascii="Times New Roman" w:eastAsia="Calibri" w:hAnsi="Times New Roman" w:cs="Times New Roman"/>
          <w:sz w:val="24"/>
          <w:szCs w:val="24"/>
        </w:rPr>
        <w:t xml:space="preserve">, </w:t>
      </w:r>
      <w:r w:rsidR="007A3F3B" w:rsidRPr="00305C10">
        <w:rPr>
          <w:rFonts w:ascii="Times New Roman" w:eastAsia="Calibri" w:hAnsi="Times New Roman" w:cs="Times New Roman"/>
          <w:sz w:val="24"/>
          <w:szCs w:val="24"/>
        </w:rPr>
        <w:t>F</w:t>
      </w:r>
      <w:r w:rsidR="007A3F3B">
        <w:rPr>
          <w:rFonts w:ascii="Times New Roman" w:eastAsia="Calibri" w:hAnsi="Times New Roman" w:cs="Times New Roman"/>
          <w:sz w:val="24"/>
          <w:szCs w:val="24"/>
        </w:rPr>
        <w:t>R</w:t>
      </w:r>
      <w:r w:rsidRPr="00305C10">
        <w:rPr>
          <w:rFonts w:ascii="Times New Roman" w:eastAsia="Calibri" w:hAnsi="Times New Roman" w:cs="Times New Roman"/>
          <w:sz w:val="24"/>
          <w:szCs w:val="24"/>
        </w:rPr>
        <w:t xml:space="preserve">, </w:t>
      </w:r>
      <w:r w:rsidR="007A3F3B" w:rsidRPr="00305C10">
        <w:rPr>
          <w:rFonts w:ascii="Times New Roman" w:eastAsia="Calibri" w:hAnsi="Times New Roman" w:cs="Times New Roman"/>
          <w:sz w:val="24"/>
          <w:szCs w:val="24"/>
        </w:rPr>
        <w:t>P</w:t>
      </w:r>
      <w:r w:rsidR="007A3F3B">
        <w:rPr>
          <w:rFonts w:ascii="Times New Roman" w:eastAsia="Calibri" w:hAnsi="Times New Roman" w:cs="Times New Roman"/>
          <w:sz w:val="24"/>
          <w:szCs w:val="24"/>
        </w:rPr>
        <w:t>L</w:t>
      </w:r>
      <w:r w:rsidRPr="00305C10">
        <w:rPr>
          <w:rFonts w:ascii="Times New Roman" w:eastAsia="Calibri" w:hAnsi="Times New Roman" w:cs="Times New Roman"/>
          <w:sz w:val="24"/>
          <w:szCs w:val="24"/>
        </w:rPr>
        <w:t xml:space="preserve">, </w:t>
      </w:r>
      <w:r w:rsidR="007A3F3B" w:rsidRPr="00305C10">
        <w:rPr>
          <w:rFonts w:ascii="Times New Roman" w:eastAsia="Calibri" w:hAnsi="Times New Roman" w:cs="Times New Roman"/>
          <w:sz w:val="24"/>
          <w:szCs w:val="24"/>
        </w:rPr>
        <w:t>B</w:t>
      </w:r>
      <w:r w:rsidR="007A3F3B">
        <w:rPr>
          <w:rFonts w:ascii="Times New Roman" w:eastAsia="Calibri" w:hAnsi="Times New Roman" w:cs="Times New Roman"/>
          <w:sz w:val="24"/>
          <w:szCs w:val="24"/>
        </w:rPr>
        <w:t>E</w:t>
      </w:r>
      <w:r w:rsidRPr="00305C10">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DE</w:t>
      </w:r>
      <w:r w:rsidR="007A3F3B" w:rsidRPr="00305C10">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and </w:t>
      </w:r>
      <w:r w:rsidR="007A3F3B">
        <w:rPr>
          <w:rFonts w:ascii="Times New Roman" w:eastAsia="Calibri" w:hAnsi="Times New Roman" w:cs="Times New Roman"/>
          <w:sz w:val="24"/>
          <w:szCs w:val="24"/>
        </w:rPr>
        <w:t>ES</w:t>
      </w:r>
      <w:r w:rsidR="007A3F3B" w:rsidRPr="00305C10">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or satellite in </w:t>
      </w:r>
      <w:r w:rsidR="007A3F3B">
        <w:rPr>
          <w:rFonts w:ascii="Times New Roman" w:eastAsia="Calibri" w:hAnsi="Times New Roman" w:cs="Times New Roman"/>
          <w:sz w:val="24"/>
          <w:szCs w:val="24"/>
        </w:rPr>
        <w:t>FR</w:t>
      </w:r>
      <w:r w:rsidR="007A3F3B" w:rsidRPr="00305C10">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and </w:t>
      </w:r>
      <w:r w:rsidR="007A3F3B">
        <w:rPr>
          <w:rFonts w:ascii="Times New Roman" w:eastAsia="Calibri" w:hAnsi="Times New Roman" w:cs="Times New Roman"/>
          <w:sz w:val="24"/>
          <w:szCs w:val="24"/>
        </w:rPr>
        <w:t>PL</w:t>
      </w:r>
      <w:r w:rsidRPr="00305C10">
        <w:rPr>
          <w:rFonts w:ascii="Times New Roman" w:eastAsia="Calibri" w:hAnsi="Times New Roman" w:cs="Times New Roman"/>
          <w:sz w:val="24"/>
          <w:szCs w:val="24"/>
        </w:rPr>
        <w:t>.</w:t>
      </w:r>
      <w:r w:rsidRPr="00CA7413">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 xml:space="preserve">Certain MS </w:t>
      </w:r>
      <w:r w:rsidR="005D46C1">
        <w:rPr>
          <w:rFonts w:ascii="Times New Roman" w:eastAsia="Calibri" w:hAnsi="Times New Roman" w:cs="Times New Roman"/>
          <w:sz w:val="24"/>
          <w:szCs w:val="24"/>
        </w:rPr>
        <w:t>(</w:t>
      </w:r>
      <w:r w:rsidR="007A3F3B">
        <w:rPr>
          <w:rFonts w:ascii="Times New Roman" w:eastAsia="Calibri" w:hAnsi="Times New Roman" w:cs="Times New Roman"/>
          <w:sz w:val="24"/>
          <w:szCs w:val="24"/>
        </w:rPr>
        <w:t>DK</w:t>
      </w:r>
      <w:r w:rsidR="005D46C1">
        <w:rPr>
          <w:rFonts w:ascii="Times New Roman" w:eastAsia="Calibri" w:hAnsi="Times New Roman" w:cs="Times New Roman"/>
          <w:sz w:val="24"/>
          <w:szCs w:val="24"/>
        </w:rPr>
        <w:t>, F</w:t>
      </w:r>
      <w:r w:rsidR="007A3F3B">
        <w:rPr>
          <w:rFonts w:ascii="Times New Roman" w:eastAsia="Calibri" w:hAnsi="Times New Roman" w:cs="Times New Roman"/>
          <w:sz w:val="24"/>
          <w:szCs w:val="24"/>
        </w:rPr>
        <w:t>I</w:t>
      </w:r>
      <w:r w:rsidR="005D46C1">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SE</w:t>
      </w:r>
      <w:r w:rsidR="005D46C1">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have</w:t>
      </w:r>
      <w:r>
        <w:rPr>
          <w:rFonts w:ascii="Times New Roman" w:eastAsia="Calibri" w:hAnsi="Times New Roman" w:cs="Times New Roman"/>
          <w:sz w:val="24"/>
          <w:szCs w:val="24"/>
        </w:rPr>
        <w:t xml:space="preserve"> in place </w:t>
      </w:r>
      <w:r w:rsidRPr="00305C10">
        <w:rPr>
          <w:rFonts w:ascii="Times New Roman" w:eastAsia="Calibri" w:hAnsi="Times New Roman" w:cs="Times New Roman"/>
          <w:sz w:val="24"/>
          <w:szCs w:val="24"/>
        </w:rPr>
        <w:t>extended collective licensing system</w:t>
      </w:r>
      <w:r>
        <w:rPr>
          <w:rFonts w:ascii="Times New Roman" w:eastAsia="Calibri" w:hAnsi="Times New Roman" w:cs="Times New Roman"/>
          <w:sz w:val="24"/>
          <w:szCs w:val="24"/>
        </w:rPr>
        <w:t xml:space="preserve">s for </w:t>
      </w:r>
      <w:r w:rsidRPr="00305C10">
        <w:rPr>
          <w:rFonts w:ascii="Times New Roman" w:eastAsia="Calibri" w:hAnsi="Times New Roman" w:cs="Times New Roman"/>
          <w:sz w:val="24"/>
          <w:szCs w:val="24"/>
        </w:rPr>
        <w:t>retransmission</w:t>
      </w:r>
      <w:r>
        <w:rPr>
          <w:rFonts w:ascii="Times New Roman" w:eastAsia="Calibri" w:hAnsi="Times New Roman" w:cs="Times New Roman"/>
          <w:sz w:val="24"/>
          <w:szCs w:val="24"/>
        </w:rPr>
        <w:t xml:space="preserve">s by </w:t>
      </w:r>
      <w:r w:rsidRPr="00305C10">
        <w:rPr>
          <w:rFonts w:ascii="Times New Roman" w:eastAsia="Calibri" w:hAnsi="Times New Roman" w:cs="Times New Roman"/>
          <w:sz w:val="24"/>
          <w:szCs w:val="24"/>
        </w:rPr>
        <w:t>all technical means (cable, satellite, DTT, IPTV, mobile or OTT).</w:t>
      </w:r>
      <w:r w:rsidR="005D46C1">
        <w:rPr>
          <w:rFonts w:ascii="Times New Roman" w:eastAsia="Calibri" w:hAnsi="Times New Roman" w:cs="Times New Roman"/>
          <w:sz w:val="24"/>
          <w:szCs w:val="24"/>
        </w:rPr>
        <w:t xml:space="preserve"> Annex 7A provides a full overview of the licensing facilitation regimes available in MS for retransmissions by means other than cable. </w:t>
      </w:r>
    </w:p>
    <w:p w:rsidR="00C27157" w:rsidRPr="00305C10" w:rsidRDefault="00C27157" w:rsidP="00C27157">
      <w:pPr>
        <w:spacing w:after="120" w:line="240" w:lineRule="auto"/>
        <w:jc w:val="both"/>
        <w:rPr>
          <w:rFonts w:ascii="Times New Roman" w:eastAsia="Calibri" w:hAnsi="Times New Roman" w:cs="Times New Roman"/>
          <w:sz w:val="24"/>
          <w:szCs w:val="24"/>
          <w:highlight w:val="yellow"/>
        </w:rPr>
      </w:pPr>
      <w:r w:rsidRPr="00514A47">
        <w:rPr>
          <w:rFonts w:ascii="Times New Roman" w:eastAsia="Calibri" w:hAnsi="Times New Roman" w:cs="Times New Roman"/>
          <w:sz w:val="24"/>
          <w:szCs w:val="24"/>
        </w:rPr>
        <w:t xml:space="preserve">Finally, in some MS (e.g. </w:t>
      </w:r>
      <w:r w:rsidR="007A3F3B">
        <w:rPr>
          <w:rFonts w:ascii="Times New Roman" w:eastAsia="Calibri" w:hAnsi="Times New Roman" w:cs="Times New Roman"/>
          <w:sz w:val="24"/>
          <w:szCs w:val="24"/>
        </w:rPr>
        <w:t>EL</w:t>
      </w:r>
      <w:r w:rsidRPr="00514A47">
        <w:rPr>
          <w:rFonts w:ascii="Times New Roman" w:eastAsia="Calibri" w:hAnsi="Times New Roman" w:cs="Times New Roman"/>
          <w:sz w:val="24"/>
          <w:szCs w:val="24"/>
        </w:rPr>
        <w:t xml:space="preserve">, </w:t>
      </w:r>
      <w:r w:rsidR="007A3F3B" w:rsidRPr="00514A47">
        <w:rPr>
          <w:rFonts w:ascii="Times New Roman" w:eastAsia="Calibri" w:hAnsi="Times New Roman" w:cs="Times New Roman"/>
          <w:sz w:val="24"/>
          <w:szCs w:val="24"/>
        </w:rPr>
        <w:t>E</w:t>
      </w:r>
      <w:r w:rsidR="007A3F3B">
        <w:rPr>
          <w:rFonts w:ascii="Times New Roman" w:eastAsia="Calibri" w:hAnsi="Times New Roman" w:cs="Times New Roman"/>
          <w:sz w:val="24"/>
          <w:szCs w:val="24"/>
        </w:rPr>
        <w:t>E</w:t>
      </w:r>
      <w:r w:rsidRPr="00514A47">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HR</w:t>
      </w:r>
      <w:r w:rsidRPr="00514A47">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LV</w:t>
      </w:r>
      <w:r w:rsidRPr="00514A47">
        <w:rPr>
          <w:rFonts w:ascii="Times New Roman" w:eastAsia="Calibri" w:hAnsi="Times New Roman" w:cs="Times New Roman"/>
          <w:sz w:val="24"/>
          <w:szCs w:val="24"/>
        </w:rPr>
        <w:t xml:space="preserve">, </w:t>
      </w:r>
      <w:r w:rsidR="007A3F3B" w:rsidRPr="00514A47">
        <w:rPr>
          <w:rFonts w:ascii="Times New Roman" w:eastAsia="Calibri" w:hAnsi="Times New Roman" w:cs="Times New Roman"/>
          <w:sz w:val="24"/>
          <w:szCs w:val="24"/>
        </w:rPr>
        <w:t>L</w:t>
      </w:r>
      <w:r w:rsidR="007A3F3B">
        <w:rPr>
          <w:rFonts w:ascii="Times New Roman" w:eastAsia="Calibri" w:hAnsi="Times New Roman" w:cs="Times New Roman"/>
          <w:sz w:val="24"/>
          <w:szCs w:val="24"/>
        </w:rPr>
        <w:t>U</w:t>
      </w:r>
      <w:r w:rsidRPr="00514A47">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RO</w:t>
      </w:r>
      <w:r w:rsidRPr="00514A47">
        <w:rPr>
          <w:rFonts w:ascii="Times New Roman" w:eastAsia="Calibri" w:hAnsi="Times New Roman" w:cs="Times New Roman"/>
          <w:sz w:val="24"/>
          <w:szCs w:val="24"/>
        </w:rPr>
        <w:t>) there are neither legal nor practical solutions facilitating licensing of retransmission of TV and</w:t>
      </w:r>
      <w:r w:rsidRPr="002D27D2">
        <w:rPr>
          <w:rFonts w:ascii="Times New Roman" w:eastAsia="Calibri" w:hAnsi="Times New Roman" w:cs="Times New Roman"/>
          <w:sz w:val="24"/>
          <w:szCs w:val="24"/>
        </w:rPr>
        <w:t xml:space="preserve"> radio broadcasts by means other than cable. In</w:t>
      </w:r>
      <w:r w:rsidRPr="00305C10">
        <w:rPr>
          <w:rFonts w:ascii="Times New Roman" w:eastAsia="Calibri" w:hAnsi="Times New Roman" w:cs="Times New Roman"/>
          <w:sz w:val="24"/>
          <w:szCs w:val="24"/>
        </w:rPr>
        <w:t xml:space="preserve"> these </w:t>
      </w:r>
      <w:r w:rsidR="00B82096">
        <w:rPr>
          <w:rFonts w:ascii="Times New Roman" w:eastAsia="Calibri" w:hAnsi="Times New Roman" w:cs="Times New Roman"/>
          <w:sz w:val="24"/>
          <w:szCs w:val="24"/>
        </w:rPr>
        <w:t>MS</w:t>
      </w:r>
      <w:r w:rsidRPr="00305C10">
        <w:rPr>
          <w:rFonts w:ascii="Times New Roman" w:eastAsia="Calibri" w:hAnsi="Times New Roman" w:cs="Times New Roman"/>
          <w:sz w:val="24"/>
          <w:szCs w:val="24"/>
        </w:rPr>
        <w:t xml:space="preserve"> the providers of such other retransmission services have to rely on multiple licensing tools: </w:t>
      </w:r>
      <w:r w:rsidRPr="00305C10">
        <w:rPr>
          <w:rFonts w:ascii="Times New Roman" w:hAnsi="Times New Roman" w:cs="Times New Roman"/>
          <w:sz w:val="24"/>
          <w:szCs w:val="24"/>
        </w:rPr>
        <w:t xml:space="preserve">the "all-rights-included" licences from broadcasters, collective licensing (only in the content sectors where it is available, mainly music) and individual licensing (notably by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305C10">
        <w:rPr>
          <w:rFonts w:ascii="Times New Roman" w:hAnsi="Times New Roman" w:cs="Times New Roman"/>
          <w:sz w:val="24"/>
          <w:szCs w:val="24"/>
        </w:rPr>
        <w:t xml:space="preserve"> of </w:t>
      </w:r>
      <w:r w:rsidR="00F506EA">
        <w:rPr>
          <w:rFonts w:ascii="Times New Roman" w:hAnsi="Times New Roman" w:cs="Times New Roman"/>
          <w:sz w:val="24"/>
          <w:szCs w:val="24"/>
        </w:rPr>
        <w:t xml:space="preserve">AV </w:t>
      </w:r>
      <w:r w:rsidRPr="00305C10">
        <w:rPr>
          <w:rFonts w:ascii="Times New Roman" w:hAnsi="Times New Roman" w:cs="Times New Roman"/>
          <w:sz w:val="24"/>
          <w:szCs w:val="24"/>
        </w:rPr>
        <w:t>works)</w:t>
      </w:r>
      <w:r w:rsidRPr="00305C10">
        <w:rPr>
          <w:rFonts w:ascii="Times New Roman" w:eastAsia="Calibri" w:hAnsi="Times New Roman" w:cs="Times New Roman"/>
          <w:sz w:val="24"/>
          <w:szCs w:val="24"/>
        </w:rPr>
        <w:t>.</w:t>
      </w:r>
    </w:p>
    <w:p w:rsidR="00C27157" w:rsidRPr="00305C10" w:rsidRDefault="00C27157" w:rsidP="00C2715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03C08">
        <w:rPr>
          <w:rFonts w:ascii="Times New Roman" w:eastAsia="Calibri" w:hAnsi="Times New Roman" w:cs="Times New Roman"/>
          <w:i/>
          <w:sz w:val="24"/>
          <w:szCs w:val="24"/>
        </w:rPr>
        <w:t>C</w:t>
      </w:r>
      <w:r w:rsidRPr="00C32C45">
        <w:rPr>
          <w:rFonts w:ascii="Times New Roman" w:eastAsia="Calibri" w:hAnsi="Times New Roman" w:cs="Times New Roman"/>
          <w:i/>
          <w:sz w:val="24"/>
          <w:szCs w:val="24"/>
        </w:rPr>
        <w:t>ommercial decisions</w:t>
      </w:r>
      <w:r>
        <w:rPr>
          <w:rFonts w:ascii="Times New Roman" w:eastAsia="Calibri" w:hAnsi="Times New Roman" w:cs="Times New Roman"/>
          <w:sz w:val="24"/>
          <w:szCs w:val="24"/>
        </w:rPr>
        <w:t xml:space="preserve">] </w:t>
      </w:r>
      <w:r w:rsidRPr="00305C10">
        <w:rPr>
          <w:rFonts w:ascii="Times New Roman" w:eastAsia="Calibri" w:hAnsi="Times New Roman" w:cs="Times New Roman"/>
          <w:sz w:val="24"/>
          <w:szCs w:val="24"/>
        </w:rPr>
        <w:t>Apart from the licensing difficulties, the choices of digital retransmission service providers when it comes to including or not TV / radio channels into the packages provided to consumers are driven by these two factors: (</w:t>
      </w:r>
      <w:r>
        <w:rPr>
          <w:rFonts w:ascii="Times New Roman" w:eastAsia="Calibri" w:hAnsi="Times New Roman" w:cs="Times New Roman"/>
          <w:sz w:val="24"/>
          <w:szCs w:val="24"/>
        </w:rPr>
        <w:t>i</w:t>
      </w:r>
      <w:r w:rsidRPr="00305C10">
        <w:rPr>
          <w:rFonts w:ascii="Times New Roman" w:eastAsia="Calibri" w:hAnsi="Times New Roman" w:cs="Times New Roman"/>
          <w:sz w:val="24"/>
          <w:szCs w:val="24"/>
        </w:rPr>
        <w:t>) the perceived demand by a typical audience in a particular territory (in practice IPTV services often follow the patterns established by cable TV) and (</w:t>
      </w:r>
      <w:r>
        <w:rPr>
          <w:rFonts w:ascii="Times New Roman" w:eastAsia="Calibri" w:hAnsi="Times New Roman" w:cs="Times New Roman"/>
          <w:sz w:val="24"/>
          <w:szCs w:val="24"/>
        </w:rPr>
        <w:t>ii</w:t>
      </w:r>
      <w:r w:rsidRPr="00305C10">
        <w:rPr>
          <w:rFonts w:ascii="Times New Roman" w:eastAsia="Calibri" w:hAnsi="Times New Roman" w:cs="Times New Roman"/>
          <w:sz w:val="24"/>
          <w:szCs w:val="24"/>
        </w:rPr>
        <w:t>) the fees charged by the respective broadcasters</w:t>
      </w:r>
      <w:r w:rsidR="00874FF5">
        <w:rPr>
          <w:rFonts w:ascii="Times New Roman" w:eastAsia="Calibri" w:hAnsi="Times New Roman" w:cs="Times New Roman"/>
          <w:sz w:val="24"/>
          <w:szCs w:val="24"/>
        </w:rPr>
        <w:t>.</w:t>
      </w:r>
    </w:p>
    <w:p w:rsidR="007E0762" w:rsidRPr="00705E14" w:rsidRDefault="007E0762" w:rsidP="007E0762">
      <w:pPr>
        <w:spacing w:after="120" w:line="240" w:lineRule="auto"/>
        <w:jc w:val="both"/>
        <w:rPr>
          <w:rFonts w:ascii="Times New Roman" w:eastAsia="Calibri" w:hAnsi="Times New Roman" w:cs="Times New Roman"/>
          <w:sz w:val="24"/>
          <w:szCs w:val="24"/>
        </w:rPr>
      </w:pPr>
      <w:r w:rsidRPr="00C32C45">
        <w:rPr>
          <w:rFonts w:ascii="Times New Roman" w:eastAsia="Calibri" w:hAnsi="Times New Roman" w:cs="Times New Roman"/>
          <w:sz w:val="24"/>
          <w:szCs w:val="24"/>
          <w:u w:val="single"/>
        </w:rPr>
        <w:t>Consequence:</w:t>
      </w:r>
      <w:r>
        <w:rPr>
          <w:rFonts w:ascii="Times New Roman" w:eastAsia="Calibri" w:hAnsi="Times New Roman" w:cs="Times New Roman"/>
          <w:sz w:val="24"/>
          <w:szCs w:val="24"/>
        </w:rPr>
        <w:t xml:space="preserve"> The lack of mechanisms facilitating the licensing of rights for retransmission services using means other than cable leads to a limited access to TV and radio channels from other MS (as the offer of such channels is limited). </w:t>
      </w:r>
      <w:r w:rsidRPr="00305C10">
        <w:rPr>
          <w:rFonts w:ascii="Times New Roman" w:eastAsia="Calibri" w:hAnsi="Times New Roman" w:cs="Times New Roman"/>
          <w:sz w:val="24"/>
          <w:szCs w:val="24"/>
        </w:rPr>
        <w:t xml:space="preserve">A comparison of the total number of TV channels (from other </w:t>
      </w:r>
      <w:r>
        <w:rPr>
          <w:rFonts w:ascii="Times New Roman" w:eastAsia="Calibri" w:hAnsi="Times New Roman" w:cs="Times New Roman"/>
          <w:sz w:val="24"/>
          <w:szCs w:val="24"/>
        </w:rPr>
        <w:t>MS</w:t>
      </w:r>
      <w:r w:rsidRPr="00305C10">
        <w:rPr>
          <w:rFonts w:ascii="Times New Roman" w:eastAsia="Calibri" w:hAnsi="Times New Roman" w:cs="Times New Roman"/>
          <w:sz w:val="24"/>
          <w:szCs w:val="24"/>
        </w:rPr>
        <w:t xml:space="preserve">) available through cable retransmission with the total number of TV channels (from other </w:t>
      </w:r>
      <w:r>
        <w:rPr>
          <w:rFonts w:ascii="Times New Roman" w:eastAsia="Calibri" w:hAnsi="Times New Roman" w:cs="Times New Roman"/>
          <w:sz w:val="24"/>
          <w:szCs w:val="24"/>
        </w:rPr>
        <w:t>MS</w:t>
      </w:r>
      <w:r w:rsidRPr="00705E14">
        <w:rPr>
          <w:rFonts w:ascii="Times New Roman" w:eastAsia="Calibri" w:hAnsi="Times New Roman" w:cs="Times New Roman"/>
          <w:sz w:val="24"/>
          <w:szCs w:val="24"/>
        </w:rPr>
        <w:t>) available through IPTV retransmission in 1</w:t>
      </w:r>
      <w:r>
        <w:rPr>
          <w:rFonts w:ascii="Times New Roman" w:eastAsia="Calibri" w:hAnsi="Times New Roman" w:cs="Times New Roman"/>
          <w:sz w:val="24"/>
          <w:szCs w:val="24"/>
        </w:rPr>
        <w:t>0</w:t>
      </w:r>
      <w:r w:rsidRPr="00705E14">
        <w:rPr>
          <w:rFonts w:ascii="Times New Roman" w:eastAsia="Calibri" w:hAnsi="Times New Roman" w:cs="Times New Roman"/>
          <w:sz w:val="24"/>
          <w:szCs w:val="24"/>
        </w:rPr>
        <w:t xml:space="preserve"> EU MS</w:t>
      </w:r>
      <w:r>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DE</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HU</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IE</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PL</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NL</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DK</w:t>
      </w:r>
      <w:r w:rsidRPr="00E8322E">
        <w:rPr>
          <w:rFonts w:ascii="Times New Roman" w:eastAsia="Calibri" w:hAnsi="Times New Roman" w:cs="Times New Roman"/>
          <w:sz w:val="24"/>
          <w:szCs w:val="24"/>
        </w:rPr>
        <w:t xml:space="preserve">, </w:t>
      </w:r>
      <w:r w:rsidR="007A3F3B">
        <w:rPr>
          <w:rFonts w:ascii="Times New Roman" w:eastAsia="Calibri" w:hAnsi="Times New Roman" w:cs="Times New Roman"/>
          <w:sz w:val="24"/>
          <w:szCs w:val="24"/>
        </w:rPr>
        <w:t>SE</w:t>
      </w:r>
      <w:r w:rsidRPr="00E8322E">
        <w:rPr>
          <w:rFonts w:ascii="Times New Roman" w:eastAsia="Calibri" w:hAnsi="Times New Roman" w:cs="Times New Roman"/>
          <w:sz w:val="24"/>
          <w:szCs w:val="24"/>
        </w:rPr>
        <w:t xml:space="preserve">, UK, </w:t>
      </w:r>
      <w:r w:rsidR="007A3F3B">
        <w:rPr>
          <w:rFonts w:ascii="Times New Roman" w:eastAsia="Calibri" w:hAnsi="Times New Roman" w:cs="Times New Roman"/>
          <w:sz w:val="24"/>
          <w:szCs w:val="24"/>
        </w:rPr>
        <w:t>ES</w:t>
      </w:r>
      <w:r w:rsidR="007A3F3B" w:rsidRPr="00E8322E">
        <w:rPr>
          <w:rFonts w:ascii="Times New Roman" w:eastAsia="Calibri" w:hAnsi="Times New Roman" w:cs="Times New Roman"/>
          <w:sz w:val="24"/>
          <w:szCs w:val="24"/>
        </w:rPr>
        <w:t xml:space="preserve"> </w:t>
      </w:r>
      <w:r w:rsidRPr="00E8322E">
        <w:rPr>
          <w:rFonts w:ascii="Times New Roman" w:eastAsia="Calibri" w:hAnsi="Times New Roman" w:cs="Times New Roman"/>
          <w:sz w:val="24"/>
          <w:szCs w:val="24"/>
        </w:rPr>
        <w:t xml:space="preserve">and </w:t>
      </w:r>
      <w:r w:rsidR="007A3F3B">
        <w:rPr>
          <w:rFonts w:ascii="Times New Roman" w:eastAsia="Calibri" w:hAnsi="Times New Roman" w:cs="Times New Roman"/>
          <w:sz w:val="24"/>
          <w:szCs w:val="24"/>
        </w:rPr>
        <w:t>FR</w:t>
      </w:r>
      <w:r>
        <w:rPr>
          <w:rFonts w:ascii="Times New Roman" w:eastAsia="Calibri" w:hAnsi="Times New Roman" w:cs="Times New Roman"/>
          <w:sz w:val="24"/>
          <w:szCs w:val="24"/>
        </w:rPr>
        <w:t>)</w:t>
      </w:r>
      <w:r w:rsidRPr="00E8322E">
        <w:rPr>
          <w:rFonts w:ascii="Times New Roman" w:eastAsia="Calibri" w:hAnsi="Times New Roman" w:cs="Times New Roman"/>
          <w:sz w:val="24"/>
          <w:szCs w:val="24"/>
          <w:vertAlign w:val="superscript"/>
        </w:rPr>
        <w:footnoteReference w:id="127"/>
      </w:r>
      <w:r w:rsidRPr="00705E14">
        <w:rPr>
          <w:rFonts w:ascii="Times New Roman" w:eastAsia="Calibri" w:hAnsi="Times New Roman" w:cs="Times New Roman"/>
          <w:sz w:val="24"/>
          <w:szCs w:val="24"/>
        </w:rPr>
        <w:t xml:space="preserve"> has shown that there are more TV channels (from other MS) on cable TV than IPTV in all but </w:t>
      </w:r>
      <w:r>
        <w:rPr>
          <w:rFonts w:ascii="Times New Roman" w:eastAsia="Calibri" w:hAnsi="Times New Roman" w:cs="Times New Roman"/>
          <w:sz w:val="24"/>
          <w:szCs w:val="24"/>
        </w:rPr>
        <w:t>1</w:t>
      </w:r>
      <w:r w:rsidRPr="00705E14">
        <w:rPr>
          <w:rFonts w:ascii="Times New Roman" w:eastAsia="Calibri" w:hAnsi="Times New Roman" w:cs="Times New Roman"/>
          <w:sz w:val="24"/>
          <w:szCs w:val="24"/>
        </w:rPr>
        <w:t xml:space="preserve"> MS</w:t>
      </w:r>
      <w:r>
        <w:rPr>
          <w:rFonts w:ascii="Times New Roman" w:eastAsia="Calibri" w:hAnsi="Times New Roman" w:cs="Times New Roman"/>
          <w:sz w:val="24"/>
          <w:szCs w:val="24"/>
        </w:rPr>
        <w:t xml:space="preserve"> (F</w:t>
      </w:r>
      <w:r w:rsidR="007A3F3B">
        <w:rPr>
          <w:rFonts w:ascii="Times New Roman" w:eastAsia="Calibri" w:hAnsi="Times New Roman" w:cs="Times New Roman"/>
          <w:sz w:val="24"/>
          <w:szCs w:val="24"/>
        </w:rPr>
        <w:t>R</w:t>
      </w:r>
      <w:r>
        <w:rPr>
          <w:rFonts w:ascii="Times New Roman" w:eastAsia="Calibri" w:hAnsi="Times New Roman" w:cs="Times New Roman"/>
          <w:sz w:val="24"/>
          <w:szCs w:val="24"/>
        </w:rPr>
        <w:t>)</w:t>
      </w:r>
      <w:r w:rsidRPr="00705E14">
        <w:rPr>
          <w:rFonts w:ascii="Times New Roman" w:eastAsia="Calibri" w:hAnsi="Times New Roman" w:cs="Times New Roman"/>
          <w:sz w:val="24"/>
          <w:szCs w:val="24"/>
        </w:rPr>
        <w:t>.</w:t>
      </w:r>
    </w:p>
    <w:p w:rsidR="00C27157" w:rsidRPr="00305C10" w:rsidRDefault="00C27157" w:rsidP="00C27157">
      <w:pPr>
        <w:spacing w:after="120" w:line="240" w:lineRule="auto"/>
        <w:jc w:val="both"/>
        <w:rPr>
          <w:rFonts w:ascii="Times New Roman" w:hAnsi="Times New Roman" w:cs="Times New Roman"/>
          <w:sz w:val="24"/>
          <w:szCs w:val="24"/>
        </w:rPr>
      </w:pPr>
      <w:r w:rsidRPr="00C32C45">
        <w:rPr>
          <w:rFonts w:ascii="Times New Roman" w:eastAsia="Times New Roman" w:hAnsi="Times New Roman" w:cs="Times New Roman"/>
          <w:color w:val="000000"/>
          <w:sz w:val="24"/>
          <w:szCs w:val="24"/>
          <w:u w:val="single"/>
          <w:bdr w:val="nil"/>
          <w:lang w:eastAsia="en-GB"/>
        </w:rPr>
        <w:t>How the problem would evolve:</w:t>
      </w:r>
      <w:r>
        <w:rPr>
          <w:rFonts w:ascii="Times New Roman" w:eastAsia="Times New Roman" w:hAnsi="Times New Roman" w:cs="Times New Roman"/>
          <w:color w:val="000000"/>
          <w:sz w:val="24"/>
          <w:szCs w:val="24"/>
          <w:u w:color="000000"/>
          <w:bdr w:val="nil"/>
          <w:lang w:eastAsia="en-GB"/>
        </w:rPr>
        <w:t xml:space="preserve"> </w:t>
      </w:r>
      <w:r w:rsidRPr="00705E14">
        <w:rPr>
          <w:rFonts w:ascii="Times New Roman" w:hAnsi="Times New Roman" w:cs="Times New Roman"/>
          <w:sz w:val="24"/>
          <w:szCs w:val="24"/>
        </w:rPr>
        <w:t>The fragmentation of rules applying to the clearance of rights for retransmissions</w:t>
      </w:r>
      <w:r w:rsidRPr="00305C10">
        <w:rPr>
          <w:rFonts w:ascii="Times New Roman" w:hAnsi="Times New Roman" w:cs="Times New Roman"/>
          <w:sz w:val="24"/>
          <w:szCs w:val="24"/>
        </w:rPr>
        <w:t xml:space="preserve"> by means other than cable is likely to become more problematic with the uptake of IPTV retransmission services in the coming years, expected to account for 16% of EU 28 TV households in 2020 (up from 13</w:t>
      </w:r>
      <w:r w:rsidR="004F2228">
        <w:rPr>
          <w:rFonts w:ascii="Times New Roman" w:hAnsi="Times New Roman" w:cs="Times New Roman"/>
          <w:sz w:val="24"/>
          <w:szCs w:val="24"/>
        </w:rPr>
        <w:t xml:space="preserve"> </w:t>
      </w:r>
      <w:r w:rsidRPr="00305C10">
        <w:rPr>
          <w:rFonts w:ascii="Times New Roman" w:hAnsi="Times New Roman" w:cs="Times New Roman"/>
          <w:sz w:val="24"/>
          <w:szCs w:val="24"/>
        </w:rPr>
        <w:t>% in 2015)</w:t>
      </w:r>
      <w:r w:rsidR="00874FF5">
        <w:rPr>
          <w:rFonts w:ascii="Times New Roman" w:hAnsi="Times New Roman" w:cs="Times New Roman"/>
          <w:sz w:val="24"/>
          <w:szCs w:val="24"/>
        </w:rPr>
        <w:t>.</w:t>
      </w:r>
      <w:r w:rsidRPr="00305C10">
        <w:rPr>
          <w:rFonts w:ascii="Times New Roman" w:hAnsi="Times New Roman" w:cs="Times New Roman"/>
          <w:sz w:val="24"/>
          <w:szCs w:val="24"/>
          <w:vertAlign w:val="superscript"/>
        </w:rPr>
        <w:footnoteReference w:id="128"/>
      </w:r>
      <w:r w:rsidRPr="00305C10">
        <w:rPr>
          <w:rFonts w:ascii="Times New Roman" w:hAnsi="Times New Roman" w:cs="Times New Roman"/>
          <w:sz w:val="24"/>
          <w:szCs w:val="24"/>
        </w:rPr>
        <w:t xml:space="preserve"> The extent of use of cable retransmission services and satellite transmission / retransmission services is forecast to decline or remain stable.</w:t>
      </w:r>
    </w:p>
    <w:p w:rsidR="001D5DE0" w:rsidRDefault="001D5DE0">
      <w:pPr>
        <w:rPr>
          <w:rFonts w:ascii="Times New Roman" w:eastAsia="Times New Roman" w:hAnsi="Times New Roman" w:cs="Times New Roman"/>
          <w:i/>
          <w:color w:val="000000"/>
          <w:sz w:val="24"/>
          <w:szCs w:val="24"/>
          <w:u w:val="single"/>
          <w:bdr w:val="nil"/>
          <w:lang w:eastAsia="en-GB"/>
        </w:rPr>
      </w:pPr>
      <w:r>
        <w:rPr>
          <w:rFonts w:ascii="Times New Roman" w:eastAsia="Times New Roman" w:hAnsi="Times New Roman" w:cs="Times New Roman"/>
          <w:i/>
          <w:color w:val="000000"/>
          <w:sz w:val="24"/>
          <w:szCs w:val="24"/>
          <w:u w:val="single"/>
          <w:bdr w:val="nil"/>
          <w:lang w:eastAsia="en-GB"/>
        </w:rPr>
        <w:br w:type="page"/>
      </w:r>
    </w:p>
    <w:p w:rsidR="00C27157" w:rsidRPr="00333E57" w:rsidRDefault="00C27157" w:rsidP="00333E57">
      <w:pPr>
        <w:spacing w:after="120" w:line="240" w:lineRule="auto"/>
        <w:jc w:val="both"/>
        <w:rPr>
          <w:rFonts w:ascii="Times New Roman" w:eastAsia="Times New Roman" w:hAnsi="Times New Roman" w:cs="Times New Roman"/>
          <w:i/>
          <w:color w:val="000000"/>
          <w:sz w:val="24"/>
          <w:szCs w:val="24"/>
          <w:u w:val="single"/>
          <w:bdr w:val="nil"/>
          <w:lang w:eastAsia="en-GB"/>
        </w:rPr>
      </w:pPr>
      <w:r w:rsidRPr="00333E57">
        <w:rPr>
          <w:rFonts w:ascii="Times New Roman" w:eastAsia="Times New Roman" w:hAnsi="Times New Roman" w:cs="Times New Roman"/>
          <w:i/>
          <w:color w:val="000000"/>
          <w:sz w:val="24"/>
          <w:szCs w:val="24"/>
          <w:u w:val="single"/>
          <w:bdr w:val="nil"/>
          <w:lang w:eastAsia="en-GB"/>
        </w:rPr>
        <w:t>Pay TV subscriptions for EU28 to 2020</w:t>
      </w:r>
    </w:p>
    <w:p w:rsidR="002A30F1" w:rsidRDefault="00C27157" w:rsidP="002A30F1">
      <w:pPr>
        <w:keepNext/>
        <w:autoSpaceDE w:val="0"/>
        <w:autoSpaceDN w:val="0"/>
        <w:adjustRightInd w:val="0"/>
        <w:spacing w:after="0" w:line="240" w:lineRule="auto"/>
        <w:jc w:val="both"/>
        <w:rPr>
          <w:rFonts w:ascii="Verdana" w:eastAsia="Times New Roman" w:hAnsi="Verdana" w:cs="Times New Roman"/>
          <w:color w:val="000000"/>
          <w:sz w:val="16"/>
          <w:szCs w:val="20"/>
          <w:lang w:eastAsia="nl-BE"/>
        </w:rPr>
      </w:pPr>
      <w:r w:rsidRPr="00305C10">
        <w:rPr>
          <w:rFonts w:ascii="Verdana" w:eastAsia="Times New Roman" w:hAnsi="Verdana" w:cs="Times New Roman"/>
          <w:b/>
          <w:noProof/>
          <w:color w:val="0070C0"/>
          <w:sz w:val="20"/>
          <w:szCs w:val="20"/>
          <w:u w:color="000000"/>
          <w:lang w:eastAsia="en-GB"/>
        </w:rPr>
        <w:drawing>
          <wp:inline distT="0" distB="0" distL="0" distR="0" wp14:anchorId="303D6EA2" wp14:editId="3FCA11AC">
            <wp:extent cx="5032857" cy="2245767"/>
            <wp:effectExtent l="0" t="0" r="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7157" w:rsidRDefault="00C27157" w:rsidP="002A30F1">
      <w:pPr>
        <w:keepNext/>
        <w:autoSpaceDE w:val="0"/>
        <w:autoSpaceDN w:val="0"/>
        <w:adjustRightInd w:val="0"/>
        <w:spacing w:after="0" w:line="240" w:lineRule="auto"/>
        <w:jc w:val="both"/>
        <w:rPr>
          <w:rFonts w:ascii="Verdana" w:eastAsia="Times New Roman" w:hAnsi="Verdana" w:cs="Times New Roman"/>
          <w:b/>
          <w:color w:val="0070C0"/>
          <w:sz w:val="20"/>
          <w:szCs w:val="20"/>
          <w:u w:color="000000"/>
          <w:lang w:eastAsia="nl-BE"/>
        </w:rPr>
      </w:pPr>
      <w:r w:rsidRPr="00305C10">
        <w:rPr>
          <w:rFonts w:ascii="Verdana" w:eastAsia="Times New Roman" w:hAnsi="Verdana" w:cs="Times New Roman"/>
          <w:color w:val="000000"/>
          <w:sz w:val="16"/>
          <w:szCs w:val="20"/>
          <w:lang w:eastAsia="nl-BE"/>
        </w:rPr>
        <w:t xml:space="preserve">Source: </w:t>
      </w:r>
      <w:hyperlink r:id="rId21" w:history="1">
        <w:r w:rsidRPr="00305C10">
          <w:rPr>
            <w:rFonts w:ascii="Verdana" w:eastAsia="Times New Roman" w:hAnsi="Verdana" w:cs="Times New Roman"/>
            <w:color w:val="000000" w:themeColor="text1"/>
            <w:sz w:val="16"/>
            <w:szCs w:val="20"/>
            <w:lang w:eastAsia="nl-BE"/>
          </w:rPr>
          <w:t>Digital TV Research</w:t>
        </w:r>
      </w:hyperlink>
      <w:r w:rsidRPr="00305C10">
        <w:rPr>
          <w:rFonts w:ascii="Verdana" w:eastAsia="Times New Roman" w:hAnsi="Verdana" w:cs="Times New Roman"/>
          <w:color w:val="000000"/>
          <w:sz w:val="16"/>
          <w:szCs w:val="20"/>
          <w:lang w:eastAsia="nl-BE"/>
        </w:rPr>
        <w:t>, Global Pay TV Operator Forecasts 2015, October 2015</w:t>
      </w:r>
      <w:r w:rsidRPr="00305C10">
        <w:rPr>
          <w:rFonts w:ascii="Verdana" w:eastAsia="Times New Roman" w:hAnsi="Verdana" w:cs="Times New Roman"/>
          <w:color w:val="000000"/>
          <w:sz w:val="16"/>
          <w:szCs w:val="20"/>
          <w:lang w:eastAsia="nl-BE"/>
        </w:rPr>
        <w:br/>
        <w:t>*Data not available for Cyprus and Luxembourg</w:t>
      </w:r>
    </w:p>
    <w:p w:rsidR="00333E57" w:rsidRPr="00333E57" w:rsidRDefault="00333E57" w:rsidP="00333E57">
      <w:pPr>
        <w:keepNext/>
        <w:autoSpaceDE w:val="0"/>
        <w:autoSpaceDN w:val="0"/>
        <w:adjustRightInd w:val="0"/>
        <w:spacing w:after="0" w:line="240" w:lineRule="auto"/>
        <w:jc w:val="both"/>
        <w:rPr>
          <w:rFonts w:ascii="Verdana" w:eastAsia="Times New Roman" w:hAnsi="Verdana" w:cs="Times New Roman"/>
          <w:b/>
          <w:color w:val="0070C0"/>
          <w:sz w:val="20"/>
          <w:szCs w:val="20"/>
          <w:u w:color="000000"/>
          <w:lang w:eastAsia="nl-BE"/>
        </w:rPr>
      </w:pPr>
    </w:p>
    <w:p w:rsidR="00C27157" w:rsidRPr="00305C10" w:rsidRDefault="00C51C6C" w:rsidP="00900B79">
      <w:pPr>
        <w:pStyle w:val="Heading5"/>
        <w:tabs>
          <w:tab w:val="left" w:pos="851"/>
        </w:tabs>
        <w:jc w:val="both"/>
      </w:pPr>
      <w:r>
        <w:t>3.2.3.2.</w:t>
      </w:r>
      <w:r>
        <w:tab/>
      </w:r>
      <w:r w:rsidR="00C27157" w:rsidRPr="00305C10">
        <w:t>What are the various options to achieve the objectives?</w:t>
      </w:r>
    </w:p>
    <w:p w:rsidR="00C27157" w:rsidRPr="00305C10" w:rsidRDefault="00C27157" w:rsidP="00900B79">
      <w:pPr>
        <w:pBdr>
          <w:top w:val="nil"/>
          <w:left w:val="nil"/>
          <w:bottom w:val="nil"/>
          <w:right w:val="nil"/>
          <w:between w:val="nil"/>
          <w:bar w:val="nil"/>
        </w:pBdr>
        <w:spacing w:before="240" w:after="120" w:line="240" w:lineRule="auto"/>
        <w:jc w:val="both"/>
        <w:rPr>
          <w:rFonts w:ascii="Times New Roman" w:hAnsi="Times New Roman"/>
          <w:sz w:val="24"/>
          <w:szCs w:val="24"/>
        </w:rPr>
      </w:pPr>
      <w:r w:rsidRPr="00305C10">
        <w:rPr>
          <w:rFonts w:ascii="Times New Roman" w:hAnsi="Times New Roman"/>
          <w:sz w:val="24"/>
          <w:szCs w:val="24"/>
        </w:rPr>
        <w:t xml:space="preserve">Non-regulatory </w:t>
      </w:r>
      <w:r w:rsidRPr="00900B79">
        <w:rPr>
          <w:rFonts w:ascii="Times New Roman" w:eastAsia="Times New Roman" w:hAnsi="Times New Roman" w:cs="Times New Roman"/>
          <w:color w:val="000000"/>
          <w:sz w:val="24"/>
          <w:szCs w:val="24"/>
          <w:u w:color="000000"/>
          <w:bdr w:val="nil"/>
          <w:lang w:val="en-US" w:eastAsia="en-GB"/>
        </w:rPr>
        <w:t>options</w:t>
      </w:r>
      <w:r w:rsidRPr="00305C10">
        <w:rPr>
          <w:rFonts w:ascii="Times New Roman" w:hAnsi="Times New Roman"/>
          <w:sz w:val="24"/>
          <w:szCs w:val="24"/>
        </w:rPr>
        <w:t xml:space="preserve"> are not considered because they would not be sufficient to achieve the objectives. Their effectiveness would be similar to the baseline scenario, and they would not provide the necessary degree of legal certainty.</w:t>
      </w:r>
    </w:p>
    <w:p w:rsidR="00C27157" w:rsidRPr="00900B79" w:rsidRDefault="00C27157" w:rsidP="00900B79">
      <w:pPr>
        <w:pStyle w:val="Text1"/>
        <w:ind w:left="0"/>
        <w:rPr>
          <w:rFonts w:eastAsia="Arial Unicode MS" w:hAnsi="Arial Unicode MS" w:cs="Arial Unicode MS"/>
          <w:b/>
          <w:bCs/>
          <w:color w:val="000000"/>
          <w:szCs w:val="24"/>
          <w:bdr w:val="nil"/>
        </w:rPr>
      </w:pPr>
      <w:r w:rsidRPr="00900B79">
        <w:rPr>
          <w:rFonts w:eastAsia="Arial Unicode MS" w:hAnsi="Arial Unicode MS" w:cs="Arial Unicode MS"/>
          <w:b/>
          <w:bCs/>
          <w:color w:val="000000"/>
          <w:szCs w:val="24"/>
          <w:bdr w:val="nil"/>
        </w:rPr>
        <w:t>Baseline</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No policy intervention. This option would mean relying on the market players - </w:t>
      </w:r>
      <w:r w:rsidR="006D6407">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xml:space="preserve">, including CMOs, and retransmission service providers - to work out and agree on the appropriate licensing arrangements and/or relying on the </w:t>
      </w:r>
      <w:r>
        <w:rPr>
          <w:rFonts w:ascii="Times New Roman" w:hAnsi="Times New Roman"/>
          <w:sz w:val="24"/>
          <w:szCs w:val="24"/>
        </w:rPr>
        <w:t>MS</w:t>
      </w:r>
      <w:r w:rsidRPr="00305C10">
        <w:rPr>
          <w:rFonts w:ascii="Times New Roman" w:hAnsi="Times New Roman"/>
          <w:sz w:val="24"/>
          <w:szCs w:val="24"/>
        </w:rPr>
        <w:t xml:space="preserve"> to establish the appropriate licensing facilitation mechanisms.</w:t>
      </w:r>
    </w:p>
    <w:tbl>
      <w:tblPr>
        <w:tblStyle w:val="TableGrid8"/>
        <w:tblW w:w="0" w:type="auto"/>
        <w:tblInd w:w="0" w:type="dxa"/>
        <w:tblLook w:val="04A0" w:firstRow="1" w:lastRow="0" w:firstColumn="1" w:lastColumn="0" w:noHBand="0" w:noVBand="1"/>
      </w:tblPr>
      <w:tblGrid>
        <w:gridCol w:w="9288"/>
      </w:tblGrid>
      <w:tr w:rsidR="00C27157" w:rsidRPr="00305C10" w:rsidTr="00E70581">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27157" w:rsidRPr="008A587E" w:rsidRDefault="00C27157" w:rsidP="00E70581">
            <w:pPr>
              <w:rPr>
                <w:sz w:val="22"/>
              </w:rPr>
            </w:pPr>
            <w:r w:rsidRPr="006E0E32">
              <w:rPr>
                <w:i/>
              </w:rPr>
              <w:t>Stakeholders' views</w:t>
            </w:r>
            <w:r w:rsidRPr="006E0E32">
              <w:rPr>
                <w:vertAlign w:val="superscript"/>
              </w:rPr>
              <w:footnoteReference w:id="129"/>
            </w:r>
          </w:p>
          <w:p w:rsidR="00C27157" w:rsidRPr="00305C10" w:rsidRDefault="00C27157" w:rsidP="00E70581">
            <w:pPr>
              <w:jc w:val="both"/>
            </w:pPr>
            <w:r w:rsidRPr="006E0E32">
              <w:t xml:space="preserve">While most of individual </w:t>
            </w:r>
            <w:r w:rsidR="006D6407">
              <w:t>r</w:t>
            </w:r>
            <w:r w:rsidR="00007677">
              <w:t>ightholders</w:t>
            </w:r>
            <w:r w:rsidRPr="006E0E32">
              <w:t xml:space="preserve"> and commercial broadcasters support this option, consumer representatives, CMOs, public service broadcasters,</w:t>
            </w:r>
            <w:r>
              <w:rPr>
                <w:rStyle w:val="FootnoteReference"/>
              </w:rPr>
              <w:footnoteReference w:id="130"/>
            </w:r>
            <w:r w:rsidRPr="006E0E32">
              <w:t xml:space="preserve"> cable and telecoms operators consider that it cannot solve the identified problems</w:t>
            </w:r>
            <w:r>
              <w:t xml:space="preserve"> as only legislative intervention can ensure that retransmission service providers are in a position to acquire all necessary rights</w:t>
            </w:r>
            <w:r w:rsidRPr="00305C10">
              <w:t>.</w:t>
            </w:r>
          </w:p>
        </w:tc>
      </w:tr>
    </w:tbl>
    <w:p w:rsidR="00C27157" w:rsidRPr="00900B79" w:rsidRDefault="00C27157" w:rsidP="00900B79">
      <w:pPr>
        <w:pStyle w:val="Text1"/>
        <w:ind w:left="0"/>
        <w:rPr>
          <w:rFonts w:eastAsia="Arial Unicode MS" w:hAnsi="Arial Unicode MS" w:cs="Arial Unicode MS"/>
          <w:b/>
          <w:bCs/>
          <w:color w:val="000000"/>
          <w:szCs w:val="24"/>
          <w:bdr w:val="nil"/>
        </w:rPr>
      </w:pPr>
      <w:r w:rsidRPr="00900B79">
        <w:rPr>
          <w:rFonts w:eastAsia="Arial Unicode MS" w:hAnsi="Arial Unicode MS" w:cs="Arial Unicode MS"/>
          <w:b/>
          <w:bCs/>
          <w:color w:val="000000"/>
          <w:szCs w:val="24"/>
          <w:bdr w:val="nil"/>
        </w:rPr>
        <w:t>Option 1 - Mandatory collective management of rights to retransmission of TV / radio broadcasts by means of IPTV and other retransmission services provided over "closed" electronic communications networks</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Option 1 would introduce mandatory collective management for simultaneous, unaltered and unabridged retransmission of TV / radio broadcasts by IPTV retransmission services and other retransmission services provided over "closed" electronic communications networks</w:t>
      </w:r>
      <w:r w:rsidR="00C51C6C">
        <w:rPr>
          <w:rFonts w:eastAsia="Arial Unicode MS" w:hAnsi="Arial Unicode MS" w:cs="Arial Unicode MS"/>
          <w:color w:val="000000"/>
          <w:szCs w:val="24"/>
          <w:u w:color="000000"/>
          <w:bdr w:val="nil"/>
        </w:rPr>
        <w:t>.</w:t>
      </w:r>
      <w:r w:rsidR="006D6407">
        <w:rPr>
          <w:rStyle w:val="FootnoteReference"/>
          <w:rFonts w:eastAsia="Arial Unicode MS" w:hAnsi="Arial Unicode MS" w:cs="Arial Unicode MS"/>
          <w:color w:val="000000"/>
          <w:szCs w:val="24"/>
          <w:u w:color="000000"/>
          <w:bdr w:val="nil"/>
        </w:rPr>
        <w:footnoteReference w:id="131"/>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As a result, Option 1 would concern IPTV</w:t>
      </w:r>
      <w:r w:rsidRPr="00305C10">
        <w:rPr>
          <w:rFonts w:eastAsia="Arial Unicode MS" w:hAnsi="Arial Unicode MS" w:cs="Arial Unicode MS"/>
          <w:color w:val="000000"/>
          <w:szCs w:val="24"/>
          <w:u w:color="000000"/>
          <w:bdr w:val="nil"/>
          <w:vertAlign w:val="superscript"/>
        </w:rPr>
        <w:footnoteReference w:id="132"/>
      </w:r>
      <w:r w:rsidRPr="00305C10">
        <w:rPr>
          <w:rFonts w:eastAsia="Arial Unicode MS" w:hAnsi="Arial Unicode MS" w:cs="Arial Unicode MS"/>
          <w:color w:val="000000"/>
          <w:szCs w:val="24"/>
          <w:u w:color="000000"/>
          <w:bdr w:val="nil"/>
        </w:rPr>
        <w:t xml:space="preserve"> and other retransmission services (</w:t>
      </w:r>
      <w:r w:rsidRPr="00305C10">
        <w:rPr>
          <w:color w:val="000000"/>
          <w:szCs w:val="24"/>
          <w:u w:color="000000"/>
          <w:bdr w:val="nil"/>
        </w:rPr>
        <w:t>satellite, mobile, DTT) that</w:t>
      </w:r>
      <w:r w:rsidRPr="00305C10">
        <w:rPr>
          <w:rFonts w:eastAsia="Arial Unicode MS" w:hAnsi="Arial Unicode MS" w:cs="Arial Unicode MS"/>
          <w:color w:val="000000"/>
          <w:szCs w:val="24"/>
          <w:u w:color="000000"/>
          <w:bdr w:val="nil"/>
        </w:rPr>
        <w:t xml:space="preserve"> can only be accessed by a consumer through an electronic communications network, dedicated fully or partially to the retransmission service (as opposed to access through "open" Internet / any electronic communications network giving access to the Internet).</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 xml:space="preserve">Option 1 would concern retransmission of TV / radio broadcasts originating in other </w:t>
      </w:r>
      <w:r>
        <w:rPr>
          <w:rFonts w:eastAsia="Arial Unicode MS" w:hAnsi="Arial Unicode MS" w:cs="Arial Unicode MS"/>
          <w:color w:val="000000"/>
          <w:szCs w:val="24"/>
          <w:u w:color="000000"/>
          <w:bdr w:val="nil"/>
        </w:rPr>
        <w:t>MS</w:t>
      </w:r>
      <w:r w:rsidRPr="00305C10">
        <w:rPr>
          <w:rFonts w:eastAsia="Arial Unicode MS" w:hAnsi="Arial Unicode MS" w:cs="Arial Unicode MS"/>
          <w:color w:val="000000"/>
          <w:szCs w:val="24"/>
          <w:u w:color="000000"/>
          <w:bdr w:val="nil"/>
        </w:rPr>
        <w:t>.</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Just as in the case of the cable retransmission regime, broadcasters would be able to directly license to the retransmission service providers concerned the rights exercised by them in respect of their own broadcasts, irrespective of whether the rights concerned are broadcasters' own or have been transferred to them by other copyright owners and/or holders of related rights.</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 xml:space="preserve">As a result, the retransmission service providers concerned would have to obtain licences only from </w:t>
      </w:r>
      <w:r w:rsidRPr="00305C10">
        <w:rPr>
          <w:rFonts w:eastAsia="Arial Unicode MS"/>
          <w:color w:val="000000"/>
          <w:szCs w:val="24"/>
          <w:u w:color="000000"/>
          <w:bdr w:val="nil"/>
        </w:rPr>
        <w:t xml:space="preserve">two categories of </w:t>
      </w:r>
      <w:r w:rsidR="006D6407">
        <w:rPr>
          <w:rFonts w:eastAsia="Arial Unicode MS"/>
          <w:color w:val="000000"/>
          <w:szCs w:val="24"/>
          <w:u w:color="000000"/>
          <w:bdr w:val="nil"/>
        </w:rPr>
        <w:t>r</w:t>
      </w:r>
      <w:r w:rsidR="00007677">
        <w:rPr>
          <w:rFonts w:eastAsia="Arial Unicode MS"/>
          <w:color w:val="000000"/>
          <w:szCs w:val="24"/>
          <w:u w:color="000000"/>
          <w:bdr w:val="nil"/>
        </w:rPr>
        <w:t>ightholders</w:t>
      </w:r>
      <w:r w:rsidRPr="00305C10">
        <w:rPr>
          <w:rFonts w:eastAsia="Arial Unicode MS"/>
          <w:color w:val="000000"/>
          <w:szCs w:val="24"/>
          <w:u w:color="000000"/>
          <w:bdr w:val="nil"/>
        </w:rPr>
        <w:t xml:space="preserve"> - broadcasters and CMOs</w:t>
      </w:r>
      <w:r w:rsidRPr="00305C10">
        <w:rPr>
          <w:rFonts w:eastAsia="Arial Unicode MS" w:hAnsi="Arial Unicode MS" w:cs="Arial Unicode MS"/>
          <w:color w:val="000000"/>
          <w:szCs w:val="24"/>
          <w:u w:color="000000"/>
          <w:bdr w:val="nil"/>
        </w:rPr>
        <w:t>.</w:t>
      </w:r>
    </w:p>
    <w:tbl>
      <w:tblPr>
        <w:tblStyle w:val="TableGrid8"/>
        <w:tblW w:w="0" w:type="auto"/>
        <w:tblInd w:w="0" w:type="dxa"/>
        <w:tblLook w:val="04A0" w:firstRow="1" w:lastRow="0" w:firstColumn="1" w:lastColumn="0" w:noHBand="0" w:noVBand="1"/>
      </w:tblPr>
      <w:tblGrid>
        <w:gridCol w:w="9288"/>
      </w:tblGrid>
      <w:tr w:rsidR="00C27157" w:rsidRPr="00305C10" w:rsidTr="00E70581">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27157" w:rsidRPr="008A587E" w:rsidRDefault="00C27157" w:rsidP="00E70581">
            <w:pPr>
              <w:rPr>
                <w:i/>
                <w:sz w:val="22"/>
              </w:rPr>
            </w:pPr>
            <w:r w:rsidRPr="006E0E32">
              <w:rPr>
                <w:i/>
              </w:rPr>
              <w:t>Stakeholders' views</w:t>
            </w:r>
          </w:p>
          <w:p w:rsidR="00F306F9" w:rsidRPr="00305C10" w:rsidRDefault="00C27157" w:rsidP="006D6407">
            <w:pPr>
              <w:jc w:val="both"/>
              <w:rPr>
                <w:sz w:val="24"/>
              </w:rPr>
            </w:pPr>
            <w:r w:rsidRPr="006E0E32">
              <w:t xml:space="preserve">Most </w:t>
            </w:r>
            <w:r w:rsidR="006D6407">
              <w:t>r</w:t>
            </w:r>
            <w:r w:rsidR="00007677">
              <w:t>ightholders</w:t>
            </w:r>
            <w:r w:rsidRPr="006E0E32">
              <w:t xml:space="preserve"> - phonogram producers, music publishers and many </w:t>
            </w:r>
            <w:r w:rsidR="00F506EA">
              <w:t>AV</w:t>
            </w:r>
            <w:r w:rsidR="00F506EA" w:rsidRPr="006E0E32">
              <w:t xml:space="preserve"> </w:t>
            </w:r>
            <w:r w:rsidRPr="006E0E32">
              <w:t>producers – as well as commercial broadcasters are against this option due to the potential disruptive effect on the markets, which, according to them, function well. Cable and telecoms operators, consumer representatives, CMOs and public service broadcasters tend to be in favour of the possible application of the mandatory collective management regime to IPTV / other retransmission services provided over "closed" electronic communications networks and consider that it could improve the availability of TV / radio broadcasts across Europe.</w:t>
            </w:r>
          </w:p>
        </w:tc>
      </w:tr>
    </w:tbl>
    <w:p w:rsidR="00C27157" w:rsidRPr="00900B79" w:rsidRDefault="00C27157" w:rsidP="00900B79">
      <w:pPr>
        <w:pStyle w:val="Text1"/>
        <w:ind w:left="0"/>
        <w:rPr>
          <w:rFonts w:eastAsia="Arial Unicode MS" w:hAnsi="Arial Unicode MS" w:cs="Arial Unicode MS"/>
          <w:b/>
          <w:bCs/>
          <w:color w:val="000000"/>
          <w:szCs w:val="24"/>
          <w:bdr w:val="nil"/>
        </w:rPr>
      </w:pPr>
      <w:r w:rsidRPr="00900B79">
        <w:rPr>
          <w:rFonts w:eastAsia="Arial Unicode MS" w:hAnsi="Arial Unicode MS" w:cs="Arial Unicode MS"/>
          <w:b/>
          <w:bCs/>
          <w:color w:val="000000"/>
          <w:szCs w:val="24"/>
          <w:bdr w:val="nil"/>
        </w:rPr>
        <w:t xml:space="preserve">Option 2 </w:t>
      </w:r>
      <w:r w:rsidRPr="00900B79">
        <w:rPr>
          <w:rFonts w:eastAsia="Arial Unicode MS" w:hAnsi="Arial Unicode MS" w:cs="Arial Unicode MS"/>
          <w:b/>
          <w:bCs/>
          <w:color w:val="000000"/>
          <w:szCs w:val="24"/>
          <w:bdr w:val="nil"/>
        </w:rPr>
        <w:t>–</w:t>
      </w:r>
      <w:r w:rsidRPr="00900B79">
        <w:rPr>
          <w:rFonts w:eastAsia="Arial Unicode MS" w:hAnsi="Arial Unicode MS" w:cs="Arial Unicode MS"/>
          <w:b/>
          <w:bCs/>
          <w:color w:val="000000"/>
          <w:szCs w:val="24"/>
          <w:bdr w:val="nil"/>
        </w:rPr>
        <w:t xml:space="preserve"> Mandatory collective management of rights to retransmission of TV / radio broadcasts by means of any retransmission services, irrespective of the retransmission technology or network used, as long as they are provided to a defined number of users (subscribers, registered users)</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The main elements of Option 2 are the same as those of Option 1 except that Option 2 would introduce mandatory collective management for a wider range of retransmission services.</w:t>
      </w:r>
    </w:p>
    <w:p w:rsidR="00C27157" w:rsidRPr="00305C10" w:rsidRDefault="00C27157" w:rsidP="007D6CF3">
      <w:pPr>
        <w:pStyle w:val="Text1"/>
        <w:numPr>
          <w:ilvl w:val="0"/>
          <w:numId w:val="37"/>
        </w:numPr>
        <w:ind w:left="426" w:hanging="426"/>
        <w:rPr>
          <w:rFonts w:eastAsia="Arial Unicode MS" w:hAnsi="Arial Unicode MS" w:cs="Arial Unicode MS"/>
          <w:color w:val="000000"/>
          <w:szCs w:val="24"/>
          <w:u w:color="000000"/>
          <w:bdr w:val="nil"/>
        </w:rPr>
      </w:pPr>
      <w:r w:rsidRPr="00305C10">
        <w:rPr>
          <w:rFonts w:eastAsia="Arial Unicode MS" w:hAnsi="Arial Unicode MS" w:cs="Arial Unicode MS"/>
          <w:color w:val="000000"/>
          <w:szCs w:val="24"/>
          <w:u w:color="000000"/>
          <w:bdr w:val="nil"/>
        </w:rPr>
        <w:t xml:space="preserve">In particular, Option 2 would also apply to OTT retransmission services, as long as they are provided to a defined number of users (subscribers, registered users). It would not cover </w:t>
      </w:r>
      <w:r>
        <w:rPr>
          <w:rFonts w:eastAsia="Arial Unicode MS" w:hAnsi="Arial Unicode MS" w:cs="Arial Unicode MS"/>
          <w:color w:val="000000"/>
          <w:szCs w:val="24"/>
          <w:u w:color="000000"/>
          <w:bdr w:val="nil"/>
        </w:rPr>
        <w:t>the</w:t>
      </w:r>
      <w:r w:rsidRPr="00305C10">
        <w:rPr>
          <w:rFonts w:eastAsia="Arial Unicode MS" w:hAnsi="Arial Unicode MS" w:cs="Arial Unicode MS"/>
          <w:color w:val="000000"/>
          <w:szCs w:val="24"/>
          <w:u w:color="000000"/>
          <w:bdr w:val="nil"/>
        </w:rPr>
        <w:t xml:space="preserve"> OTT retransmission services which </w:t>
      </w:r>
      <w:r>
        <w:rPr>
          <w:rFonts w:eastAsia="Arial Unicode MS" w:cs="Arial Unicode MS"/>
          <w:color w:val="000000"/>
          <w:szCs w:val="24"/>
          <w:u w:color="000000"/>
          <w:bdr w:val="nil"/>
        </w:rPr>
        <w:t>do not require subscription or registration</w:t>
      </w:r>
      <w:r w:rsidRPr="00305C10">
        <w:rPr>
          <w:rFonts w:eastAsia="Arial Unicode MS" w:cs="Arial Unicode MS"/>
          <w:color w:val="000000"/>
          <w:szCs w:val="24"/>
          <w:u w:color="000000"/>
          <w:bdr w:val="nil"/>
        </w:rPr>
        <w:t xml:space="preserve"> (and typically rely on business models, e.g. advertising-based, that are different from most other retransmission services).</w:t>
      </w:r>
    </w:p>
    <w:tbl>
      <w:tblPr>
        <w:tblStyle w:val="TableGrid8"/>
        <w:tblW w:w="0" w:type="auto"/>
        <w:tblInd w:w="0" w:type="dxa"/>
        <w:tblLook w:val="04A0" w:firstRow="1" w:lastRow="0" w:firstColumn="1" w:lastColumn="0" w:noHBand="0" w:noVBand="1"/>
      </w:tblPr>
      <w:tblGrid>
        <w:gridCol w:w="9288"/>
      </w:tblGrid>
      <w:tr w:rsidR="00C27157" w:rsidRPr="00305C10" w:rsidTr="00E70581">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27157" w:rsidRPr="008A587E" w:rsidRDefault="00C27157" w:rsidP="00E70581">
            <w:pPr>
              <w:rPr>
                <w:i/>
                <w:sz w:val="22"/>
              </w:rPr>
            </w:pPr>
            <w:r w:rsidRPr="006E0E32">
              <w:rPr>
                <w:i/>
              </w:rPr>
              <w:t>Stakeholders' views</w:t>
            </w:r>
          </w:p>
          <w:p w:rsidR="00F306F9" w:rsidRPr="00305C10" w:rsidRDefault="00C27157" w:rsidP="00E70581">
            <w:pPr>
              <w:jc w:val="both"/>
              <w:rPr>
                <w:sz w:val="24"/>
              </w:rPr>
            </w:pPr>
            <w:r w:rsidRPr="006E0E32">
              <w:t xml:space="preserve">They are the same as on Option 1, </w:t>
            </w:r>
            <w:r w:rsidRPr="00705E14">
              <w:t>though many supporters of the application of the mandatory collective management regime to the retransmission services other than cable (most of CMOs and public service broadcasters, some cable / telecoms operators) emphasise that such application should be limited to the retransmission services provided over closed networks / in closed environments and/or functioning in a territorially-limited way.</w:t>
            </w:r>
            <w:r>
              <w:t xml:space="preserve"> </w:t>
            </w:r>
          </w:p>
        </w:tc>
      </w:tr>
    </w:tbl>
    <w:p w:rsidR="00C27157" w:rsidRDefault="00C27157" w:rsidP="00900B79">
      <w:pPr>
        <w:pStyle w:val="Heading5"/>
        <w:tabs>
          <w:tab w:val="left" w:pos="851"/>
        </w:tabs>
        <w:jc w:val="both"/>
      </w:pPr>
      <w:r w:rsidRPr="00C51C6C">
        <w:t>3.2.3.3</w:t>
      </w:r>
      <w:r w:rsidRPr="00C51C6C">
        <w:tab/>
        <w:t>What are the impacts of the different policy options and who will be affected?</w:t>
      </w:r>
    </w:p>
    <w:p w:rsidR="00900B79" w:rsidRPr="00900B79" w:rsidRDefault="00900B79" w:rsidP="00D1507D">
      <w:pPr>
        <w:spacing w:after="0"/>
      </w:pPr>
    </w:p>
    <w:tbl>
      <w:tblPr>
        <w:tblStyle w:val="TableGrid9"/>
        <w:tblW w:w="0" w:type="auto"/>
        <w:tblInd w:w="0" w:type="dxa"/>
        <w:tblLook w:val="04A0" w:firstRow="1" w:lastRow="0" w:firstColumn="1" w:lastColumn="0" w:noHBand="0" w:noVBand="1"/>
      </w:tblPr>
      <w:tblGrid>
        <w:gridCol w:w="9288"/>
      </w:tblGrid>
      <w:tr w:rsidR="00C27157" w:rsidRPr="00305C10" w:rsidTr="00E70581">
        <w:tc>
          <w:tcPr>
            <w:tcW w:w="9288" w:type="dxa"/>
            <w:tcBorders>
              <w:top w:val="single" w:sz="4" w:space="0" w:color="auto"/>
              <w:left w:val="single" w:sz="4" w:space="0" w:color="auto"/>
              <w:bottom w:val="single" w:sz="4" w:space="0" w:color="auto"/>
              <w:right w:val="single" w:sz="4" w:space="0" w:color="auto"/>
            </w:tcBorders>
            <w:hideMark/>
          </w:tcPr>
          <w:p w:rsidR="00C27157" w:rsidRPr="008A587E" w:rsidRDefault="00C27157" w:rsidP="00E70581">
            <w:pPr>
              <w:tabs>
                <w:tab w:val="left" w:pos="5196"/>
              </w:tabs>
              <w:jc w:val="both"/>
              <w:rPr>
                <w:b/>
                <w:i/>
                <w:sz w:val="22"/>
              </w:rPr>
            </w:pPr>
            <w:r w:rsidRPr="006E0E32">
              <w:rPr>
                <w:b/>
                <w:i/>
              </w:rPr>
              <w:t>Approach</w:t>
            </w:r>
          </w:p>
          <w:p w:rsidR="00C27157" w:rsidRPr="008A587E" w:rsidRDefault="00C27157" w:rsidP="00E70581">
            <w:pPr>
              <w:jc w:val="both"/>
              <w:rPr>
                <w:sz w:val="22"/>
              </w:rPr>
            </w:pPr>
            <w:r w:rsidRPr="006E0E32">
              <w:t xml:space="preserve">The options described above would affect retransmission service providers, consumers and </w:t>
            </w:r>
            <w:r w:rsidR="006D6407">
              <w:t>r</w:t>
            </w:r>
            <w:r w:rsidR="00007677">
              <w:t>ightholders</w:t>
            </w:r>
            <w:r w:rsidRPr="006E0E32">
              <w:t xml:space="preserve"> - individual </w:t>
            </w:r>
            <w:r w:rsidR="006D6407">
              <w:t>r</w:t>
            </w:r>
            <w:r w:rsidR="00007677">
              <w:t>ightholders</w:t>
            </w:r>
            <w:r w:rsidRPr="006E0E32">
              <w:t xml:space="preserve"> whose works are used in TV and radio broadcasts</w:t>
            </w:r>
            <w:r>
              <w:t>,</w:t>
            </w:r>
            <w:r w:rsidRPr="006E0E32">
              <w:t xml:space="preserve"> CMOs</w:t>
            </w:r>
            <w:r>
              <w:t xml:space="preserve"> and broadcasters</w:t>
            </w:r>
            <w:r w:rsidRPr="006E0E32">
              <w:t>. The impacts affecting these groups of stakeholders are presented separately.</w:t>
            </w:r>
          </w:p>
          <w:p w:rsidR="00C27157" w:rsidRPr="008A587E" w:rsidRDefault="00C27157" w:rsidP="007D6CF3">
            <w:pPr>
              <w:numPr>
                <w:ilvl w:val="0"/>
                <w:numId w:val="27"/>
              </w:numPr>
              <w:tabs>
                <w:tab w:val="left" w:pos="0"/>
              </w:tabs>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Pr="006E0E32">
              <w:rPr>
                <w:rFonts w:eastAsia="Calibri" w:cs="Calibri"/>
                <w:color w:val="000000"/>
                <w:u w:val="single" w:color="000000"/>
              </w:rPr>
              <w:t>retransmission service providers</w:t>
            </w:r>
            <w:r w:rsidRPr="006E0E32">
              <w:rPr>
                <w:rFonts w:eastAsia="Calibri" w:cs="Calibri"/>
                <w:color w:val="000000"/>
                <w:u w:color="000000"/>
              </w:rPr>
              <w:t xml:space="preserve">, the following economic impacts have been considered: impacts on the variety and quality of TV / radio retransmission services, on costs (transaction costs linked to clearing of rights and licensing costs linked to fees paid to </w:t>
            </w:r>
            <w:r w:rsidR="006D6407">
              <w:rPr>
                <w:rFonts w:eastAsia="Calibri" w:cs="Calibri"/>
                <w:color w:val="000000"/>
                <w:u w:color="000000"/>
              </w:rPr>
              <w:t>r</w:t>
            </w:r>
            <w:r w:rsidR="00007677">
              <w:rPr>
                <w:rFonts w:eastAsia="Calibri" w:cs="Calibri"/>
                <w:color w:val="000000"/>
                <w:u w:color="000000"/>
              </w:rPr>
              <w:t>ightholders</w:t>
            </w:r>
            <w:r w:rsidRPr="006E0E32">
              <w:rPr>
                <w:rFonts w:eastAsia="Calibri" w:cs="Calibri"/>
                <w:color w:val="000000"/>
                <w:u w:color="000000"/>
              </w:rPr>
              <w:t>) and on competitiveness.</w:t>
            </w:r>
          </w:p>
          <w:p w:rsidR="00C27157" w:rsidRPr="008A587E" w:rsidRDefault="00C27157" w:rsidP="007D6CF3">
            <w:pPr>
              <w:numPr>
                <w:ilvl w:val="0"/>
                <w:numId w:val="27"/>
              </w:numPr>
              <w:tabs>
                <w:tab w:val="left" w:pos="0"/>
              </w:tabs>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006D6407">
              <w:rPr>
                <w:rFonts w:eastAsia="Calibri" w:cs="Calibri"/>
                <w:color w:val="000000"/>
                <w:u w:val="single" w:color="000000"/>
              </w:rPr>
              <w:t>r</w:t>
            </w:r>
            <w:r w:rsidR="00007677">
              <w:rPr>
                <w:rFonts w:eastAsia="Calibri" w:cs="Calibri"/>
                <w:color w:val="000000"/>
                <w:u w:val="single" w:color="000000"/>
              </w:rPr>
              <w:t>ightholders</w:t>
            </w:r>
            <w:r w:rsidRPr="006E0E32">
              <w:rPr>
                <w:rFonts w:eastAsia="Calibri" w:cs="Calibri"/>
                <w:color w:val="000000"/>
                <w:u w:color="000000"/>
              </w:rPr>
              <w:t>, the main economic impacts considered are on</w:t>
            </w:r>
            <w:r w:rsidR="00101C38">
              <w:rPr>
                <w:rFonts w:eastAsia="Calibri" w:cs="Calibri"/>
                <w:color w:val="000000"/>
                <w:u w:color="000000"/>
              </w:rPr>
              <w:t xml:space="preserve"> the management of rights and on</w:t>
            </w:r>
            <w:r w:rsidRPr="006E0E32">
              <w:rPr>
                <w:rFonts w:eastAsia="Calibri" w:cs="Calibri"/>
                <w:color w:val="000000"/>
                <w:u w:color="000000"/>
              </w:rPr>
              <w:t xml:space="preserve"> licensing revenues (with a particular focus on the impacts in the </w:t>
            </w:r>
            <w:r w:rsidR="00F506EA">
              <w:rPr>
                <w:rFonts w:eastAsia="Calibri" w:cs="Calibri"/>
                <w:color w:val="000000"/>
                <w:u w:color="000000"/>
              </w:rPr>
              <w:t xml:space="preserve">AV </w:t>
            </w:r>
            <w:r w:rsidRPr="006E0E32">
              <w:rPr>
                <w:rFonts w:eastAsia="Calibri" w:cs="Calibri"/>
                <w:color w:val="000000"/>
                <w:u w:color="000000"/>
              </w:rPr>
              <w:t>industry, given the specificity of this industry - its reliance on the business / distribution models based on territorial exclusivity).</w:t>
            </w:r>
          </w:p>
          <w:p w:rsidR="00C27157" w:rsidRPr="008A587E" w:rsidRDefault="00C27157" w:rsidP="007D6CF3">
            <w:pPr>
              <w:numPr>
                <w:ilvl w:val="0"/>
                <w:numId w:val="27"/>
              </w:numPr>
              <w:tabs>
                <w:tab w:val="left" w:pos="0"/>
              </w:tabs>
              <w:ind w:left="284" w:hanging="284"/>
              <w:contextualSpacing/>
              <w:jc w:val="both"/>
              <w:rPr>
                <w:rFonts w:eastAsia="Calibri" w:cs="Calibri"/>
                <w:color w:val="000000"/>
                <w:sz w:val="22"/>
                <w:u w:color="000000"/>
              </w:rPr>
            </w:pPr>
            <w:r w:rsidRPr="006E0E32">
              <w:rPr>
                <w:rFonts w:eastAsia="Calibri" w:cs="Calibri"/>
                <w:color w:val="000000"/>
                <w:u w:color="000000"/>
              </w:rPr>
              <w:t xml:space="preserve">For </w:t>
            </w:r>
            <w:r w:rsidRPr="006E0E32">
              <w:rPr>
                <w:rFonts w:eastAsia="Calibri" w:cs="Calibri"/>
                <w:color w:val="000000"/>
                <w:u w:val="single" w:color="000000"/>
              </w:rPr>
              <w:t>consumers</w:t>
            </w:r>
            <w:r w:rsidRPr="006E0E32">
              <w:rPr>
                <w:rFonts w:eastAsia="Calibri" w:cs="Calibri"/>
                <w:color w:val="000000"/>
                <w:u w:color="000000"/>
              </w:rPr>
              <w:t>, the main impact area</w:t>
            </w:r>
            <w:r>
              <w:rPr>
                <w:rFonts w:eastAsia="Calibri" w:cs="Calibri"/>
                <w:color w:val="000000"/>
                <w:u w:color="000000"/>
              </w:rPr>
              <w:t>s</w:t>
            </w:r>
            <w:r w:rsidRPr="006E0E32">
              <w:rPr>
                <w:rFonts w:eastAsia="Calibri" w:cs="Calibri"/>
                <w:color w:val="000000"/>
                <w:u w:color="000000"/>
              </w:rPr>
              <w:t xml:space="preserve"> considered </w:t>
            </w:r>
            <w:r>
              <w:rPr>
                <w:rFonts w:eastAsia="Calibri" w:cs="Calibri"/>
                <w:color w:val="000000"/>
                <w:u w:color="000000"/>
              </w:rPr>
              <w:t>are</w:t>
            </w:r>
            <w:r w:rsidRPr="006E0E32">
              <w:rPr>
                <w:rFonts w:eastAsia="Calibri" w:cs="Calibri"/>
                <w:color w:val="000000"/>
                <w:u w:color="000000"/>
              </w:rPr>
              <w:t xml:space="preserve"> the choice of retransmission services</w:t>
            </w:r>
            <w:r>
              <w:rPr>
                <w:rFonts w:eastAsia="Calibri" w:cs="Calibri"/>
                <w:color w:val="000000"/>
                <w:u w:color="000000"/>
              </w:rPr>
              <w:t xml:space="preserve"> and prices of services</w:t>
            </w:r>
            <w:r w:rsidRPr="006E0E32">
              <w:rPr>
                <w:rFonts w:eastAsia="Calibri" w:cs="Calibri"/>
                <w:color w:val="000000"/>
                <w:u w:color="000000"/>
              </w:rPr>
              <w:t>.</w:t>
            </w:r>
          </w:p>
          <w:p w:rsidR="00C27157" w:rsidRPr="00305C10" w:rsidRDefault="00C27157" w:rsidP="00E70581">
            <w:pPr>
              <w:tabs>
                <w:tab w:val="left" w:pos="0"/>
              </w:tabs>
              <w:jc w:val="both"/>
              <w:rPr>
                <w:sz w:val="24"/>
              </w:rPr>
            </w:pPr>
            <w:r w:rsidRPr="006E0E32">
              <w:t>The assessment below is mainly qualitative, as the publicly available data or data that could be obtained from stakeholders on the licensing practices and transaction / licensing costs is limited.</w:t>
            </w:r>
          </w:p>
        </w:tc>
      </w:tr>
    </w:tbl>
    <w:p w:rsidR="00C27157" w:rsidRPr="00900B79" w:rsidRDefault="00C27157" w:rsidP="00900B79">
      <w:pPr>
        <w:pStyle w:val="Text1"/>
        <w:ind w:left="0"/>
        <w:rPr>
          <w:rFonts w:eastAsia="Times New Roman"/>
          <w:b/>
          <w:color w:val="000000"/>
          <w:szCs w:val="24"/>
          <w:u w:val="single"/>
          <w:bdr w:val="nil"/>
        </w:rPr>
      </w:pPr>
      <w:r w:rsidRPr="00900B79">
        <w:rPr>
          <w:rFonts w:eastAsia="Times New Roman"/>
          <w:b/>
          <w:color w:val="000000"/>
          <w:szCs w:val="24"/>
          <w:u w:val="single"/>
          <w:bdr w:val="nil"/>
        </w:rPr>
        <w:t>Baseline</w:t>
      </w:r>
    </w:p>
    <w:p w:rsidR="00C27157" w:rsidRDefault="00C27157" w:rsidP="00900B79">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 xml:space="preserve">Impacts on </w:t>
      </w:r>
      <w:r w:rsidRPr="00900B79">
        <w:rPr>
          <w:rFonts w:ascii="Times New Roman Bold" w:eastAsia="Arial Unicode MS" w:hAnsi="Times New Roman Bold"/>
          <w:b/>
          <w:smallCaps/>
          <w:szCs w:val="24"/>
          <w:bdr w:val="nil"/>
        </w:rPr>
        <w:t>stakeholders</w:t>
      </w:r>
    </w:p>
    <w:p w:rsidR="00C27157" w:rsidRPr="00305C10" w:rsidRDefault="00C27157" w:rsidP="00900B79">
      <w:pPr>
        <w:pStyle w:val="Text1"/>
        <w:ind w:left="0"/>
        <w:rPr>
          <w:b/>
        </w:rPr>
      </w:pPr>
      <w:r w:rsidRPr="00305C10">
        <w:rPr>
          <w:b/>
        </w:rPr>
        <w:t>Retransmission service providers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0"/>
          <w:u w:val="single"/>
          <w:lang w:eastAsia="en-GB"/>
        </w:rPr>
        <w:t>Impacts on the variety and quality of TV / radio retransmission services</w:t>
      </w:r>
      <w:r w:rsidRPr="00305C10">
        <w:rPr>
          <w:rFonts w:ascii="Times New Roman" w:hAnsi="Times New Roman"/>
          <w:sz w:val="24"/>
          <w:szCs w:val="20"/>
          <w:lang w:eastAsia="en-GB"/>
        </w:rPr>
        <w:t xml:space="preserve">: The legal uncertainty as to whether all rights relevant for the retransmission  have been cleared faced by </w:t>
      </w:r>
      <w:r w:rsidRPr="00305C10">
        <w:rPr>
          <w:rFonts w:ascii="Times New Roman" w:hAnsi="Times New Roman" w:cs="Times New Roman"/>
          <w:sz w:val="24"/>
          <w:szCs w:val="24"/>
        </w:rPr>
        <w:t>the retransmission service providers other than cable</w:t>
      </w:r>
      <w:r w:rsidRPr="00305C10">
        <w:rPr>
          <w:rFonts w:ascii="Times New Roman" w:hAnsi="Times New Roman"/>
          <w:sz w:val="24"/>
          <w:szCs w:val="20"/>
          <w:lang w:eastAsia="en-GB"/>
        </w:rPr>
        <w:t xml:space="preserve"> is expected to persist under the baseline option. As a result, those service providers can be expected to continue limiting their </w:t>
      </w:r>
      <w:r w:rsidRPr="00305C10">
        <w:rPr>
          <w:rFonts w:ascii="Times New Roman" w:hAnsi="Times New Roman" w:cs="Times New Roman"/>
          <w:sz w:val="24"/>
          <w:szCs w:val="24"/>
        </w:rPr>
        <w:t xml:space="preserve">retransmission offers. Moreover, in view of the </w:t>
      </w:r>
      <w:r w:rsidRPr="00900B79">
        <w:rPr>
          <w:rFonts w:ascii="Times New Roman" w:hAnsi="Times New Roman"/>
          <w:sz w:val="24"/>
          <w:szCs w:val="24"/>
        </w:rPr>
        <w:t>legal</w:t>
      </w:r>
      <w:r w:rsidRPr="00305C10">
        <w:rPr>
          <w:rFonts w:ascii="Times New Roman" w:hAnsi="Times New Roman" w:cs="Times New Roman"/>
          <w:sz w:val="24"/>
          <w:szCs w:val="24"/>
        </w:rPr>
        <w:t xml:space="preserve"> uncertainty, some market players might hesitate to launch innovative retransmission services or delay the launch in order to deal with licensing.</w:t>
      </w:r>
    </w:p>
    <w:p w:rsidR="00C27157" w:rsidRPr="00305C10" w:rsidRDefault="00C27157" w:rsidP="00900B79">
      <w:pPr>
        <w:spacing w:after="120" w:line="240" w:lineRule="auto"/>
        <w:jc w:val="both"/>
        <w:rPr>
          <w:rFonts w:ascii="Times New Roman" w:hAnsi="Times New Roman"/>
          <w:sz w:val="24"/>
          <w:szCs w:val="24"/>
        </w:rPr>
      </w:pPr>
      <w:r w:rsidRPr="00305C10">
        <w:rPr>
          <w:rFonts w:ascii="Times New Roman" w:hAnsi="Times New Roman"/>
          <w:sz w:val="24"/>
          <w:szCs w:val="24"/>
          <w:u w:val="single"/>
        </w:rPr>
        <w:t>Impacts on costs of retransmission service providers:</w:t>
      </w:r>
      <w:r w:rsidRPr="00305C10">
        <w:rPr>
          <w:rFonts w:ascii="Times New Roman" w:hAnsi="Times New Roman"/>
          <w:sz w:val="24"/>
          <w:szCs w:val="24"/>
        </w:rPr>
        <w:t xml:space="preserve"> The baseline option would not have any direct impacts on costs. But neither would it alleviate the additional</w:t>
      </w:r>
      <w:r>
        <w:rPr>
          <w:rFonts w:ascii="Times New Roman" w:hAnsi="Times New Roman"/>
          <w:sz w:val="24"/>
          <w:szCs w:val="24"/>
        </w:rPr>
        <w:t xml:space="preserve"> transaction</w:t>
      </w:r>
      <w:r w:rsidRPr="00305C10">
        <w:rPr>
          <w:rFonts w:ascii="Times New Roman" w:hAnsi="Times New Roman"/>
          <w:sz w:val="24"/>
          <w:szCs w:val="24"/>
        </w:rPr>
        <w:t xml:space="preserve"> cost burden for the </w:t>
      </w:r>
      <w:r w:rsidRPr="00305C10">
        <w:rPr>
          <w:rFonts w:ascii="Times New Roman" w:hAnsi="Times New Roman" w:cs="Times New Roman"/>
          <w:sz w:val="24"/>
          <w:szCs w:val="24"/>
        </w:rPr>
        <w:t xml:space="preserve">retransmission service providers other than cable, resulting from the fact that they have to obtain licences not only from broadcasters and CMOs (like cable operators), but also from all the </w:t>
      </w:r>
      <w:r w:rsidR="006D6407">
        <w:rPr>
          <w:rFonts w:ascii="Times New Roman" w:hAnsi="Times New Roman"/>
          <w:sz w:val="24"/>
          <w:szCs w:val="24"/>
        </w:rPr>
        <w:t>r</w:t>
      </w:r>
      <w:r w:rsidR="00007677">
        <w:rPr>
          <w:rFonts w:ascii="Times New Roman" w:hAnsi="Times New Roman" w:cs="Times New Roman"/>
          <w:sz w:val="24"/>
          <w:szCs w:val="24"/>
        </w:rPr>
        <w:t>ightholders</w:t>
      </w:r>
      <w:r w:rsidRPr="00305C10">
        <w:rPr>
          <w:rFonts w:ascii="Times New Roman" w:hAnsi="Times New Roman" w:cs="Times New Roman"/>
          <w:sz w:val="24"/>
          <w:szCs w:val="24"/>
        </w:rPr>
        <w:t xml:space="preserve"> who have chosen to exercise their rights individually rather than transferring them to a broadcaster or mandating a CMO.</w:t>
      </w:r>
    </w:p>
    <w:p w:rsidR="00C27157" w:rsidRPr="00305C10" w:rsidRDefault="00C27157" w:rsidP="00C27157">
      <w:pPr>
        <w:spacing w:after="120" w:line="240" w:lineRule="auto"/>
        <w:jc w:val="both"/>
        <w:rPr>
          <w:rFonts w:ascii="Times New Roman" w:hAnsi="Times New Roman"/>
          <w:sz w:val="24"/>
          <w:szCs w:val="20"/>
          <w:lang w:eastAsia="en-GB"/>
        </w:rPr>
      </w:pPr>
      <w:r w:rsidRPr="00305C10">
        <w:rPr>
          <w:rFonts w:ascii="Times New Roman" w:hAnsi="Times New Roman"/>
          <w:sz w:val="24"/>
          <w:szCs w:val="20"/>
          <w:lang w:eastAsia="en-GB"/>
        </w:rPr>
        <w:t xml:space="preserve">The impacts described above could be eliminated or mitigated in some </w:t>
      </w:r>
      <w:r>
        <w:rPr>
          <w:rFonts w:ascii="Times New Roman" w:hAnsi="Times New Roman"/>
          <w:sz w:val="24"/>
          <w:szCs w:val="20"/>
          <w:lang w:eastAsia="en-GB"/>
        </w:rPr>
        <w:t>MS</w:t>
      </w:r>
      <w:r w:rsidRPr="00305C10">
        <w:rPr>
          <w:rFonts w:ascii="Times New Roman" w:hAnsi="Times New Roman"/>
          <w:sz w:val="24"/>
          <w:szCs w:val="20"/>
          <w:lang w:eastAsia="en-GB"/>
        </w:rPr>
        <w:t xml:space="preserve">, notably those in which the collective management regime already applies, as a result of national law (mandatory / extended </w:t>
      </w:r>
      <w:r w:rsidRPr="00900B79">
        <w:rPr>
          <w:rFonts w:ascii="Times New Roman" w:hAnsi="Times New Roman"/>
          <w:sz w:val="24"/>
          <w:szCs w:val="24"/>
        </w:rPr>
        <w:t>collective</w:t>
      </w:r>
      <w:r w:rsidRPr="00305C10">
        <w:rPr>
          <w:rFonts w:ascii="Times New Roman" w:hAnsi="Times New Roman"/>
          <w:sz w:val="24"/>
          <w:szCs w:val="20"/>
          <w:lang w:eastAsia="en-GB"/>
        </w:rPr>
        <w:t xml:space="preserve"> management) or practical arrangements by the market players (voluntary collective management), to retransmission services other than cable or might become applicable to them in the future</w:t>
      </w:r>
      <w:r w:rsidR="002A30F1">
        <w:rPr>
          <w:rFonts w:ascii="Times New Roman" w:hAnsi="Times New Roman"/>
          <w:sz w:val="24"/>
          <w:szCs w:val="20"/>
          <w:lang w:eastAsia="en-GB"/>
        </w:rPr>
        <w:t>.</w:t>
      </w:r>
      <w:r w:rsidRPr="00305C10">
        <w:rPr>
          <w:rFonts w:ascii="Times New Roman" w:hAnsi="Times New Roman"/>
          <w:sz w:val="24"/>
          <w:szCs w:val="20"/>
          <w:vertAlign w:val="superscript"/>
          <w:lang w:eastAsia="en-GB"/>
        </w:rPr>
        <w:footnoteReference w:id="133"/>
      </w:r>
    </w:p>
    <w:p w:rsidR="00C27157" w:rsidRPr="00305C10" w:rsidRDefault="00C27157" w:rsidP="00C27157">
      <w:pPr>
        <w:spacing w:after="120" w:line="240" w:lineRule="auto"/>
        <w:jc w:val="both"/>
        <w:rPr>
          <w:rFonts w:ascii="Times New Roman" w:hAnsi="Times New Roman"/>
          <w:sz w:val="24"/>
          <w:szCs w:val="20"/>
          <w:lang w:eastAsia="en-GB"/>
        </w:rPr>
      </w:pPr>
      <w:r w:rsidRPr="00305C10">
        <w:rPr>
          <w:rFonts w:ascii="Times New Roman" w:hAnsi="Times New Roman"/>
          <w:sz w:val="24"/>
          <w:szCs w:val="20"/>
          <w:lang w:eastAsia="en-GB"/>
        </w:rPr>
        <w:t xml:space="preserve">However, these solutions have led and are likely to continue leading to (i) lack of legal certainty in the market; (ii) fragmentation across the EU (different retransmission services falling within the </w:t>
      </w:r>
      <w:r w:rsidRPr="00900B79">
        <w:rPr>
          <w:rFonts w:ascii="Times New Roman" w:hAnsi="Times New Roman"/>
          <w:sz w:val="24"/>
          <w:szCs w:val="24"/>
        </w:rPr>
        <w:t>scope</w:t>
      </w:r>
      <w:r w:rsidRPr="00305C10">
        <w:rPr>
          <w:rFonts w:ascii="Times New Roman" w:hAnsi="Times New Roman"/>
          <w:sz w:val="24"/>
          <w:szCs w:val="20"/>
          <w:lang w:eastAsia="en-GB"/>
        </w:rPr>
        <w:t xml:space="preserve"> of different licensing facilitation solutions in different </w:t>
      </w:r>
      <w:r>
        <w:rPr>
          <w:rFonts w:ascii="Times New Roman" w:hAnsi="Times New Roman"/>
          <w:sz w:val="24"/>
          <w:szCs w:val="20"/>
          <w:lang w:eastAsia="en-GB"/>
        </w:rPr>
        <w:t>MS</w:t>
      </w:r>
      <w:r w:rsidRPr="00305C10">
        <w:rPr>
          <w:rFonts w:ascii="Times New Roman" w:hAnsi="Times New Roman"/>
          <w:sz w:val="24"/>
          <w:szCs w:val="20"/>
          <w:lang w:eastAsia="en-GB"/>
        </w:rPr>
        <w:t>) and (iii) significant time gaps between the emergence of an innovative retransmission service and the application of licensing facilitation mechanisms to it, if at all.</w:t>
      </w:r>
    </w:p>
    <w:p w:rsidR="00C27157" w:rsidRPr="00305C10" w:rsidRDefault="00007677" w:rsidP="00900B79">
      <w:pPr>
        <w:pStyle w:val="Text1"/>
        <w:ind w:left="0"/>
        <w:rPr>
          <w:b/>
        </w:rPr>
      </w:pPr>
      <w:r>
        <w:rPr>
          <w:b/>
        </w:rPr>
        <w:t>Rightholders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4"/>
          <w:u w:val="single"/>
        </w:rPr>
        <w:t>Impacts on licensing revenues</w:t>
      </w:r>
      <w:r w:rsidRPr="00305C10">
        <w:rPr>
          <w:rFonts w:ascii="Times New Roman" w:hAnsi="Times New Roman"/>
          <w:sz w:val="24"/>
          <w:szCs w:val="24"/>
        </w:rPr>
        <w:t xml:space="preserve">: Under the baseline option, the ability of </w:t>
      </w:r>
      <w:r w:rsidR="006D6407">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xml:space="preserve"> to generate revenues from the </w:t>
      </w:r>
      <w:r w:rsidRPr="00305C10">
        <w:rPr>
          <w:rFonts w:ascii="Times New Roman" w:hAnsi="Times New Roman" w:cs="Times New Roman"/>
          <w:sz w:val="24"/>
          <w:szCs w:val="24"/>
        </w:rPr>
        <w:t xml:space="preserve">retransmission services other than cable </w:t>
      </w:r>
      <w:r w:rsidRPr="00305C10">
        <w:rPr>
          <w:rFonts w:ascii="Times New Roman" w:hAnsi="Times New Roman"/>
          <w:sz w:val="24"/>
          <w:szCs w:val="24"/>
        </w:rPr>
        <w:t xml:space="preserve">would continue to vary depending on several </w:t>
      </w:r>
      <w:r w:rsidRPr="00900B79">
        <w:rPr>
          <w:rFonts w:ascii="Times New Roman" w:hAnsi="Times New Roman" w:cs="Times New Roman"/>
          <w:sz w:val="24"/>
          <w:szCs w:val="24"/>
        </w:rPr>
        <w:t>factors</w:t>
      </w:r>
      <w:r w:rsidRPr="00305C10">
        <w:rPr>
          <w:rFonts w:ascii="Times New Roman" w:hAnsi="Times New Roman"/>
          <w:sz w:val="24"/>
          <w:szCs w:val="24"/>
        </w:rPr>
        <w:t xml:space="preserve">: (i) whether a particular type of retransmission service falls within the scope of (mandatory or voluntary) collective management arrangements in a particular </w:t>
      </w:r>
      <w:r>
        <w:rPr>
          <w:rFonts w:ascii="Times New Roman" w:hAnsi="Times New Roman"/>
          <w:sz w:val="24"/>
          <w:szCs w:val="24"/>
        </w:rPr>
        <w:t>MS</w:t>
      </w:r>
      <w:r w:rsidRPr="00305C10">
        <w:rPr>
          <w:rFonts w:ascii="Times New Roman" w:hAnsi="Times New Roman"/>
          <w:sz w:val="24"/>
          <w:szCs w:val="24"/>
        </w:rPr>
        <w:t xml:space="preserve">; (ii) the relative size of the right holder and his capacity to manage a network of licensing deals with numerous foreign retransmission service providers as well as the extent to which the right holder transfers his retransmission rights to broadcasters; (iii) the extent to which the providers of retransmission services other than cable actually enter into licensing deals with those </w:t>
      </w:r>
      <w:r w:rsidR="006D6407">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xml:space="preserve"> </w:t>
      </w:r>
      <w:r w:rsidRPr="00305C10">
        <w:rPr>
          <w:rFonts w:ascii="Times New Roman" w:hAnsi="Times New Roman" w:cs="Times New Roman"/>
          <w:sz w:val="24"/>
          <w:szCs w:val="24"/>
        </w:rPr>
        <w:t>who choose to exercise their rights individually or, on the contrary, rely on the "all-rights-included" licences granted by broadcasters.</w:t>
      </w:r>
    </w:p>
    <w:p w:rsidR="00C27157" w:rsidRPr="00305C10" w:rsidRDefault="00C27157" w:rsidP="00900B79">
      <w:pPr>
        <w:pStyle w:val="Text1"/>
        <w:ind w:left="0"/>
        <w:rPr>
          <w:b/>
        </w:rPr>
      </w:pPr>
      <w:r w:rsidRPr="00305C10">
        <w:rPr>
          <w:b/>
        </w:rPr>
        <w:t>Consumers</w:t>
      </w:r>
    </w:p>
    <w:p w:rsidR="00C27157" w:rsidRPr="00305C10" w:rsidRDefault="00C27157" w:rsidP="00C27157">
      <w:pPr>
        <w:spacing w:after="120" w:line="240" w:lineRule="auto"/>
        <w:jc w:val="both"/>
        <w:rPr>
          <w:rFonts w:ascii="Times New Roman" w:hAnsi="Times New Roman"/>
          <w:sz w:val="24"/>
          <w:szCs w:val="20"/>
          <w:lang w:eastAsia="en-GB"/>
        </w:rPr>
      </w:pPr>
      <w:r w:rsidRPr="00305C10">
        <w:rPr>
          <w:rFonts w:ascii="Times New Roman" w:hAnsi="Times New Roman"/>
          <w:sz w:val="24"/>
          <w:szCs w:val="20"/>
          <w:u w:val="single"/>
          <w:lang w:eastAsia="en-GB"/>
        </w:rPr>
        <w:t>Impacts on the choice</w:t>
      </w:r>
      <w:r>
        <w:rPr>
          <w:rFonts w:ascii="Times New Roman" w:hAnsi="Times New Roman"/>
          <w:sz w:val="24"/>
          <w:szCs w:val="20"/>
          <w:u w:val="single"/>
          <w:lang w:eastAsia="en-GB"/>
        </w:rPr>
        <w:t xml:space="preserve"> and prices</w:t>
      </w:r>
      <w:r w:rsidRPr="00305C10">
        <w:rPr>
          <w:rFonts w:ascii="Times New Roman" w:hAnsi="Times New Roman"/>
          <w:sz w:val="24"/>
          <w:szCs w:val="20"/>
          <w:u w:val="single"/>
          <w:lang w:eastAsia="en-GB"/>
        </w:rPr>
        <w:t xml:space="preserve"> of retransmission services</w:t>
      </w:r>
      <w:r w:rsidRPr="00305C10">
        <w:rPr>
          <w:rFonts w:ascii="Times New Roman" w:hAnsi="Times New Roman"/>
          <w:sz w:val="24"/>
          <w:szCs w:val="20"/>
          <w:lang w:eastAsia="en-GB"/>
        </w:rPr>
        <w:t xml:space="preserve">: In the scenario of no policy intervention, consumers </w:t>
      </w:r>
      <w:r>
        <w:rPr>
          <w:rFonts w:ascii="Times New Roman" w:hAnsi="Times New Roman"/>
          <w:sz w:val="24"/>
          <w:szCs w:val="20"/>
          <w:lang w:eastAsia="en-GB"/>
        </w:rPr>
        <w:t>could</w:t>
      </w:r>
      <w:r w:rsidRPr="00305C10">
        <w:rPr>
          <w:rFonts w:ascii="Times New Roman" w:hAnsi="Times New Roman"/>
          <w:sz w:val="24"/>
          <w:szCs w:val="20"/>
          <w:lang w:eastAsia="en-GB"/>
        </w:rPr>
        <w:t xml:space="preserve"> continue facing a sub-optimal market offer of TV / radio retransmission services. In particular, as explained above, the choice of channels is expected to be more limited than it could be if a clear legal framework facilitating licensing was in place for the different retransmission services. </w:t>
      </w:r>
      <w:r>
        <w:rPr>
          <w:rFonts w:ascii="Times New Roman" w:hAnsi="Times New Roman"/>
          <w:sz w:val="24"/>
          <w:szCs w:val="20"/>
          <w:lang w:eastAsia="en-GB"/>
        </w:rPr>
        <w:t>C</w:t>
      </w:r>
      <w:r w:rsidRPr="00AF6170">
        <w:rPr>
          <w:rFonts w:ascii="Times New Roman" w:hAnsi="Times New Roman"/>
          <w:sz w:val="24"/>
          <w:szCs w:val="20"/>
          <w:lang w:eastAsia="en-GB"/>
        </w:rPr>
        <w:t>onsumers</w:t>
      </w:r>
      <w:r>
        <w:rPr>
          <w:rFonts w:ascii="Times New Roman" w:hAnsi="Times New Roman"/>
          <w:sz w:val="24"/>
          <w:szCs w:val="20"/>
          <w:lang w:eastAsia="en-GB"/>
        </w:rPr>
        <w:t xml:space="preserve"> could be paying a higher subscription price due to</w:t>
      </w:r>
      <w:r w:rsidRPr="00AF6170">
        <w:rPr>
          <w:rFonts w:ascii="Times New Roman" w:hAnsi="Times New Roman"/>
          <w:sz w:val="24"/>
          <w:szCs w:val="20"/>
          <w:lang w:eastAsia="en-GB"/>
        </w:rPr>
        <w:t xml:space="preserve"> a lesser choice of retransmission services than the one resulting from the situation of effective competition between a variety of existing market players and new entrants.</w:t>
      </w:r>
      <w:r>
        <w:rPr>
          <w:rFonts w:ascii="Times New Roman" w:hAnsi="Times New Roman"/>
          <w:sz w:val="24"/>
          <w:szCs w:val="20"/>
          <w:lang w:eastAsia="en-GB"/>
        </w:rPr>
        <w:t xml:space="preserve"> However, as there are more elements that affect prices (e.g. whether premium or non-premium content is included, whether the service is bundled with other services), the concrete impact on the prices is difficult to predict.</w:t>
      </w:r>
    </w:p>
    <w:p w:rsidR="00C27157" w:rsidRPr="00305C10" w:rsidRDefault="00C27157" w:rsidP="00900B79">
      <w:pPr>
        <w:pStyle w:val="Text1"/>
        <w:ind w:left="0"/>
        <w:rPr>
          <w:b/>
          <w:szCs w:val="24"/>
        </w:rPr>
      </w:pPr>
      <w:r>
        <w:rPr>
          <w:rFonts w:ascii="Times New Roman Bold" w:eastAsia="Arial Unicode MS" w:hAnsi="Times New Roman Bold"/>
          <w:b/>
          <w:smallCaps/>
          <w:szCs w:val="24"/>
          <w:bdr w:val="none" w:sz="0" w:space="0" w:color="auto" w:frame="1"/>
        </w:rPr>
        <w:t>Social impacts</w:t>
      </w:r>
      <w:r>
        <w:rPr>
          <w:b/>
          <w:szCs w:val="24"/>
        </w:rPr>
        <w:t xml:space="preserve"> </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The access to a wide range of TV / radio channels is an important element to promote cultural </w:t>
      </w:r>
      <w:r w:rsidRPr="00900B79">
        <w:rPr>
          <w:rFonts w:ascii="Times New Roman" w:hAnsi="Times New Roman"/>
          <w:sz w:val="24"/>
          <w:szCs w:val="20"/>
          <w:lang w:eastAsia="en-GB"/>
        </w:rPr>
        <w:t>diversity</w:t>
      </w:r>
      <w:r>
        <w:rPr>
          <w:rFonts w:ascii="Times New Roman" w:hAnsi="Times New Roman"/>
          <w:sz w:val="24"/>
          <w:szCs w:val="24"/>
        </w:rPr>
        <w:t xml:space="preserve">, media pluralism and to respond to </w:t>
      </w:r>
      <w:r w:rsidRPr="00D5115F">
        <w:rPr>
          <w:rFonts w:ascii="Times New Roman" w:hAnsi="Times New Roman"/>
          <w:sz w:val="24"/>
          <w:szCs w:val="24"/>
        </w:rPr>
        <w:t>s</w:t>
      </w:r>
      <w:r>
        <w:rPr>
          <w:rFonts w:ascii="Times New Roman" w:hAnsi="Times New Roman"/>
          <w:sz w:val="24"/>
          <w:szCs w:val="24"/>
        </w:rPr>
        <w:t>ocial and cultural needs of EU</w:t>
      </w:r>
      <w:r w:rsidRPr="00D5115F">
        <w:rPr>
          <w:rFonts w:ascii="Times New Roman" w:hAnsi="Times New Roman"/>
          <w:sz w:val="24"/>
          <w:szCs w:val="24"/>
        </w:rPr>
        <w:t xml:space="preserve"> </w:t>
      </w:r>
      <w:r>
        <w:rPr>
          <w:rFonts w:ascii="Times New Roman" w:hAnsi="Times New Roman"/>
          <w:sz w:val="24"/>
          <w:szCs w:val="24"/>
        </w:rPr>
        <w:t>citizens</w:t>
      </w:r>
      <w:r w:rsidRPr="00305C10">
        <w:rPr>
          <w:rFonts w:ascii="Times New Roman" w:hAnsi="Times New Roman"/>
          <w:sz w:val="24"/>
          <w:szCs w:val="24"/>
        </w:rPr>
        <w:t>. The baseline option is not expected to contribute to th</w:t>
      </w:r>
      <w:r>
        <w:rPr>
          <w:rFonts w:ascii="Times New Roman" w:hAnsi="Times New Roman"/>
          <w:sz w:val="24"/>
          <w:szCs w:val="24"/>
        </w:rPr>
        <w:t>ese</w:t>
      </w:r>
      <w:r w:rsidRPr="00305C10">
        <w:rPr>
          <w:rFonts w:ascii="Times New Roman" w:hAnsi="Times New Roman"/>
          <w:sz w:val="24"/>
          <w:szCs w:val="24"/>
        </w:rPr>
        <w:t xml:space="preserve"> objective</w:t>
      </w:r>
      <w:r>
        <w:rPr>
          <w:rFonts w:ascii="Times New Roman" w:hAnsi="Times New Roman"/>
          <w:sz w:val="24"/>
          <w:szCs w:val="24"/>
        </w:rPr>
        <w:t>s</w:t>
      </w:r>
      <w:r w:rsidRPr="00305C10">
        <w:rPr>
          <w:rFonts w:ascii="Times New Roman" w:hAnsi="Times New Roman"/>
          <w:sz w:val="24"/>
          <w:szCs w:val="24"/>
        </w:rPr>
        <w:t>.</w:t>
      </w:r>
    </w:p>
    <w:p w:rsidR="00C27157" w:rsidRDefault="00C27157" w:rsidP="00900B79">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fundamental rights</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This option would not have any impact on copyright as a property right (Article 17 of the Charter) or </w:t>
      </w:r>
      <w:r w:rsidRPr="00305C10">
        <w:rPr>
          <w:rFonts w:ascii="Times New Roman" w:hAnsi="Times New Roman" w:cs="Times New Roman"/>
          <w:sz w:val="24"/>
          <w:szCs w:val="24"/>
          <w:lang w:eastAsia="en-GB"/>
        </w:rPr>
        <w:t>the freedom to conduct a business (Article 16)</w:t>
      </w:r>
      <w:r w:rsidRPr="00305C10">
        <w:rPr>
          <w:rFonts w:ascii="Times New Roman" w:hAnsi="Times New Roman"/>
          <w:sz w:val="24"/>
          <w:szCs w:val="24"/>
        </w:rPr>
        <w:t>, as it would not expand the scope of the mandatory collective management</w:t>
      </w:r>
      <w:r w:rsidRPr="00305C10">
        <w:rPr>
          <w:rFonts w:ascii="Times New Roman" w:hAnsi="Times New Roman"/>
          <w:i/>
          <w:sz w:val="24"/>
          <w:szCs w:val="24"/>
        </w:rPr>
        <w:t>.</w:t>
      </w:r>
    </w:p>
    <w:p w:rsidR="00C27157" w:rsidRPr="00900B79" w:rsidRDefault="00C27157" w:rsidP="00900B79">
      <w:pPr>
        <w:pStyle w:val="Text1"/>
        <w:ind w:left="0"/>
        <w:rPr>
          <w:rFonts w:eastAsia="Times New Roman"/>
          <w:b/>
          <w:color w:val="000000"/>
          <w:szCs w:val="24"/>
          <w:u w:val="single"/>
          <w:bdr w:val="nil"/>
        </w:rPr>
      </w:pPr>
      <w:r w:rsidRPr="00900B79">
        <w:rPr>
          <w:rFonts w:eastAsia="Times New Roman"/>
          <w:b/>
          <w:color w:val="000000"/>
          <w:szCs w:val="24"/>
          <w:u w:val="single"/>
          <w:bdr w:val="nil"/>
        </w:rPr>
        <w:t xml:space="preserve">Option 1 </w:t>
      </w:r>
      <w:r w:rsidR="00900B79">
        <w:rPr>
          <w:rFonts w:eastAsia="Times New Roman"/>
          <w:b/>
          <w:color w:val="000000"/>
          <w:szCs w:val="24"/>
          <w:u w:val="single"/>
          <w:bdr w:val="nil"/>
        </w:rPr>
        <w:t xml:space="preserve">– Mandatory </w:t>
      </w:r>
      <w:r w:rsidRPr="00900B79">
        <w:rPr>
          <w:rFonts w:eastAsia="Times New Roman"/>
          <w:b/>
          <w:color w:val="000000"/>
          <w:szCs w:val="24"/>
          <w:u w:val="single"/>
          <w:bdr w:val="nil"/>
        </w:rPr>
        <w:t>collective management of rights to retransmission of TV / radio broadcasts by means of IPTV and other retransmission services provided over "closed" electronic communications networks</w:t>
      </w:r>
    </w:p>
    <w:p w:rsidR="00C27157" w:rsidRDefault="00C27157" w:rsidP="00900B79">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stakeholders</w:t>
      </w:r>
    </w:p>
    <w:p w:rsidR="00C27157" w:rsidRPr="00305C10" w:rsidRDefault="00C27157" w:rsidP="00900B79">
      <w:pPr>
        <w:pStyle w:val="Text1"/>
        <w:ind w:left="0"/>
        <w:rPr>
          <w:b/>
        </w:rPr>
      </w:pPr>
      <w:r w:rsidRPr="00305C10">
        <w:rPr>
          <w:b/>
        </w:rPr>
        <w:t>Retransmission service providers</w:t>
      </w:r>
    </w:p>
    <w:p w:rsidR="00C27157" w:rsidRPr="00305C10" w:rsidRDefault="00C27157" w:rsidP="00C27157">
      <w:pPr>
        <w:spacing w:after="120" w:line="240" w:lineRule="auto"/>
        <w:jc w:val="both"/>
        <w:rPr>
          <w:rFonts w:ascii="Times New Roman" w:hAnsi="Times New Roman"/>
          <w:sz w:val="24"/>
          <w:szCs w:val="20"/>
          <w:lang w:eastAsia="en-GB"/>
        </w:rPr>
      </w:pPr>
      <w:r w:rsidRPr="00305C10">
        <w:rPr>
          <w:rFonts w:ascii="Times New Roman" w:hAnsi="Times New Roman"/>
          <w:sz w:val="24"/>
          <w:szCs w:val="20"/>
          <w:u w:val="single"/>
          <w:lang w:eastAsia="en-GB"/>
        </w:rPr>
        <w:t>Impacts on the variety and quality of TV / radio retransmission services</w:t>
      </w:r>
      <w:r w:rsidRPr="00305C10">
        <w:rPr>
          <w:rFonts w:ascii="Times New Roman" w:hAnsi="Times New Roman"/>
          <w:sz w:val="24"/>
          <w:szCs w:val="20"/>
          <w:lang w:eastAsia="en-GB"/>
        </w:rPr>
        <w:t xml:space="preserve">: </w:t>
      </w:r>
      <w:r w:rsidRPr="00305C10">
        <w:rPr>
          <w:rFonts w:ascii="Times New Roman" w:hAnsi="Times New Roman"/>
          <w:sz w:val="24"/>
          <w:szCs w:val="24"/>
        </w:rPr>
        <w:t xml:space="preserve">Option 1 would enhance the level of legal certainty for the benefit of a specific category of retransmission services - those provided over "closed" electronic communications networks - and can be expected to contribute to a better offer of such services, depending on market situations in particular </w:t>
      </w:r>
      <w:r>
        <w:rPr>
          <w:rFonts w:ascii="Times New Roman" w:hAnsi="Times New Roman"/>
          <w:sz w:val="24"/>
          <w:szCs w:val="24"/>
        </w:rPr>
        <w:t>MS</w:t>
      </w:r>
      <w:r w:rsidRPr="00305C10">
        <w:rPr>
          <w:rFonts w:ascii="Times New Roman" w:hAnsi="Times New Roman"/>
          <w:sz w:val="24"/>
          <w:szCs w:val="24"/>
        </w:rPr>
        <w:t xml:space="preserve">. It could also be an incentive for the retransmission service providers concerned to expand the range of TV / </w:t>
      </w:r>
      <w:r w:rsidRPr="00900B79">
        <w:rPr>
          <w:rFonts w:ascii="Times New Roman" w:hAnsi="Times New Roman"/>
          <w:sz w:val="24"/>
          <w:szCs w:val="20"/>
          <w:lang w:eastAsia="en-GB"/>
        </w:rPr>
        <w:t>radio</w:t>
      </w:r>
      <w:r w:rsidRPr="00305C10">
        <w:rPr>
          <w:rFonts w:ascii="Times New Roman" w:hAnsi="Times New Roman"/>
          <w:sz w:val="24"/>
          <w:szCs w:val="24"/>
        </w:rPr>
        <w:t xml:space="preserve"> channels offered to their subscribers.</w:t>
      </w:r>
      <w:r>
        <w:rPr>
          <w:rFonts w:ascii="Times New Roman" w:hAnsi="Times New Roman"/>
          <w:sz w:val="24"/>
          <w:szCs w:val="24"/>
        </w:rPr>
        <w:t xml:space="preserve"> The actual impact of Option 1 in the different MS would depend on </w:t>
      </w:r>
      <w:r w:rsidR="001D22E0">
        <w:rPr>
          <w:rFonts w:ascii="Times New Roman" w:hAnsi="Times New Roman"/>
          <w:sz w:val="24"/>
          <w:szCs w:val="24"/>
        </w:rPr>
        <w:t xml:space="preserve">whether </w:t>
      </w:r>
      <w:r w:rsidR="001D22E0" w:rsidRPr="00AD57F7">
        <w:rPr>
          <w:rFonts w:ascii="Times New Roman" w:hAnsi="Times New Roman"/>
          <w:sz w:val="24"/>
          <w:szCs w:val="24"/>
        </w:rPr>
        <w:t>collective management regime already applies to IPTV and other similar services as a result of national law or practical arrangements by the market players</w:t>
      </w:r>
      <w:r>
        <w:rPr>
          <w:rFonts w:ascii="Times New Roman" w:hAnsi="Times New Roman"/>
          <w:sz w:val="24"/>
          <w:szCs w:val="24"/>
        </w:rPr>
        <w:t xml:space="preserve">. </w:t>
      </w:r>
    </w:p>
    <w:p w:rsidR="00C27157" w:rsidRPr="00305C10" w:rsidRDefault="00C27157" w:rsidP="00D94E8B">
      <w:pPr>
        <w:spacing w:after="120" w:line="240" w:lineRule="auto"/>
        <w:jc w:val="both"/>
        <w:rPr>
          <w:rFonts w:ascii="Times New Roman" w:hAnsi="Times New Roman"/>
          <w:sz w:val="24"/>
          <w:szCs w:val="24"/>
          <w:u w:val="single"/>
        </w:rPr>
      </w:pPr>
      <w:r w:rsidRPr="00305C10">
        <w:rPr>
          <w:rFonts w:ascii="Times New Roman" w:hAnsi="Times New Roman"/>
          <w:sz w:val="24"/>
          <w:szCs w:val="24"/>
          <w:u w:val="single"/>
        </w:rPr>
        <w:t xml:space="preserve">Impacts on costs of </w:t>
      </w:r>
      <w:r w:rsidRPr="00D94E8B">
        <w:rPr>
          <w:rFonts w:ascii="Times New Roman" w:hAnsi="Times New Roman"/>
          <w:sz w:val="24"/>
          <w:szCs w:val="20"/>
          <w:u w:val="single"/>
          <w:lang w:eastAsia="en-GB"/>
        </w:rPr>
        <w:t>retransmission</w:t>
      </w:r>
      <w:r w:rsidRPr="00305C10">
        <w:rPr>
          <w:rFonts w:ascii="Times New Roman" w:hAnsi="Times New Roman"/>
          <w:sz w:val="24"/>
          <w:szCs w:val="24"/>
          <w:u w:val="single"/>
        </w:rPr>
        <w:t xml:space="preserve"> service providers: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i/>
          <w:sz w:val="24"/>
          <w:szCs w:val="24"/>
        </w:rPr>
        <w:t xml:space="preserve">Transaction costs: </w:t>
      </w:r>
      <w:r w:rsidRPr="00305C10">
        <w:rPr>
          <w:rFonts w:ascii="Times New Roman" w:hAnsi="Times New Roman"/>
          <w:sz w:val="24"/>
          <w:szCs w:val="24"/>
        </w:rPr>
        <w:t xml:space="preserve">this option is expected to reduce the transaction costs linked to the clearance of rights for </w:t>
      </w:r>
      <w:r w:rsidRPr="00305C10">
        <w:rPr>
          <w:rFonts w:ascii="Times New Roman" w:hAnsi="Times New Roman" w:cs="Times New Roman"/>
          <w:sz w:val="24"/>
          <w:szCs w:val="24"/>
        </w:rPr>
        <w:t>the retransmission services provided over "closed" electronic communications networks</w:t>
      </w:r>
      <w:r w:rsidR="006C764B">
        <w:rPr>
          <w:rFonts w:ascii="Times New Roman" w:hAnsi="Times New Roman" w:cs="Times New Roman"/>
          <w:sz w:val="24"/>
          <w:szCs w:val="24"/>
        </w:rPr>
        <w:t>, in particular in MS</w:t>
      </w:r>
      <w:r w:rsidR="006C764B" w:rsidRPr="00AD57F7">
        <w:rPr>
          <w:rFonts w:ascii="Times New Roman" w:hAnsi="Times New Roman" w:cs="Times New Roman"/>
          <w:sz w:val="24"/>
          <w:szCs w:val="24"/>
        </w:rPr>
        <w:t xml:space="preserve"> where </w:t>
      </w:r>
      <w:r w:rsidR="006C764B" w:rsidRPr="00AD57F7">
        <w:rPr>
          <w:rFonts w:ascii="Times New Roman" w:hAnsi="Times New Roman"/>
          <w:sz w:val="24"/>
          <w:szCs w:val="20"/>
          <w:lang w:eastAsia="en-GB"/>
        </w:rPr>
        <w:t xml:space="preserve">the collective management </w:t>
      </w:r>
      <w:r w:rsidR="006C764B">
        <w:rPr>
          <w:rFonts w:ascii="Times New Roman" w:hAnsi="Times New Roman"/>
          <w:sz w:val="24"/>
          <w:szCs w:val="20"/>
          <w:lang w:eastAsia="en-GB"/>
        </w:rPr>
        <w:t>of right does not</w:t>
      </w:r>
      <w:r w:rsidR="006C764B" w:rsidRPr="00AD57F7">
        <w:rPr>
          <w:rFonts w:ascii="Times New Roman" w:hAnsi="Times New Roman"/>
          <w:sz w:val="24"/>
          <w:szCs w:val="20"/>
          <w:lang w:eastAsia="en-GB"/>
        </w:rPr>
        <w:t xml:space="preserve"> </w:t>
      </w:r>
      <w:r w:rsidR="006C764B">
        <w:rPr>
          <w:rFonts w:ascii="Times New Roman" w:hAnsi="Times New Roman"/>
          <w:sz w:val="24"/>
          <w:szCs w:val="20"/>
          <w:lang w:eastAsia="en-GB"/>
        </w:rPr>
        <w:t>apply to</w:t>
      </w:r>
      <w:r w:rsidR="001D22E0">
        <w:rPr>
          <w:rFonts w:ascii="Times New Roman" w:hAnsi="Times New Roman"/>
          <w:sz w:val="24"/>
          <w:szCs w:val="20"/>
          <w:lang w:eastAsia="en-GB"/>
        </w:rPr>
        <w:t xml:space="preserve"> this type of </w:t>
      </w:r>
      <w:r w:rsidR="006C764B">
        <w:rPr>
          <w:rFonts w:ascii="Times New Roman" w:hAnsi="Times New Roman"/>
          <w:sz w:val="24"/>
          <w:szCs w:val="20"/>
          <w:lang w:eastAsia="en-GB"/>
        </w:rPr>
        <w:t>retransmission services</w:t>
      </w:r>
      <w:r w:rsidRPr="00305C10">
        <w:rPr>
          <w:rFonts w:ascii="Times New Roman" w:hAnsi="Times New Roman"/>
          <w:sz w:val="24"/>
          <w:szCs w:val="24"/>
        </w:rPr>
        <w:t xml:space="preserve">. </w:t>
      </w:r>
      <w:r w:rsidRPr="00D94E8B">
        <w:rPr>
          <w:rFonts w:ascii="Times New Roman" w:hAnsi="Times New Roman"/>
          <w:sz w:val="24"/>
          <w:szCs w:val="24"/>
        </w:rPr>
        <w:t>Providers</w:t>
      </w:r>
      <w:r w:rsidRPr="00305C10">
        <w:rPr>
          <w:rFonts w:ascii="Times New Roman" w:hAnsi="Times New Roman" w:cs="Times New Roman"/>
          <w:sz w:val="24"/>
          <w:szCs w:val="24"/>
        </w:rPr>
        <w:t xml:space="preserve"> of the services concerned would </w:t>
      </w:r>
      <w:r>
        <w:rPr>
          <w:rFonts w:ascii="Times New Roman" w:hAnsi="Times New Roman" w:cs="Times New Roman"/>
          <w:sz w:val="24"/>
          <w:szCs w:val="24"/>
        </w:rPr>
        <w:t>only need</w:t>
      </w:r>
      <w:r w:rsidRPr="00305C10">
        <w:rPr>
          <w:rFonts w:ascii="Times New Roman" w:hAnsi="Times New Roman" w:cs="Times New Roman"/>
          <w:sz w:val="24"/>
          <w:szCs w:val="24"/>
        </w:rPr>
        <w:t xml:space="preserve"> to deal with two licensing "sources" - broadcasters and CMOs. </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cs="Times New Roman"/>
          <w:sz w:val="24"/>
          <w:szCs w:val="24"/>
        </w:rPr>
        <w:t xml:space="preserve">The extent of reduction would depend on the market practices prevailing currently in the different </w:t>
      </w:r>
      <w:r>
        <w:rPr>
          <w:rFonts w:ascii="Times New Roman" w:hAnsi="Times New Roman" w:cs="Times New Roman"/>
          <w:sz w:val="24"/>
          <w:szCs w:val="24"/>
        </w:rPr>
        <w:t>MS</w:t>
      </w:r>
      <w:r w:rsidRPr="00305C10">
        <w:rPr>
          <w:rFonts w:ascii="Times New Roman" w:hAnsi="Times New Roman" w:cs="Times New Roman"/>
          <w:sz w:val="24"/>
          <w:szCs w:val="24"/>
        </w:rPr>
        <w:t xml:space="preserve">, in particular: (i) whether different categories of individual </w:t>
      </w:r>
      <w:r w:rsidR="006D6407">
        <w:rPr>
          <w:rFonts w:ascii="Times New Roman" w:hAnsi="Times New Roman" w:cs="Times New Roman"/>
          <w:sz w:val="24"/>
          <w:szCs w:val="24"/>
        </w:rPr>
        <w:t>r</w:t>
      </w:r>
      <w:r w:rsidR="00007677">
        <w:rPr>
          <w:rFonts w:ascii="Times New Roman" w:hAnsi="Times New Roman" w:cs="Times New Roman"/>
          <w:sz w:val="24"/>
          <w:szCs w:val="24"/>
        </w:rPr>
        <w:t>ightholders</w:t>
      </w:r>
      <w:r w:rsidRPr="00305C10">
        <w:rPr>
          <w:rFonts w:ascii="Times New Roman" w:hAnsi="Times New Roman" w:cs="Times New Roman"/>
          <w:sz w:val="24"/>
          <w:szCs w:val="24"/>
        </w:rPr>
        <w:t xml:space="preserve"> usually transfer retransmission rights to producers and/or broadcasters and whether broadcasters grant the service providers concerned the "all-rights-included" licences; (ii) the set up and practices of collective management </w:t>
      </w:r>
      <w:r w:rsidRPr="00305C10">
        <w:rPr>
          <w:rFonts w:ascii="Times New Roman" w:hAnsi="Times New Roman"/>
          <w:sz w:val="24"/>
          <w:szCs w:val="20"/>
          <w:lang w:eastAsia="en-GB"/>
        </w:rPr>
        <w:t>organisations (e.g. even without a mandatory collective management regime applying to them, IPTV providers are usually licensed by the music sector CMOs; it is not excluded that, upon the introduction of mandatory collective management, they might need to obtain licences from additional CMOs, e.g. those representing film producers, notably in the scenario where</w:t>
      </w:r>
      <w:r>
        <w:rPr>
          <w:rFonts w:ascii="Times New Roman" w:hAnsi="Times New Roman"/>
          <w:sz w:val="24"/>
          <w:szCs w:val="20"/>
          <w:lang w:eastAsia="en-GB"/>
        </w:rPr>
        <w:t xml:space="preserve"> film producers' retransmission rights cannot be cleared with</w:t>
      </w:r>
      <w:r w:rsidRPr="00305C10">
        <w:rPr>
          <w:rFonts w:ascii="Times New Roman" w:hAnsi="Times New Roman"/>
          <w:sz w:val="24"/>
          <w:szCs w:val="20"/>
          <w:lang w:eastAsia="en-GB"/>
        </w:rPr>
        <w:t xml:space="preserve"> broadcasters </w:t>
      </w:r>
      <w:r>
        <w:rPr>
          <w:rFonts w:ascii="Times New Roman" w:hAnsi="Times New Roman"/>
          <w:sz w:val="24"/>
          <w:szCs w:val="20"/>
          <w:lang w:eastAsia="en-GB"/>
        </w:rPr>
        <w:t>as part of</w:t>
      </w:r>
      <w:r w:rsidRPr="00305C10">
        <w:rPr>
          <w:rFonts w:ascii="Times New Roman" w:hAnsi="Times New Roman"/>
          <w:sz w:val="24"/>
          <w:szCs w:val="20"/>
          <w:lang w:eastAsia="en-GB"/>
        </w:rPr>
        <w:t xml:space="preserve"> </w:t>
      </w:r>
      <w:r w:rsidRPr="00305C10">
        <w:rPr>
          <w:rFonts w:ascii="Times New Roman" w:hAnsi="Times New Roman" w:cs="Times New Roman"/>
          <w:sz w:val="24"/>
          <w:szCs w:val="24"/>
        </w:rPr>
        <w:t>the "all-rights-included" licences</w:t>
      </w:r>
      <w:r w:rsidRPr="00305C10">
        <w:rPr>
          <w:rFonts w:ascii="Times New Roman" w:hAnsi="Times New Roman"/>
          <w:sz w:val="24"/>
          <w:szCs w:val="20"/>
          <w:lang w:eastAsia="en-GB"/>
        </w:rPr>
        <w:t>)</w:t>
      </w:r>
      <w:r w:rsidRPr="00305C10">
        <w:rPr>
          <w:rFonts w:ascii="Times New Roman" w:hAnsi="Times New Roman" w:cs="Times New Roman"/>
          <w:sz w:val="24"/>
          <w:szCs w:val="24"/>
        </w:rPr>
        <w:t>.</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i/>
          <w:sz w:val="24"/>
          <w:szCs w:val="24"/>
        </w:rPr>
        <w:t>Licensing costs</w:t>
      </w:r>
      <w:r w:rsidRPr="00305C10">
        <w:rPr>
          <w:rFonts w:ascii="Times New Roman" w:hAnsi="Times New Roman"/>
          <w:sz w:val="24"/>
          <w:szCs w:val="24"/>
        </w:rPr>
        <w:t xml:space="preserve">: due to the confidentiality of information concerning specific licence fees it is not possible to draw </w:t>
      </w:r>
      <w:r w:rsidRPr="00907E06">
        <w:rPr>
          <w:rFonts w:ascii="Times New Roman" w:hAnsi="Times New Roman"/>
          <w:sz w:val="24"/>
          <w:szCs w:val="24"/>
        </w:rPr>
        <w:t>conclusions regarding the impacts of Option 1 in this regard.</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4"/>
          <w:u w:val="single"/>
        </w:rPr>
        <w:t>Impacts on competitiveness</w:t>
      </w:r>
      <w:r w:rsidRPr="00305C10">
        <w:rPr>
          <w:rFonts w:ascii="Times New Roman" w:hAnsi="Times New Roman"/>
          <w:sz w:val="24"/>
          <w:szCs w:val="24"/>
        </w:rPr>
        <w:t xml:space="preserve">: </w:t>
      </w:r>
      <w:r>
        <w:rPr>
          <w:rFonts w:ascii="Times New Roman" w:hAnsi="Times New Roman"/>
          <w:sz w:val="24"/>
          <w:szCs w:val="24"/>
        </w:rPr>
        <w:t xml:space="preserve">It could be argued that </w:t>
      </w:r>
      <w:r w:rsidRPr="00305C10">
        <w:rPr>
          <w:rFonts w:ascii="Times New Roman" w:hAnsi="Times New Roman"/>
          <w:sz w:val="24"/>
          <w:szCs w:val="24"/>
        </w:rPr>
        <w:t>Option 1 would benefit a specific category of retransmission services - those</w:t>
      </w:r>
      <w:r w:rsidRPr="00305C10">
        <w:rPr>
          <w:rFonts w:ascii="Times New Roman" w:hAnsi="Times New Roman" w:cs="Times New Roman"/>
          <w:sz w:val="24"/>
          <w:szCs w:val="24"/>
        </w:rPr>
        <w:t xml:space="preserve"> provided over "closed" electronic communications networks</w:t>
      </w:r>
      <w:r>
        <w:rPr>
          <w:rFonts w:ascii="Times New Roman" w:hAnsi="Times New Roman" w:cs="Times New Roman"/>
          <w:sz w:val="24"/>
          <w:szCs w:val="24"/>
        </w:rPr>
        <w:t xml:space="preserve"> - and that</w:t>
      </w:r>
      <w:r w:rsidRPr="00305C10">
        <w:rPr>
          <w:rFonts w:ascii="Times New Roman" w:hAnsi="Times New Roman"/>
          <w:sz w:val="24"/>
          <w:szCs w:val="24"/>
        </w:rPr>
        <w:t xml:space="preserve"> other retransmission services (OTT) would be subject to a less favourable licensing regime, resulting potentially in a competitive disadvantage for them. </w:t>
      </w:r>
      <w:r>
        <w:rPr>
          <w:rFonts w:ascii="Times New Roman" w:hAnsi="Times New Roman"/>
          <w:sz w:val="24"/>
          <w:szCs w:val="24"/>
        </w:rPr>
        <w:t>However</w:t>
      </w:r>
      <w:r w:rsidRPr="00305C10">
        <w:rPr>
          <w:rFonts w:ascii="Times New Roman" w:hAnsi="Times New Roman"/>
          <w:sz w:val="24"/>
          <w:szCs w:val="24"/>
        </w:rPr>
        <w:t xml:space="preserve">, </w:t>
      </w:r>
      <w:r w:rsidRPr="00705E14">
        <w:rPr>
          <w:rFonts w:ascii="Times New Roman" w:hAnsi="Times New Roman"/>
          <w:sz w:val="24"/>
          <w:szCs w:val="24"/>
        </w:rPr>
        <w:t>due to the experimental / niche nature of OTT retransmission services, it is questionable whether they are equivalent to retransmissions over "closed" electronic communications networks</w:t>
      </w:r>
      <w:r w:rsidRPr="00705E14">
        <w:rPr>
          <w:rFonts w:ascii="Times New Roman" w:hAnsi="Times New Roman" w:cs="Times New Roman"/>
          <w:sz w:val="24"/>
          <w:szCs w:val="24"/>
        </w:rPr>
        <w:t>.</w:t>
      </w:r>
    </w:p>
    <w:p w:rsidR="00C27157" w:rsidRPr="00305C10" w:rsidRDefault="00007677" w:rsidP="00D94E8B">
      <w:pPr>
        <w:pStyle w:val="Text1"/>
        <w:ind w:left="0"/>
        <w:rPr>
          <w:b/>
        </w:rPr>
      </w:pPr>
      <w:r>
        <w:rPr>
          <w:b/>
        </w:rPr>
        <w:t>Rightholders</w:t>
      </w:r>
    </w:p>
    <w:p w:rsidR="006B72EA" w:rsidRPr="005A6C1C" w:rsidRDefault="00C27157" w:rsidP="00C27157">
      <w:pPr>
        <w:spacing w:after="120" w:line="240" w:lineRule="auto"/>
        <w:jc w:val="both"/>
        <w:rPr>
          <w:rFonts w:ascii="Times New Roman" w:hAnsi="Times New Roman"/>
          <w:sz w:val="24"/>
          <w:szCs w:val="24"/>
        </w:rPr>
      </w:pPr>
      <w:r w:rsidRPr="00C37912">
        <w:rPr>
          <w:rFonts w:ascii="Times New Roman" w:hAnsi="Times New Roman"/>
          <w:sz w:val="24"/>
          <w:szCs w:val="24"/>
          <w:u w:val="single"/>
        </w:rPr>
        <w:t xml:space="preserve">Impacts </w:t>
      </w:r>
      <w:r w:rsidR="006E169B" w:rsidRPr="00C37912">
        <w:rPr>
          <w:rFonts w:ascii="Times New Roman" w:hAnsi="Times New Roman"/>
          <w:sz w:val="24"/>
          <w:szCs w:val="24"/>
          <w:u w:val="single"/>
        </w:rPr>
        <w:t>on the management of rights:</w:t>
      </w:r>
      <w:r w:rsidR="006E169B" w:rsidRPr="00AD57F7">
        <w:rPr>
          <w:rFonts w:ascii="Times New Roman" w:hAnsi="Times New Roman"/>
          <w:sz w:val="24"/>
          <w:szCs w:val="24"/>
        </w:rPr>
        <w:t xml:space="preserve"> </w:t>
      </w:r>
      <w:r w:rsidR="006B72EA" w:rsidRPr="00AD57F7">
        <w:rPr>
          <w:rFonts w:ascii="Times New Roman" w:hAnsi="Times New Roman"/>
          <w:sz w:val="24"/>
          <w:szCs w:val="24"/>
        </w:rPr>
        <w:t xml:space="preserve">Option 1 would imply a shift from individual licensing to collective management of rights for retransmissions over </w:t>
      </w:r>
      <w:r w:rsidR="00101C38" w:rsidRPr="00C37912">
        <w:rPr>
          <w:rFonts w:ascii="Times New Roman" w:hAnsi="Times New Roman"/>
          <w:sz w:val="24"/>
          <w:szCs w:val="24"/>
        </w:rPr>
        <w:t xml:space="preserve">IPTV and </w:t>
      </w:r>
      <w:r w:rsidR="006B72EA" w:rsidRPr="00AD57F7">
        <w:rPr>
          <w:rFonts w:ascii="Times New Roman" w:hAnsi="Times New Roman"/>
          <w:sz w:val="24"/>
          <w:szCs w:val="24"/>
        </w:rPr>
        <w:t xml:space="preserve">closed networks. Considering that mandatory collective management already applies to cable retransmissions, Option 1 would mainly constitute an incremental change for </w:t>
      </w:r>
      <w:r w:rsidR="006D6407">
        <w:rPr>
          <w:rFonts w:ascii="Times New Roman" w:hAnsi="Times New Roman"/>
          <w:sz w:val="24"/>
          <w:szCs w:val="24"/>
        </w:rPr>
        <w:t>r</w:t>
      </w:r>
      <w:r w:rsidR="00007677">
        <w:rPr>
          <w:rFonts w:ascii="Times New Roman" w:hAnsi="Times New Roman"/>
          <w:sz w:val="24"/>
          <w:szCs w:val="24"/>
        </w:rPr>
        <w:t>ightholders</w:t>
      </w:r>
      <w:r w:rsidR="006B72EA" w:rsidRPr="00AD57F7">
        <w:rPr>
          <w:rFonts w:ascii="Times New Roman" w:hAnsi="Times New Roman"/>
          <w:sz w:val="24"/>
          <w:szCs w:val="24"/>
        </w:rPr>
        <w:t xml:space="preserve">. Furthermore, as explained above, </w:t>
      </w:r>
      <w:r w:rsidR="006B72EA" w:rsidRPr="00C37912">
        <w:rPr>
          <w:rFonts w:ascii="Times New Roman" w:hAnsi="Times New Roman"/>
          <w:sz w:val="24"/>
          <w:szCs w:val="24"/>
        </w:rPr>
        <w:t xml:space="preserve">the </w:t>
      </w:r>
      <w:r w:rsidR="006B72EA" w:rsidRPr="00AD57F7">
        <w:rPr>
          <w:rFonts w:ascii="Times New Roman" w:hAnsi="Times New Roman"/>
          <w:sz w:val="24"/>
          <w:szCs w:val="24"/>
        </w:rPr>
        <w:t>collective management of rights for these type</w:t>
      </w:r>
      <w:r w:rsidR="006B72EA" w:rsidRPr="00C37912">
        <w:rPr>
          <w:rFonts w:ascii="Times New Roman" w:hAnsi="Times New Roman"/>
          <w:sz w:val="24"/>
          <w:szCs w:val="24"/>
        </w:rPr>
        <w:t>s</w:t>
      </w:r>
      <w:r w:rsidR="006B72EA" w:rsidRPr="00AD57F7">
        <w:rPr>
          <w:rFonts w:ascii="Times New Roman" w:hAnsi="Times New Roman"/>
          <w:sz w:val="24"/>
          <w:szCs w:val="24"/>
        </w:rPr>
        <w:t xml:space="preserve"> of retransmissions is already in place in a number of MS</w:t>
      </w:r>
      <w:r w:rsidR="00101C38" w:rsidRPr="00C37912">
        <w:rPr>
          <w:rFonts w:ascii="Times New Roman" w:hAnsi="Times New Roman"/>
          <w:sz w:val="24"/>
          <w:szCs w:val="24"/>
        </w:rPr>
        <w:t xml:space="preserve"> (on the basis of legal mechanisms or market practices)</w:t>
      </w:r>
      <w:r w:rsidR="006B72EA" w:rsidRPr="00AD57F7">
        <w:rPr>
          <w:rFonts w:ascii="Times New Roman" w:hAnsi="Times New Roman"/>
          <w:sz w:val="24"/>
          <w:szCs w:val="24"/>
        </w:rPr>
        <w:t>.</w:t>
      </w:r>
      <w:r w:rsidR="006B72EA" w:rsidRPr="00C37912">
        <w:rPr>
          <w:rFonts w:ascii="Times New Roman" w:hAnsi="Times New Roman"/>
          <w:sz w:val="24"/>
          <w:szCs w:val="24"/>
        </w:rPr>
        <w:t xml:space="preserve"> </w:t>
      </w:r>
      <w:r w:rsidR="00101C38" w:rsidRPr="00C37912">
        <w:rPr>
          <w:rFonts w:ascii="Times New Roman" w:hAnsi="Times New Roman"/>
          <w:sz w:val="24"/>
          <w:szCs w:val="24"/>
        </w:rPr>
        <w:t xml:space="preserve">In other MS, the shift to </w:t>
      </w:r>
      <w:r w:rsidR="002B3EA5" w:rsidRPr="00C90C9C">
        <w:rPr>
          <w:rFonts w:ascii="Times New Roman" w:hAnsi="Times New Roman"/>
          <w:sz w:val="24"/>
          <w:szCs w:val="24"/>
        </w:rPr>
        <w:t xml:space="preserve">mandatory </w:t>
      </w:r>
      <w:r w:rsidR="00101C38" w:rsidRPr="00C90C9C">
        <w:rPr>
          <w:rFonts w:ascii="Times New Roman" w:hAnsi="Times New Roman"/>
          <w:sz w:val="24"/>
          <w:szCs w:val="24"/>
        </w:rPr>
        <w:t>collective management may</w:t>
      </w:r>
      <w:r w:rsidR="00101C38" w:rsidRPr="00EA499E">
        <w:rPr>
          <w:rFonts w:ascii="Times New Roman" w:hAnsi="Times New Roman"/>
          <w:sz w:val="24"/>
          <w:szCs w:val="24"/>
        </w:rPr>
        <w:t xml:space="preserve"> limit the </w:t>
      </w:r>
      <w:r w:rsidR="006D6407">
        <w:rPr>
          <w:rFonts w:ascii="Times New Roman" w:hAnsi="Times New Roman"/>
          <w:sz w:val="24"/>
          <w:szCs w:val="24"/>
        </w:rPr>
        <w:t>r</w:t>
      </w:r>
      <w:r w:rsidR="00007677">
        <w:rPr>
          <w:rFonts w:ascii="Times New Roman" w:hAnsi="Times New Roman"/>
          <w:sz w:val="24"/>
          <w:szCs w:val="24"/>
        </w:rPr>
        <w:t>ightholders</w:t>
      </w:r>
      <w:r w:rsidR="00101C38" w:rsidRPr="00EA499E">
        <w:rPr>
          <w:rFonts w:ascii="Times New Roman" w:hAnsi="Times New Roman"/>
          <w:sz w:val="24"/>
          <w:szCs w:val="24"/>
        </w:rPr>
        <w:t xml:space="preserve">' ability to </w:t>
      </w:r>
      <w:r w:rsidR="002B3EA5" w:rsidRPr="00EA499E">
        <w:rPr>
          <w:rFonts w:ascii="Times New Roman" w:hAnsi="Times New Roman"/>
          <w:sz w:val="24"/>
          <w:szCs w:val="24"/>
        </w:rPr>
        <w:t>determine licensing</w:t>
      </w:r>
      <w:r w:rsidR="00101C38" w:rsidRPr="005A6C1C">
        <w:rPr>
          <w:rFonts w:ascii="Times New Roman" w:hAnsi="Times New Roman"/>
          <w:sz w:val="24"/>
          <w:szCs w:val="24"/>
        </w:rPr>
        <w:t xml:space="preserve"> conditions and fees (see below). </w:t>
      </w:r>
    </w:p>
    <w:p w:rsidR="006B72EA" w:rsidRDefault="006B72EA" w:rsidP="00C27157">
      <w:pPr>
        <w:spacing w:after="120" w:line="240" w:lineRule="auto"/>
        <w:jc w:val="both"/>
        <w:rPr>
          <w:rFonts w:ascii="Times New Roman" w:hAnsi="Times New Roman"/>
          <w:sz w:val="24"/>
          <w:szCs w:val="24"/>
          <w:u w:val="single"/>
        </w:rPr>
      </w:pPr>
      <w:r w:rsidRPr="00D53784">
        <w:rPr>
          <w:rFonts w:ascii="Times New Roman" w:hAnsi="Times New Roman"/>
          <w:sz w:val="24"/>
          <w:szCs w:val="24"/>
        </w:rPr>
        <w:t>The compliance costs would be marginal as the same network of CMOs which is used to license rights to cable retransmissions could be used (and actually is already used in some MS) to license rights to retransmissions by means other than cable.</w:t>
      </w:r>
      <w:r w:rsidRPr="00305C10">
        <w:rPr>
          <w:rFonts w:ascii="Times New Roman" w:hAnsi="Times New Roman"/>
          <w:sz w:val="24"/>
          <w:szCs w:val="24"/>
        </w:rPr>
        <w:t xml:space="preserve"> </w:t>
      </w:r>
    </w:p>
    <w:p w:rsidR="00C27157" w:rsidRPr="00AE36FA" w:rsidRDefault="006E169B" w:rsidP="00C27157">
      <w:pPr>
        <w:spacing w:after="120" w:line="240" w:lineRule="auto"/>
        <w:jc w:val="both"/>
        <w:rPr>
          <w:rFonts w:ascii="Times New Roman" w:hAnsi="Times New Roman"/>
          <w:sz w:val="24"/>
          <w:szCs w:val="24"/>
        </w:rPr>
      </w:pPr>
      <w:r>
        <w:rPr>
          <w:rFonts w:ascii="Times New Roman" w:hAnsi="Times New Roman"/>
          <w:sz w:val="24"/>
          <w:szCs w:val="24"/>
          <w:u w:val="single"/>
        </w:rPr>
        <w:t xml:space="preserve">Impacts </w:t>
      </w:r>
      <w:r w:rsidR="00C27157" w:rsidRPr="00AE36FA">
        <w:rPr>
          <w:rFonts w:ascii="Times New Roman" w:hAnsi="Times New Roman"/>
          <w:sz w:val="24"/>
          <w:szCs w:val="24"/>
          <w:u w:val="single"/>
        </w:rPr>
        <w:t>on licensing revenues</w:t>
      </w:r>
      <w:r w:rsidR="00C27157" w:rsidRPr="00AE36FA">
        <w:rPr>
          <w:rFonts w:ascii="Times New Roman" w:hAnsi="Times New Roman"/>
          <w:sz w:val="24"/>
          <w:szCs w:val="24"/>
        </w:rPr>
        <w:t>:</w:t>
      </w:r>
      <w:r w:rsidR="00C27157">
        <w:rPr>
          <w:rFonts w:ascii="Times New Roman" w:hAnsi="Times New Roman"/>
          <w:sz w:val="24"/>
          <w:szCs w:val="24"/>
        </w:rPr>
        <w:t xml:space="preserve"> </w:t>
      </w:r>
      <w:r w:rsidR="00C27157" w:rsidRPr="00305C10">
        <w:rPr>
          <w:rFonts w:ascii="Times New Roman" w:hAnsi="Times New Roman"/>
          <w:sz w:val="24"/>
          <w:szCs w:val="24"/>
        </w:rPr>
        <w:t xml:space="preserve">Overall, since Option 1 is expected to help increase the number of </w:t>
      </w:r>
      <w:r w:rsidR="00C27157" w:rsidRPr="00AE36FA">
        <w:rPr>
          <w:rFonts w:ascii="Times New Roman" w:hAnsi="Times New Roman"/>
          <w:sz w:val="24"/>
          <w:szCs w:val="24"/>
        </w:rPr>
        <w:t xml:space="preserve">the retransmission services provided over "closed" electronic communications networks as well as the number of TV / radio channels they offer, it is likely to generate additional licensing opportunities for the </w:t>
      </w:r>
      <w:r w:rsidR="006D6407">
        <w:rPr>
          <w:rFonts w:ascii="Times New Roman" w:hAnsi="Times New Roman"/>
          <w:sz w:val="24"/>
          <w:szCs w:val="24"/>
        </w:rPr>
        <w:t>r</w:t>
      </w:r>
      <w:r w:rsidR="00007677">
        <w:rPr>
          <w:rFonts w:ascii="Times New Roman" w:hAnsi="Times New Roman"/>
          <w:sz w:val="24"/>
          <w:szCs w:val="24"/>
        </w:rPr>
        <w:t>ightholders</w:t>
      </w:r>
      <w:r w:rsidR="00C27157" w:rsidRPr="00AE36FA">
        <w:rPr>
          <w:rFonts w:ascii="Times New Roman" w:hAnsi="Times New Roman"/>
          <w:sz w:val="24"/>
          <w:szCs w:val="24"/>
        </w:rPr>
        <w:t xml:space="preserve"> and have a positive impact on their licensing revenues.</w:t>
      </w:r>
    </w:p>
    <w:p w:rsidR="00C27157" w:rsidRPr="00AE36FA" w:rsidRDefault="00C27157" w:rsidP="00C27157">
      <w:pPr>
        <w:spacing w:after="120" w:line="240" w:lineRule="auto"/>
        <w:jc w:val="both"/>
        <w:rPr>
          <w:rFonts w:ascii="Times New Roman" w:hAnsi="Times New Roman"/>
          <w:sz w:val="24"/>
          <w:szCs w:val="24"/>
        </w:rPr>
      </w:pPr>
      <w:r w:rsidRPr="00AE36FA">
        <w:rPr>
          <w:rFonts w:ascii="Times New Roman" w:hAnsi="Times New Roman"/>
          <w:sz w:val="24"/>
          <w:szCs w:val="24"/>
        </w:rPr>
        <w:t xml:space="preserve">As regards individual </w:t>
      </w:r>
      <w:r w:rsidR="006D6407">
        <w:rPr>
          <w:rFonts w:ascii="Times New Roman" w:hAnsi="Times New Roman"/>
          <w:sz w:val="24"/>
          <w:szCs w:val="24"/>
        </w:rPr>
        <w:t>r</w:t>
      </w:r>
      <w:r w:rsidR="00007677">
        <w:rPr>
          <w:rFonts w:ascii="Times New Roman" w:hAnsi="Times New Roman"/>
          <w:sz w:val="24"/>
          <w:szCs w:val="24"/>
        </w:rPr>
        <w:t>ightholders</w:t>
      </w:r>
      <w:r w:rsidRPr="00AE36FA">
        <w:rPr>
          <w:rFonts w:ascii="Times New Roman" w:hAnsi="Times New Roman"/>
          <w:sz w:val="24"/>
          <w:szCs w:val="24"/>
        </w:rPr>
        <w:t xml:space="preserve">, Option 1 would have no direct impact on the licensing revenues of those individual </w:t>
      </w:r>
      <w:r w:rsidR="006D6407">
        <w:rPr>
          <w:rFonts w:ascii="Times New Roman" w:hAnsi="Times New Roman"/>
          <w:sz w:val="24"/>
          <w:szCs w:val="24"/>
        </w:rPr>
        <w:t>r</w:t>
      </w:r>
      <w:r w:rsidR="00007677">
        <w:rPr>
          <w:rFonts w:ascii="Times New Roman" w:hAnsi="Times New Roman"/>
          <w:sz w:val="24"/>
          <w:szCs w:val="24"/>
        </w:rPr>
        <w:t>ightholders</w:t>
      </w:r>
      <w:r w:rsidRPr="00AE36FA">
        <w:rPr>
          <w:rFonts w:ascii="Times New Roman" w:hAnsi="Times New Roman"/>
          <w:sz w:val="24"/>
          <w:szCs w:val="24"/>
        </w:rPr>
        <w:t xml:space="preserve"> whose retransmission rights are already managed by CMOs as a result of national law or practical arrangements by the market players (voluntary collective licensing). In particular, </w:t>
      </w:r>
      <w:r>
        <w:rPr>
          <w:rFonts w:ascii="Times New Roman" w:hAnsi="Times New Roman"/>
          <w:sz w:val="24"/>
          <w:szCs w:val="24"/>
        </w:rPr>
        <w:t>when</w:t>
      </w:r>
      <w:r w:rsidRPr="00AE36FA">
        <w:rPr>
          <w:rFonts w:ascii="Times New Roman" w:hAnsi="Times New Roman"/>
          <w:sz w:val="24"/>
          <w:szCs w:val="24"/>
        </w:rPr>
        <w:t xml:space="preserve"> collective management is a standard practice in the music sector</w:t>
      </w:r>
      <w:r>
        <w:rPr>
          <w:rFonts w:ascii="Times New Roman" w:hAnsi="Times New Roman"/>
          <w:sz w:val="24"/>
          <w:szCs w:val="24"/>
        </w:rPr>
        <w:t xml:space="preserve"> (for authors' rights and, often, producers' rights)</w:t>
      </w:r>
      <w:r w:rsidRPr="00AE36FA">
        <w:rPr>
          <w:rFonts w:ascii="Times New Roman" w:hAnsi="Times New Roman"/>
          <w:sz w:val="24"/>
          <w:szCs w:val="24"/>
        </w:rPr>
        <w:t>, Option 1 is not expected to lead to a change in licence fees and, consequently, licensing revenues.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0"/>
          <w:lang w:eastAsia="en-GB"/>
        </w:rPr>
        <w:t xml:space="preserve">Option 1 </w:t>
      </w:r>
      <w:r>
        <w:rPr>
          <w:rFonts w:ascii="Times New Roman" w:hAnsi="Times New Roman"/>
          <w:sz w:val="24"/>
          <w:szCs w:val="20"/>
          <w:lang w:eastAsia="en-GB"/>
        </w:rPr>
        <w:t>may</w:t>
      </w:r>
      <w:r w:rsidRPr="00305C10">
        <w:rPr>
          <w:rFonts w:ascii="Times New Roman" w:hAnsi="Times New Roman"/>
          <w:sz w:val="24"/>
          <w:szCs w:val="20"/>
          <w:lang w:eastAsia="en-GB"/>
        </w:rPr>
        <w:t xml:space="preserve"> have a</w:t>
      </w:r>
      <w:r>
        <w:rPr>
          <w:rFonts w:ascii="Times New Roman" w:hAnsi="Times New Roman"/>
          <w:sz w:val="24"/>
          <w:szCs w:val="20"/>
          <w:lang w:eastAsia="en-GB"/>
        </w:rPr>
        <w:t>n</w:t>
      </w:r>
      <w:r w:rsidRPr="00305C10">
        <w:rPr>
          <w:rFonts w:ascii="Times New Roman" w:hAnsi="Times New Roman"/>
          <w:sz w:val="24"/>
          <w:szCs w:val="20"/>
          <w:lang w:eastAsia="en-GB"/>
        </w:rPr>
        <w:t xml:space="preserve"> impact on the licensing revenues of </w:t>
      </w:r>
      <w:r w:rsidRPr="00305C10">
        <w:rPr>
          <w:rFonts w:ascii="Times New Roman" w:hAnsi="Times New Roman" w:cs="Times New Roman"/>
          <w:sz w:val="24"/>
          <w:szCs w:val="24"/>
        </w:rPr>
        <w:t xml:space="preserve">the individual </w:t>
      </w:r>
      <w:r w:rsidR="006D6407">
        <w:rPr>
          <w:rFonts w:ascii="Times New Roman" w:hAnsi="Times New Roman" w:cs="Times New Roman"/>
          <w:sz w:val="24"/>
          <w:szCs w:val="24"/>
        </w:rPr>
        <w:t>r</w:t>
      </w:r>
      <w:r w:rsidR="00007677">
        <w:rPr>
          <w:rFonts w:ascii="Times New Roman" w:hAnsi="Times New Roman" w:cs="Times New Roman"/>
          <w:sz w:val="24"/>
          <w:szCs w:val="24"/>
        </w:rPr>
        <w:t>ightholders</w:t>
      </w:r>
      <w:r w:rsidRPr="00305C10">
        <w:rPr>
          <w:rFonts w:ascii="Times New Roman" w:hAnsi="Times New Roman" w:cs="Times New Roman"/>
          <w:sz w:val="24"/>
          <w:szCs w:val="24"/>
        </w:rPr>
        <w:t xml:space="preserve"> (e.g. </w:t>
      </w:r>
      <w:r w:rsidR="00F506EA">
        <w:rPr>
          <w:rFonts w:ascii="Times New Roman" w:hAnsi="Times New Roman" w:cs="Times New Roman"/>
          <w:sz w:val="24"/>
          <w:szCs w:val="24"/>
        </w:rPr>
        <w:t>AV</w:t>
      </w:r>
      <w:r w:rsidR="00F506EA" w:rsidRPr="00305C10">
        <w:rPr>
          <w:rFonts w:ascii="Times New Roman" w:hAnsi="Times New Roman" w:cs="Times New Roman"/>
          <w:sz w:val="24"/>
          <w:szCs w:val="24"/>
        </w:rPr>
        <w:t xml:space="preserve"> </w:t>
      </w:r>
      <w:r w:rsidRPr="00305C10">
        <w:rPr>
          <w:rFonts w:ascii="Times New Roman" w:hAnsi="Times New Roman" w:cs="Times New Roman"/>
          <w:sz w:val="24"/>
          <w:szCs w:val="24"/>
        </w:rPr>
        <w:t xml:space="preserve">producers) whose retransmission rights are not currently managed by </w:t>
      </w:r>
      <w:r w:rsidRPr="00305C10">
        <w:rPr>
          <w:rFonts w:ascii="Times New Roman" w:hAnsi="Times New Roman"/>
          <w:sz w:val="24"/>
          <w:szCs w:val="20"/>
          <w:lang w:eastAsia="en-GB"/>
        </w:rPr>
        <w:t>CMOs</w:t>
      </w:r>
      <w:r>
        <w:rPr>
          <w:rFonts w:ascii="Times New Roman" w:hAnsi="Times New Roman"/>
          <w:sz w:val="24"/>
          <w:szCs w:val="20"/>
          <w:lang w:eastAsia="en-GB"/>
        </w:rPr>
        <w:t xml:space="preserve"> and this impact may differ depending on </w:t>
      </w:r>
      <w:r w:rsidRPr="00305C10">
        <w:rPr>
          <w:rFonts w:ascii="Times New Roman" w:hAnsi="Times New Roman"/>
          <w:sz w:val="24"/>
          <w:szCs w:val="24"/>
        </w:rPr>
        <w:t>the relative size of the right holder and his capacity to manage a network of licensing deals with numerous foreign retransmission service providers</w:t>
      </w:r>
      <w:r>
        <w:rPr>
          <w:rFonts w:ascii="Times New Roman" w:hAnsi="Times New Roman"/>
          <w:sz w:val="24"/>
          <w:szCs w:val="24"/>
        </w:rPr>
        <w:t>. O</w:t>
      </w:r>
      <w:r w:rsidRPr="00305C10">
        <w:rPr>
          <w:rFonts w:ascii="Times New Roman" w:hAnsi="Times New Roman"/>
          <w:sz w:val="24"/>
          <w:szCs w:val="24"/>
        </w:rPr>
        <w:t>n the one hand, a relatively big right holder (e.g. a major US film studio</w:t>
      </w:r>
      <w:r>
        <w:rPr>
          <w:rFonts w:ascii="Times New Roman" w:hAnsi="Times New Roman"/>
          <w:sz w:val="24"/>
          <w:szCs w:val="24"/>
        </w:rPr>
        <w:t>, a large record label</w:t>
      </w:r>
      <w:r w:rsidRPr="00305C10">
        <w:rPr>
          <w:rFonts w:ascii="Times New Roman" w:hAnsi="Times New Roman"/>
          <w:sz w:val="24"/>
          <w:szCs w:val="24"/>
        </w:rPr>
        <w:t>) with resources to manage numerous licensing deals might be able to earn more from direct licensing of retransmission rights to retransmission service providers compared to the revenues stemming from the mandatory collective management</w:t>
      </w:r>
      <w:r>
        <w:rPr>
          <w:rFonts w:ascii="Times New Roman" w:hAnsi="Times New Roman"/>
          <w:sz w:val="24"/>
          <w:szCs w:val="24"/>
        </w:rPr>
        <w:t>.</w:t>
      </w:r>
      <w:r w:rsidRPr="00305C10">
        <w:rPr>
          <w:rFonts w:ascii="Times New Roman" w:hAnsi="Times New Roman"/>
          <w:sz w:val="24"/>
          <w:szCs w:val="24"/>
        </w:rPr>
        <w:t xml:space="preserve"> </w:t>
      </w:r>
      <w:r w:rsidRPr="00180C3D">
        <w:rPr>
          <w:rFonts w:ascii="Times New Roman" w:hAnsi="Times New Roman"/>
          <w:sz w:val="24"/>
          <w:szCs w:val="24"/>
        </w:rPr>
        <w:t xml:space="preserve">Such </w:t>
      </w:r>
      <w:r w:rsidR="006D6407">
        <w:rPr>
          <w:rFonts w:ascii="Times New Roman" w:hAnsi="Times New Roman"/>
          <w:sz w:val="24"/>
          <w:szCs w:val="24"/>
        </w:rPr>
        <w:t>r</w:t>
      </w:r>
      <w:r w:rsidR="00007677">
        <w:rPr>
          <w:rFonts w:ascii="Times New Roman" w:hAnsi="Times New Roman"/>
          <w:sz w:val="24"/>
          <w:szCs w:val="24"/>
        </w:rPr>
        <w:t>ightholders</w:t>
      </w:r>
      <w:r w:rsidRPr="00180C3D">
        <w:rPr>
          <w:rFonts w:ascii="Times New Roman" w:hAnsi="Times New Roman"/>
          <w:sz w:val="24"/>
          <w:szCs w:val="24"/>
        </w:rPr>
        <w:t xml:space="preserve"> may prefer to retain control over licence fees and othe</w:t>
      </w:r>
      <w:r>
        <w:rPr>
          <w:rFonts w:ascii="Times New Roman" w:hAnsi="Times New Roman"/>
          <w:sz w:val="24"/>
          <w:szCs w:val="24"/>
        </w:rPr>
        <w:t xml:space="preserve">r licence </w:t>
      </w:r>
      <w:r w:rsidRPr="00BA05F0">
        <w:rPr>
          <w:rFonts w:ascii="Times New Roman" w:hAnsi="Times New Roman"/>
          <w:sz w:val="24"/>
          <w:szCs w:val="24"/>
        </w:rPr>
        <w:t xml:space="preserve">terms. </w:t>
      </w:r>
      <w:r w:rsidRPr="00A02574">
        <w:rPr>
          <w:rFonts w:ascii="Times New Roman" w:hAnsi="Times New Roman"/>
          <w:sz w:val="24"/>
          <w:szCs w:val="24"/>
        </w:rPr>
        <w:t>Due to the confidentiality of information concerning specific licence fees it is not possible to draw concrete conclusions regarding the extent of a change between individual licensing and collective management in licen</w:t>
      </w:r>
      <w:r w:rsidRPr="00907E06">
        <w:rPr>
          <w:rFonts w:ascii="Times New Roman" w:hAnsi="Times New Roman"/>
          <w:sz w:val="24"/>
          <w:szCs w:val="24"/>
        </w:rPr>
        <w:t>sing revenues. On the other hand, a relatively small right holder (e.g.</w:t>
      </w:r>
      <w:r w:rsidRPr="00305C10">
        <w:rPr>
          <w:rFonts w:ascii="Times New Roman" w:hAnsi="Times New Roman"/>
          <w:sz w:val="24"/>
          <w:szCs w:val="24"/>
        </w:rPr>
        <w:t xml:space="preserve"> </w:t>
      </w:r>
      <w:r w:rsidR="00F506EA">
        <w:rPr>
          <w:rFonts w:ascii="Times New Roman" w:hAnsi="Times New Roman"/>
          <w:sz w:val="24"/>
          <w:szCs w:val="24"/>
        </w:rPr>
        <w:t>AV</w:t>
      </w:r>
      <w:r w:rsidR="00F506EA" w:rsidRPr="00305C10">
        <w:rPr>
          <w:rFonts w:ascii="Times New Roman" w:hAnsi="Times New Roman"/>
          <w:sz w:val="24"/>
          <w:szCs w:val="24"/>
        </w:rPr>
        <w:t xml:space="preserve"> </w:t>
      </w:r>
      <w:r w:rsidRPr="00305C10">
        <w:rPr>
          <w:rFonts w:ascii="Times New Roman" w:hAnsi="Times New Roman"/>
          <w:sz w:val="24"/>
          <w:szCs w:val="24"/>
        </w:rPr>
        <w:t xml:space="preserve">script writer) might not be getting revenue from the retransmission rights at all and, therefore, </w:t>
      </w:r>
      <w:r>
        <w:rPr>
          <w:rFonts w:ascii="Times New Roman" w:hAnsi="Times New Roman"/>
          <w:sz w:val="24"/>
          <w:szCs w:val="24"/>
        </w:rPr>
        <w:t>would</w:t>
      </w:r>
      <w:r w:rsidRPr="00305C10">
        <w:rPr>
          <w:rFonts w:ascii="Times New Roman" w:hAnsi="Times New Roman"/>
          <w:sz w:val="24"/>
          <w:szCs w:val="24"/>
        </w:rPr>
        <w:t xml:space="preserve"> benefit from the introduction of mandatory collective management.</w:t>
      </w:r>
      <w:r>
        <w:rPr>
          <w:rFonts w:ascii="Times New Roman" w:hAnsi="Times New Roman"/>
          <w:sz w:val="24"/>
          <w:szCs w:val="24"/>
        </w:rPr>
        <w:t xml:space="preserve"> Despite these benefits, especially for smaller </w:t>
      </w:r>
      <w:r w:rsidR="006D6407">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most of </w:t>
      </w:r>
      <w:r w:rsidR="006D6407">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who responded to the public consultation indicate that </w:t>
      </w:r>
      <w:r>
        <w:rPr>
          <w:rFonts w:ascii="Times New Roman" w:hAnsi="Times New Roman" w:cs="Times New Roman"/>
          <w:sz w:val="24"/>
          <w:szCs w:val="24"/>
        </w:rPr>
        <w:t>they</w:t>
      </w:r>
      <w:r w:rsidRPr="006955B8">
        <w:rPr>
          <w:rFonts w:ascii="Times New Roman" w:hAnsi="Times New Roman" w:cs="Times New Roman"/>
          <w:sz w:val="24"/>
          <w:szCs w:val="24"/>
        </w:rPr>
        <w:t xml:space="preserve"> are against this option due to the potential disruptive effect on the markets.</w:t>
      </w:r>
      <w:r>
        <w:rPr>
          <w:rFonts w:ascii="Times New Roman" w:hAnsi="Times New Roman" w:cs="Times New Roman"/>
          <w:sz w:val="24"/>
          <w:szCs w:val="24"/>
        </w:rPr>
        <w:t xml:space="preserve"> </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Option 1 is also expected to have a positive impact on the licensing revenues of broadcasters: even if their rights would be excluded from the mandatory collective management regime, just as in the case of cable retransmission, it </w:t>
      </w:r>
      <w:r>
        <w:rPr>
          <w:rFonts w:ascii="Times New Roman" w:hAnsi="Times New Roman"/>
          <w:sz w:val="24"/>
          <w:szCs w:val="24"/>
        </w:rPr>
        <w:t>would</w:t>
      </w:r>
      <w:r w:rsidRPr="00305C10">
        <w:rPr>
          <w:rFonts w:ascii="Times New Roman" w:hAnsi="Times New Roman"/>
          <w:sz w:val="24"/>
          <w:szCs w:val="24"/>
        </w:rPr>
        <w:t xml:space="preserve"> be easier for broadcasters to have their programmes exploited abroad without having to clear themselves the underlying rights of other </w:t>
      </w:r>
      <w:r w:rsidR="006D6407">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xml:space="preserve"> for the countries concerned.</w:t>
      </w:r>
    </w:p>
    <w:p w:rsidR="00C27157"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Option 1 is not expected to </w:t>
      </w:r>
      <w:r>
        <w:rPr>
          <w:rFonts w:ascii="Times New Roman" w:hAnsi="Times New Roman"/>
          <w:sz w:val="24"/>
          <w:szCs w:val="24"/>
        </w:rPr>
        <w:t xml:space="preserve">affect </w:t>
      </w:r>
      <w:r w:rsidRPr="00305C10">
        <w:rPr>
          <w:rFonts w:ascii="Times New Roman" w:hAnsi="Times New Roman"/>
          <w:sz w:val="24"/>
          <w:szCs w:val="24"/>
        </w:rPr>
        <w:t xml:space="preserve">the territory-by-territory content financing and distribution models of </w:t>
      </w:r>
      <w:r w:rsidR="00F506EA">
        <w:rPr>
          <w:rFonts w:ascii="Times New Roman" w:hAnsi="Times New Roman"/>
          <w:sz w:val="24"/>
          <w:szCs w:val="24"/>
        </w:rPr>
        <w:t xml:space="preserve">AV </w:t>
      </w:r>
      <w:r w:rsidR="006D6407">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notably because most of</w:t>
      </w:r>
      <w:r w:rsidRPr="00305C10">
        <w:rPr>
          <w:rFonts w:ascii="Times New Roman" w:hAnsi="Times New Roman" w:cs="Times New Roman"/>
          <w:sz w:val="24"/>
          <w:szCs w:val="24"/>
        </w:rPr>
        <w:t xml:space="preserve"> the retransmission services provided over "</w:t>
      </w:r>
      <w:r w:rsidRPr="00D94E8B">
        <w:rPr>
          <w:rFonts w:ascii="Times New Roman" w:hAnsi="Times New Roman"/>
          <w:sz w:val="24"/>
          <w:szCs w:val="24"/>
        </w:rPr>
        <w:t>closed</w:t>
      </w:r>
      <w:r w:rsidRPr="00305C10">
        <w:rPr>
          <w:rFonts w:ascii="Times New Roman" w:hAnsi="Times New Roman" w:cs="Times New Roman"/>
          <w:sz w:val="24"/>
          <w:szCs w:val="24"/>
        </w:rPr>
        <w:t>" electronic communications networks</w:t>
      </w:r>
      <w:r>
        <w:rPr>
          <w:rFonts w:ascii="Times New Roman" w:hAnsi="Times New Roman"/>
          <w:sz w:val="24"/>
          <w:szCs w:val="24"/>
        </w:rPr>
        <w:t xml:space="preserve"> rely </w:t>
      </w:r>
      <w:r w:rsidRPr="00305C10">
        <w:rPr>
          <w:rFonts w:ascii="Times New Roman" w:hAnsi="Times New Roman"/>
          <w:sz w:val="24"/>
          <w:szCs w:val="24"/>
        </w:rPr>
        <w:t xml:space="preserve">on the infrastructures located in the territory of a particular </w:t>
      </w:r>
      <w:r>
        <w:rPr>
          <w:rFonts w:ascii="Times New Roman" w:hAnsi="Times New Roman"/>
          <w:sz w:val="24"/>
          <w:szCs w:val="24"/>
        </w:rPr>
        <w:t xml:space="preserve">MS. </w:t>
      </w:r>
    </w:p>
    <w:p w:rsidR="00C27157" w:rsidRPr="00305C10" w:rsidRDefault="00C27157" w:rsidP="00C51C6C">
      <w:pPr>
        <w:spacing w:after="120" w:line="240" w:lineRule="auto"/>
        <w:jc w:val="both"/>
        <w:rPr>
          <w:rFonts w:ascii="Times New Roman" w:hAnsi="Times New Roman" w:cs="Times New Roman"/>
          <w:sz w:val="24"/>
          <w:szCs w:val="24"/>
        </w:rPr>
      </w:pPr>
      <w:r w:rsidRPr="00305C10">
        <w:rPr>
          <w:rFonts w:ascii="Times New Roman" w:hAnsi="Times New Roman"/>
          <w:sz w:val="24"/>
          <w:szCs w:val="24"/>
        </w:rPr>
        <w:t xml:space="preserve">As regards </w:t>
      </w:r>
      <w:r w:rsidRPr="008A587E">
        <w:rPr>
          <w:rFonts w:ascii="Times New Roman" w:hAnsi="Times New Roman"/>
          <w:sz w:val="24"/>
          <w:szCs w:val="24"/>
        </w:rPr>
        <w:t>CMOs</w:t>
      </w:r>
      <w:r w:rsidRPr="001C5348">
        <w:rPr>
          <w:rFonts w:ascii="Times New Roman" w:hAnsi="Times New Roman"/>
          <w:sz w:val="24"/>
          <w:szCs w:val="24"/>
        </w:rPr>
        <w:t>,</w:t>
      </w:r>
      <w:r w:rsidRPr="00305C10">
        <w:rPr>
          <w:rFonts w:ascii="Times New Roman" w:hAnsi="Times New Roman"/>
          <w:sz w:val="24"/>
          <w:szCs w:val="24"/>
        </w:rPr>
        <w:t xml:space="preserve"> Option 1 would have a positive impact on them (e.g. on CMOs representing </w:t>
      </w:r>
      <w:r w:rsidR="00F506EA">
        <w:rPr>
          <w:rFonts w:ascii="Times New Roman" w:hAnsi="Times New Roman"/>
          <w:sz w:val="24"/>
          <w:szCs w:val="24"/>
        </w:rPr>
        <w:t xml:space="preserve">AV </w:t>
      </w:r>
      <w:r w:rsidRPr="00305C10">
        <w:rPr>
          <w:rFonts w:ascii="Times New Roman" w:hAnsi="Times New Roman"/>
          <w:sz w:val="24"/>
          <w:szCs w:val="24"/>
        </w:rPr>
        <w:t>producers for the purpose of cable retransmission), as it would allow them to grant retransmission licences to and obtain licensing revenue from additional types of retransmission service providers – IPTV, mobile, satellite and DTT. The extent of the impact would depend on the number of licences granted to such providers and the licence fees paid by them, but a positive factor in this respect is that CMOs could extend their licensing activities at a low cost by applying the existing cable licensing arrangements.</w:t>
      </w:r>
      <w:r w:rsidR="002B3EA5">
        <w:rPr>
          <w:rFonts w:ascii="Times New Roman" w:hAnsi="Times New Roman"/>
          <w:sz w:val="24"/>
          <w:szCs w:val="24"/>
        </w:rPr>
        <w:t xml:space="preserve"> O</w:t>
      </w:r>
      <w:r w:rsidR="002B3EA5" w:rsidRPr="00EF0514">
        <w:rPr>
          <w:rFonts w:ascii="Times New Roman" w:hAnsi="Times New Roman"/>
          <w:sz w:val="24"/>
          <w:szCs w:val="24"/>
        </w:rPr>
        <w:t xml:space="preserve">ne-off </w:t>
      </w:r>
      <w:r w:rsidR="002B3EA5">
        <w:rPr>
          <w:rFonts w:ascii="Times New Roman" w:hAnsi="Times New Roman"/>
          <w:sz w:val="24"/>
          <w:szCs w:val="24"/>
        </w:rPr>
        <w:t xml:space="preserve">compliance </w:t>
      </w:r>
      <w:r w:rsidR="002B3EA5" w:rsidRPr="00EF0514">
        <w:rPr>
          <w:rFonts w:ascii="Times New Roman" w:hAnsi="Times New Roman"/>
          <w:sz w:val="24"/>
          <w:szCs w:val="24"/>
        </w:rPr>
        <w:t xml:space="preserve">costs linked to </w:t>
      </w:r>
      <w:r w:rsidR="002B3EA5">
        <w:rPr>
          <w:rFonts w:ascii="Times New Roman" w:hAnsi="Times New Roman"/>
          <w:sz w:val="24"/>
          <w:szCs w:val="24"/>
        </w:rPr>
        <w:t xml:space="preserve">extending these </w:t>
      </w:r>
      <w:r w:rsidR="002B3EA5" w:rsidRPr="00EF0514">
        <w:rPr>
          <w:rFonts w:ascii="Times New Roman" w:hAnsi="Times New Roman"/>
          <w:sz w:val="24"/>
          <w:szCs w:val="24"/>
        </w:rPr>
        <w:t xml:space="preserve">licensing agreements </w:t>
      </w:r>
      <w:r w:rsidR="002B3EA5">
        <w:rPr>
          <w:rFonts w:ascii="Times New Roman" w:hAnsi="Times New Roman"/>
          <w:sz w:val="24"/>
          <w:szCs w:val="24"/>
        </w:rPr>
        <w:t>to new</w:t>
      </w:r>
      <w:r w:rsidR="002B3EA5" w:rsidRPr="00EF0514">
        <w:rPr>
          <w:rFonts w:ascii="Times New Roman" w:hAnsi="Times New Roman"/>
          <w:sz w:val="24"/>
          <w:szCs w:val="24"/>
        </w:rPr>
        <w:t xml:space="preserve"> retransmis</w:t>
      </w:r>
      <w:r w:rsidR="002B3EA5">
        <w:rPr>
          <w:rFonts w:ascii="Times New Roman" w:hAnsi="Times New Roman"/>
          <w:sz w:val="24"/>
          <w:szCs w:val="24"/>
        </w:rPr>
        <w:t>sion service providers could occur but they are</w:t>
      </w:r>
      <w:r w:rsidR="002B3EA5" w:rsidRPr="00EF0514">
        <w:rPr>
          <w:rFonts w:ascii="Times New Roman" w:hAnsi="Times New Roman"/>
          <w:sz w:val="24"/>
          <w:szCs w:val="24"/>
        </w:rPr>
        <w:t xml:space="preserve"> expected to be limited</w:t>
      </w:r>
      <w:r w:rsidR="002B3EA5">
        <w:rPr>
          <w:rFonts w:ascii="Times New Roman" w:hAnsi="Times New Roman"/>
          <w:sz w:val="24"/>
          <w:szCs w:val="24"/>
        </w:rPr>
        <w:t>.</w:t>
      </w:r>
      <w:r w:rsidR="002B3EA5" w:rsidRPr="00EF0514">
        <w:rPr>
          <w:rFonts w:ascii="Times New Roman" w:hAnsi="Times New Roman"/>
          <w:sz w:val="24"/>
          <w:szCs w:val="24"/>
        </w:rPr>
        <w:t xml:space="preserve"> </w:t>
      </w:r>
    </w:p>
    <w:p w:rsidR="00C27157" w:rsidRPr="00305C10" w:rsidRDefault="00C27157" w:rsidP="00D94E8B">
      <w:pPr>
        <w:pStyle w:val="Text1"/>
        <w:ind w:left="0"/>
        <w:rPr>
          <w:b/>
        </w:rPr>
      </w:pPr>
      <w:r w:rsidRPr="00305C10">
        <w:rPr>
          <w:b/>
        </w:rPr>
        <w:t>Consumers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0"/>
          <w:u w:val="single"/>
          <w:lang w:eastAsia="en-GB"/>
        </w:rPr>
        <w:t>Impacts on the choice</w:t>
      </w:r>
      <w:r>
        <w:rPr>
          <w:rFonts w:ascii="Times New Roman" w:hAnsi="Times New Roman"/>
          <w:sz w:val="24"/>
          <w:szCs w:val="20"/>
          <w:u w:val="single"/>
          <w:lang w:eastAsia="en-GB"/>
        </w:rPr>
        <w:t xml:space="preserve"> and prices</w:t>
      </w:r>
      <w:r w:rsidRPr="00305C10">
        <w:rPr>
          <w:rFonts w:ascii="Times New Roman" w:hAnsi="Times New Roman"/>
          <w:sz w:val="24"/>
          <w:szCs w:val="20"/>
          <w:u w:val="single"/>
          <w:lang w:eastAsia="en-GB"/>
        </w:rPr>
        <w:t xml:space="preserve"> of retransmission services</w:t>
      </w:r>
      <w:r w:rsidRPr="00305C10">
        <w:rPr>
          <w:rFonts w:ascii="Times New Roman" w:hAnsi="Times New Roman"/>
          <w:sz w:val="24"/>
          <w:szCs w:val="20"/>
          <w:lang w:eastAsia="en-GB"/>
        </w:rPr>
        <w:t>: Option 1 is expected to</w:t>
      </w:r>
      <w:r w:rsidRPr="008656BA">
        <w:rPr>
          <w:rFonts w:ascii="Times New Roman" w:hAnsi="Times New Roman"/>
          <w:sz w:val="24"/>
          <w:szCs w:val="20"/>
          <w:lang w:eastAsia="en-GB"/>
        </w:rPr>
        <w:t xml:space="preserve"> </w:t>
      </w:r>
      <w:r>
        <w:rPr>
          <w:rFonts w:ascii="Times New Roman" w:hAnsi="Times New Roman"/>
          <w:sz w:val="24"/>
          <w:szCs w:val="20"/>
          <w:lang w:eastAsia="en-GB"/>
        </w:rPr>
        <w:t>play an important role in facilitating</w:t>
      </w:r>
      <w:r w:rsidRPr="00305C10">
        <w:rPr>
          <w:rFonts w:ascii="Times New Roman" w:hAnsi="Times New Roman"/>
          <w:sz w:val="24"/>
          <w:szCs w:val="20"/>
          <w:lang w:eastAsia="en-GB"/>
        </w:rPr>
        <w:t xml:space="preserve"> </w:t>
      </w:r>
      <w:r>
        <w:rPr>
          <w:rFonts w:ascii="Times New Roman" w:hAnsi="Times New Roman"/>
          <w:sz w:val="24"/>
          <w:szCs w:val="20"/>
          <w:lang w:eastAsia="en-GB"/>
        </w:rPr>
        <w:t>the launch of new services, and thus</w:t>
      </w:r>
      <w:r w:rsidRPr="00305C10">
        <w:rPr>
          <w:rFonts w:ascii="Times New Roman" w:hAnsi="Times New Roman"/>
          <w:sz w:val="24"/>
          <w:szCs w:val="20"/>
          <w:lang w:eastAsia="en-GB"/>
        </w:rPr>
        <w:t xml:space="preserve"> enabl</w:t>
      </w:r>
      <w:r>
        <w:rPr>
          <w:rFonts w:ascii="Times New Roman" w:hAnsi="Times New Roman"/>
          <w:sz w:val="24"/>
          <w:szCs w:val="20"/>
          <w:lang w:eastAsia="en-GB"/>
        </w:rPr>
        <w:t>ing</w:t>
      </w:r>
      <w:r w:rsidRPr="00305C10">
        <w:rPr>
          <w:rFonts w:ascii="Times New Roman" w:hAnsi="Times New Roman"/>
          <w:sz w:val="24"/>
          <w:szCs w:val="20"/>
          <w:lang w:eastAsia="en-GB"/>
        </w:rPr>
        <w:t xml:space="preserve"> consumers to have a better choice of different retransmission services</w:t>
      </w:r>
      <w:r>
        <w:rPr>
          <w:rFonts w:ascii="Times New Roman" w:hAnsi="Times New Roman"/>
          <w:sz w:val="24"/>
          <w:szCs w:val="20"/>
          <w:lang w:eastAsia="en-GB"/>
        </w:rPr>
        <w:t xml:space="preserve"> (these include IPTV which is predicted to grow, but also e.g. satellite retransmission services)</w:t>
      </w:r>
      <w:r w:rsidRPr="00305C10">
        <w:rPr>
          <w:rFonts w:ascii="Times New Roman" w:hAnsi="Times New Roman"/>
          <w:sz w:val="24"/>
          <w:szCs w:val="20"/>
          <w:lang w:eastAsia="en-GB"/>
        </w:rPr>
        <w:t xml:space="preserve">. Easier copyright clearing mechanism could also result in consumers being able to watch / listen to a greater variety of TV / radio channels from other </w:t>
      </w:r>
      <w:r>
        <w:rPr>
          <w:rFonts w:ascii="Times New Roman" w:hAnsi="Times New Roman"/>
          <w:sz w:val="24"/>
          <w:szCs w:val="20"/>
          <w:lang w:eastAsia="en-GB"/>
        </w:rPr>
        <w:t>MS</w:t>
      </w:r>
      <w:r w:rsidRPr="00305C10">
        <w:rPr>
          <w:rFonts w:ascii="Times New Roman" w:hAnsi="Times New Roman"/>
          <w:sz w:val="24"/>
          <w:szCs w:val="20"/>
          <w:lang w:eastAsia="en-GB"/>
        </w:rPr>
        <w:t>, e.g. those tailored to specific preferences of particular groups of consume</w:t>
      </w:r>
      <w:r w:rsidRPr="00256020">
        <w:rPr>
          <w:rFonts w:ascii="Times New Roman" w:hAnsi="Times New Roman"/>
          <w:sz w:val="24"/>
          <w:szCs w:val="20"/>
          <w:lang w:eastAsia="en-GB"/>
        </w:rPr>
        <w:t>rs.</w:t>
      </w:r>
      <w:r w:rsidRPr="00B3634A">
        <w:t xml:space="preserve"> </w:t>
      </w:r>
      <w:r w:rsidRPr="00B3634A">
        <w:rPr>
          <w:rFonts w:ascii="Times New Roman" w:hAnsi="Times New Roman"/>
          <w:sz w:val="24"/>
          <w:szCs w:val="20"/>
          <w:lang w:eastAsia="en-GB"/>
        </w:rPr>
        <w:t xml:space="preserve">This, in turn, </w:t>
      </w:r>
      <w:r>
        <w:rPr>
          <w:rFonts w:ascii="Times New Roman" w:hAnsi="Times New Roman"/>
          <w:sz w:val="24"/>
          <w:szCs w:val="20"/>
          <w:lang w:eastAsia="en-GB"/>
        </w:rPr>
        <w:t>c</w:t>
      </w:r>
      <w:r w:rsidRPr="00B3634A">
        <w:rPr>
          <w:rFonts w:ascii="Times New Roman" w:hAnsi="Times New Roman"/>
          <w:sz w:val="24"/>
          <w:szCs w:val="20"/>
          <w:lang w:eastAsia="en-GB"/>
        </w:rPr>
        <w:t>ould lead to more intense competition between different retransmission services and, potentially, lower prices for consumers.</w:t>
      </w:r>
      <w:r w:rsidRPr="006A312F">
        <w:t xml:space="preserve"> </w:t>
      </w:r>
      <w:r w:rsidRPr="00E1338A">
        <w:rPr>
          <w:rFonts w:ascii="Times New Roman" w:hAnsi="Times New Roman"/>
          <w:sz w:val="24"/>
          <w:szCs w:val="20"/>
          <w:lang w:eastAsia="en-GB"/>
        </w:rPr>
        <w:t>However, as there are more elements that affect</w:t>
      </w:r>
      <w:r w:rsidRPr="008656BA">
        <w:rPr>
          <w:rFonts w:ascii="Times New Roman" w:hAnsi="Times New Roman"/>
          <w:sz w:val="24"/>
          <w:szCs w:val="20"/>
          <w:lang w:eastAsia="en-GB"/>
        </w:rPr>
        <w:t xml:space="preserve"> </w:t>
      </w:r>
      <w:r w:rsidRPr="00D94E8B">
        <w:rPr>
          <w:rFonts w:ascii="Times New Roman" w:hAnsi="Times New Roman"/>
          <w:sz w:val="24"/>
          <w:szCs w:val="24"/>
        </w:rPr>
        <w:t>the</w:t>
      </w:r>
      <w:r>
        <w:rPr>
          <w:rFonts w:ascii="Times New Roman" w:hAnsi="Times New Roman"/>
          <w:sz w:val="24"/>
          <w:szCs w:val="20"/>
          <w:lang w:eastAsia="en-GB"/>
        </w:rPr>
        <w:t xml:space="preserve"> decision by operators to launch new services and their</w:t>
      </w:r>
      <w:r w:rsidRPr="00E1338A">
        <w:rPr>
          <w:rFonts w:ascii="Times New Roman" w:hAnsi="Times New Roman"/>
          <w:sz w:val="24"/>
          <w:szCs w:val="20"/>
          <w:lang w:eastAsia="en-GB"/>
        </w:rPr>
        <w:t xml:space="preserve"> prices (e.g. whether premium or non-premium content is included, whether the service is bundled with other services), the concrete impact on the prices is difficult to predict.</w:t>
      </w:r>
    </w:p>
    <w:p w:rsidR="001D5DE0" w:rsidRDefault="001D5DE0">
      <w:pPr>
        <w:rPr>
          <w:rFonts w:ascii="Times New Roman Bold" w:eastAsia="Arial Unicode MS" w:hAnsi="Times New Roman Bold" w:cs="Times New Roman" w:hint="eastAsia"/>
          <w:b/>
          <w:smallCaps/>
          <w:sz w:val="24"/>
          <w:szCs w:val="24"/>
          <w:bdr w:val="none" w:sz="0" w:space="0" w:color="auto" w:frame="1"/>
          <w:lang w:eastAsia="en-GB"/>
        </w:rPr>
      </w:pPr>
      <w:r>
        <w:rPr>
          <w:rFonts w:ascii="Times New Roman Bold" w:eastAsia="Arial Unicode MS" w:hAnsi="Times New Roman Bold" w:hint="eastAsia"/>
          <w:b/>
          <w:smallCaps/>
          <w:szCs w:val="24"/>
          <w:bdr w:val="none" w:sz="0" w:space="0" w:color="auto" w:frame="1"/>
        </w:rPr>
        <w:br w:type="page"/>
      </w:r>
    </w:p>
    <w:p w:rsidR="00C27157" w:rsidRDefault="00C27157" w:rsidP="00D94E8B">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Social impacts</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Option 1 is expected to contribute to promoting cultural diversity</w:t>
      </w:r>
      <w:r>
        <w:rPr>
          <w:rFonts w:ascii="Times New Roman" w:hAnsi="Times New Roman"/>
          <w:sz w:val="24"/>
          <w:szCs w:val="24"/>
        </w:rPr>
        <w:t>, media pluralism and to respond</w:t>
      </w:r>
      <w:r w:rsidRPr="00305C10">
        <w:rPr>
          <w:rFonts w:ascii="Times New Roman" w:hAnsi="Times New Roman"/>
          <w:sz w:val="24"/>
          <w:szCs w:val="24"/>
        </w:rPr>
        <w:t xml:space="preserve"> </w:t>
      </w:r>
      <w:r w:rsidRPr="00E1338A">
        <w:rPr>
          <w:rFonts w:ascii="Times New Roman" w:hAnsi="Times New Roman"/>
          <w:sz w:val="24"/>
          <w:szCs w:val="24"/>
        </w:rPr>
        <w:t>to s</w:t>
      </w:r>
      <w:r>
        <w:rPr>
          <w:rFonts w:ascii="Times New Roman" w:hAnsi="Times New Roman"/>
          <w:sz w:val="24"/>
          <w:szCs w:val="24"/>
        </w:rPr>
        <w:t xml:space="preserve">ocial </w:t>
      </w:r>
      <w:r w:rsidRPr="00D94E8B">
        <w:rPr>
          <w:rFonts w:ascii="Times New Roman" w:hAnsi="Times New Roman"/>
          <w:sz w:val="24"/>
          <w:szCs w:val="20"/>
          <w:lang w:eastAsia="en-GB"/>
        </w:rPr>
        <w:t>and</w:t>
      </w:r>
      <w:r>
        <w:rPr>
          <w:rFonts w:ascii="Times New Roman" w:hAnsi="Times New Roman"/>
          <w:sz w:val="24"/>
          <w:szCs w:val="24"/>
        </w:rPr>
        <w:t xml:space="preserve"> cultural needs of EU citizens</w:t>
      </w:r>
      <w:r w:rsidRPr="00E1338A">
        <w:rPr>
          <w:rFonts w:ascii="Times New Roman" w:hAnsi="Times New Roman"/>
          <w:sz w:val="24"/>
          <w:szCs w:val="24"/>
        </w:rPr>
        <w:t xml:space="preserve"> </w:t>
      </w:r>
      <w:r w:rsidRPr="00305C10">
        <w:rPr>
          <w:rFonts w:ascii="Times New Roman" w:hAnsi="Times New Roman"/>
          <w:sz w:val="24"/>
          <w:szCs w:val="24"/>
        </w:rPr>
        <w:t>by putting in place a legal framework enabling access to a wider range of TV / radio channels.</w:t>
      </w:r>
      <w:r w:rsidRPr="00E1338A">
        <w:t xml:space="preserve"> </w:t>
      </w:r>
    </w:p>
    <w:p w:rsidR="00C27157" w:rsidRDefault="00C27157" w:rsidP="00D94E8B">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fundamental rights</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Since Option 1 would expand the scope of the mandatory collective management and, therefore, limit the licensing choices of the </w:t>
      </w:r>
      <w:r w:rsidR="00BE5314">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it would have an impact</w:t>
      </w:r>
      <w:r>
        <w:rPr>
          <w:rFonts w:ascii="Times New Roman" w:hAnsi="Times New Roman"/>
          <w:sz w:val="24"/>
          <w:szCs w:val="24"/>
        </w:rPr>
        <w:t xml:space="preserve"> (a limited one, due to its scope of application)</w:t>
      </w:r>
      <w:r w:rsidRPr="00305C10">
        <w:rPr>
          <w:rFonts w:ascii="Times New Roman" w:hAnsi="Times New Roman"/>
          <w:sz w:val="24"/>
          <w:szCs w:val="24"/>
        </w:rPr>
        <w:t xml:space="preserve"> on copyright as a property right (Article 17 of the Charter) </w:t>
      </w:r>
      <w:r w:rsidRPr="00305C10">
        <w:rPr>
          <w:rFonts w:ascii="Times New Roman" w:hAnsi="Times New Roman" w:cs="Times New Roman"/>
          <w:sz w:val="24"/>
          <w:szCs w:val="24"/>
          <w:lang w:eastAsia="en-GB"/>
        </w:rPr>
        <w:t>and on the freedom to conduct a business (Article 16)</w:t>
      </w:r>
      <w:r w:rsidRPr="00305C10">
        <w:rPr>
          <w:rFonts w:ascii="Times New Roman" w:hAnsi="Times New Roman"/>
          <w:sz w:val="24"/>
          <w:szCs w:val="24"/>
        </w:rPr>
        <w:t>. However, Option 1 would have a positive impact on the freedom of information (Article 11 of the Charter).</w:t>
      </w:r>
    </w:p>
    <w:p w:rsidR="00C27157" w:rsidRPr="00D94E8B" w:rsidRDefault="00C27157" w:rsidP="00D94E8B">
      <w:pPr>
        <w:pStyle w:val="Text1"/>
        <w:ind w:left="0"/>
        <w:rPr>
          <w:rFonts w:eastAsia="Times New Roman"/>
          <w:b/>
          <w:color w:val="000000"/>
          <w:szCs w:val="24"/>
          <w:u w:val="single"/>
          <w:bdr w:val="nil"/>
        </w:rPr>
      </w:pPr>
      <w:r w:rsidRPr="00D94E8B">
        <w:rPr>
          <w:rFonts w:eastAsia="Times New Roman"/>
          <w:b/>
          <w:color w:val="000000"/>
          <w:szCs w:val="24"/>
          <w:u w:val="single"/>
          <w:bdr w:val="nil"/>
        </w:rPr>
        <w:t>Option 2 – Mandatory collective management of rights to retransmission of TV / radio broadcasts by means of any retransmission services, irrespective of the retransmission technology or network used, as long as they are provided to a defined number of users (subscribers, registered users)</w:t>
      </w:r>
    </w:p>
    <w:p w:rsidR="00C27157" w:rsidRDefault="00C27157" w:rsidP="00D94E8B">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stakeholders</w:t>
      </w:r>
    </w:p>
    <w:p w:rsidR="00C27157" w:rsidRPr="00305C10" w:rsidRDefault="00C27157" w:rsidP="00D94E8B">
      <w:pPr>
        <w:pStyle w:val="Text1"/>
        <w:ind w:left="0"/>
        <w:rPr>
          <w:b/>
        </w:rPr>
      </w:pPr>
      <w:r w:rsidRPr="00305C10">
        <w:rPr>
          <w:b/>
        </w:rPr>
        <w:t>Retransmission service providers</w:t>
      </w:r>
    </w:p>
    <w:p w:rsidR="00C27157" w:rsidRPr="00A03CEE"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0"/>
          <w:u w:val="single"/>
          <w:lang w:eastAsia="en-GB"/>
        </w:rPr>
        <w:t>Impacts on the variety and quality of TV / radio retransmission services</w:t>
      </w:r>
      <w:r w:rsidRPr="00305C10">
        <w:rPr>
          <w:rFonts w:ascii="Times New Roman" w:hAnsi="Times New Roman"/>
          <w:sz w:val="24"/>
          <w:szCs w:val="20"/>
          <w:lang w:eastAsia="en-GB"/>
        </w:rPr>
        <w:t xml:space="preserve">: </w:t>
      </w:r>
      <w:r w:rsidRPr="00305C10">
        <w:rPr>
          <w:rFonts w:ascii="Times New Roman" w:hAnsi="Times New Roman"/>
          <w:sz w:val="24"/>
          <w:szCs w:val="24"/>
        </w:rPr>
        <w:t xml:space="preserve">Option 2 would enhance the level of legal certainty for the benefit of a wide range of retransmission services - IPTV, OTT, satellite, DTT, mobile - and can be expected to both (i) contribute to a greater </w:t>
      </w:r>
      <w:r w:rsidRPr="00305C10">
        <w:rPr>
          <w:rFonts w:ascii="Times New Roman" w:hAnsi="Times New Roman" w:cs="Times New Roman"/>
          <w:sz w:val="24"/>
          <w:szCs w:val="24"/>
        </w:rPr>
        <w:t>variety of such services and (ii)</w:t>
      </w:r>
      <w:r w:rsidRPr="00305C10">
        <w:rPr>
          <w:rFonts w:ascii="Times New Roman" w:hAnsi="Times New Roman"/>
          <w:sz w:val="24"/>
          <w:szCs w:val="24"/>
        </w:rPr>
        <w:t xml:space="preserve"> provide an incentive to the retransmission service providers to expand the range of TV / radio channels offered to their subscribers.</w:t>
      </w:r>
    </w:p>
    <w:p w:rsidR="00C27157" w:rsidRPr="00305C10" w:rsidRDefault="00C27157" w:rsidP="00D94E8B">
      <w:pPr>
        <w:spacing w:after="120" w:line="240" w:lineRule="auto"/>
        <w:jc w:val="both"/>
        <w:rPr>
          <w:rFonts w:ascii="Times New Roman" w:hAnsi="Times New Roman"/>
          <w:sz w:val="24"/>
          <w:szCs w:val="24"/>
          <w:u w:val="single"/>
        </w:rPr>
      </w:pPr>
      <w:r w:rsidRPr="00305C10">
        <w:rPr>
          <w:rFonts w:ascii="Times New Roman" w:hAnsi="Times New Roman"/>
          <w:sz w:val="24"/>
          <w:szCs w:val="24"/>
          <w:u w:val="single"/>
        </w:rPr>
        <w:t>Impacts on costs of retransmission service providers:</w:t>
      </w:r>
    </w:p>
    <w:p w:rsidR="00C27157" w:rsidRPr="00123CFF" w:rsidRDefault="00C27157" w:rsidP="00D94E8B">
      <w:pPr>
        <w:spacing w:after="120" w:line="240" w:lineRule="auto"/>
        <w:jc w:val="both"/>
        <w:rPr>
          <w:rFonts w:ascii="Times New Roman" w:hAnsi="Times New Roman" w:cs="Times New Roman"/>
          <w:sz w:val="24"/>
          <w:szCs w:val="24"/>
        </w:rPr>
      </w:pPr>
      <w:r w:rsidRPr="00305C10">
        <w:rPr>
          <w:rFonts w:ascii="Times New Roman" w:hAnsi="Times New Roman"/>
          <w:i/>
          <w:sz w:val="24"/>
          <w:szCs w:val="24"/>
        </w:rPr>
        <w:t xml:space="preserve">Transaction costs: </w:t>
      </w:r>
      <w:r w:rsidRPr="00305C10">
        <w:rPr>
          <w:rFonts w:ascii="Times New Roman" w:hAnsi="Times New Roman"/>
          <w:sz w:val="24"/>
          <w:szCs w:val="24"/>
        </w:rPr>
        <w:t>this option is expected to reduce the transaction costs linked to the clearance of retransmission rights in the same way as Option 1</w:t>
      </w:r>
      <w:r w:rsidRPr="00123CFF">
        <w:rPr>
          <w:rFonts w:ascii="Times New Roman" w:hAnsi="Times New Roman"/>
          <w:sz w:val="24"/>
          <w:szCs w:val="24"/>
        </w:rPr>
        <w:t>.</w:t>
      </w:r>
    </w:p>
    <w:p w:rsidR="00C27157" w:rsidRPr="00305C10" w:rsidRDefault="00C27157" w:rsidP="00C27157">
      <w:pPr>
        <w:spacing w:after="120" w:line="240" w:lineRule="auto"/>
        <w:jc w:val="both"/>
        <w:rPr>
          <w:rFonts w:ascii="Times New Roman" w:hAnsi="Times New Roman"/>
          <w:sz w:val="24"/>
          <w:szCs w:val="24"/>
        </w:rPr>
      </w:pPr>
      <w:r w:rsidRPr="00123CFF">
        <w:rPr>
          <w:rFonts w:ascii="Times New Roman" w:hAnsi="Times New Roman"/>
          <w:i/>
          <w:sz w:val="24"/>
          <w:szCs w:val="24"/>
        </w:rPr>
        <w:t>Licensing costs</w:t>
      </w:r>
      <w:r w:rsidRPr="00123CFF">
        <w:rPr>
          <w:rFonts w:ascii="Times New Roman" w:hAnsi="Times New Roman"/>
          <w:sz w:val="24"/>
          <w:szCs w:val="24"/>
        </w:rPr>
        <w:t>: As in Option 1.</w:t>
      </w:r>
    </w:p>
    <w:p w:rsidR="00C27157" w:rsidRDefault="00C27157" w:rsidP="00C27157">
      <w:pPr>
        <w:spacing w:after="0" w:line="240" w:lineRule="auto"/>
        <w:jc w:val="both"/>
        <w:rPr>
          <w:rFonts w:ascii="Times New Roman" w:hAnsi="Times New Roman"/>
          <w:sz w:val="24"/>
          <w:szCs w:val="24"/>
        </w:rPr>
      </w:pPr>
      <w:r w:rsidRPr="00305C10">
        <w:rPr>
          <w:rFonts w:ascii="Times New Roman" w:hAnsi="Times New Roman"/>
          <w:sz w:val="24"/>
          <w:szCs w:val="24"/>
          <w:u w:val="single"/>
        </w:rPr>
        <w:t>Impacts on competitiveness</w:t>
      </w:r>
      <w:r w:rsidRPr="00305C10">
        <w:rPr>
          <w:rFonts w:ascii="Times New Roman" w:hAnsi="Times New Roman"/>
          <w:sz w:val="24"/>
          <w:szCs w:val="24"/>
        </w:rPr>
        <w:t>: Option 2 would benefit different types of retransmission services</w:t>
      </w:r>
      <w:r>
        <w:rPr>
          <w:rFonts w:ascii="Times New Roman" w:hAnsi="Times New Roman"/>
          <w:sz w:val="24"/>
          <w:szCs w:val="24"/>
        </w:rPr>
        <w:t xml:space="preserve"> but could be seen as creating a </w:t>
      </w:r>
      <w:r w:rsidRPr="00305C10">
        <w:rPr>
          <w:rFonts w:ascii="Times New Roman" w:hAnsi="Times New Roman"/>
          <w:sz w:val="24"/>
          <w:szCs w:val="24"/>
        </w:rPr>
        <w:t xml:space="preserve">competitive distortion </w:t>
      </w:r>
      <w:r>
        <w:rPr>
          <w:rFonts w:ascii="Times New Roman" w:hAnsi="Times New Roman"/>
          <w:sz w:val="24"/>
          <w:szCs w:val="24"/>
        </w:rPr>
        <w:t>between OTT services, depending on their business models (</w:t>
      </w:r>
      <w:r w:rsidRPr="00305C10">
        <w:rPr>
          <w:rFonts w:ascii="Times New Roman" w:hAnsi="Times New Roman"/>
          <w:sz w:val="24"/>
          <w:szCs w:val="24"/>
        </w:rPr>
        <w:t>OTT</w:t>
      </w:r>
      <w:r>
        <w:rPr>
          <w:rFonts w:ascii="Times New Roman" w:hAnsi="Times New Roman"/>
          <w:sz w:val="24"/>
          <w:szCs w:val="24"/>
        </w:rPr>
        <w:t xml:space="preserve"> retransmission services</w:t>
      </w:r>
      <w:r w:rsidRPr="00305C10">
        <w:rPr>
          <w:rFonts w:ascii="Times New Roman" w:hAnsi="Times New Roman"/>
          <w:sz w:val="24"/>
          <w:szCs w:val="24"/>
        </w:rPr>
        <w:t xml:space="preserve"> which do not have subscribers or registered users and rely on </w:t>
      </w:r>
      <w:r>
        <w:rPr>
          <w:rFonts w:ascii="Times New Roman" w:hAnsi="Times New Roman"/>
          <w:sz w:val="24"/>
          <w:szCs w:val="24"/>
        </w:rPr>
        <w:t>advertising would not benefit from the facilitation of rights clearance)</w:t>
      </w:r>
      <w:r w:rsidRPr="00305C10">
        <w:rPr>
          <w:rFonts w:ascii="Times New Roman" w:hAnsi="Times New Roman"/>
          <w:sz w:val="24"/>
          <w:szCs w:val="24"/>
        </w:rPr>
        <w:t>.</w:t>
      </w:r>
    </w:p>
    <w:p w:rsidR="00C27157" w:rsidRPr="00305C10" w:rsidRDefault="00007677" w:rsidP="00D94E8B">
      <w:pPr>
        <w:pStyle w:val="Text1"/>
        <w:ind w:left="0"/>
        <w:rPr>
          <w:b/>
        </w:rPr>
      </w:pPr>
      <w:r>
        <w:rPr>
          <w:b/>
        </w:rPr>
        <w:t>Rightholders</w:t>
      </w:r>
    </w:p>
    <w:p w:rsidR="00C27157" w:rsidRPr="00D1507D" w:rsidRDefault="00101C38" w:rsidP="00D94E8B">
      <w:pPr>
        <w:spacing w:after="120" w:line="240" w:lineRule="auto"/>
        <w:jc w:val="both"/>
        <w:rPr>
          <w:rFonts w:ascii="Times New Roman" w:hAnsi="Times New Roman"/>
          <w:sz w:val="24"/>
          <w:u w:val="single"/>
        </w:rPr>
      </w:pPr>
      <w:r w:rsidRPr="00AE36FA">
        <w:rPr>
          <w:rFonts w:ascii="Times New Roman" w:hAnsi="Times New Roman"/>
          <w:sz w:val="24"/>
          <w:szCs w:val="24"/>
          <w:u w:val="single"/>
        </w:rPr>
        <w:t xml:space="preserve">Impacts </w:t>
      </w:r>
      <w:r>
        <w:rPr>
          <w:rFonts w:ascii="Times New Roman" w:hAnsi="Times New Roman"/>
          <w:sz w:val="24"/>
          <w:szCs w:val="24"/>
          <w:u w:val="single"/>
        </w:rPr>
        <w:t>on the management of rights:</w:t>
      </w:r>
      <w:r w:rsidRPr="00D1507D">
        <w:rPr>
          <w:rFonts w:ascii="Times New Roman" w:hAnsi="Times New Roman"/>
          <w:sz w:val="24"/>
          <w:u w:val="single"/>
        </w:rPr>
        <w:t xml:space="preserve"> </w:t>
      </w:r>
      <w:r w:rsidR="00C27157">
        <w:rPr>
          <w:rFonts w:ascii="Times New Roman" w:hAnsi="Times New Roman"/>
          <w:sz w:val="24"/>
          <w:szCs w:val="24"/>
        </w:rPr>
        <w:t>Th</w:t>
      </w:r>
      <w:r w:rsidR="00C27157" w:rsidRPr="00305C10">
        <w:rPr>
          <w:rFonts w:ascii="Times New Roman" w:hAnsi="Times New Roman"/>
          <w:sz w:val="24"/>
          <w:szCs w:val="24"/>
        </w:rPr>
        <w:t>e</w:t>
      </w:r>
      <w:r w:rsidR="00C27157">
        <w:rPr>
          <w:rFonts w:ascii="Times New Roman" w:hAnsi="Times New Roman"/>
          <w:sz w:val="24"/>
          <w:szCs w:val="24"/>
        </w:rPr>
        <w:t xml:space="preserve"> effects of the</w:t>
      </w:r>
      <w:r w:rsidR="00C27157" w:rsidRPr="00305C10">
        <w:rPr>
          <w:rFonts w:ascii="Times New Roman" w:hAnsi="Times New Roman"/>
          <w:sz w:val="24"/>
          <w:szCs w:val="24"/>
        </w:rPr>
        <w:t xml:space="preserve"> wider scope of Option 2 compared to Option 1 (OTT retransmission services covered) </w:t>
      </w:r>
      <w:r w:rsidR="00C27157">
        <w:rPr>
          <w:rFonts w:ascii="Times New Roman" w:hAnsi="Times New Roman"/>
          <w:sz w:val="24"/>
          <w:szCs w:val="24"/>
        </w:rPr>
        <w:t xml:space="preserve">are difficult to assess </w:t>
      </w:r>
      <w:r w:rsidR="00C27157" w:rsidRPr="00305C10">
        <w:rPr>
          <w:rFonts w:ascii="Times New Roman" w:hAnsi="Times New Roman"/>
          <w:sz w:val="24"/>
          <w:szCs w:val="24"/>
        </w:rPr>
        <w:t xml:space="preserve">due to the experimental / niche nature of those </w:t>
      </w:r>
      <w:r w:rsidR="00C27157">
        <w:rPr>
          <w:rFonts w:ascii="Times New Roman" w:hAnsi="Times New Roman"/>
          <w:sz w:val="24"/>
          <w:szCs w:val="24"/>
        </w:rPr>
        <w:t xml:space="preserve">retransmission </w:t>
      </w:r>
      <w:r w:rsidR="00C27157" w:rsidRPr="00305C10">
        <w:rPr>
          <w:rFonts w:ascii="Times New Roman" w:hAnsi="Times New Roman"/>
          <w:sz w:val="24"/>
          <w:szCs w:val="24"/>
        </w:rPr>
        <w:t>services</w:t>
      </w:r>
      <w:r w:rsidR="00C27157">
        <w:rPr>
          <w:rFonts w:ascii="Times New Roman" w:hAnsi="Times New Roman"/>
          <w:sz w:val="24"/>
          <w:szCs w:val="24"/>
        </w:rPr>
        <w:t xml:space="preserve">. However, Option 2 may negatively affect </w:t>
      </w:r>
      <w:r w:rsidR="006D6407">
        <w:rPr>
          <w:rFonts w:ascii="Times New Roman" w:hAnsi="Times New Roman"/>
          <w:sz w:val="24"/>
          <w:szCs w:val="24"/>
        </w:rPr>
        <w:t>r</w:t>
      </w:r>
      <w:r w:rsidR="00007677">
        <w:rPr>
          <w:rFonts w:ascii="Times New Roman" w:hAnsi="Times New Roman"/>
          <w:sz w:val="24"/>
          <w:szCs w:val="24"/>
        </w:rPr>
        <w:t>ightholders</w:t>
      </w:r>
      <w:r w:rsidR="00C27157">
        <w:rPr>
          <w:rFonts w:ascii="Times New Roman" w:hAnsi="Times New Roman"/>
          <w:sz w:val="24"/>
          <w:szCs w:val="24"/>
        </w:rPr>
        <w:t xml:space="preserve"> that rely on individual or voluntary collective management of their rights and for which it is important to control the online retransmission of their content (notably, but not only, the </w:t>
      </w:r>
      <w:r w:rsidR="006C764B">
        <w:rPr>
          <w:rFonts w:ascii="Times New Roman" w:hAnsi="Times New Roman"/>
          <w:sz w:val="24"/>
          <w:szCs w:val="24"/>
        </w:rPr>
        <w:t xml:space="preserve">AV </w:t>
      </w:r>
      <w:r w:rsidR="00C27157">
        <w:rPr>
          <w:rFonts w:ascii="Times New Roman" w:hAnsi="Times New Roman"/>
          <w:sz w:val="24"/>
          <w:szCs w:val="24"/>
        </w:rPr>
        <w:t>industry)</w:t>
      </w:r>
      <w:r w:rsidR="00C27157" w:rsidRPr="00305C10">
        <w:rPr>
          <w:rFonts w:ascii="Times New Roman" w:hAnsi="Times New Roman"/>
          <w:sz w:val="24"/>
          <w:szCs w:val="24"/>
        </w:rPr>
        <w:t>.</w:t>
      </w:r>
      <w:r w:rsidR="00C27157">
        <w:rPr>
          <w:rFonts w:ascii="Times New Roman" w:hAnsi="Times New Roman"/>
          <w:sz w:val="24"/>
          <w:szCs w:val="24"/>
        </w:rPr>
        <w:t xml:space="preserve"> </w:t>
      </w:r>
      <w:r w:rsidR="00C27157" w:rsidRPr="00123CFF">
        <w:rPr>
          <w:rFonts w:ascii="Times New Roman" w:hAnsi="Times New Roman"/>
          <w:sz w:val="24"/>
          <w:szCs w:val="24"/>
        </w:rPr>
        <w:t xml:space="preserve">As explained in Option 1, big </w:t>
      </w:r>
      <w:r w:rsidR="006D6407">
        <w:rPr>
          <w:rFonts w:ascii="Times New Roman" w:hAnsi="Times New Roman"/>
          <w:sz w:val="24"/>
          <w:szCs w:val="24"/>
        </w:rPr>
        <w:t>r</w:t>
      </w:r>
      <w:r w:rsidR="00007677">
        <w:rPr>
          <w:rFonts w:ascii="Times New Roman" w:hAnsi="Times New Roman"/>
          <w:sz w:val="24"/>
          <w:szCs w:val="24"/>
        </w:rPr>
        <w:t>ightholders</w:t>
      </w:r>
      <w:r w:rsidR="00C27157" w:rsidRPr="00123CFF">
        <w:rPr>
          <w:rFonts w:ascii="Times New Roman" w:hAnsi="Times New Roman"/>
          <w:sz w:val="24"/>
          <w:szCs w:val="24"/>
        </w:rPr>
        <w:t xml:space="preserve"> may prefer to retain control over licence fees and other licence terms. Given the importance, the experimental/niche nature of the OTT market and its potential large scale, the preference for control over the licensing of rights to OTT retransmission is stronger than in the case of retransmissions over "closed" networks.</w:t>
      </w:r>
    </w:p>
    <w:p w:rsidR="00C27157" w:rsidRPr="00123CFF" w:rsidRDefault="00C27157" w:rsidP="00D94E8B">
      <w:pPr>
        <w:spacing w:after="120" w:line="240" w:lineRule="auto"/>
        <w:jc w:val="both"/>
        <w:rPr>
          <w:rFonts w:ascii="Times New Roman" w:hAnsi="Times New Roman"/>
          <w:sz w:val="24"/>
          <w:szCs w:val="24"/>
        </w:rPr>
      </w:pPr>
      <w:r w:rsidRPr="00123CFF">
        <w:rPr>
          <w:rFonts w:ascii="Times New Roman" w:hAnsi="Times New Roman"/>
          <w:sz w:val="24"/>
          <w:szCs w:val="24"/>
        </w:rPr>
        <w:t xml:space="preserve">The OTT retransmission services are by their very nature not firmly linked to a particular territory, and their ability to ensure </w:t>
      </w:r>
      <w:r>
        <w:rPr>
          <w:rFonts w:ascii="Times New Roman" w:hAnsi="Times New Roman"/>
          <w:sz w:val="24"/>
          <w:szCs w:val="24"/>
        </w:rPr>
        <w:t>a controlled environment</w:t>
      </w:r>
      <w:r w:rsidRPr="00123CFF">
        <w:rPr>
          <w:rFonts w:ascii="Times New Roman" w:hAnsi="Times New Roman"/>
          <w:sz w:val="24"/>
          <w:szCs w:val="24"/>
        </w:rPr>
        <w:t xml:space="preserve"> is limited if compared e.g. to cable or IPTV (which are normally limited to national or regional territories). Also, content delivered over the open internet can be more easily intercepted than content delivered over "closed" networks such as IPTV.</w:t>
      </w:r>
      <w:r w:rsidRPr="00123CFF">
        <w:rPr>
          <w:rStyle w:val="FootnoteReference"/>
          <w:rFonts w:ascii="Times New Roman" w:hAnsi="Times New Roman"/>
          <w:sz w:val="24"/>
          <w:szCs w:val="24"/>
        </w:rPr>
        <w:footnoteReference w:id="134"/>
      </w:r>
      <w:r w:rsidRPr="00123CFF">
        <w:rPr>
          <w:rFonts w:ascii="Times New Roman" w:hAnsi="Times New Roman"/>
          <w:sz w:val="24"/>
          <w:szCs w:val="24"/>
        </w:rPr>
        <w:t xml:space="preserve"> Finally, as such services are not linked to any particular infrastructure, their number can potentially be very high.</w:t>
      </w:r>
    </w:p>
    <w:p w:rsidR="00C27157" w:rsidRPr="00305C10" w:rsidRDefault="00101C38" w:rsidP="00C27157">
      <w:pPr>
        <w:spacing w:after="120" w:line="240" w:lineRule="auto"/>
        <w:jc w:val="both"/>
        <w:rPr>
          <w:rFonts w:ascii="Times New Roman" w:hAnsi="Times New Roman"/>
          <w:sz w:val="24"/>
          <w:szCs w:val="24"/>
        </w:rPr>
      </w:pPr>
      <w:r w:rsidRPr="00305C10">
        <w:rPr>
          <w:rFonts w:ascii="Times New Roman" w:hAnsi="Times New Roman"/>
          <w:sz w:val="24"/>
          <w:szCs w:val="24"/>
          <w:u w:val="single"/>
        </w:rPr>
        <w:t>Impacts on licensing revenues:</w:t>
      </w:r>
      <w:r>
        <w:rPr>
          <w:rFonts w:ascii="Times New Roman" w:hAnsi="Times New Roman"/>
          <w:sz w:val="24"/>
          <w:szCs w:val="24"/>
        </w:rPr>
        <w:t xml:space="preserve"> </w:t>
      </w:r>
      <w:r w:rsidR="00C27157" w:rsidRPr="00123CFF">
        <w:rPr>
          <w:rFonts w:ascii="Times New Roman" w:hAnsi="Times New Roman"/>
          <w:sz w:val="24"/>
          <w:szCs w:val="24"/>
        </w:rPr>
        <w:t xml:space="preserve">As Option 2 would extend to a wide variety of retransmission services (notably OTT) it could pose a risk that </w:t>
      </w:r>
      <w:r w:rsidR="006D6407">
        <w:rPr>
          <w:rFonts w:ascii="Times New Roman" w:hAnsi="Times New Roman"/>
          <w:sz w:val="24"/>
          <w:szCs w:val="24"/>
        </w:rPr>
        <w:t>r</w:t>
      </w:r>
      <w:r w:rsidR="00007677">
        <w:rPr>
          <w:rFonts w:ascii="Times New Roman" w:hAnsi="Times New Roman"/>
          <w:sz w:val="24"/>
          <w:szCs w:val="24"/>
        </w:rPr>
        <w:t>ightholders</w:t>
      </w:r>
      <w:r w:rsidR="00C27157" w:rsidRPr="00123CFF">
        <w:rPr>
          <w:rFonts w:ascii="Times New Roman" w:hAnsi="Times New Roman"/>
          <w:sz w:val="24"/>
          <w:szCs w:val="24"/>
        </w:rPr>
        <w:t xml:space="preserve"> would not always be able to choose the optimum business strategies in order to obtain the return on investment made. This risk is especially relevant for retransmissions via OTT services. In particular, the same content could be made available in a territory at the same time through different services, as a result of right holder's exclusive distribution deals as well as retransmission of foreign TV channels (for example, a premium TV series being available at the same time through a </w:t>
      </w:r>
      <w:r w:rsidR="000A4909">
        <w:rPr>
          <w:rFonts w:ascii="Times New Roman" w:hAnsi="Times New Roman" w:cs="Times New Roman"/>
          <w:sz w:val="24"/>
          <w:szCs w:val="24"/>
          <w:lang w:val="en"/>
        </w:rPr>
        <w:t>Subscription VoD (</w:t>
      </w:r>
      <w:r w:rsidR="00C27157" w:rsidRPr="00123CFF">
        <w:rPr>
          <w:rFonts w:ascii="Times New Roman" w:hAnsi="Times New Roman"/>
          <w:sz w:val="24"/>
          <w:szCs w:val="24"/>
        </w:rPr>
        <w:t>SVoD</w:t>
      </w:r>
      <w:r w:rsidR="000A4909">
        <w:rPr>
          <w:rFonts w:ascii="Times New Roman" w:hAnsi="Times New Roman"/>
          <w:sz w:val="24"/>
          <w:szCs w:val="24"/>
        </w:rPr>
        <w:t>)</w:t>
      </w:r>
      <w:r w:rsidR="00C27157" w:rsidRPr="00123CFF">
        <w:rPr>
          <w:rFonts w:ascii="Times New Roman" w:hAnsi="Times New Roman"/>
          <w:sz w:val="24"/>
          <w:szCs w:val="24"/>
        </w:rPr>
        <w:t xml:space="preserve"> service and through an online service retransmitting foreign channels). This in principle is not different from Option 1 but the impact of such cases could be much greater given the cross-border nature of OTT services, their potential big scale (as they are not linked to any particular infrastructure), the fact that they have a more limited ability to ensure that consumers from other territories will not be able to access the service and the fact that OTT services are more prone to illegal interception. This could reduce the value of exclusive distribution deals based on different windows of exploitation and undermine the territory-by-territory distribution strategies. Due to the possible overlap between different windows (pay TV, VoD, SVoD and free TV) </w:t>
      </w:r>
      <w:r w:rsidR="006D6407">
        <w:rPr>
          <w:rFonts w:ascii="Times New Roman" w:hAnsi="Times New Roman"/>
          <w:sz w:val="24"/>
          <w:szCs w:val="24"/>
        </w:rPr>
        <w:t>r</w:t>
      </w:r>
      <w:r w:rsidR="00007677">
        <w:rPr>
          <w:rFonts w:ascii="Times New Roman" w:hAnsi="Times New Roman"/>
          <w:sz w:val="24"/>
          <w:szCs w:val="24"/>
        </w:rPr>
        <w:t>ightholders</w:t>
      </w:r>
      <w:r w:rsidR="00C27157" w:rsidRPr="00123CFF">
        <w:rPr>
          <w:rFonts w:ascii="Times New Roman" w:hAnsi="Times New Roman"/>
          <w:sz w:val="24"/>
          <w:szCs w:val="24"/>
        </w:rPr>
        <w:t xml:space="preserve"> may become reluctant to license their content for the free window, since such content could be retransmitted online in other MS through mandatory collective management.</w:t>
      </w:r>
      <w:r w:rsidR="00C27157">
        <w:rPr>
          <w:rFonts w:ascii="Times New Roman" w:hAnsi="Times New Roman"/>
          <w:sz w:val="24"/>
          <w:szCs w:val="24"/>
        </w:rPr>
        <w:t xml:space="preserve"> </w:t>
      </w:r>
    </w:p>
    <w:p w:rsidR="00C27157" w:rsidRPr="00C31845"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4"/>
        </w:rPr>
        <w:t xml:space="preserve">As regards </w:t>
      </w:r>
      <w:r w:rsidRPr="008A587E">
        <w:rPr>
          <w:rFonts w:ascii="Times New Roman" w:hAnsi="Times New Roman"/>
          <w:sz w:val="24"/>
          <w:szCs w:val="24"/>
        </w:rPr>
        <w:t>CMOs</w:t>
      </w:r>
      <w:r w:rsidRPr="001C5348">
        <w:rPr>
          <w:rFonts w:ascii="Times New Roman" w:hAnsi="Times New Roman"/>
          <w:sz w:val="24"/>
          <w:szCs w:val="24"/>
        </w:rPr>
        <w:t>,</w:t>
      </w:r>
      <w:r w:rsidRPr="00305C10">
        <w:rPr>
          <w:rFonts w:ascii="Times New Roman" w:hAnsi="Times New Roman"/>
          <w:sz w:val="24"/>
          <w:szCs w:val="24"/>
        </w:rPr>
        <w:t xml:space="preserve"> Option 2 is likely to have a positive impact on them (e.g. on CMOs representing </w:t>
      </w:r>
      <w:r w:rsidR="00F506EA">
        <w:rPr>
          <w:rFonts w:ascii="Times New Roman" w:hAnsi="Times New Roman"/>
          <w:sz w:val="24"/>
          <w:szCs w:val="24"/>
        </w:rPr>
        <w:t xml:space="preserve">AV </w:t>
      </w:r>
      <w:r w:rsidRPr="00305C10">
        <w:rPr>
          <w:rFonts w:ascii="Times New Roman" w:hAnsi="Times New Roman"/>
          <w:sz w:val="24"/>
          <w:szCs w:val="24"/>
        </w:rPr>
        <w:t>producers for the purpose of cable retransmission), as it would allow them to grant retransmission licences to and obtain licensing revenue from a wider range and greater number of retransmission service providers (at a low cost - by applying the cable licensing arrangements).</w:t>
      </w:r>
    </w:p>
    <w:p w:rsidR="00C27157" w:rsidRPr="00305C10" w:rsidRDefault="00C27157" w:rsidP="00D94E8B">
      <w:pPr>
        <w:pStyle w:val="Text1"/>
        <w:ind w:left="0"/>
        <w:rPr>
          <w:b/>
        </w:rPr>
      </w:pPr>
      <w:r w:rsidRPr="00305C10">
        <w:rPr>
          <w:b/>
        </w:rPr>
        <w:t>Consumers</w:t>
      </w:r>
    </w:p>
    <w:p w:rsidR="00C27157" w:rsidRPr="00305C10" w:rsidRDefault="00C27157" w:rsidP="00C27157">
      <w:pPr>
        <w:spacing w:after="120" w:line="240" w:lineRule="auto"/>
        <w:jc w:val="both"/>
        <w:rPr>
          <w:rFonts w:ascii="Times New Roman" w:hAnsi="Times New Roman" w:cs="Times New Roman"/>
          <w:sz w:val="24"/>
          <w:szCs w:val="24"/>
        </w:rPr>
      </w:pPr>
      <w:r w:rsidRPr="00305C10">
        <w:rPr>
          <w:rFonts w:ascii="Times New Roman" w:hAnsi="Times New Roman"/>
          <w:sz w:val="24"/>
          <w:szCs w:val="20"/>
          <w:u w:val="single"/>
          <w:lang w:eastAsia="en-GB"/>
        </w:rPr>
        <w:t>Impacts on the choice</w:t>
      </w:r>
      <w:r>
        <w:rPr>
          <w:rFonts w:ascii="Times New Roman" w:hAnsi="Times New Roman"/>
          <w:sz w:val="24"/>
          <w:szCs w:val="20"/>
          <w:u w:val="single"/>
          <w:lang w:eastAsia="en-GB"/>
        </w:rPr>
        <w:t xml:space="preserve"> and prices</w:t>
      </w:r>
      <w:r w:rsidRPr="00305C10">
        <w:rPr>
          <w:rFonts w:ascii="Times New Roman" w:hAnsi="Times New Roman"/>
          <w:sz w:val="24"/>
          <w:szCs w:val="20"/>
          <w:u w:val="single"/>
          <w:lang w:eastAsia="en-GB"/>
        </w:rPr>
        <w:t xml:space="preserve"> of retransmission services</w:t>
      </w:r>
      <w:r w:rsidRPr="00305C10">
        <w:rPr>
          <w:rFonts w:ascii="Times New Roman" w:hAnsi="Times New Roman"/>
          <w:sz w:val="24"/>
          <w:szCs w:val="20"/>
          <w:lang w:eastAsia="en-GB"/>
        </w:rPr>
        <w:t>: Just as Option 1, this option is expected to</w:t>
      </w:r>
      <w:r>
        <w:rPr>
          <w:rFonts w:ascii="Times New Roman" w:hAnsi="Times New Roman"/>
          <w:sz w:val="24"/>
          <w:szCs w:val="20"/>
          <w:lang w:eastAsia="en-GB"/>
        </w:rPr>
        <w:t xml:space="preserve"> contribute</w:t>
      </w:r>
      <w:r w:rsidRPr="00305C10">
        <w:rPr>
          <w:rFonts w:ascii="Times New Roman" w:hAnsi="Times New Roman"/>
          <w:sz w:val="24"/>
          <w:szCs w:val="20"/>
          <w:lang w:eastAsia="en-GB"/>
        </w:rPr>
        <w:t xml:space="preserve"> to more intense competition between different retransmission services and a greater choice of TV / radio channels from other </w:t>
      </w:r>
      <w:r>
        <w:rPr>
          <w:rFonts w:ascii="Times New Roman" w:hAnsi="Times New Roman"/>
          <w:sz w:val="24"/>
          <w:szCs w:val="20"/>
          <w:lang w:eastAsia="en-GB"/>
        </w:rPr>
        <w:t>MS and hence, potentially, to lower prices for consumers</w:t>
      </w:r>
      <w:r w:rsidRPr="00305C10">
        <w:rPr>
          <w:rFonts w:ascii="Times New Roman" w:hAnsi="Times New Roman"/>
          <w:sz w:val="24"/>
          <w:szCs w:val="20"/>
          <w:lang w:eastAsia="en-GB"/>
        </w:rPr>
        <w:t xml:space="preserve">. </w:t>
      </w:r>
      <w:r>
        <w:rPr>
          <w:rFonts w:ascii="Times New Roman" w:hAnsi="Times New Roman"/>
          <w:sz w:val="24"/>
          <w:szCs w:val="20"/>
          <w:lang w:eastAsia="en-GB"/>
        </w:rPr>
        <w:t xml:space="preserve">However, the risk of overlap between different windows of exploitation mentioned above may result in less premium content being available through free-to-air TV. </w:t>
      </w:r>
    </w:p>
    <w:p w:rsidR="00C27157" w:rsidRDefault="00C27157" w:rsidP="00D94E8B">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Social impacts</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Option 2 is expected to promote cultural diversity</w:t>
      </w:r>
      <w:r>
        <w:rPr>
          <w:rFonts w:ascii="Times New Roman" w:hAnsi="Times New Roman"/>
          <w:sz w:val="24"/>
          <w:szCs w:val="24"/>
        </w:rPr>
        <w:t>,</w:t>
      </w:r>
      <w:r w:rsidRPr="00305C10">
        <w:rPr>
          <w:rFonts w:ascii="Times New Roman" w:hAnsi="Times New Roman"/>
          <w:sz w:val="24"/>
          <w:szCs w:val="24"/>
        </w:rPr>
        <w:t xml:space="preserve"> </w:t>
      </w:r>
      <w:r w:rsidRPr="005C63A7">
        <w:rPr>
          <w:rFonts w:ascii="Times New Roman" w:hAnsi="Times New Roman"/>
          <w:sz w:val="24"/>
          <w:szCs w:val="24"/>
        </w:rPr>
        <w:t xml:space="preserve">media pluralism and to respond to social </w:t>
      </w:r>
      <w:r>
        <w:rPr>
          <w:rFonts w:ascii="Times New Roman" w:hAnsi="Times New Roman"/>
          <w:sz w:val="24"/>
          <w:szCs w:val="24"/>
        </w:rPr>
        <w:t>and cultural needs of EU citizens</w:t>
      </w:r>
      <w:r w:rsidRPr="005C63A7">
        <w:rPr>
          <w:rFonts w:ascii="Times New Roman" w:hAnsi="Times New Roman"/>
          <w:sz w:val="24"/>
          <w:szCs w:val="24"/>
        </w:rPr>
        <w:t xml:space="preserve"> </w:t>
      </w:r>
      <w:r w:rsidRPr="00305C10">
        <w:rPr>
          <w:rFonts w:ascii="Times New Roman" w:hAnsi="Times New Roman"/>
          <w:sz w:val="24"/>
          <w:szCs w:val="24"/>
        </w:rPr>
        <w:t>by putting in place a legal framework enabling access to a wider range of TV / radio channels.</w:t>
      </w:r>
      <w:r>
        <w:rPr>
          <w:rFonts w:ascii="Times New Roman" w:hAnsi="Times New Roman"/>
          <w:sz w:val="24"/>
          <w:szCs w:val="24"/>
        </w:rPr>
        <w:t xml:space="preserve"> The possible impact in terms of licensing of premium content to </w:t>
      </w:r>
      <w:r>
        <w:rPr>
          <w:rFonts w:ascii="Times New Roman" w:hAnsi="Times New Roman"/>
          <w:sz w:val="24"/>
          <w:szCs w:val="20"/>
          <w:lang w:eastAsia="en-GB"/>
        </w:rPr>
        <w:t>free-to-air</w:t>
      </w:r>
      <w:r>
        <w:rPr>
          <w:rFonts w:ascii="Times New Roman" w:hAnsi="Times New Roman"/>
          <w:sz w:val="24"/>
          <w:szCs w:val="24"/>
        </w:rPr>
        <w:t xml:space="preserve"> broadcasters may nevertheless negatively affect the access to cultural diversity and in turn have a negative effect regarding addressing social and cultural needs of EU citizens. </w:t>
      </w:r>
    </w:p>
    <w:p w:rsidR="00C27157" w:rsidRDefault="00C27157" w:rsidP="00D94E8B">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fundamental rights</w:t>
      </w:r>
    </w:p>
    <w:p w:rsidR="00C27157" w:rsidRPr="00305C10" w:rsidRDefault="00C27157" w:rsidP="00C27157">
      <w:pPr>
        <w:spacing w:after="120" w:line="240" w:lineRule="auto"/>
        <w:jc w:val="both"/>
        <w:rPr>
          <w:rFonts w:ascii="Times New Roman" w:hAnsi="Times New Roman"/>
          <w:sz w:val="24"/>
          <w:szCs w:val="24"/>
        </w:rPr>
      </w:pPr>
      <w:r w:rsidRPr="00305C10">
        <w:rPr>
          <w:rFonts w:ascii="Times New Roman" w:hAnsi="Times New Roman"/>
          <w:sz w:val="24"/>
          <w:szCs w:val="24"/>
        </w:rPr>
        <w:t xml:space="preserve">Since Option 2 would expand the scope of the mandatory </w:t>
      </w:r>
      <w:r w:rsidRPr="00705E14">
        <w:rPr>
          <w:rFonts w:ascii="Times New Roman" w:hAnsi="Times New Roman"/>
          <w:sz w:val="24"/>
          <w:szCs w:val="24"/>
        </w:rPr>
        <w:t xml:space="preserve">collective management and, therefore, limit the licensing choices of the </w:t>
      </w:r>
      <w:r w:rsidR="00BE5314">
        <w:rPr>
          <w:rFonts w:ascii="Times New Roman" w:hAnsi="Times New Roman"/>
          <w:sz w:val="24"/>
          <w:szCs w:val="24"/>
        </w:rPr>
        <w:t>r</w:t>
      </w:r>
      <w:r w:rsidR="00007677">
        <w:rPr>
          <w:rFonts w:ascii="Times New Roman" w:hAnsi="Times New Roman"/>
          <w:sz w:val="24"/>
          <w:szCs w:val="24"/>
        </w:rPr>
        <w:t>ightholders</w:t>
      </w:r>
      <w:r w:rsidRPr="00705E14">
        <w:rPr>
          <w:rFonts w:ascii="Times New Roman" w:hAnsi="Times New Roman"/>
          <w:sz w:val="24"/>
          <w:szCs w:val="24"/>
        </w:rPr>
        <w:t xml:space="preserve">, it would have a significant impact on copyright as a property right (Article 17 of the Charter) </w:t>
      </w:r>
      <w:r w:rsidRPr="00705E14">
        <w:rPr>
          <w:rFonts w:ascii="Times New Roman" w:hAnsi="Times New Roman" w:cs="Times New Roman"/>
          <w:sz w:val="24"/>
          <w:szCs w:val="24"/>
          <w:lang w:eastAsia="en-GB"/>
        </w:rPr>
        <w:t>and on the freedom to conduct a business (Article 16)</w:t>
      </w:r>
      <w:r w:rsidRPr="00705E14">
        <w:rPr>
          <w:rFonts w:ascii="Times New Roman" w:hAnsi="Times New Roman"/>
          <w:sz w:val="24"/>
          <w:szCs w:val="24"/>
        </w:rPr>
        <w:t xml:space="preserve">. However, Option 2 could have a positive impact on the freedom of information (Article 11 of the Charter) depending on the willingness of </w:t>
      </w:r>
      <w:r w:rsidR="00BE5314">
        <w:rPr>
          <w:rFonts w:ascii="Times New Roman" w:hAnsi="Times New Roman"/>
          <w:sz w:val="24"/>
          <w:szCs w:val="24"/>
        </w:rPr>
        <w:t>r</w:t>
      </w:r>
      <w:r w:rsidR="00007677">
        <w:rPr>
          <w:rFonts w:ascii="Times New Roman" w:hAnsi="Times New Roman"/>
          <w:sz w:val="24"/>
          <w:szCs w:val="24"/>
        </w:rPr>
        <w:t>ightholders</w:t>
      </w:r>
      <w:r w:rsidRPr="00705E14">
        <w:rPr>
          <w:rFonts w:ascii="Times New Roman" w:hAnsi="Times New Roman"/>
          <w:sz w:val="24"/>
          <w:szCs w:val="24"/>
        </w:rPr>
        <w:t xml:space="preserve"> to license their content for the free window. </w:t>
      </w:r>
    </w:p>
    <w:p w:rsidR="00C27157" w:rsidRPr="00305C10" w:rsidRDefault="00C27157" w:rsidP="00C51C6C">
      <w:pPr>
        <w:pStyle w:val="Heading5"/>
        <w:tabs>
          <w:tab w:val="left" w:pos="851"/>
        </w:tabs>
        <w:rPr>
          <w:rFonts w:eastAsia="Arial Unicode MS"/>
          <w:i/>
        </w:rPr>
      </w:pPr>
      <w:r w:rsidRPr="00C51C6C">
        <w:t>3.2.3.4.</w:t>
      </w:r>
      <w:r w:rsidRPr="00C51C6C">
        <w:tab/>
        <w:t>How do the options compare?</w:t>
      </w:r>
    </w:p>
    <w:p w:rsidR="00C27157" w:rsidRPr="00D94E8B" w:rsidRDefault="00C27157" w:rsidP="00C27157">
      <w:pPr>
        <w:spacing w:after="0"/>
        <w:rPr>
          <w:rFonts w:ascii="Times New Roman" w:hAnsi="Times New Roman" w:cs="Times New Roman"/>
          <w:sz w:val="16"/>
          <w:szCs w:val="16"/>
        </w:rPr>
      </w:pPr>
    </w:p>
    <w:tbl>
      <w:tblPr>
        <w:tblStyle w:val="TableGrid10"/>
        <w:tblW w:w="9288" w:type="dxa"/>
        <w:tblInd w:w="0" w:type="dxa"/>
        <w:tblLayout w:type="fixed"/>
        <w:tblLook w:val="04A0" w:firstRow="1" w:lastRow="0" w:firstColumn="1" w:lastColumn="0" w:noHBand="0" w:noVBand="1"/>
      </w:tblPr>
      <w:tblGrid>
        <w:gridCol w:w="1668"/>
        <w:gridCol w:w="1701"/>
        <w:gridCol w:w="1701"/>
        <w:gridCol w:w="2268"/>
        <w:gridCol w:w="1950"/>
      </w:tblGrid>
      <w:tr w:rsidR="00C27157" w:rsidRPr="00305C10" w:rsidTr="00E70581">
        <w:tc>
          <w:tcPr>
            <w:tcW w:w="1668" w:type="dxa"/>
          </w:tcPr>
          <w:p w:rsidR="00C27157" w:rsidRPr="00305C10" w:rsidRDefault="00C27157" w:rsidP="00E70581">
            <w:pPr>
              <w:rPr>
                <w:b/>
                <w:szCs w:val="24"/>
              </w:rPr>
            </w:pPr>
            <w:r w:rsidRPr="00305C10">
              <w:rPr>
                <w:b/>
                <w:szCs w:val="24"/>
              </w:rPr>
              <w:t>Option</w:t>
            </w:r>
          </w:p>
        </w:tc>
        <w:tc>
          <w:tcPr>
            <w:tcW w:w="1701" w:type="dxa"/>
          </w:tcPr>
          <w:p w:rsidR="00C27157" w:rsidRPr="00305C10" w:rsidRDefault="00C27157" w:rsidP="00E70581">
            <w:pPr>
              <w:rPr>
                <w:b/>
                <w:szCs w:val="24"/>
              </w:rPr>
            </w:pPr>
            <w:r w:rsidRPr="00305C10">
              <w:rPr>
                <w:b/>
                <w:szCs w:val="24"/>
              </w:rPr>
              <w:t>Effectiveness</w:t>
            </w:r>
          </w:p>
        </w:tc>
        <w:tc>
          <w:tcPr>
            <w:tcW w:w="1701" w:type="dxa"/>
          </w:tcPr>
          <w:p w:rsidR="00C27157" w:rsidRPr="00305C10" w:rsidRDefault="00C27157" w:rsidP="00E70581">
            <w:pPr>
              <w:rPr>
                <w:b/>
                <w:szCs w:val="24"/>
              </w:rPr>
            </w:pPr>
            <w:r w:rsidRPr="00305C10">
              <w:rPr>
                <w:b/>
                <w:szCs w:val="24"/>
              </w:rPr>
              <w:t>Efficiency</w:t>
            </w:r>
          </w:p>
        </w:tc>
        <w:tc>
          <w:tcPr>
            <w:tcW w:w="2268" w:type="dxa"/>
          </w:tcPr>
          <w:p w:rsidR="00C27157" w:rsidRPr="00305C10" w:rsidRDefault="00C27157" w:rsidP="00E70581">
            <w:pPr>
              <w:rPr>
                <w:b/>
                <w:szCs w:val="24"/>
              </w:rPr>
            </w:pPr>
            <w:r w:rsidRPr="00305C10">
              <w:rPr>
                <w:b/>
                <w:szCs w:val="24"/>
              </w:rPr>
              <w:t>Impact on stakeholders</w:t>
            </w:r>
          </w:p>
        </w:tc>
        <w:tc>
          <w:tcPr>
            <w:tcW w:w="1950" w:type="dxa"/>
          </w:tcPr>
          <w:p w:rsidR="00C27157" w:rsidRPr="00305C10" w:rsidRDefault="00C27157" w:rsidP="00E70581">
            <w:pPr>
              <w:rPr>
                <w:b/>
                <w:szCs w:val="24"/>
              </w:rPr>
            </w:pPr>
            <w:r>
              <w:rPr>
                <w:b/>
                <w:szCs w:val="24"/>
              </w:rPr>
              <w:t>Social impacts and fundamental rights</w:t>
            </w:r>
          </w:p>
        </w:tc>
      </w:tr>
      <w:tr w:rsidR="00C27157" w:rsidRPr="00305C10" w:rsidTr="00E70581">
        <w:tc>
          <w:tcPr>
            <w:tcW w:w="1668" w:type="dxa"/>
          </w:tcPr>
          <w:p w:rsidR="00C27157" w:rsidRPr="00305C10" w:rsidRDefault="00C27157" w:rsidP="00E70581">
            <w:pPr>
              <w:rPr>
                <w:b/>
                <w:szCs w:val="24"/>
              </w:rPr>
            </w:pPr>
            <w:r w:rsidRPr="00305C10">
              <w:rPr>
                <w:b/>
                <w:szCs w:val="24"/>
              </w:rPr>
              <w:t>Baseline</w:t>
            </w:r>
          </w:p>
        </w:tc>
        <w:tc>
          <w:tcPr>
            <w:tcW w:w="1701" w:type="dxa"/>
          </w:tcPr>
          <w:p w:rsidR="00C27157" w:rsidRPr="00305C10" w:rsidRDefault="00C27157" w:rsidP="00E70581">
            <w:pPr>
              <w:rPr>
                <w:rFonts w:eastAsia="Arial"/>
                <w:color w:val="000000"/>
                <w:u w:color="000000"/>
              </w:rPr>
            </w:pPr>
            <w:r w:rsidRPr="00305C10">
              <w:rPr>
                <w:rFonts w:eastAsia="Arial"/>
                <w:color w:val="000000"/>
                <w:u w:color="000000"/>
              </w:rPr>
              <w:t>(0</w:t>
            </w:r>
            <w:r>
              <w:rPr>
                <w:rFonts w:eastAsia="Arial"/>
                <w:color w:val="000000"/>
                <w:u w:color="000000"/>
              </w:rPr>
              <w:t>/-</w:t>
            </w:r>
            <w:r w:rsidRPr="00305C10">
              <w:rPr>
                <w:rFonts w:eastAsia="Arial"/>
                <w:color w:val="000000"/>
                <w:u w:color="000000"/>
              </w:rPr>
              <w:t xml:space="preserve">) Sub-optimal availability of TV and radio broadcasts from other </w:t>
            </w:r>
            <w:r>
              <w:rPr>
                <w:rFonts w:eastAsia="Arial"/>
                <w:color w:val="000000"/>
                <w:u w:color="000000"/>
              </w:rPr>
              <w:t xml:space="preserve">MS </w:t>
            </w:r>
            <w:r w:rsidRPr="00305C10">
              <w:rPr>
                <w:rFonts w:eastAsia="Arial"/>
                <w:color w:val="000000"/>
                <w:u w:color="000000"/>
              </w:rPr>
              <w:t>on different retransmission services</w:t>
            </w:r>
          </w:p>
        </w:tc>
        <w:tc>
          <w:tcPr>
            <w:tcW w:w="1701" w:type="dxa"/>
          </w:tcPr>
          <w:p w:rsidR="00C27157" w:rsidRPr="00305C10" w:rsidRDefault="00C27157" w:rsidP="00E70581">
            <w:pPr>
              <w:rPr>
                <w:szCs w:val="24"/>
              </w:rPr>
            </w:pPr>
            <w:r w:rsidRPr="00305C10">
              <w:rPr>
                <w:rFonts w:eastAsia="Arial"/>
                <w:color w:val="000000"/>
                <w:u w:color="000000"/>
              </w:rPr>
              <w:t>(0) No direct costs</w:t>
            </w:r>
          </w:p>
        </w:tc>
        <w:tc>
          <w:tcPr>
            <w:tcW w:w="2268" w:type="dxa"/>
          </w:tcPr>
          <w:p w:rsidR="00C27157" w:rsidRPr="00305C10" w:rsidRDefault="00C27157" w:rsidP="00E70581">
            <w:pPr>
              <w:rPr>
                <w:rFonts w:eastAsia="Arial"/>
                <w:color w:val="000000"/>
                <w:szCs w:val="24"/>
                <w:u w:color="000000"/>
              </w:rPr>
            </w:pPr>
            <w:r w:rsidRPr="00305C10">
              <w:rPr>
                <w:rFonts w:eastAsia="Arial"/>
                <w:color w:val="000000"/>
                <w:u w:color="000000"/>
              </w:rPr>
              <w:t>(0) Impacts on stakeholders would depend on market developments</w:t>
            </w:r>
          </w:p>
        </w:tc>
        <w:tc>
          <w:tcPr>
            <w:tcW w:w="1950" w:type="dxa"/>
          </w:tcPr>
          <w:p w:rsidR="00C27157" w:rsidRPr="00305C10" w:rsidRDefault="00C27157" w:rsidP="00E70581">
            <w:pPr>
              <w:rPr>
                <w:rFonts w:eastAsia="Arial"/>
                <w:color w:val="000000"/>
                <w:u w:color="000000"/>
              </w:rPr>
            </w:pPr>
            <w:r w:rsidRPr="00305C10">
              <w:rPr>
                <w:rFonts w:eastAsia="Arial"/>
                <w:color w:val="000000"/>
                <w:u w:color="000000"/>
              </w:rPr>
              <w:t xml:space="preserve">(0) No direct impact on cultural diversity </w:t>
            </w:r>
          </w:p>
          <w:p w:rsidR="00C27157" w:rsidRPr="00305C10" w:rsidRDefault="00C27157" w:rsidP="00E70581">
            <w:pPr>
              <w:rPr>
                <w:rFonts w:eastAsia="Arial"/>
                <w:color w:val="000000"/>
                <w:u w:color="000000"/>
              </w:rPr>
            </w:pPr>
            <w:r w:rsidRPr="00305C10">
              <w:rPr>
                <w:rFonts w:eastAsia="Arial"/>
                <w:color w:val="000000"/>
                <w:u w:color="000000"/>
              </w:rPr>
              <w:t>(0) No direct impact on fundamental rights</w:t>
            </w:r>
          </w:p>
        </w:tc>
      </w:tr>
      <w:tr w:rsidR="00C27157" w:rsidRPr="00305C10" w:rsidTr="00E70581">
        <w:tc>
          <w:tcPr>
            <w:tcW w:w="1668" w:type="dxa"/>
          </w:tcPr>
          <w:p w:rsidR="00C27157" w:rsidRPr="00DB5A9E" w:rsidRDefault="00C27157" w:rsidP="00E70581">
            <w:pPr>
              <w:rPr>
                <w:b/>
                <w:szCs w:val="24"/>
              </w:rPr>
            </w:pPr>
            <w:r w:rsidRPr="00DB5A9E">
              <w:rPr>
                <w:b/>
                <w:szCs w:val="24"/>
              </w:rPr>
              <w:t xml:space="preserve">Option 1 – </w:t>
            </w:r>
            <w:r w:rsidRPr="00DB5A9E">
              <w:rPr>
                <w:b/>
                <w:bCs/>
                <w:color w:val="000000"/>
                <w:bdr w:val="nil"/>
              </w:rPr>
              <w:t>Mandatory collective management of rights to retransmission of TV / radio broadcasts by means of IPTV and other retransmission services provided over "closed" electronic communications networks</w:t>
            </w:r>
          </w:p>
        </w:tc>
        <w:tc>
          <w:tcPr>
            <w:tcW w:w="1701" w:type="dxa"/>
          </w:tcPr>
          <w:p w:rsidR="00C27157" w:rsidRPr="00305C10" w:rsidRDefault="00C27157" w:rsidP="00E70581">
            <w:pPr>
              <w:rPr>
                <w:rFonts w:eastAsia="Arial"/>
                <w:color w:val="000000"/>
                <w:u w:color="000000"/>
              </w:rPr>
            </w:pPr>
            <w:r w:rsidRPr="00305C10">
              <w:rPr>
                <w:rFonts w:eastAsia="Arial"/>
                <w:color w:val="000000"/>
                <w:u w:color="000000"/>
              </w:rPr>
              <w:t xml:space="preserve">(+) Would enhance the availability of different retransmission services and TV / radio broadcasts from other </w:t>
            </w:r>
            <w:r>
              <w:rPr>
                <w:rFonts w:eastAsia="Arial"/>
                <w:color w:val="000000"/>
                <w:u w:color="000000"/>
              </w:rPr>
              <w:t>MS</w:t>
            </w:r>
          </w:p>
        </w:tc>
        <w:tc>
          <w:tcPr>
            <w:tcW w:w="1701" w:type="dxa"/>
          </w:tcPr>
          <w:p w:rsidR="00C27157" w:rsidRPr="00305C10" w:rsidRDefault="00C27157" w:rsidP="00E70581">
            <w:pPr>
              <w:rPr>
                <w:rFonts w:eastAsia="Arial"/>
                <w:color w:val="000000"/>
                <w:u w:color="000000"/>
              </w:rPr>
            </w:pPr>
            <w:r w:rsidRPr="00305C10">
              <w:rPr>
                <w:rFonts w:eastAsia="Arial"/>
                <w:color w:val="000000"/>
                <w:u w:color="000000"/>
              </w:rPr>
              <w:t xml:space="preserve">(0/-) Possible one-off costs linked to concluding licensing agreements between retransmission service providers and </w:t>
            </w:r>
            <w:r>
              <w:rPr>
                <w:rFonts w:eastAsia="Arial"/>
                <w:color w:val="000000"/>
                <w:u w:color="000000"/>
              </w:rPr>
              <w:t>CMOs</w:t>
            </w:r>
            <w:r w:rsidRPr="00305C10">
              <w:rPr>
                <w:rFonts w:eastAsia="Arial"/>
                <w:color w:val="000000"/>
                <w:u w:color="000000"/>
              </w:rPr>
              <w:t>, but expected to be limited</w:t>
            </w:r>
          </w:p>
        </w:tc>
        <w:tc>
          <w:tcPr>
            <w:tcW w:w="2268" w:type="dxa"/>
          </w:tcPr>
          <w:p w:rsidR="00C27157" w:rsidRPr="00305C10" w:rsidRDefault="00C27157" w:rsidP="00E70581">
            <w:pPr>
              <w:rPr>
                <w:rFonts w:eastAsia="Arial"/>
                <w:color w:val="000000"/>
                <w:u w:color="000000"/>
              </w:rPr>
            </w:pPr>
            <w:r w:rsidRPr="00305C10">
              <w:rPr>
                <w:rFonts w:eastAsia="Arial"/>
                <w:color w:val="000000"/>
                <w:u w:color="000000"/>
              </w:rPr>
              <w:t>(+) Reduced transaction costs for retransmission service providers</w:t>
            </w:r>
          </w:p>
          <w:p w:rsidR="00C27157" w:rsidRPr="00305C10" w:rsidRDefault="00C27157" w:rsidP="00E70581">
            <w:pPr>
              <w:rPr>
                <w:rFonts w:eastAsia="Arial"/>
                <w:color w:val="000000"/>
                <w:u w:color="000000"/>
              </w:rPr>
            </w:pPr>
            <w:r w:rsidRPr="00305C10">
              <w:rPr>
                <w:rFonts w:eastAsia="Arial"/>
                <w:color w:val="000000"/>
                <w:u w:color="000000"/>
              </w:rPr>
              <w:t>(</w:t>
            </w:r>
            <w:r>
              <w:rPr>
                <w:rFonts w:eastAsia="Arial"/>
                <w:color w:val="000000"/>
                <w:u w:color="000000"/>
              </w:rPr>
              <w:t>0/</w:t>
            </w:r>
            <w:r w:rsidRPr="00305C10">
              <w:rPr>
                <w:rFonts w:eastAsia="Arial"/>
                <w:color w:val="000000"/>
                <w:u w:color="000000"/>
              </w:rPr>
              <w:t xml:space="preserve">+) More licensing revenue for </w:t>
            </w:r>
            <w:r>
              <w:rPr>
                <w:rFonts w:eastAsia="Arial"/>
                <w:color w:val="000000"/>
                <w:u w:color="000000"/>
              </w:rPr>
              <w:t xml:space="preserve">those </w:t>
            </w:r>
            <w:r w:rsidRPr="00305C10">
              <w:rPr>
                <w:rFonts w:eastAsia="Arial"/>
                <w:color w:val="000000"/>
                <w:u w:color="000000"/>
              </w:rPr>
              <w:t xml:space="preserve">individual </w:t>
            </w:r>
            <w:r w:rsidR="00BE5314">
              <w:rPr>
                <w:rFonts w:eastAsia="Arial"/>
                <w:color w:val="000000"/>
                <w:u w:color="000000"/>
              </w:rPr>
              <w:t>r</w:t>
            </w:r>
            <w:r w:rsidR="00007677">
              <w:rPr>
                <w:rFonts w:eastAsia="Arial"/>
                <w:color w:val="000000"/>
                <w:u w:color="000000"/>
              </w:rPr>
              <w:t>ightholders</w:t>
            </w:r>
            <w:r>
              <w:rPr>
                <w:rFonts w:eastAsia="Arial"/>
                <w:color w:val="000000"/>
                <w:u w:color="000000"/>
              </w:rPr>
              <w:t xml:space="preserve"> that do not have the possibility to license rights individually</w:t>
            </w:r>
            <w:r w:rsidRPr="00305C10">
              <w:rPr>
                <w:rFonts w:eastAsia="Arial"/>
                <w:color w:val="000000"/>
                <w:u w:color="000000"/>
              </w:rPr>
              <w:t xml:space="preserve"> (especially small) and CMOs</w:t>
            </w:r>
          </w:p>
          <w:p w:rsidR="00C27157" w:rsidRPr="00305C10" w:rsidRDefault="00C27157" w:rsidP="00E70581">
            <w:pPr>
              <w:rPr>
                <w:rFonts w:eastAsia="Arial"/>
                <w:color w:val="000000"/>
                <w:u w:color="000000"/>
              </w:rPr>
            </w:pPr>
            <w:r w:rsidRPr="00305C10">
              <w:rPr>
                <w:rFonts w:eastAsia="Arial"/>
                <w:color w:val="000000"/>
                <w:u w:color="000000"/>
              </w:rPr>
              <w:t xml:space="preserve">(+) Better choice of different retransmission services and TV / radio broadcasts from other </w:t>
            </w:r>
            <w:r>
              <w:rPr>
                <w:rFonts w:eastAsia="Arial"/>
                <w:color w:val="000000"/>
                <w:u w:color="000000"/>
              </w:rPr>
              <w:t>MS</w:t>
            </w:r>
            <w:r w:rsidRPr="00305C10">
              <w:rPr>
                <w:rFonts w:eastAsia="Arial"/>
                <w:color w:val="000000"/>
                <w:u w:color="000000"/>
              </w:rPr>
              <w:t xml:space="preserve"> for consumers</w:t>
            </w:r>
            <w:r>
              <w:rPr>
                <w:rFonts w:eastAsia="Arial"/>
                <w:color w:val="000000"/>
                <w:u w:color="000000"/>
              </w:rPr>
              <w:t xml:space="preserve"> </w:t>
            </w:r>
          </w:p>
        </w:tc>
        <w:tc>
          <w:tcPr>
            <w:tcW w:w="1950" w:type="dxa"/>
          </w:tcPr>
          <w:p w:rsidR="00C27157" w:rsidRPr="00305C10" w:rsidRDefault="00C27157" w:rsidP="00E70581">
            <w:pPr>
              <w:rPr>
                <w:rFonts w:eastAsia="Arial"/>
                <w:color w:val="000000"/>
                <w:u w:color="000000"/>
              </w:rPr>
            </w:pPr>
            <w:r w:rsidRPr="00305C10">
              <w:rPr>
                <w:rFonts w:eastAsia="Arial"/>
                <w:color w:val="000000"/>
                <w:u w:color="000000"/>
              </w:rPr>
              <w:t>(+) Positive impact on cultural diversity</w:t>
            </w:r>
          </w:p>
          <w:p w:rsidR="00C27157" w:rsidRPr="00305C10" w:rsidRDefault="00C27157" w:rsidP="00E70581">
            <w:pPr>
              <w:rPr>
                <w:rFonts w:eastAsia="Arial"/>
                <w:color w:val="000000"/>
                <w:u w:color="000000"/>
              </w:rPr>
            </w:pPr>
            <w:r w:rsidRPr="00305C10">
              <w:rPr>
                <w:rFonts w:eastAsia="Arial"/>
                <w:color w:val="000000"/>
                <w:u w:color="000000"/>
              </w:rPr>
              <w:t>(0/-) Limited negative impact on the property</w:t>
            </w:r>
            <w:r>
              <w:rPr>
                <w:rFonts w:eastAsia="Arial"/>
                <w:color w:val="000000"/>
                <w:u w:color="000000"/>
              </w:rPr>
              <w:t xml:space="preserve"> right</w:t>
            </w:r>
          </w:p>
          <w:p w:rsidR="00C27157" w:rsidRPr="00305C10" w:rsidRDefault="00C27157" w:rsidP="00E70581">
            <w:pPr>
              <w:rPr>
                <w:rFonts w:eastAsia="Arial"/>
                <w:color w:val="000000"/>
                <w:u w:color="000000"/>
              </w:rPr>
            </w:pPr>
            <w:r w:rsidRPr="00305C10">
              <w:rPr>
                <w:rFonts w:eastAsia="Arial"/>
                <w:color w:val="000000"/>
                <w:u w:color="000000"/>
              </w:rPr>
              <w:t xml:space="preserve">(+) Positive impact on the </w:t>
            </w:r>
            <w:r>
              <w:rPr>
                <w:rFonts w:eastAsia="Arial"/>
                <w:color w:val="000000"/>
                <w:u w:color="000000"/>
              </w:rPr>
              <w:t>freedom of</w:t>
            </w:r>
            <w:r w:rsidRPr="00305C10">
              <w:rPr>
                <w:rFonts w:eastAsia="Arial"/>
                <w:color w:val="000000"/>
                <w:u w:color="000000"/>
              </w:rPr>
              <w:t xml:space="preserve"> information</w:t>
            </w:r>
          </w:p>
        </w:tc>
      </w:tr>
      <w:tr w:rsidR="00C27157" w:rsidRPr="00305C10" w:rsidTr="00E70581">
        <w:tc>
          <w:tcPr>
            <w:tcW w:w="1668" w:type="dxa"/>
          </w:tcPr>
          <w:p w:rsidR="00C27157" w:rsidRPr="00DB5A9E" w:rsidRDefault="00C27157" w:rsidP="00E70581">
            <w:pPr>
              <w:rPr>
                <w:b/>
                <w:szCs w:val="24"/>
              </w:rPr>
            </w:pPr>
            <w:r w:rsidRPr="00DB5A9E">
              <w:rPr>
                <w:b/>
                <w:szCs w:val="24"/>
              </w:rPr>
              <w:t xml:space="preserve">Option 2 – </w:t>
            </w:r>
            <w:r w:rsidRPr="00DB5A9E">
              <w:rPr>
                <w:b/>
                <w:bCs/>
                <w:color w:val="000000"/>
                <w:bdr w:val="nil"/>
              </w:rPr>
              <w:t xml:space="preserve">Mandatory collective management of rights to retransmission of TV / radio broadcasts </w:t>
            </w:r>
            <w:r w:rsidRPr="00DB5A9E">
              <w:rPr>
                <w:b/>
              </w:rPr>
              <w:t>by means of any retransmission services, irrespective of the retransmission technology or network used, as long as they are provided to a defined number of users (subscribers, registered users</w:t>
            </w:r>
          </w:p>
        </w:tc>
        <w:tc>
          <w:tcPr>
            <w:tcW w:w="1701" w:type="dxa"/>
          </w:tcPr>
          <w:p w:rsidR="00C27157" w:rsidRPr="00305C10" w:rsidRDefault="00C27157" w:rsidP="00E70581">
            <w:pPr>
              <w:rPr>
                <w:rFonts w:eastAsia="Arial"/>
                <w:color w:val="000000"/>
                <w:u w:color="000000"/>
              </w:rPr>
            </w:pPr>
            <w:r w:rsidRPr="00305C10">
              <w:rPr>
                <w:rFonts w:eastAsia="Arial"/>
                <w:color w:val="000000"/>
                <w:u w:color="000000"/>
              </w:rPr>
              <w:t xml:space="preserve">(+) Would enhance the availability of different retransmission services and TV / radio broadcasts from other </w:t>
            </w:r>
            <w:r>
              <w:rPr>
                <w:rFonts w:eastAsia="Arial"/>
                <w:color w:val="000000"/>
                <w:u w:color="000000"/>
              </w:rPr>
              <w:t>MS</w:t>
            </w:r>
          </w:p>
        </w:tc>
        <w:tc>
          <w:tcPr>
            <w:tcW w:w="1701" w:type="dxa"/>
          </w:tcPr>
          <w:p w:rsidR="00C27157" w:rsidRPr="00305C10" w:rsidRDefault="00C27157" w:rsidP="00E70581">
            <w:pPr>
              <w:rPr>
                <w:rFonts w:eastAsia="Arial"/>
                <w:color w:val="000000"/>
                <w:u w:color="000000"/>
              </w:rPr>
            </w:pPr>
            <w:r w:rsidRPr="00305C10">
              <w:rPr>
                <w:rFonts w:eastAsia="Arial"/>
                <w:color w:val="000000"/>
                <w:u w:color="000000"/>
              </w:rPr>
              <w:t xml:space="preserve">(0/-) Possible one-off costs linked to concluding licensing agreements between retransmission service providers and </w:t>
            </w:r>
            <w:r>
              <w:rPr>
                <w:rFonts w:eastAsia="Arial"/>
                <w:color w:val="000000"/>
                <w:u w:color="000000"/>
              </w:rPr>
              <w:t>CMOs</w:t>
            </w:r>
            <w:r w:rsidRPr="00305C10">
              <w:rPr>
                <w:rFonts w:eastAsia="Arial"/>
                <w:color w:val="000000"/>
                <w:u w:color="000000"/>
              </w:rPr>
              <w:t xml:space="preserve">, but expected to be limited </w:t>
            </w:r>
          </w:p>
        </w:tc>
        <w:tc>
          <w:tcPr>
            <w:tcW w:w="2268" w:type="dxa"/>
          </w:tcPr>
          <w:p w:rsidR="00C27157" w:rsidRPr="00305C10" w:rsidRDefault="00C27157" w:rsidP="00E70581">
            <w:pPr>
              <w:rPr>
                <w:rFonts w:eastAsia="Arial"/>
                <w:color w:val="000000"/>
                <w:u w:color="000000"/>
              </w:rPr>
            </w:pPr>
            <w:r w:rsidRPr="00305C10">
              <w:rPr>
                <w:rFonts w:eastAsia="Arial"/>
                <w:color w:val="000000"/>
                <w:u w:color="000000"/>
              </w:rPr>
              <w:t>(+) Reduced transaction costs for retransmission service providers</w:t>
            </w:r>
            <w:r>
              <w:rPr>
                <w:rFonts w:eastAsia="Arial"/>
                <w:color w:val="000000"/>
                <w:u w:color="000000"/>
              </w:rPr>
              <w:t>, including certain types of OTT</w:t>
            </w:r>
          </w:p>
          <w:p w:rsidR="00C27157" w:rsidRPr="00305C10" w:rsidRDefault="00C27157" w:rsidP="00E70581">
            <w:pPr>
              <w:rPr>
                <w:rFonts w:eastAsia="Arial"/>
                <w:color w:val="000000"/>
                <w:u w:color="000000"/>
              </w:rPr>
            </w:pPr>
            <w:r w:rsidRPr="00305C10">
              <w:rPr>
                <w:rFonts w:eastAsia="Arial"/>
                <w:color w:val="000000"/>
                <w:u w:color="000000"/>
              </w:rPr>
              <w:t xml:space="preserve">(-) Risk of undermining </w:t>
            </w:r>
            <w:r w:rsidR="00BE5314">
              <w:rPr>
                <w:rFonts w:eastAsia="Arial"/>
                <w:color w:val="000000"/>
                <w:u w:color="000000"/>
              </w:rPr>
              <w:t>r</w:t>
            </w:r>
            <w:r w:rsidR="00007677">
              <w:rPr>
                <w:rFonts w:eastAsia="Arial"/>
                <w:color w:val="000000"/>
                <w:u w:color="000000"/>
              </w:rPr>
              <w:t>ightholders</w:t>
            </w:r>
            <w:r w:rsidRPr="00305C10">
              <w:rPr>
                <w:rFonts w:eastAsia="Arial"/>
                <w:color w:val="000000"/>
                <w:u w:color="000000"/>
              </w:rPr>
              <w:t xml:space="preserve">' exclusive </w:t>
            </w:r>
            <w:r>
              <w:rPr>
                <w:rFonts w:eastAsia="Arial"/>
                <w:color w:val="000000"/>
                <w:u w:color="000000"/>
              </w:rPr>
              <w:t xml:space="preserve">online rights </w:t>
            </w:r>
            <w:r w:rsidRPr="00305C10">
              <w:rPr>
                <w:rFonts w:eastAsia="Arial"/>
                <w:color w:val="000000"/>
                <w:u w:color="000000"/>
              </w:rPr>
              <w:t>and distribution strategies</w:t>
            </w:r>
            <w:r>
              <w:rPr>
                <w:rFonts w:eastAsia="Arial"/>
                <w:color w:val="000000"/>
                <w:u w:color="000000"/>
              </w:rPr>
              <w:t>, leading to a reduction of licensing revenue</w:t>
            </w:r>
          </w:p>
          <w:p w:rsidR="00C27157" w:rsidRPr="00305C10" w:rsidRDefault="00C27157" w:rsidP="00E70581">
            <w:pPr>
              <w:rPr>
                <w:rFonts w:eastAsia="Arial"/>
                <w:color w:val="000000"/>
                <w:u w:color="000000"/>
              </w:rPr>
            </w:pPr>
            <w:r w:rsidRPr="00305C10">
              <w:rPr>
                <w:rFonts w:eastAsia="Arial"/>
                <w:color w:val="000000"/>
                <w:u w:color="000000"/>
              </w:rPr>
              <w:t>(</w:t>
            </w:r>
            <w:r>
              <w:rPr>
                <w:rFonts w:eastAsia="Arial"/>
                <w:color w:val="000000"/>
                <w:u w:color="000000"/>
              </w:rPr>
              <w:t>+/-</w:t>
            </w:r>
            <w:r w:rsidRPr="00305C10">
              <w:rPr>
                <w:rFonts w:eastAsia="Arial"/>
                <w:color w:val="000000"/>
                <w:u w:color="000000"/>
              </w:rPr>
              <w:t xml:space="preserve">) Better choice of different retransmission services and TV / radio broadcasts from other </w:t>
            </w:r>
            <w:r>
              <w:rPr>
                <w:rFonts w:eastAsia="Arial"/>
                <w:color w:val="000000"/>
                <w:u w:color="000000"/>
              </w:rPr>
              <w:t>MS</w:t>
            </w:r>
            <w:r w:rsidRPr="00305C10">
              <w:rPr>
                <w:rFonts w:eastAsia="Arial"/>
                <w:color w:val="000000"/>
                <w:u w:color="000000"/>
              </w:rPr>
              <w:t xml:space="preserve"> for consumers</w:t>
            </w:r>
            <w:r>
              <w:rPr>
                <w:rFonts w:eastAsia="Arial"/>
                <w:color w:val="000000"/>
                <w:u w:color="000000"/>
              </w:rPr>
              <w:t xml:space="preserve">, but risk of limited availability of premium content through </w:t>
            </w:r>
            <w:r w:rsidRPr="00305D89">
              <w:rPr>
                <w:rFonts w:eastAsia="Arial"/>
                <w:color w:val="000000"/>
                <w:u w:color="000000"/>
              </w:rPr>
              <w:t xml:space="preserve"> free-to-air</w:t>
            </w:r>
            <w:r>
              <w:rPr>
                <w:rFonts w:eastAsia="Arial"/>
                <w:color w:val="000000"/>
                <w:u w:color="000000"/>
              </w:rPr>
              <w:t xml:space="preserve"> TV</w:t>
            </w:r>
          </w:p>
        </w:tc>
        <w:tc>
          <w:tcPr>
            <w:tcW w:w="1950" w:type="dxa"/>
          </w:tcPr>
          <w:p w:rsidR="00C27157" w:rsidRPr="00305C10" w:rsidRDefault="00C27157" w:rsidP="00E70581">
            <w:pPr>
              <w:rPr>
                <w:rFonts w:eastAsia="Arial"/>
                <w:color w:val="000000"/>
                <w:u w:color="000000"/>
              </w:rPr>
            </w:pPr>
            <w:r w:rsidRPr="00305C10">
              <w:rPr>
                <w:rFonts w:eastAsia="Arial"/>
                <w:color w:val="000000"/>
                <w:u w:color="000000"/>
              </w:rPr>
              <w:t>(</w:t>
            </w:r>
            <w:r>
              <w:rPr>
                <w:rFonts w:eastAsia="Arial"/>
                <w:color w:val="000000"/>
                <w:u w:color="000000"/>
              </w:rPr>
              <w:t>+/-</w:t>
            </w:r>
            <w:r w:rsidRPr="00305C10">
              <w:rPr>
                <w:rFonts w:eastAsia="Arial"/>
                <w:color w:val="000000"/>
                <w:u w:color="000000"/>
              </w:rPr>
              <w:t xml:space="preserve">) Positive impact </w:t>
            </w:r>
            <w:r>
              <w:rPr>
                <w:rFonts w:eastAsia="Arial"/>
                <w:color w:val="000000"/>
                <w:u w:color="000000"/>
              </w:rPr>
              <w:t>in terms of access to a variety of channels may be undermined by the reduced availability of premium content on free-to-air TV</w:t>
            </w:r>
          </w:p>
          <w:p w:rsidR="00C27157" w:rsidRPr="00305C10" w:rsidRDefault="00C27157" w:rsidP="00E70581">
            <w:pPr>
              <w:rPr>
                <w:rFonts w:eastAsia="Arial"/>
                <w:color w:val="000000"/>
                <w:u w:color="000000"/>
              </w:rPr>
            </w:pPr>
            <w:r w:rsidRPr="00305C10">
              <w:rPr>
                <w:rFonts w:eastAsia="Arial"/>
                <w:color w:val="000000"/>
                <w:u w:color="000000"/>
              </w:rPr>
              <w:t xml:space="preserve">(-) </w:t>
            </w:r>
            <w:r>
              <w:rPr>
                <w:rFonts w:eastAsia="Arial"/>
                <w:color w:val="000000"/>
                <w:u w:color="000000"/>
              </w:rPr>
              <w:t>N</w:t>
            </w:r>
            <w:r w:rsidRPr="00305C10">
              <w:rPr>
                <w:rFonts w:eastAsia="Arial"/>
                <w:color w:val="000000"/>
                <w:u w:color="000000"/>
              </w:rPr>
              <w:t>egative impact on the property</w:t>
            </w:r>
            <w:r>
              <w:rPr>
                <w:rFonts w:eastAsia="Arial"/>
                <w:color w:val="000000"/>
                <w:u w:color="000000"/>
              </w:rPr>
              <w:t xml:space="preserve"> right</w:t>
            </w:r>
          </w:p>
          <w:p w:rsidR="00C27157" w:rsidRPr="00305C10" w:rsidRDefault="00C27157" w:rsidP="00E70581">
            <w:pPr>
              <w:rPr>
                <w:rFonts w:eastAsia="Arial"/>
                <w:color w:val="000000"/>
                <w:u w:color="000000"/>
              </w:rPr>
            </w:pPr>
            <w:r w:rsidRPr="00705E14">
              <w:rPr>
                <w:rFonts w:eastAsia="Arial"/>
                <w:color w:val="000000"/>
                <w:u w:color="000000"/>
              </w:rPr>
              <w:t>(0/+)Moderately positive impact on the freedom of information</w:t>
            </w:r>
          </w:p>
        </w:tc>
      </w:tr>
    </w:tbl>
    <w:p w:rsidR="006842EE" w:rsidRPr="00305C10" w:rsidRDefault="00C27157" w:rsidP="00D94E8B">
      <w:pPr>
        <w:spacing w:before="240" w:after="120" w:line="240" w:lineRule="auto"/>
        <w:jc w:val="both"/>
        <w:rPr>
          <w:rFonts w:ascii="Times New Roman" w:hAnsi="Times New Roman"/>
          <w:sz w:val="24"/>
          <w:szCs w:val="24"/>
        </w:rPr>
      </w:pPr>
      <w:r w:rsidRPr="00264289">
        <w:rPr>
          <w:rFonts w:ascii="Times New Roman" w:hAnsi="Times New Roman"/>
          <w:b/>
          <w:sz w:val="24"/>
          <w:szCs w:val="24"/>
        </w:rPr>
        <w:t>Option 1</w:t>
      </w:r>
      <w:r w:rsidRPr="0015168D">
        <w:rPr>
          <w:rFonts w:ascii="Times New Roman" w:hAnsi="Times New Roman"/>
          <w:b/>
          <w:sz w:val="24"/>
          <w:szCs w:val="24"/>
        </w:rPr>
        <w:t xml:space="preserve"> </w:t>
      </w:r>
      <w:r w:rsidRPr="00D1507D">
        <w:rPr>
          <w:rFonts w:ascii="Times New Roman" w:hAnsi="Times New Roman"/>
          <w:b/>
          <w:sz w:val="24"/>
        </w:rPr>
        <w:t xml:space="preserve">is the preferred option, as it would enhance the availability of different retransmission services and TV / radio broadcasts from other MS, while </w:t>
      </w:r>
      <w:r w:rsidR="006842EE" w:rsidRPr="00AD57F7">
        <w:rPr>
          <w:rFonts w:ascii="Times New Roman" w:hAnsi="Times New Roman"/>
          <w:b/>
          <w:sz w:val="24"/>
          <w:szCs w:val="24"/>
        </w:rPr>
        <w:t>limiting</w:t>
      </w:r>
      <w:r w:rsidR="006842EE" w:rsidRPr="00D1507D">
        <w:rPr>
          <w:rFonts w:ascii="Times New Roman" w:hAnsi="Times New Roman"/>
          <w:b/>
          <w:sz w:val="24"/>
        </w:rPr>
        <w:t xml:space="preserve"> the </w:t>
      </w:r>
      <w:r w:rsidR="006842EE" w:rsidRPr="00AD57F7">
        <w:rPr>
          <w:rFonts w:ascii="Times New Roman" w:hAnsi="Times New Roman"/>
          <w:b/>
          <w:sz w:val="24"/>
          <w:szCs w:val="24"/>
        </w:rPr>
        <w:t>impacts on</w:t>
      </w:r>
      <w:r w:rsidR="006842EE" w:rsidRPr="00D1507D">
        <w:rPr>
          <w:rFonts w:ascii="Times New Roman" w:hAnsi="Times New Roman"/>
          <w:b/>
          <w:sz w:val="24"/>
        </w:rPr>
        <w:t xml:space="preserve"> </w:t>
      </w:r>
      <w:r w:rsidR="00BE5314">
        <w:rPr>
          <w:rFonts w:ascii="Times New Roman" w:hAnsi="Times New Roman"/>
          <w:b/>
          <w:sz w:val="24"/>
        </w:rPr>
        <w:t>r</w:t>
      </w:r>
      <w:r w:rsidR="00007677">
        <w:rPr>
          <w:rFonts w:ascii="Times New Roman" w:hAnsi="Times New Roman"/>
          <w:b/>
          <w:sz w:val="24"/>
        </w:rPr>
        <w:t>ightholders</w:t>
      </w:r>
      <w:r w:rsidRPr="00D1507D">
        <w:rPr>
          <w:rFonts w:ascii="Times New Roman" w:hAnsi="Times New Roman"/>
          <w:b/>
          <w:sz w:val="24"/>
        </w:rPr>
        <w:t>.</w:t>
      </w:r>
      <w:r w:rsidRPr="00305C10">
        <w:rPr>
          <w:rFonts w:ascii="Times New Roman" w:hAnsi="Times New Roman"/>
          <w:sz w:val="24"/>
          <w:szCs w:val="24"/>
        </w:rPr>
        <w:t xml:space="preserve"> </w:t>
      </w:r>
      <w:r w:rsidR="006842EE">
        <w:rPr>
          <w:rFonts w:ascii="Times New Roman" w:hAnsi="Times New Roman"/>
          <w:sz w:val="24"/>
          <w:szCs w:val="24"/>
        </w:rPr>
        <w:t>By contrast, t</w:t>
      </w:r>
      <w:r>
        <w:rPr>
          <w:rFonts w:ascii="Times New Roman" w:hAnsi="Times New Roman"/>
          <w:sz w:val="24"/>
          <w:szCs w:val="24"/>
        </w:rPr>
        <w:t>he b</w:t>
      </w:r>
      <w:r w:rsidRPr="00305C10">
        <w:rPr>
          <w:rFonts w:ascii="Times New Roman" w:hAnsi="Times New Roman"/>
          <w:sz w:val="24"/>
          <w:szCs w:val="24"/>
        </w:rPr>
        <w:t>aseline option would not allow reaching the objectives identified in this IA</w:t>
      </w:r>
      <w:r w:rsidR="006842EE">
        <w:rPr>
          <w:rFonts w:ascii="Times New Roman" w:hAnsi="Times New Roman"/>
          <w:sz w:val="24"/>
          <w:szCs w:val="24"/>
        </w:rPr>
        <w:t xml:space="preserve"> and</w:t>
      </w:r>
      <w:r w:rsidRPr="00305C10">
        <w:rPr>
          <w:rFonts w:ascii="Times New Roman" w:hAnsi="Times New Roman"/>
          <w:sz w:val="24"/>
          <w:szCs w:val="24"/>
        </w:rPr>
        <w:t xml:space="preserve"> Option 2 entails risks for </w:t>
      </w:r>
      <w:r w:rsidR="000A4909">
        <w:rPr>
          <w:rFonts w:ascii="Times New Roman" w:hAnsi="Times New Roman"/>
          <w:sz w:val="24"/>
          <w:szCs w:val="24"/>
        </w:rPr>
        <w:t>r</w:t>
      </w:r>
      <w:r w:rsidR="00007677">
        <w:rPr>
          <w:rFonts w:ascii="Times New Roman" w:hAnsi="Times New Roman"/>
          <w:sz w:val="24"/>
          <w:szCs w:val="24"/>
        </w:rPr>
        <w:t>ightholders</w:t>
      </w:r>
      <w:r w:rsidRPr="00305C10">
        <w:rPr>
          <w:rFonts w:ascii="Times New Roman" w:hAnsi="Times New Roman"/>
          <w:sz w:val="24"/>
          <w:szCs w:val="24"/>
        </w:rPr>
        <w:t xml:space="preserve"> </w:t>
      </w:r>
      <w:r>
        <w:rPr>
          <w:rFonts w:ascii="Times New Roman" w:hAnsi="Times New Roman"/>
          <w:sz w:val="24"/>
          <w:szCs w:val="24"/>
        </w:rPr>
        <w:t>in terms of distribution strategies and licensing revenues, which may affect the availability of content for consumers</w:t>
      </w:r>
      <w:r w:rsidRPr="00305C10">
        <w:rPr>
          <w:rFonts w:ascii="Times New Roman" w:hAnsi="Times New Roman"/>
          <w:sz w:val="24"/>
          <w:szCs w:val="24"/>
        </w:rPr>
        <w:t>.</w:t>
      </w:r>
      <w:r w:rsidR="00F01C82">
        <w:rPr>
          <w:rFonts w:ascii="Times New Roman" w:hAnsi="Times New Roman"/>
          <w:sz w:val="24"/>
          <w:szCs w:val="24"/>
        </w:rPr>
        <w:t xml:space="preserve"> </w:t>
      </w:r>
    </w:p>
    <w:p w:rsidR="00F306F9" w:rsidRDefault="00F306F9" w:rsidP="00F306F9">
      <w:pPr>
        <w:spacing w:line="240" w:lineRule="auto"/>
        <w:jc w:val="both"/>
        <w:rPr>
          <w:rFonts w:ascii="Times New Roman" w:hAnsi="Times New Roman"/>
          <w:sz w:val="24"/>
          <w:szCs w:val="24"/>
        </w:rPr>
      </w:pPr>
      <w:r w:rsidRPr="00AD57F7">
        <w:rPr>
          <w:rFonts w:ascii="Times New Roman" w:hAnsi="Times New Roman"/>
          <w:sz w:val="24"/>
          <w:szCs w:val="24"/>
          <w:u w:val="single"/>
        </w:rPr>
        <w:t xml:space="preserve">Proportionality </w:t>
      </w:r>
      <w:r w:rsidR="00264289">
        <w:rPr>
          <w:rFonts w:ascii="Times New Roman" w:hAnsi="Times New Roman"/>
          <w:sz w:val="24"/>
          <w:szCs w:val="24"/>
          <w:u w:val="single"/>
        </w:rPr>
        <w:t xml:space="preserve">of the preferred option </w:t>
      </w:r>
      <w:r w:rsidR="00264289" w:rsidRPr="00264289">
        <w:rPr>
          <w:rFonts w:ascii="Times New Roman" w:hAnsi="Times New Roman"/>
          <w:sz w:val="24"/>
          <w:szCs w:val="24"/>
          <w:u w:val="single"/>
        </w:rPr>
        <w:t xml:space="preserve">and impacts </w:t>
      </w:r>
      <w:r w:rsidR="00264289">
        <w:rPr>
          <w:rFonts w:ascii="Times New Roman" w:hAnsi="Times New Roman"/>
          <w:sz w:val="24"/>
          <w:szCs w:val="24"/>
          <w:u w:val="single"/>
        </w:rPr>
        <w:t>i</w:t>
      </w:r>
      <w:r w:rsidRPr="00AD57F7">
        <w:rPr>
          <w:rFonts w:ascii="Times New Roman" w:hAnsi="Times New Roman"/>
          <w:sz w:val="24"/>
          <w:szCs w:val="24"/>
          <w:u w:val="single"/>
        </w:rPr>
        <w:t>n MS:</w:t>
      </w:r>
      <w:r>
        <w:rPr>
          <w:rFonts w:ascii="Times New Roman" w:hAnsi="Times New Roman"/>
          <w:sz w:val="24"/>
          <w:szCs w:val="24"/>
        </w:rPr>
        <w:t xml:space="preserve"> </w:t>
      </w:r>
      <w:r w:rsidR="00C27157" w:rsidRPr="00D1507D">
        <w:rPr>
          <w:rFonts w:ascii="Times New Roman" w:hAnsi="Times New Roman"/>
          <w:b/>
          <w:sz w:val="24"/>
        </w:rPr>
        <w:t>Option 1</w:t>
      </w:r>
      <w:r w:rsidR="00D41181" w:rsidRPr="00D1507D">
        <w:rPr>
          <w:rFonts w:ascii="Times New Roman" w:hAnsi="Times New Roman"/>
          <w:b/>
          <w:sz w:val="24"/>
        </w:rPr>
        <w:t xml:space="preserve"> is </w:t>
      </w:r>
      <w:r w:rsidR="00D41181" w:rsidRPr="00AD57F7">
        <w:rPr>
          <w:rFonts w:ascii="Times New Roman" w:hAnsi="Times New Roman"/>
          <w:b/>
          <w:sz w:val="24"/>
          <w:szCs w:val="24"/>
        </w:rPr>
        <w:t xml:space="preserve">a </w:t>
      </w:r>
      <w:r w:rsidR="00D41181" w:rsidRPr="00D1507D">
        <w:rPr>
          <w:rFonts w:ascii="Times New Roman" w:hAnsi="Times New Roman"/>
          <w:b/>
          <w:sz w:val="24"/>
        </w:rPr>
        <w:t xml:space="preserve">proportionate </w:t>
      </w:r>
      <w:r w:rsidR="00D41181" w:rsidRPr="00AD57F7">
        <w:rPr>
          <w:rFonts w:ascii="Times New Roman" w:hAnsi="Times New Roman"/>
          <w:b/>
          <w:sz w:val="24"/>
          <w:szCs w:val="24"/>
        </w:rPr>
        <w:t>intervention to the objective</w:t>
      </w:r>
      <w:r w:rsidR="00D41181" w:rsidRPr="00D1507D">
        <w:rPr>
          <w:rFonts w:ascii="Times New Roman" w:hAnsi="Times New Roman"/>
          <w:b/>
          <w:sz w:val="24"/>
        </w:rPr>
        <w:t xml:space="preserve"> of </w:t>
      </w:r>
      <w:r w:rsidR="00D41181" w:rsidRPr="00AD57F7">
        <w:rPr>
          <w:rFonts w:ascii="Times New Roman" w:hAnsi="Times New Roman"/>
          <w:b/>
          <w:sz w:val="24"/>
          <w:szCs w:val="24"/>
        </w:rPr>
        <w:t xml:space="preserve">enhancing access to </w:t>
      </w:r>
      <w:r w:rsidR="00D41181" w:rsidRPr="00D1507D">
        <w:rPr>
          <w:rFonts w:ascii="Times New Roman" w:hAnsi="Times New Roman"/>
          <w:b/>
          <w:sz w:val="24"/>
        </w:rPr>
        <w:t xml:space="preserve">retransmission services and </w:t>
      </w:r>
      <w:r w:rsidR="00D41181" w:rsidRPr="00AD57F7">
        <w:rPr>
          <w:rFonts w:ascii="Times New Roman" w:hAnsi="Times New Roman"/>
          <w:b/>
          <w:sz w:val="24"/>
          <w:szCs w:val="24"/>
        </w:rPr>
        <w:t xml:space="preserve">to </w:t>
      </w:r>
      <w:r w:rsidR="00D41181" w:rsidRPr="00D1507D">
        <w:rPr>
          <w:rFonts w:ascii="Times New Roman" w:hAnsi="Times New Roman"/>
          <w:b/>
          <w:sz w:val="24"/>
        </w:rPr>
        <w:t xml:space="preserve">TV </w:t>
      </w:r>
      <w:r w:rsidR="00D41181" w:rsidRPr="00AD57F7">
        <w:rPr>
          <w:rFonts w:ascii="Times New Roman" w:hAnsi="Times New Roman"/>
          <w:b/>
          <w:sz w:val="24"/>
          <w:szCs w:val="24"/>
        </w:rPr>
        <w:t>and</w:t>
      </w:r>
      <w:r w:rsidR="00D41181" w:rsidRPr="00D1507D">
        <w:rPr>
          <w:rFonts w:ascii="Times New Roman" w:hAnsi="Times New Roman"/>
          <w:b/>
          <w:sz w:val="24"/>
        </w:rPr>
        <w:t xml:space="preserve"> radio </w:t>
      </w:r>
      <w:r w:rsidR="00D41181" w:rsidRPr="00AD57F7">
        <w:rPr>
          <w:rFonts w:ascii="Times New Roman" w:hAnsi="Times New Roman"/>
          <w:b/>
          <w:sz w:val="24"/>
          <w:szCs w:val="24"/>
        </w:rPr>
        <w:t>programmes</w:t>
      </w:r>
      <w:r w:rsidR="00D41181" w:rsidRPr="00D1507D">
        <w:rPr>
          <w:rFonts w:ascii="Times New Roman" w:hAnsi="Times New Roman"/>
          <w:b/>
          <w:sz w:val="24"/>
        </w:rPr>
        <w:t xml:space="preserve"> from other MS. </w:t>
      </w:r>
      <w:r w:rsidR="00D41181" w:rsidRPr="00AD57F7">
        <w:rPr>
          <w:rFonts w:ascii="Times New Roman" w:hAnsi="Times New Roman"/>
          <w:b/>
          <w:sz w:val="24"/>
          <w:szCs w:val="24"/>
        </w:rPr>
        <w:t>It affects the licensing choices</w:t>
      </w:r>
      <w:r w:rsidR="00D41181" w:rsidRPr="00D1507D">
        <w:rPr>
          <w:rFonts w:ascii="Times New Roman" w:hAnsi="Times New Roman"/>
          <w:b/>
          <w:sz w:val="24"/>
        </w:rPr>
        <w:t xml:space="preserve"> of </w:t>
      </w:r>
      <w:r w:rsidR="000A4909">
        <w:rPr>
          <w:rFonts w:ascii="Times New Roman" w:hAnsi="Times New Roman"/>
          <w:b/>
          <w:sz w:val="24"/>
          <w:szCs w:val="24"/>
        </w:rPr>
        <w:t>r</w:t>
      </w:r>
      <w:r w:rsidR="00007677">
        <w:rPr>
          <w:rFonts w:ascii="Times New Roman" w:hAnsi="Times New Roman"/>
          <w:b/>
          <w:sz w:val="24"/>
          <w:szCs w:val="24"/>
        </w:rPr>
        <w:t>ightholders</w:t>
      </w:r>
      <w:r w:rsidR="00D41181" w:rsidRPr="00AD57F7">
        <w:rPr>
          <w:rFonts w:ascii="Times New Roman" w:hAnsi="Times New Roman"/>
          <w:b/>
          <w:sz w:val="24"/>
          <w:szCs w:val="24"/>
        </w:rPr>
        <w:t xml:space="preserve"> in a limited manner, by extending the mandatory collective management</w:t>
      </w:r>
      <w:r w:rsidR="00D41181" w:rsidRPr="00D1507D">
        <w:rPr>
          <w:rFonts w:ascii="Times New Roman" w:hAnsi="Times New Roman"/>
          <w:b/>
          <w:sz w:val="24"/>
        </w:rPr>
        <w:t xml:space="preserve"> of rights </w:t>
      </w:r>
      <w:r w:rsidR="00D41181" w:rsidRPr="00AD57F7">
        <w:rPr>
          <w:rFonts w:ascii="Times New Roman" w:hAnsi="Times New Roman"/>
          <w:b/>
          <w:sz w:val="24"/>
          <w:szCs w:val="24"/>
        </w:rPr>
        <w:t xml:space="preserve">only </w:t>
      </w:r>
      <w:r w:rsidR="00D41181" w:rsidRPr="00D1507D">
        <w:rPr>
          <w:rFonts w:ascii="Times New Roman" w:hAnsi="Times New Roman"/>
          <w:b/>
          <w:sz w:val="24"/>
        </w:rPr>
        <w:t xml:space="preserve">to </w:t>
      </w:r>
      <w:r w:rsidR="00D41181" w:rsidRPr="00AD57F7">
        <w:rPr>
          <w:rFonts w:ascii="Times New Roman" w:hAnsi="Times New Roman"/>
          <w:b/>
          <w:sz w:val="24"/>
          <w:szCs w:val="24"/>
        </w:rPr>
        <w:t xml:space="preserve">certain types of </w:t>
      </w:r>
      <w:r w:rsidR="00D41181" w:rsidRPr="00D1507D">
        <w:rPr>
          <w:rFonts w:ascii="Times New Roman" w:hAnsi="Times New Roman"/>
          <w:b/>
          <w:sz w:val="24"/>
        </w:rPr>
        <w:t xml:space="preserve">retransmission </w:t>
      </w:r>
      <w:r w:rsidR="00D41181" w:rsidRPr="00AD57F7">
        <w:rPr>
          <w:rFonts w:ascii="Times New Roman" w:hAnsi="Times New Roman"/>
          <w:b/>
          <w:sz w:val="24"/>
          <w:szCs w:val="24"/>
        </w:rPr>
        <w:t>services provided over close</w:t>
      </w:r>
      <w:r w:rsidR="002859DE">
        <w:rPr>
          <w:rFonts w:ascii="Times New Roman" w:hAnsi="Times New Roman"/>
          <w:b/>
          <w:sz w:val="24"/>
          <w:szCs w:val="24"/>
        </w:rPr>
        <w:t>d</w:t>
      </w:r>
      <w:r w:rsidR="00D41181" w:rsidRPr="00AD57F7">
        <w:rPr>
          <w:rFonts w:ascii="Times New Roman" w:hAnsi="Times New Roman"/>
          <w:b/>
          <w:sz w:val="24"/>
          <w:szCs w:val="24"/>
        </w:rPr>
        <w:t xml:space="preserve"> networks</w:t>
      </w:r>
      <w:r w:rsidR="00D41181" w:rsidRPr="00D1507D">
        <w:rPr>
          <w:rFonts w:ascii="Times New Roman" w:hAnsi="Times New Roman"/>
          <w:b/>
          <w:sz w:val="24"/>
        </w:rPr>
        <w:t xml:space="preserve">. </w:t>
      </w:r>
      <w:r w:rsidR="00C27157" w:rsidRPr="00CC27DB">
        <w:rPr>
          <w:rFonts w:ascii="Times New Roman" w:hAnsi="Times New Roman"/>
          <w:sz w:val="24"/>
          <w:szCs w:val="24"/>
        </w:rPr>
        <w:t xml:space="preserve">The impacts of Option 1 on copyright as a property right would be justified in view of the Treaty fundamental freedom to provide and receive services. </w:t>
      </w:r>
    </w:p>
    <w:p w:rsidR="00264289" w:rsidRDefault="00E86C66" w:rsidP="00AD57F7">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Option 1 would require</w:t>
      </w:r>
      <w:r w:rsidR="00264289">
        <w:rPr>
          <w:rFonts w:ascii="Times New Roman" w:hAnsi="Times New Roman" w:cs="Times New Roman"/>
          <w:sz w:val="24"/>
          <w:szCs w:val="24"/>
        </w:rPr>
        <w:t xml:space="preserve"> limited changes in a number of MS, where legal or practical solutions are already in place to </w:t>
      </w:r>
      <w:r w:rsidR="00264289" w:rsidRPr="00514A47">
        <w:rPr>
          <w:rFonts w:ascii="Times New Roman" w:eastAsia="Calibri" w:hAnsi="Times New Roman" w:cs="Times New Roman"/>
          <w:sz w:val="24"/>
          <w:szCs w:val="24"/>
        </w:rPr>
        <w:t>facilitat</w:t>
      </w:r>
      <w:r w:rsidR="00264289">
        <w:rPr>
          <w:rFonts w:ascii="Times New Roman" w:eastAsia="Calibri" w:hAnsi="Times New Roman" w:cs="Times New Roman"/>
          <w:sz w:val="24"/>
          <w:szCs w:val="24"/>
        </w:rPr>
        <w:t>e</w:t>
      </w:r>
      <w:r w:rsidR="00264289" w:rsidRPr="00514A47">
        <w:rPr>
          <w:rFonts w:ascii="Times New Roman" w:eastAsia="Calibri" w:hAnsi="Times New Roman" w:cs="Times New Roman"/>
          <w:sz w:val="24"/>
          <w:szCs w:val="24"/>
        </w:rPr>
        <w:t xml:space="preserve"> licensing of retransmission of TV and</w:t>
      </w:r>
      <w:r w:rsidR="00264289" w:rsidRPr="002D27D2">
        <w:rPr>
          <w:rFonts w:ascii="Times New Roman" w:eastAsia="Calibri" w:hAnsi="Times New Roman" w:cs="Times New Roman"/>
          <w:sz w:val="24"/>
          <w:szCs w:val="24"/>
        </w:rPr>
        <w:t xml:space="preserve"> radio broadcasts by means other than cable</w:t>
      </w:r>
      <w:r w:rsidR="00264289">
        <w:rPr>
          <w:rFonts w:ascii="Times New Roman" w:eastAsia="Calibri" w:hAnsi="Times New Roman" w:cs="Times New Roman"/>
          <w:sz w:val="24"/>
          <w:szCs w:val="24"/>
        </w:rPr>
        <w:t>. The impact of Option 1 would be stronger in other MS</w:t>
      </w:r>
      <w:r w:rsidR="005530E8">
        <w:rPr>
          <w:rFonts w:ascii="Times New Roman" w:eastAsia="Calibri" w:hAnsi="Times New Roman" w:cs="Times New Roman"/>
          <w:sz w:val="24"/>
          <w:szCs w:val="24"/>
        </w:rPr>
        <w:t>, where such solutions do not yet exist</w:t>
      </w:r>
      <w:r w:rsidR="00264289">
        <w:rPr>
          <w:rFonts w:ascii="Times New Roman" w:eastAsia="Calibri" w:hAnsi="Times New Roman" w:cs="Times New Roman"/>
          <w:sz w:val="24"/>
          <w:szCs w:val="24"/>
        </w:rPr>
        <w:t xml:space="preserve">. </w:t>
      </w:r>
    </w:p>
    <w:p w:rsidR="00EF6341" w:rsidRPr="008A00C3" w:rsidRDefault="00EF6341" w:rsidP="00CE35F9">
      <w:pPr>
        <w:pStyle w:val="Heading2"/>
        <w:numPr>
          <w:ilvl w:val="1"/>
          <w:numId w:val="1"/>
        </w:numPr>
        <w:spacing w:before="0" w:after="240"/>
        <w:rPr>
          <w:rFonts w:ascii="Times New Roman Bold" w:hAnsi="Times New Roman Bold"/>
          <w:smallCaps/>
        </w:rPr>
      </w:pPr>
      <w:bookmarkStart w:id="35" w:name="_Toc461114709"/>
      <w:r w:rsidRPr="00EF6341">
        <w:rPr>
          <w:rFonts w:ascii="Times New Roman Bold" w:hAnsi="Times New Roman Bold"/>
          <w:smallCaps/>
        </w:rPr>
        <w:t>Access to and availability of EU audiovisual works on VoD platforms</w:t>
      </w:r>
      <w:bookmarkEnd w:id="35"/>
    </w:p>
    <w:p w:rsidR="000667CA" w:rsidRPr="000667CA" w:rsidRDefault="00EF6341" w:rsidP="00CF38F1">
      <w:pPr>
        <w:pStyle w:val="Heading3"/>
      </w:pPr>
      <w:bookmarkStart w:id="36" w:name="_Toc461114710"/>
      <w:r w:rsidRPr="00EF6341">
        <w:t>What is the problem and why is it a problem?</w:t>
      </w:r>
      <w:bookmarkEnd w:id="32"/>
      <w:bookmarkEnd w:id="33"/>
      <w:bookmarkEnd w:id="34"/>
      <w:bookmarkEnd w:id="36"/>
    </w:p>
    <w:p w:rsidR="00A57992" w:rsidRDefault="00A57992" w:rsidP="00A57992">
      <w:pPr>
        <w:pBdr>
          <w:top w:val="nil"/>
          <w:left w:val="nil"/>
          <w:bottom w:val="nil"/>
          <w:right w:val="nil"/>
          <w:between w:val="nil"/>
          <w:bar w:val="nil"/>
        </w:pBdr>
        <w:spacing w:after="120" w:line="240" w:lineRule="auto"/>
        <w:jc w:val="both"/>
        <w:rPr>
          <w:rFonts w:ascii="Times New Roman" w:hAnsi="Times New Roman" w:cs="Times New Roman"/>
          <w:i/>
          <w:sz w:val="24"/>
          <w:szCs w:val="24"/>
        </w:rPr>
      </w:pPr>
      <w:r w:rsidRPr="002C427F">
        <w:rPr>
          <w:rFonts w:ascii="Times New Roman" w:hAnsi="Times New Roman" w:cs="Times New Roman"/>
          <w:b/>
          <w:i/>
          <w:sz w:val="24"/>
          <w:szCs w:val="24"/>
        </w:rPr>
        <w:t xml:space="preserve">Problem: </w:t>
      </w:r>
      <w:r>
        <w:rPr>
          <w:rFonts w:ascii="Times New Roman" w:hAnsi="Times New Roman" w:cs="Times New Roman"/>
          <w:i/>
          <w:sz w:val="24"/>
          <w:szCs w:val="24"/>
        </w:rPr>
        <w:t>Access to and availability of EU audiovisual works on VoD platforms is still limited.</w:t>
      </w:r>
    </w:p>
    <w:p w:rsidR="00A57992" w:rsidRPr="00123CFF" w:rsidRDefault="00A57992" w:rsidP="00A57992">
      <w:pPr>
        <w:spacing w:after="120" w:line="240" w:lineRule="auto"/>
        <w:jc w:val="both"/>
        <w:rPr>
          <w:rFonts w:ascii="Times New Roman" w:hAnsi="Times New Roman" w:cs="Times New Roman"/>
          <w:sz w:val="24"/>
          <w:szCs w:val="24"/>
        </w:rPr>
      </w:pPr>
      <w:r w:rsidRPr="00C32C45">
        <w:rPr>
          <w:rFonts w:ascii="Times New Roman" w:hAnsi="Times New Roman" w:cs="Times New Roman"/>
          <w:sz w:val="24"/>
          <w:szCs w:val="24"/>
          <w:u w:val="single"/>
        </w:rPr>
        <w:t>Description of the problem</w:t>
      </w:r>
      <w:r w:rsidRPr="00DB5A9E">
        <w:rPr>
          <w:rFonts w:ascii="Times New Roman" w:hAnsi="Times New Roman" w:cs="Times New Roman"/>
          <w:sz w:val="24"/>
          <w:szCs w:val="24"/>
          <w:u w:val="single"/>
        </w:rPr>
        <w:t>:</w:t>
      </w:r>
      <w:r>
        <w:rPr>
          <w:rFonts w:ascii="Times New Roman" w:hAnsi="Times New Roman" w:cs="Times New Roman"/>
          <w:sz w:val="24"/>
          <w:szCs w:val="24"/>
        </w:rPr>
        <w:t xml:space="preserve"> </w:t>
      </w:r>
      <w:r w:rsidRPr="005150CF">
        <w:rPr>
          <w:rFonts w:ascii="Times New Roman" w:hAnsi="Times New Roman" w:cs="Times New Roman"/>
          <w:sz w:val="24"/>
          <w:szCs w:val="24"/>
        </w:rPr>
        <w:t>The on-demand market of audiovisual works</w:t>
      </w:r>
      <w:r w:rsidRPr="00D626CF">
        <w:rPr>
          <w:rStyle w:val="FootnoteReference"/>
          <w:rFonts w:ascii="Times New Roman" w:hAnsi="Times New Roman" w:cs="Times New Roman"/>
          <w:sz w:val="24"/>
          <w:szCs w:val="24"/>
        </w:rPr>
        <w:footnoteReference w:id="135"/>
      </w:r>
      <w:r w:rsidRPr="00D626CF">
        <w:rPr>
          <w:rFonts w:ascii="Times New Roman" w:hAnsi="Times New Roman" w:cs="Times New Roman"/>
          <w:sz w:val="24"/>
          <w:szCs w:val="24"/>
        </w:rPr>
        <w:t xml:space="preserve"> is becoming </w:t>
      </w:r>
      <w:r w:rsidRPr="005150CF">
        <w:rPr>
          <w:rFonts w:ascii="Times New Roman" w:hAnsi="Times New Roman" w:cs="Times New Roman"/>
          <w:sz w:val="24"/>
          <w:szCs w:val="24"/>
        </w:rPr>
        <w:t xml:space="preserve">increasingly important. </w:t>
      </w:r>
      <w:r w:rsidRPr="005150CF">
        <w:rPr>
          <w:rFonts w:ascii="Times New Roman" w:hAnsi="Times New Roman" w:cs="Times New Roman"/>
          <w:sz w:val="24"/>
          <w:szCs w:val="24"/>
          <w:lang w:val="en"/>
        </w:rPr>
        <w:t xml:space="preserve">Consumers' spending on digital video </w:t>
      </w:r>
      <w:r w:rsidRPr="00C32C45">
        <w:rPr>
          <w:rFonts w:ascii="Times New Roman" w:hAnsi="Times New Roman" w:cs="Times New Roman"/>
          <w:sz w:val="24"/>
          <w:szCs w:val="24"/>
        </w:rPr>
        <w:t>increased by 42.8</w:t>
      </w:r>
      <w:r w:rsidR="004F2228">
        <w:rPr>
          <w:rFonts w:ascii="Times New Roman" w:hAnsi="Times New Roman" w:cs="Times New Roman"/>
          <w:sz w:val="24"/>
          <w:szCs w:val="24"/>
        </w:rPr>
        <w:t xml:space="preserve"> </w:t>
      </w:r>
      <w:r w:rsidRPr="00C32C45">
        <w:rPr>
          <w:rFonts w:ascii="Times New Roman" w:hAnsi="Times New Roman" w:cs="Times New Roman"/>
          <w:sz w:val="24"/>
          <w:szCs w:val="24"/>
        </w:rPr>
        <w:t xml:space="preserve">% in 2013 and reached a total of </w:t>
      </w:r>
      <w:r w:rsidR="0016036A">
        <w:rPr>
          <w:rFonts w:ascii="Times New Roman" w:hAnsi="Times New Roman" w:cs="Times New Roman"/>
          <w:sz w:val="24"/>
          <w:szCs w:val="24"/>
        </w:rPr>
        <w:t>€</w:t>
      </w:r>
      <w:r w:rsidRPr="00C32C45">
        <w:rPr>
          <w:rFonts w:ascii="Times New Roman" w:hAnsi="Times New Roman" w:cs="Times New Roman"/>
          <w:sz w:val="24"/>
          <w:szCs w:val="24"/>
        </w:rPr>
        <w:t>1.97 billion</w:t>
      </w:r>
      <w:r>
        <w:rPr>
          <w:rFonts w:ascii="Times New Roman" w:hAnsi="Times New Roman" w:cs="Times New Roman"/>
          <w:sz w:val="24"/>
          <w:szCs w:val="24"/>
        </w:rPr>
        <w:t>.</w:t>
      </w:r>
      <w:r w:rsidRPr="00D626CF">
        <w:rPr>
          <w:rStyle w:val="FootnoteReference"/>
          <w:rFonts w:ascii="Times New Roman" w:hAnsi="Times New Roman" w:cs="Times New Roman"/>
          <w:sz w:val="24"/>
          <w:szCs w:val="24"/>
          <w:lang w:val="en"/>
        </w:rPr>
        <w:footnoteReference w:id="136"/>
      </w:r>
      <w:r w:rsidRPr="00D626CF">
        <w:rPr>
          <w:rFonts w:ascii="Times New Roman" w:hAnsi="Times New Roman" w:cs="Times New Roman"/>
          <w:sz w:val="24"/>
          <w:szCs w:val="24"/>
          <w:lang w:val="en"/>
        </w:rPr>
        <w:t xml:space="preserve"> The</w:t>
      </w:r>
      <w:r w:rsidR="006D6407">
        <w:rPr>
          <w:rFonts w:ascii="Times New Roman" w:hAnsi="Times New Roman" w:cs="Times New Roman"/>
          <w:sz w:val="24"/>
          <w:szCs w:val="24"/>
          <w:lang w:val="en"/>
        </w:rPr>
        <w:t xml:space="preserve"> </w:t>
      </w:r>
      <w:r w:rsidRPr="00D626CF">
        <w:rPr>
          <w:rFonts w:ascii="Times New Roman" w:hAnsi="Times New Roman" w:cs="Times New Roman"/>
          <w:sz w:val="24"/>
          <w:szCs w:val="24"/>
          <w:lang w:val="en"/>
        </w:rPr>
        <w:t>S</w:t>
      </w:r>
      <w:r w:rsidR="006D6407" w:rsidRPr="00D626CF">
        <w:rPr>
          <w:rFonts w:ascii="Times New Roman" w:hAnsi="Times New Roman" w:cs="Times New Roman"/>
          <w:sz w:val="24"/>
          <w:szCs w:val="24"/>
          <w:lang w:val="en"/>
        </w:rPr>
        <w:t>v</w:t>
      </w:r>
      <w:r w:rsidRPr="00D626CF">
        <w:rPr>
          <w:rFonts w:ascii="Times New Roman" w:hAnsi="Times New Roman" w:cs="Times New Roman"/>
          <w:sz w:val="24"/>
          <w:szCs w:val="24"/>
          <w:lang w:val="en"/>
        </w:rPr>
        <w:t>oD</w:t>
      </w:r>
      <w:r w:rsidRPr="005150CF">
        <w:rPr>
          <w:rFonts w:ascii="Times New Roman" w:hAnsi="Times New Roman" w:cs="Times New Roman"/>
          <w:sz w:val="24"/>
          <w:szCs w:val="24"/>
          <w:lang w:val="en"/>
        </w:rPr>
        <w:t xml:space="preserve"> market evolves more rapidly than other VoD markets. T</w:t>
      </w:r>
      <w:r w:rsidRPr="005150CF">
        <w:rPr>
          <w:rFonts w:ascii="Times New Roman" w:hAnsi="Times New Roman" w:cs="Times New Roman"/>
          <w:sz w:val="24"/>
          <w:szCs w:val="24"/>
        </w:rPr>
        <w:t xml:space="preserve">he revenues of the SVoD market have grown from </w:t>
      </w:r>
      <w:r w:rsidR="0016036A">
        <w:rPr>
          <w:rFonts w:ascii="Times New Roman" w:hAnsi="Times New Roman" w:cs="Times New Roman"/>
          <w:sz w:val="24"/>
          <w:szCs w:val="24"/>
        </w:rPr>
        <w:t>€</w:t>
      </w:r>
      <w:r w:rsidRPr="005150CF">
        <w:rPr>
          <w:rFonts w:ascii="Times New Roman" w:hAnsi="Times New Roman" w:cs="Times New Roman"/>
          <w:sz w:val="24"/>
          <w:szCs w:val="24"/>
        </w:rPr>
        <w:t xml:space="preserve">40.7 million to 844 million between 2011 </w:t>
      </w:r>
      <w:r w:rsidRPr="007C5117">
        <w:rPr>
          <w:rFonts w:ascii="Times New Roman" w:hAnsi="Times New Roman"/>
          <w:sz w:val="24"/>
          <w:szCs w:val="24"/>
        </w:rPr>
        <w:t>and</w:t>
      </w:r>
      <w:r w:rsidRPr="005150CF">
        <w:rPr>
          <w:rFonts w:ascii="Times New Roman" w:hAnsi="Times New Roman" w:cs="Times New Roman"/>
          <w:sz w:val="24"/>
          <w:szCs w:val="24"/>
        </w:rPr>
        <w:t xml:space="preserve"> 2014</w:t>
      </w:r>
      <w:r>
        <w:rPr>
          <w:rFonts w:ascii="Times New Roman" w:hAnsi="Times New Roman" w:cs="Times New Roman"/>
          <w:sz w:val="24"/>
          <w:szCs w:val="24"/>
        </w:rPr>
        <w:t>.</w:t>
      </w:r>
      <w:r w:rsidRPr="00D626CF">
        <w:rPr>
          <w:rStyle w:val="FootnoteReference"/>
          <w:rFonts w:ascii="Times New Roman" w:hAnsi="Times New Roman" w:cs="Times New Roman"/>
          <w:sz w:val="24"/>
          <w:szCs w:val="24"/>
        </w:rPr>
        <w:footnoteReference w:id="137"/>
      </w:r>
      <w:r w:rsidRPr="00D626CF">
        <w:rPr>
          <w:rFonts w:ascii="Times New Roman" w:hAnsi="Times New Roman" w:cs="Times New Roman"/>
          <w:sz w:val="24"/>
          <w:szCs w:val="24"/>
        </w:rPr>
        <w:t xml:space="preserve"> </w:t>
      </w:r>
      <w:r w:rsidRPr="005150CF">
        <w:rPr>
          <w:rFonts w:ascii="Times New Roman" w:hAnsi="Times New Roman" w:cs="Times New Roman"/>
          <w:sz w:val="24"/>
          <w:szCs w:val="24"/>
        </w:rPr>
        <w:t xml:space="preserve">The number of VoD services in Europe is also </w:t>
      </w:r>
      <w:r w:rsidRPr="00C24A67">
        <w:rPr>
          <w:rFonts w:ascii="Times New Roman" w:hAnsi="Times New Roman" w:cs="Times New Roman"/>
          <w:sz w:val="24"/>
          <w:szCs w:val="24"/>
        </w:rPr>
        <w:t>increasing</w:t>
      </w:r>
      <w:r>
        <w:rPr>
          <w:rFonts w:ascii="Times New Roman" w:hAnsi="Times New Roman" w:cs="Times New Roman"/>
          <w:sz w:val="24"/>
          <w:szCs w:val="24"/>
        </w:rPr>
        <w:t>, with around 2,000 services in Europe.</w:t>
      </w:r>
      <w:r w:rsidRPr="00ED79C5">
        <w:rPr>
          <w:rStyle w:val="FootnoteReference"/>
          <w:rFonts w:ascii="Times New Roman" w:hAnsi="Times New Roman" w:cs="Times New Roman"/>
          <w:sz w:val="24"/>
          <w:szCs w:val="24"/>
        </w:rPr>
        <w:footnoteReference w:id="138"/>
      </w:r>
      <w:r w:rsidRPr="00C24A67">
        <w:rPr>
          <w:rFonts w:ascii="Times New Roman" w:hAnsi="Times New Roman" w:cs="Times New Roman"/>
          <w:sz w:val="24"/>
          <w:szCs w:val="24"/>
        </w:rPr>
        <w:t xml:space="preserve"> It is expected that the VoD market will continue to increase significantly in the 5-10 next years</w:t>
      </w:r>
      <w:r>
        <w:rPr>
          <w:rFonts w:ascii="Times New Roman" w:hAnsi="Times New Roman" w:cs="Times New Roman"/>
          <w:sz w:val="24"/>
          <w:szCs w:val="24"/>
        </w:rPr>
        <w:t>.</w:t>
      </w:r>
      <w:r w:rsidRPr="00ED79C5">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w:t>
      </w:r>
      <w:r w:rsidRPr="00C24A67">
        <w:rPr>
          <w:rFonts w:ascii="Times New Roman" w:hAnsi="Times New Roman" w:cs="Times New Roman"/>
          <w:sz w:val="24"/>
          <w:szCs w:val="24"/>
        </w:rPr>
        <w:t xml:space="preserve">However, access and availability of EU </w:t>
      </w:r>
      <w:r w:rsidR="00F506EA">
        <w:rPr>
          <w:rFonts w:ascii="Times New Roman" w:hAnsi="Times New Roman" w:cs="Times New Roman"/>
          <w:sz w:val="24"/>
          <w:szCs w:val="24"/>
        </w:rPr>
        <w:t>AV</w:t>
      </w:r>
      <w:r w:rsidR="00F506EA" w:rsidRPr="00C24A67">
        <w:rPr>
          <w:rFonts w:ascii="Times New Roman" w:hAnsi="Times New Roman" w:cs="Times New Roman"/>
          <w:sz w:val="24"/>
          <w:szCs w:val="24"/>
        </w:rPr>
        <w:t xml:space="preserve"> </w:t>
      </w:r>
      <w:r w:rsidRPr="00C24A67">
        <w:rPr>
          <w:rFonts w:ascii="Times New Roman" w:hAnsi="Times New Roman" w:cs="Times New Roman"/>
          <w:sz w:val="24"/>
          <w:szCs w:val="24"/>
        </w:rPr>
        <w:t xml:space="preserve">works on VoD platforms remain limited. </w:t>
      </w:r>
      <w:r>
        <w:rPr>
          <w:rFonts w:ascii="Times New Roman" w:hAnsi="Times New Roman" w:cs="Times New Roman"/>
          <w:sz w:val="24"/>
          <w:szCs w:val="24"/>
        </w:rPr>
        <w:t>At EU level, only 47</w:t>
      </w:r>
      <w:r w:rsidR="004F2228">
        <w:rPr>
          <w:rFonts w:ascii="Times New Roman" w:hAnsi="Times New Roman" w:cs="Times New Roman"/>
          <w:sz w:val="24"/>
          <w:szCs w:val="24"/>
        </w:rPr>
        <w:t xml:space="preserve"> </w:t>
      </w:r>
      <w:r>
        <w:rPr>
          <w:rFonts w:ascii="Times New Roman" w:hAnsi="Times New Roman" w:cs="Times New Roman"/>
          <w:sz w:val="24"/>
          <w:szCs w:val="24"/>
        </w:rPr>
        <w:t xml:space="preserve">% of EU films released in cinemas between 2005 and 2014 are </w:t>
      </w:r>
      <w:r w:rsidRPr="007C5117">
        <w:rPr>
          <w:rFonts w:ascii="Times New Roman" w:hAnsi="Times New Roman"/>
          <w:sz w:val="24"/>
          <w:szCs w:val="24"/>
        </w:rPr>
        <w:t>available</w:t>
      </w:r>
      <w:r>
        <w:rPr>
          <w:rFonts w:ascii="Times New Roman" w:hAnsi="Times New Roman" w:cs="Times New Roman"/>
          <w:sz w:val="24"/>
          <w:szCs w:val="24"/>
        </w:rPr>
        <w:t xml:space="preserve"> on at least one VoD service.</w:t>
      </w:r>
      <w:r>
        <w:rPr>
          <w:rStyle w:val="FootnoteReference"/>
          <w:rFonts w:ascii="Times New Roman" w:hAnsi="Times New Roman" w:cs="Times New Roman"/>
          <w:sz w:val="24"/>
          <w:szCs w:val="24"/>
        </w:rPr>
        <w:footnoteReference w:id="140"/>
      </w:r>
      <w:r w:rsidRPr="0066694D">
        <w:rPr>
          <w:rFonts w:ascii="Times New Roman" w:hAnsi="Times New Roman" w:cs="Times New Roman"/>
          <w:sz w:val="24"/>
          <w:szCs w:val="24"/>
        </w:rPr>
        <w:t xml:space="preserve"> </w:t>
      </w:r>
      <w:r>
        <w:rPr>
          <w:rFonts w:ascii="Times New Roman" w:hAnsi="Times New Roman" w:cs="Times New Roman"/>
          <w:sz w:val="24"/>
          <w:szCs w:val="24"/>
        </w:rPr>
        <w:t xml:space="preserve">All works are not equally affected by the limited online availability: small productions are more affected than big productions that benefited a theatrical release and promotion efforts. Apart from classical works, old works are less available than new </w:t>
      </w:r>
      <w:r w:rsidRPr="00D626CF">
        <w:rPr>
          <w:rFonts w:ascii="Times New Roman" w:hAnsi="Times New Roman" w:cs="Times New Roman"/>
          <w:sz w:val="24"/>
          <w:szCs w:val="24"/>
        </w:rPr>
        <w:t>ones</w:t>
      </w:r>
      <w:r>
        <w:rPr>
          <w:rFonts w:ascii="Times New Roman" w:hAnsi="Times New Roman" w:cs="Times New Roman"/>
          <w:sz w:val="24"/>
          <w:szCs w:val="24"/>
        </w:rPr>
        <w:t>.</w:t>
      </w:r>
      <w:r w:rsidRPr="00D626CF">
        <w:rPr>
          <w:rStyle w:val="FootnoteReference"/>
          <w:rFonts w:ascii="Times New Roman" w:hAnsi="Times New Roman" w:cs="Times New Roman"/>
          <w:sz w:val="24"/>
          <w:szCs w:val="24"/>
        </w:rPr>
        <w:footnoteReference w:id="141"/>
      </w:r>
      <w:r>
        <w:rPr>
          <w:rFonts w:ascii="Times New Roman" w:hAnsi="Times New Roman" w:cs="Times New Roman"/>
          <w:sz w:val="24"/>
          <w:szCs w:val="24"/>
        </w:rPr>
        <w:t xml:space="preserve"> The type of VoD also has an influence on the availability of works: </w:t>
      </w:r>
      <w:r w:rsidRPr="00CD04B1">
        <w:rPr>
          <w:rFonts w:ascii="Times New Roman" w:hAnsi="Times New Roman" w:cs="Times New Roman"/>
          <w:sz w:val="24"/>
          <w:szCs w:val="24"/>
        </w:rPr>
        <w:t>works are more often and quickly available on TVoD (in particular EST), than on SVoD</w:t>
      </w:r>
      <w:r>
        <w:rPr>
          <w:rFonts w:ascii="Times New Roman" w:hAnsi="Times New Roman" w:cs="Times New Roman"/>
          <w:sz w:val="24"/>
          <w:szCs w:val="24"/>
        </w:rPr>
        <w:t>. This is generally due to the release windows system, in which SVoD comes last.</w:t>
      </w:r>
      <w:r w:rsidRPr="00CE35F9">
        <w:rPr>
          <w:rStyle w:val="FootnoteReference"/>
          <w:rFonts w:ascii="Times New Roman" w:hAnsi="Times New Roman" w:cs="Times New Roman"/>
          <w:sz w:val="24"/>
          <w:szCs w:val="24"/>
        </w:rPr>
        <w:footnoteReference w:id="142"/>
      </w:r>
      <w:r w:rsidRPr="005039A5">
        <w:rPr>
          <w:rFonts w:ascii="Times New Roman" w:hAnsi="Times New Roman" w:cs="Times New Roman"/>
          <w:i/>
          <w:sz w:val="24"/>
          <w:szCs w:val="24"/>
        </w:rPr>
        <w:t xml:space="preserve"> </w:t>
      </w:r>
      <w:r w:rsidRPr="00CD04B1">
        <w:rPr>
          <w:rFonts w:ascii="Times New Roman" w:hAnsi="Times New Roman" w:cs="Times New Roman"/>
          <w:sz w:val="24"/>
          <w:szCs w:val="24"/>
        </w:rPr>
        <w:t>Finally,</w:t>
      </w:r>
      <w:r>
        <w:rPr>
          <w:rFonts w:ascii="Times New Roman" w:hAnsi="Times New Roman" w:cs="Times New Roman"/>
          <w:sz w:val="24"/>
          <w:szCs w:val="24"/>
        </w:rPr>
        <w:t xml:space="preserve"> the offer on VoD platforms greatly varies from one </w:t>
      </w:r>
      <w:r w:rsidR="00B82096">
        <w:rPr>
          <w:rFonts w:ascii="Times New Roman" w:hAnsi="Times New Roman" w:cs="Times New Roman"/>
          <w:sz w:val="24"/>
          <w:szCs w:val="24"/>
        </w:rPr>
        <w:t>MS</w:t>
      </w:r>
      <w:r>
        <w:rPr>
          <w:rFonts w:ascii="Times New Roman" w:hAnsi="Times New Roman" w:cs="Times New Roman"/>
          <w:sz w:val="24"/>
          <w:szCs w:val="24"/>
        </w:rPr>
        <w:t xml:space="preserve"> to another and European </w:t>
      </w:r>
      <w:r w:rsidR="00F506EA">
        <w:rPr>
          <w:rFonts w:ascii="Times New Roman" w:hAnsi="Times New Roman" w:cs="Times New Roman"/>
          <w:sz w:val="24"/>
          <w:szCs w:val="24"/>
        </w:rPr>
        <w:t xml:space="preserve">AV </w:t>
      </w:r>
      <w:r>
        <w:rPr>
          <w:rFonts w:ascii="Times New Roman" w:hAnsi="Times New Roman" w:cs="Times New Roman"/>
          <w:sz w:val="24"/>
          <w:szCs w:val="24"/>
        </w:rPr>
        <w:t xml:space="preserve">works are not often available on platforms outside their home country. </w:t>
      </w:r>
      <w:r w:rsidRPr="00914245">
        <w:rPr>
          <w:rFonts w:ascii="Times New Roman" w:hAnsi="Times New Roman" w:cs="Times New Roman"/>
          <w:sz w:val="24"/>
          <w:szCs w:val="24"/>
        </w:rPr>
        <w:t>For instance</w:t>
      </w:r>
      <w:r>
        <w:rPr>
          <w:rFonts w:ascii="Times New Roman" w:hAnsi="Times New Roman" w:cs="Times New Roman"/>
          <w:sz w:val="24"/>
          <w:szCs w:val="24"/>
        </w:rPr>
        <w:t xml:space="preserve">, </w:t>
      </w:r>
      <w:r w:rsidRPr="00123CFF">
        <w:rPr>
          <w:rFonts w:ascii="Times New Roman" w:hAnsi="Times New Roman" w:cs="Times New Roman"/>
          <w:sz w:val="24"/>
          <w:szCs w:val="24"/>
        </w:rPr>
        <w:t>a recent study shows that EU films are in average available on VoD in only 2.8 countries</w:t>
      </w:r>
      <w:r>
        <w:rPr>
          <w:rFonts w:ascii="Times New Roman" w:hAnsi="Times New Roman" w:cs="Times New Roman"/>
          <w:sz w:val="24"/>
          <w:szCs w:val="24"/>
        </w:rPr>
        <w:t>.</w:t>
      </w:r>
      <w:r w:rsidRPr="00123CFF">
        <w:rPr>
          <w:rStyle w:val="FootnoteReference"/>
          <w:rFonts w:ascii="Times New Roman" w:hAnsi="Times New Roman" w:cs="Times New Roman"/>
          <w:sz w:val="24"/>
          <w:szCs w:val="24"/>
        </w:rPr>
        <w:footnoteReference w:id="143"/>
      </w:r>
    </w:p>
    <w:p w:rsidR="00A57992" w:rsidRPr="00C07FB7" w:rsidRDefault="00A57992" w:rsidP="00A57992">
      <w:pPr>
        <w:spacing w:after="120" w:line="240" w:lineRule="auto"/>
        <w:jc w:val="both"/>
        <w:rPr>
          <w:rFonts w:ascii="Times New Roman" w:hAnsi="Times New Roman" w:cs="Times New Roman"/>
          <w:sz w:val="24"/>
          <w:szCs w:val="24"/>
        </w:rPr>
      </w:pPr>
      <w:r w:rsidRPr="00123CFF">
        <w:rPr>
          <w:rFonts w:ascii="Times New Roman" w:hAnsi="Times New Roman" w:cs="Times New Roman"/>
          <w:sz w:val="24"/>
          <w:szCs w:val="24"/>
        </w:rPr>
        <w:t xml:space="preserve">VoD platforms are likely to </w:t>
      </w:r>
      <w:r w:rsidRPr="007C5117">
        <w:rPr>
          <w:rFonts w:ascii="Times New Roman" w:hAnsi="Times New Roman" w:cs="Times New Roman"/>
          <w:sz w:val="24"/>
          <w:szCs w:val="24"/>
        </w:rPr>
        <w:t>become</w:t>
      </w:r>
      <w:r w:rsidRPr="00123CFF">
        <w:rPr>
          <w:rFonts w:ascii="Times New Roman" w:hAnsi="Times New Roman" w:cs="Times New Roman"/>
          <w:sz w:val="24"/>
          <w:szCs w:val="24"/>
        </w:rPr>
        <w:t xml:space="preserve"> essential in terms of access to </w:t>
      </w:r>
      <w:r w:rsidR="00F506EA">
        <w:rPr>
          <w:rFonts w:ascii="Times New Roman" w:hAnsi="Times New Roman" w:cs="Times New Roman"/>
          <w:sz w:val="24"/>
          <w:szCs w:val="24"/>
        </w:rPr>
        <w:t xml:space="preserve">AV </w:t>
      </w:r>
      <w:r w:rsidRPr="00123CFF">
        <w:rPr>
          <w:rFonts w:ascii="Times New Roman" w:hAnsi="Times New Roman" w:cs="Times New Roman"/>
          <w:sz w:val="24"/>
          <w:szCs w:val="24"/>
        </w:rPr>
        <w:t>works</w:t>
      </w:r>
      <w:r>
        <w:rPr>
          <w:rFonts w:ascii="Times New Roman" w:hAnsi="Times New Roman" w:cs="Times New Roman"/>
          <w:sz w:val="24"/>
          <w:szCs w:val="24"/>
        </w:rPr>
        <w:t>.</w:t>
      </w:r>
      <w:r w:rsidRPr="00123CFF">
        <w:rPr>
          <w:rStyle w:val="FootnoteReference"/>
          <w:rFonts w:ascii="Times New Roman" w:hAnsi="Times New Roman" w:cs="Times New Roman"/>
          <w:sz w:val="24"/>
          <w:szCs w:val="24"/>
        </w:rPr>
        <w:footnoteReference w:id="144"/>
      </w:r>
      <w:r w:rsidRPr="00123CFF">
        <w:rPr>
          <w:rFonts w:ascii="Times New Roman" w:hAnsi="Times New Roman" w:cs="Times New Roman"/>
          <w:sz w:val="24"/>
          <w:szCs w:val="24"/>
        </w:rPr>
        <w:t xml:space="preserve"> Therefore i</w:t>
      </w:r>
      <w:r w:rsidRPr="007C5117">
        <w:rPr>
          <w:rFonts w:ascii="Times New Roman" w:hAnsi="Times New Roman"/>
          <w:sz w:val="24"/>
          <w:szCs w:val="24"/>
        </w:rPr>
        <w:t>t</w:t>
      </w:r>
      <w:r w:rsidRPr="00123CFF">
        <w:rPr>
          <w:rFonts w:ascii="Times New Roman" w:hAnsi="Times New Roman" w:cs="Times New Roman"/>
          <w:sz w:val="24"/>
          <w:szCs w:val="24"/>
        </w:rPr>
        <w:t xml:space="preserve"> is necessary that </w:t>
      </w:r>
      <w:r w:rsidR="00F506EA">
        <w:rPr>
          <w:rFonts w:ascii="Times New Roman" w:hAnsi="Times New Roman" w:cs="Times New Roman"/>
          <w:sz w:val="24"/>
          <w:szCs w:val="24"/>
        </w:rPr>
        <w:t>EU AV</w:t>
      </w:r>
      <w:r w:rsidRPr="00123CFF">
        <w:rPr>
          <w:rFonts w:ascii="Times New Roman" w:hAnsi="Times New Roman" w:cs="Times New Roman"/>
          <w:sz w:val="24"/>
          <w:szCs w:val="24"/>
        </w:rPr>
        <w:t xml:space="preserve"> works benefit from this new channel of distribution. Moreover, this </w:t>
      </w:r>
      <w:r w:rsidRPr="00123CFF">
        <w:rPr>
          <w:rFonts w:ascii="Times New Roman" w:hAnsi="Times New Roman"/>
          <w:sz w:val="24"/>
          <w:szCs w:val="24"/>
        </w:rPr>
        <w:t>also constitutes an opportunity to develop legal offer that could help fighting piracy</w:t>
      </w:r>
      <w:r>
        <w:rPr>
          <w:rFonts w:ascii="Times New Roman" w:hAnsi="Times New Roman"/>
          <w:sz w:val="24"/>
          <w:szCs w:val="24"/>
        </w:rPr>
        <w:t>.</w:t>
      </w:r>
      <w:r w:rsidRPr="00123CFF">
        <w:rPr>
          <w:rStyle w:val="FootnoteReference"/>
          <w:rFonts w:ascii="Times New Roman" w:hAnsi="Times New Roman" w:cs="Times New Roman"/>
          <w:sz w:val="24"/>
          <w:szCs w:val="24"/>
        </w:rPr>
        <w:footnoteReference w:id="145"/>
      </w:r>
    </w:p>
    <w:p w:rsidR="00A57992" w:rsidRDefault="00A57992" w:rsidP="00A57992">
      <w:pPr>
        <w:pStyle w:val="FootnoteText"/>
        <w:spacing w:after="120"/>
        <w:ind w:left="0" w:firstLine="0"/>
        <w:rPr>
          <w:sz w:val="24"/>
          <w:szCs w:val="24"/>
        </w:rPr>
      </w:pPr>
      <w:r>
        <w:rPr>
          <w:sz w:val="24"/>
          <w:szCs w:val="24"/>
        </w:rPr>
        <w:t>Several reasons related to the licensing of online rights contribute to lim</w:t>
      </w:r>
      <w:r w:rsidRPr="007C5117">
        <w:rPr>
          <w:rFonts w:eastAsiaTheme="minorHAnsi" w:cstheme="minorBidi"/>
          <w:sz w:val="24"/>
          <w:szCs w:val="24"/>
          <w:lang w:eastAsia="en-US"/>
        </w:rPr>
        <w:t>i</w:t>
      </w:r>
      <w:r>
        <w:rPr>
          <w:sz w:val="24"/>
          <w:szCs w:val="24"/>
        </w:rPr>
        <w:t xml:space="preserve">t availability </w:t>
      </w:r>
      <w:r w:rsidRPr="00705E14">
        <w:rPr>
          <w:sz w:val="24"/>
          <w:szCs w:val="24"/>
        </w:rPr>
        <w:t xml:space="preserve">of European </w:t>
      </w:r>
      <w:r w:rsidR="00F506EA">
        <w:rPr>
          <w:sz w:val="24"/>
          <w:szCs w:val="24"/>
        </w:rPr>
        <w:t xml:space="preserve">AV </w:t>
      </w:r>
      <w:r>
        <w:rPr>
          <w:sz w:val="24"/>
          <w:szCs w:val="24"/>
        </w:rPr>
        <w:t xml:space="preserve">works on VoD platforms. </w:t>
      </w:r>
    </w:p>
    <w:p w:rsidR="00A57992" w:rsidRDefault="00A57992" w:rsidP="00A57992">
      <w:pPr>
        <w:pStyle w:val="FootnoteText"/>
        <w:spacing w:after="120"/>
        <w:ind w:left="0" w:firstLine="0"/>
        <w:rPr>
          <w:sz w:val="24"/>
          <w:szCs w:val="24"/>
        </w:rPr>
      </w:pPr>
      <w:r w:rsidRPr="00DB5A9E">
        <w:rPr>
          <w:sz w:val="24"/>
          <w:szCs w:val="24"/>
          <w:u w:val="single"/>
        </w:rPr>
        <w:t>Drivers:</w:t>
      </w:r>
      <w:r>
        <w:rPr>
          <w:i/>
          <w:sz w:val="24"/>
          <w:szCs w:val="24"/>
        </w:rPr>
        <w:t xml:space="preserve"> </w:t>
      </w:r>
    </w:p>
    <w:p w:rsidR="00A57992" w:rsidRDefault="00A57992" w:rsidP="00A57992">
      <w:pPr>
        <w:pStyle w:val="FootnoteText"/>
        <w:spacing w:after="120"/>
        <w:ind w:left="0" w:firstLine="0"/>
        <w:rPr>
          <w:sz w:val="24"/>
          <w:szCs w:val="24"/>
        </w:rPr>
      </w:pPr>
      <w:r>
        <w:rPr>
          <w:sz w:val="24"/>
          <w:szCs w:val="24"/>
        </w:rPr>
        <w:t>[</w:t>
      </w:r>
      <w:r>
        <w:rPr>
          <w:i/>
          <w:sz w:val="24"/>
          <w:szCs w:val="24"/>
        </w:rPr>
        <w:t>Difficulties in the acquisition of rights</w:t>
      </w:r>
      <w:r>
        <w:rPr>
          <w:sz w:val="24"/>
          <w:szCs w:val="24"/>
        </w:rPr>
        <w:t>] A first important difficulty derives from,</w:t>
      </w:r>
      <w:r w:rsidRPr="00A91030">
        <w:rPr>
          <w:b/>
          <w:sz w:val="24"/>
          <w:szCs w:val="24"/>
        </w:rPr>
        <w:t xml:space="preserve"> </w:t>
      </w:r>
      <w:r w:rsidRPr="00ED79C5">
        <w:rPr>
          <w:sz w:val="24"/>
          <w:szCs w:val="24"/>
        </w:rPr>
        <w:t>contractual blockages</w:t>
      </w:r>
      <w:r w:rsidRPr="005D30DF">
        <w:rPr>
          <w:sz w:val="24"/>
          <w:szCs w:val="24"/>
        </w:rPr>
        <w:t xml:space="preserve"> </w:t>
      </w:r>
      <w:r w:rsidRPr="00806A63">
        <w:rPr>
          <w:sz w:val="24"/>
          <w:szCs w:val="24"/>
        </w:rPr>
        <w:t>generally linked to</w:t>
      </w:r>
      <w:r>
        <w:rPr>
          <w:sz w:val="24"/>
          <w:szCs w:val="24"/>
        </w:rPr>
        <w:t xml:space="preserve"> licensing practices</w:t>
      </w:r>
      <w:r>
        <w:rPr>
          <w:rStyle w:val="FootnoteReference"/>
          <w:sz w:val="24"/>
          <w:szCs w:val="24"/>
        </w:rPr>
        <w:footnoteReference w:id="146"/>
      </w:r>
      <w:r>
        <w:rPr>
          <w:sz w:val="24"/>
          <w:szCs w:val="24"/>
        </w:rPr>
        <w:t xml:space="preserve"> based on</w:t>
      </w:r>
      <w:r w:rsidRPr="00806A63">
        <w:rPr>
          <w:sz w:val="24"/>
          <w:szCs w:val="24"/>
        </w:rPr>
        <w:t xml:space="preserve"> exclusivity</w:t>
      </w:r>
      <w:r>
        <w:rPr>
          <w:sz w:val="24"/>
          <w:szCs w:val="24"/>
        </w:rPr>
        <w:t xml:space="preserve"> of exploitation rights </w:t>
      </w:r>
      <w:r w:rsidRPr="00806A63">
        <w:rPr>
          <w:sz w:val="24"/>
          <w:szCs w:val="24"/>
        </w:rPr>
        <w:t xml:space="preserve">and </w:t>
      </w:r>
      <w:r>
        <w:rPr>
          <w:sz w:val="24"/>
          <w:szCs w:val="24"/>
        </w:rPr>
        <w:t>on the release windows system. They</w:t>
      </w:r>
      <w:r w:rsidRPr="00AA0468">
        <w:rPr>
          <w:sz w:val="24"/>
          <w:szCs w:val="24"/>
        </w:rPr>
        <w:t xml:space="preserve"> </w:t>
      </w:r>
      <w:r w:rsidRPr="00A91030">
        <w:rPr>
          <w:sz w:val="24"/>
          <w:szCs w:val="24"/>
        </w:rPr>
        <w:t xml:space="preserve">limit the online availability of </w:t>
      </w:r>
      <w:r w:rsidR="00F506EA">
        <w:rPr>
          <w:sz w:val="24"/>
          <w:szCs w:val="24"/>
        </w:rPr>
        <w:t>AV</w:t>
      </w:r>
      <w:r w:rsidR="00F506EA" w:rsidRPr="00A91030">
        <w:rPr>
          <w:sz w:val="24"/>
          <w:szCs w:val="24"/>
        </w:rPr>
        <w:t xml:space="preserve"> </w:t>
      </w:r>
      <w:r w:rsidRPr="00A91030">
        <w:rPr>
          <w:sz w:val="24"/>
          <w:szCs w:val="24"/>
        </w:rPr>
        <w:t>works</w:t>
      </w:r>
      <w:r>
        <w:rPr>
          <w:sz w:val="24"/>
          <w:szCs w:val="24"/>
        </w:rPr>
        <w:t xml:space="preserve"> on VoD platforms</w:t>
      </w:r>
      <w:r w:rsidRPr="00A91030">
        <w:rPr>
          <w:sz w:val="24"/>
          <w:szCs w:val="24"/>
        </w:rPr>
        <w:t xml:space="preserve">. </w:t>
      </w:r>
      <w:r>
        <w:rPr>
          <w:sz w:val="24"/>
          <w:szCs w:val="24"/>
        </w:rPr>
        <w:t>A</w:t>
      </w:r>
      <w:r w:rsidRPr="00A91030">
        <w:rPr>
          <w:sz w:val="24"/>
          <w:szCs w:val="24"/>
        </w:rPr>
        <w:t xml:space="preserve"> typical situation is where</w:t>
      </w:r>
      <w:r>
        <w:rPr>
          <w:sz w:val="24"/>
          <w:szCs w:val="24"/>
        </w:rPr>
        <w:t xml:space="preserve"> all</w:t>
      </w:r>
      <w:r w:rsidRPr="00A91030">
        <w:rPr>
          <w:sz w:val="24"/>
          <w:szCs w:val="24"/>
        </w:rPr>
        <w:t xml:space="preserve"> the rights (including VoD rights) </w:t>
      </w:r>
      <w:r>
        <w:rPr>
          <w:sz w:val="24"/>
          <w:szCs w:val="24"/>
        </w:rPr>
        <w:t>to</w:t>
      </w:r>
      <w:r w:rsidRPr="00A91030">
        <w:rPr>
          <w:sz w:val="24"/>
          <w:szCs w:val="24"/>
        </w:rPr>
        <w:t xml:space="preserve"> a specific work </w:t>
      </w:r>
      <w:r>
        <w:rPr>
          <w:sz w:val="24"/>
          <w:szCs w:val="24"/>
        </w:rPr>
        <w:t>have been granted on an exclusive basis to an entity</w:t>
      </w:r>
      <w:r w:rsidRPr="00A91030">
        <w:rPr>
          <w:sz w:val="24"/>
          <w:szCs w:val="24"/>
        </w:rPr>
        <w:t xml:space="preserve"> who is not interested in the online exploitati</w:t>
      </w:r>
      <w:r w:rsidRPr="008334EC">
        <w:rPr>
          <w:sz w:val="24"/>
          <w:szCs w:val="24"/>
        </w:rPr>
        <w:t>on of the work (e.g. a broadcaster to whom exclusivity was granted as a counterpart for the financing of the work</w:t>
      </w:r>
      <w:r w:rsidRPr="00705E14">
        <w:rPr>
          <w:sz w:val="24"/>
          <w:szCs w:val="24"/>
        </w:rPr>
        <w:t xml:space="preserve">). Another situation is when a right holder decides to hold back online rights as long as the rights for a theatrical release have not been licensed, in order to keep open its chances to get the highest revenues. Some </w:t>
      </w:r>
      <w:r w:rsidR="000A4909">
        <w:rPr>
          <w:sz w:val="24"/>
          <w:szCs w:val="24"/>
        </w:rPr>
        <w:t>r</w:t>
      </w:r>
      <w:r w:rsidR="00007677">
        <w:rPr>
          <w:sz w:val="24"/>
          <w:szCs w:val="24"/>
        </w:rPr>
        <w:t>ightholders</w:t>
      </w:r>
      <w:r w:rsidRPr="00705E14">
        <w:rPr>
          <w:sz w:val="24"/>
          <w:szCs w:val="24"/>
        </w:rPr>
        <w:t xml:space="preserve"> want indeed to keep maximum flexibility as regards exploitation rights, even if this leads to no exploitation on VoD platforms. In those cases, the online exploitation of the work remains blocked for an indefinite time. When digital exploitation occurs, </w:t>
      </w:r>
      <w:r w:rsidR="000A4909">
        <w:rPr>
          <w:sz w:val="24"/>
          <w:szCs w:val="24"/>
        </w:rPr>
        <w:t>r</w:t>
      </w:r>
      <w:r w:rsidR="00007677">
        <w:rPr>
          <w:sz w:val="24"/>
          <w:szCs w:val="24"/>
        </w:rPr>
        <w:t>ightholders</w:t>
      </w:r>
      <w:r w:rsidRPr="00705E14">
        <w:rPr>
          <w:sz w:val="24"/>
          <w:szCs w:val="24"/>
        </w:rPr>
        <w:t xml:space="preserve"> often decide to enter the VoD exploitation only when revenues from other windows have been secured</w:t>
      </w:r>
      <w:r>
        <w:rPr>
          <w:sz w:val="24"/>
          <w:szCs w:val="24"/>
        </w:rPr>
        <w:t>.</w:t>
      </w:r>
      <w:r w:rsidRPr="00705E14">
        <w:rPr>
          <w:rStyle w:val="FootnoteReference"/>
          <w:sz w:val="24"/>
          <w:szCs w:val="24"/>
        </w:rPr>
        <w:footnoteReference w:id="147"/>
      </w:r>
      <w:r w:rsidRPr="00705E14">
        <w:rPr>
          <w:sz w:val="24"/>
          <w:szCs w:val="24"/>
        </w:rPr>
        <w:t xml:space="preserve"> For instance, broadcasters often insist upon full or partial holdbacks against either TVoD or SVoD exploitation during the period covered by their licence</w:t>
      </w:r>
      <w:r>
        <w:rPr>
          <w:sz w:val="24"/>
          <w:szCs w:val="24"/>
        </w:rPr>
        <w:t>.</w:t>
      </w:r>
      <w:r w:rsidRPr="00705E14">
        <w:rPr>
          <w:rStyle w:val="FootnoteReference"/>
          <w:sz w:val="24"/>
          <w:szCs w:val="24"/>
        </w:rPr>
        <w:footnoteReference w:id="148"/>
      </w:r>
      <w:r w:rsidRPr="00705E14">
        <w:rPr>
          <w:color w:val="222222"/>
          <w:sz w:val="24"/>
          <w:szCs w:val="24"/>
        </w:rPr>
        <w:t xml:space="preserve"> </w:t>
      </w:r>
      <w:r w:rsidRPr="00705E14">
        <w:rPr>
          <w:sz w:val="24"/>
          <w:szCs w:val="24"/>
        </w:rPr>
        <w:t>In those cases, the online exploitation of a work occurs at the very end of the release windows</w:t>
      </w:r>
      <w:r>
        <w:rPr>
          <w:sz w:val="24"/>
          <w:szCs w:val="24"/>
        </w:rPr>
        <w:t>.</w:t>
      </w:r>
      <w:r w:rsidRPr="00705E14">
        <w:rPr>
          <w:rStyle w:val="FootnoteReference"/>
          <w:sz w:val="24"/>
          <w:szCs w:val="24"/>
        </w:rPr>
        <w:footnoteReference w:id="149"/>
      </w:r>
      <w:r w:rsidRPr="00705E14">
        <w:rPr>
          <w:sz w:val="24"/>
          <w:szCs w:val="24"/>
        </w:rPr>
        <w:t xml:space="preserve"> This may negatively impact the attractiveness of VoD offers.</w:t>
      </w:r>
      <w:r w:rsidRPr="00A91030">
        <w:rPr>
          <w:sz w:val="24"/>
          <w:szCs w:val="24"/>
        </w:rPr>
        <w:t xml:space="preserve"> </w:t>
      </w:r>
    </w:p>
    <w:p w:rsidR="00A57992" w:rsidRPr="00A91030" w:rsidRDefault="00A57992" w:rsidP="00A57992">
      <w:pPr>
        <w:pStyle w:val="FootnoteText"/>
        <w:spacing w:after="120"/>
        <w:ind w:left="0" w:firstLine="0"/>
        <w:rPr>
          <w:sz w:val="24"/>
          <w:szCs w:val="24"/>
        </w:rPr>
      </w:pPr>
      <w:r>
        <w:rPr>
          <w:i/>
          <w:sz w:val="24"/>
          <w:szCs w:val="24"/>
        </w:rPr>
        <w:t xml:space="preserve">[Complex clearance of </w:t>
      </w:r>
      <w:r w:rsidRPr="00513D48">
        <w:rPr>
          <w:i/>
          <w:sz w:val="24"/>
          <w:szCs w:val="24"/>
        </w:rPr>
        <w:t>rights</w:t>
      </w:r>
      <w:r>
        <w:rPr>
          <w:sz w:val="24"/>
          <w:szCs w:val="24"/>
        </w:rPr>
        <w:t xml:space="preserve">] Secondly, </w:t>
      </w:r>
      <w:r w:rsidRPr="00ED79C5">
        <w:rPr>
          <w:sz w:val="24"/>
          <w:szCs w:val="24"/>
        </w:rPr>
        <w:t>clearance of rights</w:t>
      </w:r>
      <w:r>
        <w:rPr>
          <w:sz w:val="24"/>
          <w:szCs w:val="24"/>
        </w:rPr>
        <w:t xml:space="preserve"> for VoD exploitation can be complex. It is not always easy to determine who owns the digital rights (e.g. lack of any licence from the </w:t>
      </w:r>
      <w:r w:rsidRPr="004A16CA">
        <w:rPr>
          <w:sz w:val="24"/>
          <w:szCs w:val="24"/>
        </w:rPr>
        <w:t>initial author</w:t>
      </w:r>
      <w:r w:rsidRPr="00CE35F9">
        <w:rPr>
          <w:rStyle w:val="FootnoteReference"/>
          <w:sz w:val="24"/>
          <w:szCs w:val="24"/>
        </w:rPr>
        <w:footnoteReference w:id="150"/>
      </w:r>
      <w:r w:rsidRPr="005D30DF">
        <w:rPr>
          <w:sz w:val="24"/>
          <w:szCs w:val="24"/>
        </w:rPr>
        <w:t xml:space="preserve"> or succession issues) or whether all the rights for the VoD exploitation have been cleared. For instance, it has been reported that the rights </w:t>
      </w:r>
      <w:r>
        <w:rPr>
          <w:sz w:val="24"/>
          <w:szCs w:val="24"/>
        </w:rPr>
        <w:t>to</w:t>
      </w:r>
      <w:r w:rsidRPr="005D30DF">
        <w:rPr>
          <w:sz w:val="24"/>
          <w:szCs w:val="24"/>
        </w:rPr>
        <w:t xml:space="preserve"> music included in a </w:t>
      </w:r>
      <w:r w:rsidR="005530E8">
        <w:rPr>
          <w:sz w:val="24"/>
          <w:szCs w:val="24"/>
        </w:rPr>
        <w:t>film</w:t>
      </w:r>
      <w:r w:rsidRPr="005D30DF">
        <w:rPr>
          <w:sz w:val="24"/>
          <w:szCs w:val="24"/>
        </w:rPr>
        <w:t xml:space="preserve"> had not been cleared for SVoD exploitation, leading to the impo</w:t>
      </w:r>
      <w:r w:rsidRPr="00AA0468">
        <w:rPr>
          <w:sz w:val="24"/>
          <w:szCs w:val="24"/>
        </w:rPr>
        <w:t>ssibility for a VoD platform to include this work in its SVoD catalogue.</w:t>
      </w:r>
      <w:r>
        <w:rPr>
          <w:sz w:val="24"/>
          <w:szCs w:val="24"/>
        </w:rPr>
        <w:t xml:space="preserve"> </w:t>
      </w:r>
    </w:p>
    <w:p w:rsidR="00A57992" w:rsidRPr="005150CF" w:rsidRDefault="00A57992" w:rsidP="00A57992">
      <w:pPr>
        <w:pStyle w:val="FootnoteText"/>
        <w:spacing w:after="120"/>
        <w:ind w:left="0" w:firstLine="0"/>
        <w:rPr>
          <w:sz w:val="24"/>
          <w:szCs w:val="24"/>
        </w:rPr>
      </w:pPr>
      <w:r>
        <w:rPr>
          <w:sz w:val="24"/>
          <w:szCs w:val="24"/>
        </w:rPr>
        <w:t>[</w:t>
      </w:r>
      <w:r>
        <w:rPr>
          <w:i/>
          <w:sz w:val="24"/>
          <w:szCs w:val="24"/>
        </w:rPr>
        <w:t>Lack of efficient licensing model</w:t>
      </w:r>
      <w:r>
        <w:rPr>
          <w:sz w:val="24"/>
          <w:szCs w:val="24"/>
        </w:rPr>
        <w:t xml:space="preserve">] </w:t>
      </w:r>
      <w:r w:rsidRPr="00513D48">
        <w:rPr>
          <w:sz w:val="24"/>
          <w:szCs w:val="24"/>
        </w:rPr>
        <w:t>A</w:t>
      </w:r>
      <w:r w:rsidRPr="00A91030">
        <w:rPr>
          <w:sz w:val="24"/>
          <w:szCs w:val="24"/>
        </w:rPr>
        <w:t xml:space="preserve"> third</w:t>
      </w:r>
      <w:r>
        <w:rPr>
          <w:sz w:val="24"/>
          <w:szCs w:val="24"/>
        </w:rPr>
        <w:t xml:space="preserve"> and more significant</w:t>
      </w:r>
      <w:r w:rsidRPr="00A91030">
        <w:rPr>
          <w:sz w:val="24"/>
          <w:szCs w:val="24"/>
        </w:rPr>
        <w:t xml:space="preserve"> obstacle is the </w:t>
      </w:r>
      <w:r>
        <w:rPr>
          <w:sz w:val="24"/>
          <w:szCs w:val="24"/>
        </w:rPr>
        <w:t>lack of efficient licensing model</w:t>
      </w:r>
      <w:r w:rsidRPr="00ED79C5">
        <w:rPr>
          <w:sz w:val="24"/>
          <w:szCs w:val="24"/>
        </w:rPr>
        <w:t xml:space="preserve"> </w:t>
      </w:r>
      <w:r>
        <w:rPr>
          <w:sz w:val="24"/>
          <w:szCs w:val="24"/>
        </w:rPr>
        <w:t>for online</w:t>
      </w:r>
      <w:r w:rsidRPr="00A91030">
        <w:rPr>
          <w:sz w:val="24"/>
          <w:szCs w:val="24"/>
        </w:rPr>
        <w:t xml:space="preserve"> exploitation rights</w:t>
      </w:r>
      <w:r w:rsidRPr="007D5F6B">
        <w:rPr>
          <w:sz w:val="24"/>
          <w:szCs w:val="24"/>
        </w:rPr>
        <w:t>. This mainly derives from the poor return on investment linked to making the works available on V</w:t>
      </w:r>
      <w:r w:rsidRPr="00D626CF">
        <w:rPr>
          <w:sz w:val="24"/>
          <w:szCs w:val="24"/>
        </w:rPr>
        <w:t>oD platforms.</w:t>
      </w:r>
    </w:p>
    <w:p w:rsidR="00A57992" w:rsidRDefault="00A57992" w:rsidP="00A57992">
      <w:pPr>
        <w:pStyle w:val="Default"/>
        <w:widowControl w:val="0"/>
        <w:spacing w:after="120"/>
        <w:jc w:val="both"/>
      </w:pPr>
      <w:r w:rsidRPr="005150CF">
        <w:t xml:space="preserve">As regards the </w:t>
      </w:r>
      <w:r w:rsidR="000A4909">
        <w:t>r</w:t>
      </w:r>
      <w:r w:rsidR="00007677">
        <w:t>ightholders</w:t>
      </w:r>
      <w:r w:rsidRPr="005150CF">
        <w:t xml:space="preserve"> and distributors</w:t>
      </w:r>
      <w:r w:rsidRPr="006B2EC7">
        <w:t>, the exploitation on VoD platforms is still an emerging market</w:t>
      </w:r>
      <w:r w:rsidRPr="007D5F6B">
        <w:rPr>
          <w:rStyle w:val="FootnoteReference"/>
        </w:rPr>
        <w:footnoteReference w:id="151"/>
      </w:r>
      <w:r w:rsidRPr="007D5F6B">
        <w:t xml:space="preserve"> and, at least for SVoD, it comes at the end of the release windows. Therefore the remuneration that is collected for this mode of exploitation remains limited.</w:t>
      </w:r>
      <w:r>
        <w:rPr>
          <w:rStyle w:val="FootnoteReference"/>
        </w:rPr>
        <w:footnoteReference w:id="152"/>
      </w:r>
      <w:r w:rsidRPr="007D5F6B">
        <w:t xml:space="preserve"> The revenues will depend on the sales models and the VoD type. For instance, SVoD is generally remunerated via a flat fee (around 3</w:t>
      </w:r>
      <w:r w:rsidR="00C20A59">
        <w:t>,</w:t>
      </w:r>
      <w:r w:rsidRPr="007D5F6B">
        <w:t>000-10</w:t>
      </w:r>
      <w:r w:rsidR="00C20A59">
        <w:t>,</w:t>
      </w:r>
      <w:r w:rsidRPr="007D5F6B">
        <w:t>000 for 18 months) when TVoD will be remunerated by a percentage of the sale price</w:t>
      </w:r>
      <w:r>
        <w:t>.</w:t>
      </w:r>
      <w:r w:rsidRPr="007D5F6B">
        <w:rPr>
          <w:rStyle w:val="FootnoteReference"/>
        </w:rPr>
        <w:footnoteReference w:id="153"/>
      </w:r>
      <w:r w:rsidRPr="007D5F6B">
        <w:t xml:space="preserve"> A study</w:t>
      </w:r>
      <w:r w:rsidRPr="007D5F6B">
        <w:rPr>
          <w:rStyle w:val="FootnoteReference"/>
        </w:rPr>
        <w:footnoteReference w:id="154"/>
      </w:r>
      <w:r w:rsidRPr="007D5F6B">
        <w:t xml:space="preserve"> shows that a right holder received approximately €1</w:t>
      </w:r>
      <w:r w:rsidR="00C20A59">
        <w:t>.</w:t>
      </w:r>
      <w:r w:rsidRPr="007D5F6B">
        <w:t>5 from each VoD rental, but a sale of the same film on DVD or Blu-ray came with at least three times higher revenues</w:t>
      </w:r>
      <w:r>
        <w:t>.</w:t>
      </w:r>
      <w:r w:rsidRPr="007D5F6B">
        <w:rPr>
          <w:rStyle w:val="FootnoteReference"/>
        </w:rPr>
        <w:footnoteReference w:id="155"/>
      </w:r>
      <w:r w:rsidRPr="007D5F6B">
        <w:t xml:space="preserve"> Currently, revenues from theatrical exploitation </w:t>
      </w:r>
      <w:r>
        <w:t>largely outweigh VoD revenues.</w:t>
      </w:r>
      <w:r w:rsidRPr="007D5F6B">
        <w:rPr>
          <w:rStyle w:val="FootnoteReference"/>
        </w:rPr>
        <w:footnoteReference w:id="156"/>
      </w:r>
      <w:r w:rsidRPr="007D5F6B">
        <w:t xml:space="preserve"> This </w:t>
      </w:r>
      <w:r w:rsidRPr="007D5F6B">
        <w:rPr>
          <w:i/>
        </w:rPr>
        <w:t>low remuneration</w:t>
      </w:r>
      <w:r w:rsidRPr="007D5F6B">
        <w:t xml:space="preserve"> could by itself prevent </w:t>
      </w:r>
      <w:r w:rsidR="000A4909">
        <w:t>r</w:t>
      </w:r>
      <w:r w:rsidR="00007677">
        <w:t>ightholders</w:t>
      </w:r>
      <w:r w:rsidRPr="007D5F6B">
        <w:t xml:space="preserve"> and distributors</w:t>
      </w:r>
      <w:r w:rsidRPr="007D5F6B" w:rsidDel="00C16F49">
        <w:t xml:space="preserve"> </w:t>
      </w:r>
      <w:r w:rsidRPr="007D5F6B">
        <w:t>from exploiting VoD rights, in particular</w:t>
      </w:r>
      <w:r>
        <w:t xml:space="preserve"> if there is a risk that the availability of works on VoD platforms undermines revenues from more profitable distribution channels (e.g. DVD, Blu-ray)</w:t>
      </w:r>
      <w:r w:rsidRPr="00A91030">
        <w:t xml:space="preserve">. </w:t>
      </w:r>
    </w:p>
    <w:p w:rsidR="00A57992" w:rsidRPr="007D5F6B" w:rsidRDefault="00A57992" w:rsidP="00A57992">
      <w:pPr>
        <w:pStyle w:val="Default"/>
        <w:spacing w:after="120"/>
        <w:jc w:val="both"/>
      </w:pPr>
      <w:r w:rsidRPr="007D5F6B">
        <w:t xml:space="preserve">In view of the low revenues, </w:t>
      </w:r>
      <w:r w:rsidRPr="007D5F6B">
        <w:rPr>
          <w:i/>
        </w:rPr>
        <w:t>transaction and technical costs</w:t>
      </w:r>
      <w:r w:rsidRPr="00C41E1F">
        <w:rPr>
          <w:rStyle w:val="FootnoteReference"/>
        </w:rPr>
        <w:footnoteReference w:id="157"/>
      </w:r>
      <w:r w:rsidRPr="00C41E1F">
        <w:t xml:space="preserve"> can be too heavy, in particular for small productions, </w:t>
      </w:r>
      <w:r w:rsidRPr="00D626CF">
        <w:t xml:space="preserve">old works or </w:t>
      </w:r>
      <w:r w:rsidRPr="005150CF">
        <w:t>in the absence of traditional commercial distribution of a work in a given territory</w:t>
      </w:r>
      <w:r>
        <w:t>.</w:t>
      </w:r>
      <w:r w:rsidRPr="005150CF">
        <w:rPr>
          <w:rStyle w:val="FootnoteReference"/>
        </w:rPr>
        <w:footnoteReference w:id="158"/>
      </w:r>
      <w:r w:rsidRPr="00EE03C3">
        <w:t xml:space="preserve"> </w:t>
      </w:r>
      <w:r w:rsidR="00007677">
        <w:t>Rightholders</w:t>
      </w:r>
      <w:r>
        <w:t xml:space="preserve"> therefore</w:t>
      </w:r>
      <w:r w:rsidRPr="007D5F6B">
        <w:t xml:space="preserve"> need a highly efficient licensing model (i.e. easy contact, negotiations kept to a minimum and standard contracts) to limit the costs. In this respect, big studios (mainly American studios) are better equipped than small or even medium producers. This could explain why only 27</w:t>
      </w:r>
      <w:r w:rsidR="000A4909">
        <w:t xml:space="preserve"> </w:t>
      </w:r>
      <w:r w:rsidRPr="007D5F6B">
        <w:t>% of films available on VoD and 30</w:t>
      </w:r>
      <w:r w:rsidR="000A4909">
        <w:t xml:space="preserve"> </w:t>
      </w:r>
      <w:r w:rsidRPr="007D5F6B">
        <w:t>% on SVoD in the EU are European</w:t>
      </w:r>
      <w:r>
        <w:t>.</w:t>
      </w:r>
      <w:r w:rsidRPr="007D5F6B">
        <w:rPr>
          <w:rStyle w:val="FootnoteReference"/>
        </w:rPr>
        <w:footnoteReference w:id="159"/>
      </w:r>
      <w:r w:rsidRPr="007D5F6B">
        <w:t xml:space="preserve"> </w:t>
      </w:r>
    </w:p>
    <w:p w:rsidR="00A57992" w:rsidRPr="00A91030" w:rsidRDefault="00A57992" w:rsidP="00A57992">
      <w:pPr>
        <w:pStyle w:val="Default"/>
        <w:widowControl w:val="0"/>
        <w:spacing w:after="120"/>
        <w:jc w:val="both"/>
      </w:pPr>
      <w:r w:rsidRPr="007D5F6B">
        <w:t xml:space="preserve">As regards VoD platforms and aggregators, several costs affect their ability to include more works in their catalogue. Firstly, the </w:t>
      </w:r>
      <w:r w:rsidRPr="007D5F6B">
        <w:rPr>
          <w:i/>
        </w:rPr>
        <w:t>price of the works</w:t>
      </w:r>
      <w:r w:rsidRPr="007D5F6B">
        <w:t xml:space="preserve"> can prevent them from including these works in their catalogue. With limited budgets, VoD platforms </w:t>
      </w:r>
      <w:r>
        <w:t>have to make choices and would only</w:t>
      </w:r>
      <w:r w:rsidRPr="007D5F6B">
        <w:t xml:space="preserve"> pay high licence fees for highly valuable works</w:t>
      </w:r>
      <w:r>
        <w:t>.</w:t>
      </w:r>
      <w:r w:rsidRPr="007D5F6B">
        <w:rPr>
          <w:rStyle w:val="FootnoteReference"/>
        </w:rPr>
        <w:footnoteReference w:id="160"/>
      </w:r>
      <w:r w:rsidRPr="007D5F6B">
        <w:t xml:space="preserve"> Secondly, </w:t>
      </w:r>
      <w:r w:rsidRPr="007D5F6B">
        <w:rPr>
          <w:i/>
        </w:rPr>
        <w:t>transaction costs</w:t>
      </w:r>
      <w:r w:rsidRPr="007D5F6B">
        <w:t xml:space="preserve"> can be important</w:t>
      </w:r>
      <w:r>
        <w:t xml:space="preserve">, in particular when contracting with small or medium producers. </w:t>
      </w:r>
      <w:r w:rsidRPr="007D5F6B">
        <w:t xml:space="preserve">Except for highly valuable works, VoD platforms generally prefer to conduct negotiations with big studios covering a whole catalogue than individual negotiations with small or medium producers covering only few titles. With multiple individual negotiations come diverse and multiple demands from </w:t>
      </w:r>
      <w:r w:rsidR="000A4909">
        <w:t>r</w:t>
      </w:r>
      <w:r w:rsidR="00007677">
        <w:t>ightholders</w:t>
      </w:r>
      <w:r w:rsidRPr="007D5F6B">
        <w:t xml:space="preserve">. Aggregators, acting as intermediaries, facilitate contacts and agreements between </w:t>
      </w:r>
      <w:r w:rsidR="000A4909">
        <w:t>r</w:t>
      </w:r>
      <w:r w:rsidR="00007677">
        <w:t>ightholders</w:t>
      </w:r>
      <w:r w:rsidRPr="007D5F6B">
        <w:t>, their representatives and VoD platforms</w:t>
      </w:r>
      <w:r>
        <w:t>.</w:t>
      </w:r>
      <w:r w:rsidRPr="007D5F6B">
        <w:rPr>
          <w:rStyle w:val="FootnoteReference"/>
        </w:rPr>
        <w:footnoteReference w:id="161"/>
      </w:r>
      <w:r w:rsidRPr="007D5F6B">
        <w:t xml:space="preserve"> However, aggregators face</w:t>
      </w:r>
      <w:r w:rsidRPr="00A91030">
        <w:t xml:space="preserve"> similar issues: a burdensome licensing process and title-by-title negoti</w:t>
      </w:r>
      <w:r>
        <w:t>a</w:t>
      </w:r>
      <w:r w:rsidRPr="00AA0468">
        <w:t>tion</w:t>
      </w:r>
      <w:r>
        <w:t>.</w:t>
      </w:r>
      <w:r>
        <w:rPr>
          <w:rStyle w:val="FootnoteReference"/>
        </w:rPr>
        <w:footnoteReference w:id="162"/>
      </w:r>
      <w:r w:rsidRPr="00A91030">
        <w:t xml:space="preserve"> </w:t>
      </w:r>
      <w:r>
        <w:t>To some extent</w:t>
      </w:r>
      <w:r w:rsidRPr="00A91030">
        <w:t>,</w:t>
      </w:r>
      <w:r>
        <w:t xml:space="preserve"> </w:t>
      </w:r>
      <w:r w:rsidRPr="00BF1B10">
        <w:t>t</w:t>
      </w:r>
      <w:r w:rsidRPr="00BF1B10">
        <w:rPr>
          <w:i/>
        </w:rPr>
        <w:t>echnical costs</w:t>
      </w:r>
      <w:r w:rsidRPr="00A91030">
        <w:rPr>
          <w:rStyle w:val="FootnoteReference"/>
        </w:rPr>
        <w:footnoteReference w:id="163"/>
      </w:r>
      <w:r w:rsidRPr="00A91030">
        <w:t xml:space="preserve"> can </w:t>
      </w:r>
      <w:r>
        <w:t xml:space="preserve">also </w:t>
      </w:r>
      <w:r w:rsidRPr="00A91030">
        <w:t xml:space="preserve">affect VoD platforms and aggregators negatively. </w:t>
      </w:r>
    </w:p>
    <w:p w:rsidR="00A57992" w:rsidRDefault="00A57992" w:rsidP="00A57992">
      <w:pPr>
        <w:pStyle w:val="Default"/>
        <w:widowControl w:val="0"/>
        <w:spacing w:after="120"/>
        <w:jc w:val="both"/>
      </w:pPr>
      <w:r w:rsidRPr="00DB5A9E">
        <w:rPr>
          <w:u w:val="single"/>
        </w:rPr>
        <w:t>Consequences:</w:t>
      </w:r>
      <w:r>
        <w:t xml:space="preserve"> All above-mentioned obstacles, either by themselves (e.g. a contractual blockage) or as a combination (contractual blockage reinforced by a poor return on investment) can explain why some European </w:t>
      </w:r>
      <w:r w:rsidR="00F506EA">
        <w:t xml:space="preserve">AV </w:t>
      </w:r>
      <w:r>
        <w:t xml:space="preserve">works, in particular small productions, are not available on VoD platforms. Only half of European </w:t>
      </w:r>
      <w:r w:rsidR="00F506EA">
        <w:t xml:space="preserve">AV </w:t>
      </w:r>
      <w:r>
        <w:t>works released in cinemas are indeed available on VoD platforms and VoD platforms' catalogue do generally not include more than 30</w:t>
      </w:r>
      <w:r w:rsidR="00C20A59">
        <w:t xml:space="preserve"> </w:t>
      </w:r>
      <w:r>
        <w:t>% of European works.</w:t>
      </w:r>
    </w:p>
    <w:p w:rsidR="00A57992" w:rsidRDefault="00A57992" w:rsidP="00A57992">
      <w:pPr>
        <w:pStyle w:val="Default"/>
        <w:widowControl w:val="0"/>
        <w:spacing w:after="120"/>
        <w:jc w:val="both"/>
      </w:pPr>
      <w:r w:rsidRPr="00C32C45">
        <w:rPr>
          <w:rFonts w:eastAsia="Times New Roman"/>
          <w:u w:val="single"/>
          <w:bdr w:val="nil"/>
          <w:lang w:eastAsia="en-GB"/>
        </w:rPr>
        <w:t>How the problem would evolve:</w:t>
      </w:r>
      <w:r>
        <w:rPr>
          <w:rFonts w:eastAsia="Times New Roman"/>
          <w:u w:color="000000"/>
          <w:bdr w:val="nil"/>
          <w:lang w:eastAsia="en-GB"/>
        </w:rPr>
        <w:t xml:space="preserve"> </w:t>
      </w:r>
      <w:r>
        <w:t xml:space="preserve">In conclusion, despite the growing number of online content services, many </w:t>
      </w:r>
      <w:r w:rsidR="00F506EA">
        <w:t xml:space="preserve">AV </w:t>
      </w:r>
      <w:r>
        <w:t xml:space="preserve">works (and among them, many European works) would not find their way to online exploitation. Evolution of the market could improve the availability of these works on VoD platforms, however </w:t>
      </w:r>
      <w:r w:rsidRPr="00705E14">
        <w:t>obstacles, including related to the licensing of rights, are</w:t>
      </w:r>
      <w:r>
        <w:t xml:space="preserve"> likely to persist. </w:t>
      </w:r>
    </w:p>
    <w:p w:rsidR="00A57992" w:rsidRPr="00EF6341" w:rsidRDefault="00A57992" w:rsidP="00A57992">
      <w:pPr>
        <w:pStyle w:val="Heading3"/>
      </w:pPr>
      <w:bookmarkStart w:id="37" w:name="_Toc434927418"/>
      <w:bookmarkStart w:id="38" w:name="_Toc442345449"/>
      <w:bookmarkStart w:id="39" w:name="_Toc461114711"/>
      <w:r w:rsidRPr="00EF6341">
        <w:t>What are the various options to achieve the objectives?</w:t>
      </w:r>
      <w:bookmarkEnd w:id="37"/>
      <w:bookmarkEnd w:id="38"/>
      <w:bookmarkEnd w:id="39"/>
    </w:p>
    <w:p w:rsidR="00A57992" w:rsidRPr="00F97EE2" w:rsidRDefault="00A57992" w:rsidP="00A57992">
      <w:pPr>
        <w:pStyle w:val="Default"/>
        <w:widowControl w:val="0"/>
        <w:spacing w:after="120"/>
        <w:jc w:val="both"/>
      </w:pPr>
      <w:r w:rsidRPr="00F97EE2">
        <w:t xml:space="preserve">The options below </w:t>
      </w:r>
      <w:r>
        <w:t xml:space="preserve">focus specifically on </w:t>
      </w:r>
      <w:r w:rsidRPr="00F97EE2">
        <w:t>the licensing problems</w:t>
      </w:r>
      <w:r>
        <w:t xml:space="preserve"> </w:t>
      </w:r>
      <w:r w:rsidRPr="0052704D">
        <w:rPr>
          <w:u w:val="single"/>
        </w:rPr>
        <w:t>and the difficulties of acquisition of rights</w:t>
      </w:r>
      <w:r>
        <w:t xml:space="preserve"> limiting the availability of European </w:t>
      </w:r>
      <w:r w:rsidR="00F506EA">
        <w:t xml:space="preserve">AV </w:t>
      </w:r>
      <w:r w:rsidRPr="00F1798F">
        <w:t>works on VoD platforms, described above. The rest of the issues will be addressed in parallel by the accompanying measures as described in the Communication "Towards a modern, more European copyright framework"</w:t>
      </w:r>
      <w:r w:rsidRPr="00F1798F">
        <w:rPr>
          <w:rStyle w:val="FootnoteReference"/>
        </w:rPr>
        <w:footnoteReference w:id="164"/>
      </w:r>
      <w:r w:rsidRPr="00F1798F">
        <w:t xml:space="preserve"> and in the framework of the 'Creative Europe' programme.</w:t>
      </w:r>
    </w:p>
    <w:p w:rsidR="00A57992" w:rsidRPr="007C5117" w:rsidRDefault="00A57992" w:rsidP="00A57992">
      <w:pPr>
        <w:pStyle w:val="Text1"/>
        <w:ind w:left="0"/>
        <w:rPr>
          <w:b/>
        </w:rPr>
      </w:pPr>
      <w:r w:rsidRPr="007C5117">
        <w:rPr>
          <w:b/>
        </w:rPr>
        <w:t>Baseline</w:t>
      </w:r>
    </w:p>
    <w:p w:rsidR="00A57992" w:rsidRDefault="00A57992" w:rsidP="00A57992">
      <w:pPr>
        <w:pStyle w:val="Default"/>
        <w:widowControl w:val="0"/>
        <w:spacing w:after="120"/>
        <w:jc w:val="both"/>
      </w:pPr>
      <w:r>
        <w:t xml:space="preserve">No policy intervention. This option would rely on the natural evolution of the VoD market. As VoD will become an increasingly important way to access </w:t>
      </w:r>
      <w:r w:rsidR="00F506EA">
        <w:t xml:space="preserve">AV </w:t>
      </w:r>
      <w:r>
        <w:t xml:space="preserve">works in the coming years, it is likely to gain in financial attractiveness for </w:t>
      </w:r>
      <w:r w:rsidR="00687496">
        <w:t>r</w:t>
      </w:r>
      <w:r w:rsidR="00007677">
        <w:t>ightholders</w:t>
      </w:r>
      <w:r>
        <w:t xml:space="preserve">.  </w:t>
      </w:r>
    </w:p>
    <w:p w:rsidR="00A57992" w:rsidRPr="007C5117"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i/>
          <w:sz w:val="20"/>
          <w:szCs w:val="20"/>
        </w:rPr>
      </w:pPr>
      <w:r w:rsidRPr="007C5117">
        <w:rPr>
          <w:rFonts w:ascii="Times New Roman" w:hAnsi="Times New Roman" w:cs="Times New Roman"/>
          <w:i/>
          <w:sz w:val="20"/>
          <w:szCs w:val="20"/>
        </w:rPr>
        <w:t>Stakeholders' views</w:t>
      </w:r>
    </w:p>
    <w:p w:rsidR="00A57992" w:rsidRPr="007C5117"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0"/>
          <w:szCs w:val="20"/>
        </w:rPr>
      </w:pPr>
      <w:r w:rsidRPr="007C5117">
        <w:rPr>
          <w:rFonts w:ascii="Times New Roman" w:hAnsi="Times New Roman" w:cs="Times New Roman"/>
          <w:sz w:val="20"/>
          <w:szCs w:val="20"/>
        </w:rPr>
        <w:t xml:space="preserve">Following discussions and meetings with stakeholders' representatives, it appears that producers and distributors (and to a certain extent, aggregators) would in general support this option since most of them consider that the VoD market is still emerging and can regulate itself. Nevertheless, as it appears from meetings with some stakeholders' representatives, authors, some producers and VoD platforms generally consider that this option would not be sufficient to solve the obstacles leading to the limited availability of </w:t>
      </w:r>
      <w:r w:rsidR="00F506EA">
        <w:rPr>
          <w:rFonts w:ascii="Times New Roman" w:hAnsi="Times New Roman" w:cs="Times New Roman"/>
          <w:sz w:val="20"/>
          <w:szCs w:val="20"/>
        </w:rPr>
        <w:t>AV</w:t>
      </w:r>
      <w:r w:rsidR="00F506EA" w:rsidRPr="007C5117">
        <w:rPr>
          <w:rFonts w:ascii="Times New Roman" w:hAnsi="Times New Roman" w:cs="Times New Roman"/>
          <w:sz w:val="20"/>
          <w:szCs w:val="20"/>
        </w:rPr>
        <w:t xml:space="preserve"> </w:t>
      </w:r>
      <w:r w:rsidRPr="007C5117">
        <w:rPr>
          <w:rFonts w:ascii="Times New Roman" w:hAnsi="Times New Roman" w:cs="Times New Roman"/>
          <w:sz w:val="20"/>
          <w:szCs w:val="20"/>
        </w:rPr>
        <w:t xml:space="preserve">works on VoD platforms. This view is likely to be shared by consumers since they will continue to face limited availability of EU </w:t>
      </w:r>
      <w:r w:rsidR="00F506EA">
        <w:rPr>
          <w:rFonts w:ascii="Times New Roman" w:hAnsi="Times New Roman" w:cs="Times New Roman"/>
          <w:sz w:val="20"/>
          <w:szCs w:val="20"/>
        </w:rPr>
        <w:t xml:space="preserve">AV </w:t>
      </w:r>
      <w:r w:rsidRPr="007C5117">
        <w:rPr>
          <w:rFonts w:ascii="Times New Roman" w:hAnsi="Times New Roman" w:cs="Times New Roman"/>
          <w:sz w:val="20"/>
          <w:szCs w:val="20"/>
        </w:rPr>
        <w:t>works on VoD platforms.</w:t>
      </w:r>
    </w:p>
    <w:p w:rsidR="009D59CB" w:rsidRDefault="009D59CB">
      <w:pPr>
        <w:rPr>
          <w:rFonts w:ascii="Times New Roman" w:eastAsia="Calibri" w:hAnsi="Times New Roman" w:cs="Times New Roman"/>
          <w:b/>
          <w:sz w:val="24"/>
          <w:szCs w:val="20"/>
          <w:lang w:eastAsia="en-GB"/>
        </w:rPr>
      </w:pPr>
      <w:r>
        <w:rPr>
          <w:b/>
        </w:rPr>
        <w:br w:type="page"/>
      </w:r>
    </w:p>
    <w:p w:rsidR="00A57992" w:rsidRPr="007C5117" w:rsidRDefault="00A57992" w:rsidP="00A57992">
      <w:pPr>
        <w:pStyle w:val="Text1"/>
        <w:ind w:left="0"/>
        <w:rPr>
          <w:b/>
        </w:rPr>
      </w:pPr>
      <w:r w:rsidRPr="007C5117">
        <w:rPr>
          <w:b/>
        </w:rPr>
        <w:t>Option 1 – Stakeholders' dialogue focusing on licensing issues and aiming at improving the proportion of EU audiovisual works available on VoD platforms</w:t>
      </w:r>
    </w:p>
    <w:p w:rsidR="00A57992" w:rsidRDefault="00A57992" w:rsidP="00A57992">
      <w:pPr>
        <w:pStyle w:val="Default"/>
        <w:widowControl w:val="0"/>
        <w:spacing w:after="120"/>
        <w:jc w:val="both"/>
      </w:pPr>
      <w:r w:rsidRPr="00121706">
        <w:t xml:space="preserve">Under this option, </w:t>
      </w:r>
      <w:r>
        <w:t xml:space="preserve">a stakeholders' dialogue </w:t>
      </w:r>
      <w:r w:rsidRPr="00705E14">
        <w:t>would be put in place with the</w:t>
      </w:r>
      <w:r>
        <w:t xml:space="preserve"> following elements: </w:t>
      </w:r>
    </w:p>
    <w:p w:rsidR="00A57992" w:rsidRPr="00EF6341" w:rsidRDefault="00A57992" w:rsidP="00A57992">
      <w:pPr>
        <w:pStyle w:val="Text1"/>
        <w:numPr>
          <w:ilvl w:val="0"/>
          <w:numId w:val="37"/>
        </w:numPr>
        <w:ind w:left="426" w:hanging="426"/>
        <w:rPr>
          <w:szCs w:val="24"/>
          <w:u w:val="single"/>
        </w:rPr>
      </w:pPr>
      <w:r w:rsidRPr="00EF6341">
        <w:rPr>
          <w:szCs w:val="24"/>
        </w:rPr>
        <w:t xml:space="preserve">A multi-party stakeholders dialogue aimed at exploring ways to improve the availability of EU </w:t>
      </w:r>
      <w:r w:rsidR="00F506EA">
        <w:rPr>
          <w:szCs w:val="24"/>
        </w:rPr>
        <w:t xml:space="preserve">AV </w:t>
      </w:r>
      <w:r w:rsidRPr="00EF6341">
        <w:rPr>
          <w:szCs w:val="24"/>
        </w:rPr>
        <w:t xml:space="preserve">works on VoD platforms. </w:t>
      </w:r>
    </w:p>
    <w:p w:rsidR="00A57992" w:rsidRPr="00EF6341" w:rsidRDefault="00A57992" w:rsidP="00A57992">
      <w:pPr>
        <w:pStyle w:val="Text1"/>
        <w:numPr>
          <w:ilvl w:val="0"/>
          <w:numId w:val="37"/>
        </w:numPr>
        <w:ind w:left="426" w:hanging="426"/>
        <w:rPr>
          <w:szCs w:val="24"/>
        </w:rPr>
      </w:pPr>
      <w:r w:rsidRPr="00EF6341">
        <w:rPr>
          <w:szCs w:val="24"/>
        </w:rPr>
        <w:t>The dialogue would take place at European leve</w:t>
      </w:r>
      <w:r>
        <w:rPr>
          <w:szCs w:val="24"/>
        </w:rPr>
        <w:t>l</w:t>
      </w:r>
      <w:r w:rsidRPr="00EF6341">
        <w:rPr>
          <w:szCs w:val="24"/>
        </w:rPr>
        <w:t>.</w:t>
      </w:r>
    </w:p>
    <w:p w:rsidR="00A57992" w:rsidRPr="00EF6341" w:rsidRDefault="00A57992" w:rsidP="00A57992">
      <w:pPr>
        <w:pStyle w:val="Text1"/>
        <w:numPr>
          <w:ilvl w:val="0"/>
          <w:numId w:val="37"/>
        </w:numPr>
        <w:ind w:left="426" w:hanging="426"/>
        <w:rPr>
          <w:szCs w:val="24"/>
        </w:rPr>
      </w:pPr>
      <w:r w:rsidRPr="00EF6341">
        <w:rPr>
          <w:szCs w:val="24"/>
        </w:rPr>
        <w:t>This stakeholder dialogue would focus only on licensing issues and related legal and contractual difficulties (e.g. unblocking of VoD rights</w:t>
      </w:r>
      <w:r>
        <w:rPr>
          <w:szCs w:val="24"/>
        </w:rPr>
        <w:t>)</w:t>
      </w:r>
      <w:r w:rsidRPr="00EF6341">
        <w:rPr>
          <w:szCs w:val="24"/>
        </w:rPr>
        <w:t>. The main participants will</w:t>
      </w:r>
      <w:r>
        <w:rPr>
          <w:szCs w:val="24"/>
        </w:rPr>
        <w:t xml:space="preserve"> therefore</w:t>
      </w:r>
      <w:r w:rsidRPr="00EF6341">
        <w:rPr>
          <w:szCs w:val="24"/>
        </w:rPr>
        <w:t xml:space="preserve"> be authors, producers, sales agents, distributors, broadcasters, aggregators, VoD platforms (including telecom operators offering VoD services), with the underlying idea to gather together parties that do not enter directly into commercial agreements with each other.</w:t>
      </w:r>
    </w:p>
    <w:p w:rsidR="00A57992" w:rsidRPr="00EF6341" w:rsidRDefault="00A57992" w:rsidP="00A57992">
      <w:pPr>
        <w:pStyle w:val="Text1"/>
        <w:numPr>
          <w:ilvl w:val="0"/>
          <w:numId w:val="37"/>
        </w:numPr>
        <w:ind w:left="426" w:hanging="426"/>
        <w:rPr>
          <w:szCs w:val="24"/>
        </w:rPr>
      </w:pPr>
      <w:r w:rsidRPr="00EF6341">
        <w:rPr>
          <w:szCs w:val="24"/>
        </w:rPr>
        <w:t xml:space="preserve">This dialogue would be part of the accompanying measures announced in the Communication "Towards a modern, more European copyright framework" to ensure a wider access to content across the EU and, more particularly, to intensify the dialogue with the </w:t>
      </w:r>
      <w:r w:rsidR="00F506EA">
        <w:rPr>
          <w:szCs w:val="24"/>
        </w:rPr>
        <w:t>AV</w:t>
      </w:r>
      <w:r w:rsidR="00F506EA" w:rsidRPr="00EF6341">
        <w:rPr>
          <w:szCs w:val="24"/>
        </w:rPr>
        <w:t xml:space="preserve"> </w:t>
      </w:r>
      <w:r w:rsidRPr="00EF6341">
        <w:rPr>
          <w:szCs w:val="24"/>
        </w:rPr>
        <w:t>industry to find ways for a more sustained exploitation of existing European films.</w:t>
      </w:r>
      <w:r>
        <w:rPr>
          <w:szCs w:val="24"/>
        </w:rPr>
        <w:t xml:space="preserve"> These measures will address consumers' expectations, including by encouraging </w:t>
      </w:r>
      <w:r w:rsidR="00B82096">
        <w:rPr>
          <w:szCs w:val="24"/>
        </w:rPr>
        <w:t>MS</w:t>
      </w:r>
      <w:r w:rsidRPr="00C32C45">
        <w:rPr>
          <w:szCs w:val="24"/>
        </w:rPr>
        <w:t xml:space="preserve"> to </w:t>
      </w:r>
      <w:r>
        <w:rPr>
          <w:szCs w:val="24"/>
        </w:rPr>
        <w:t xml:space="preserve">promote legal offer and to </w:t>
      </w:r>
      <w:r w:rsidRPr="00C32C45">
        <w:rPr>
          <w:szCs w:val="24"/>
        </w:rPr>
        <w:t>develop search tools</w:t>
      </w:r>
      <w:r w:rsidRPr="00EF6341">
        <w:rPr>
          <w:szCs w:val="24"/>
        </w:rPr>
        <w:t xml:space="preserve"> </w:t>
      </w:r>
      <w:r>
        <w:rPr>
          <w:szCs w:val="24"/>
        </w:rPr>
        <w:t xml:space="preserve">to make EU </w:t>
      </w:r>
      <w:r w:rsidR="00F506EA">
        <w:rPr>
          <w:szCs w:val="24"/>
        </w:rPr>
        <w:t xml:space="preserve">AV </w:t>
      </w:r>
      <w:r>
        <w:rPr>
          <w:szCs w:val="24"/>
        </w:rPr>
        <w:t xml:space="preserve">works more findable and prominent. </w:t>
      </w:r>
      <w:r w:rsidRPr="00EF6341">
        <w:rPr>
          <w:szCs w:val="24"/>
        </w:rPr>
        <w:t xml:space="preserve">  </w:t>
      </w:r>
    </w:p>
    <w:p w:rsidR="00A57992" w:rsidRPr="00EF6341" w:rsidRDefault="00A57992" w:rsidP="00A57992">
      <w:pPr>
        <w:pStyle w:val="Text1"/>
        <w:numPr>
          <w:ilvl w:val="0"/>
          <w:numId w:val="37"/>
        </w:numPr>
        <w:ind w:left="426" w:hanging="426"/>
        <w:rPr>
          <w:szCs w:val="24"/>
        </w:rPr>
      </w:pPr>
      <w:r w:rsidRPr="00EF6341">
        <w:rPr>
          <w:szCs w:val="24"/>
        </w:rPr>
        <w:t xml:space="preserve">The result could be the adoption of self-regulatory measures for improving the availability (for a more sustained exploitation) of EU </w:t>
      </w:r>
      <w:r w:rsidR="00F506EA">
        <w:rPr>
          <w:szCs w:val="24"/>
        </w:rPr>
        <w:t>AV</w:t>
      </w:r>
      <w:r w:rsidR="00F506EA" w:rsidRPr="00EF6341">
        <w:rPr>
          <w:szCs w:val="24"/>
        </w:rPr>
        <w:t xml:space="preserve"> </w:t>
      </w:r>
      <w:r w:rsidRPr="00EF6341">
        <w:rPr>
          <w:szCs w:val="24"/>
        </w:rPr>
        <w:t xml:space="preserve">works, including on VoD platforms. </w:t>
      </w:r>
    </w:p>
    <w:p w:rsidR="00A57992" w:rsidRPr="00F17346"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i/>
          <w:sz w:val="20"/>
          <w:szCs w:val="20"/>
        </w:rPr>
      </w:pPr>
      <w:r w:rsidRPr="00F17346">
        <w:rPr>
          <w:rFonts w:ascii="Times New Roman" w:hAnsi="Times New Roman"/>
          <w:i/>
          <w:sz w:val="20"/>
          <w:szCs w:val="20"/>
        </w:rPr>
        <w:t>Stakeholders' views</w:t>
      </w:r>
    </w:p>
    <w:p w:rsidR="00A57992" w:rsidRPr="00F17346"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sz w:val="20"/>
          <w:szCs w:val="20"/>
        </w:rPr>
      </w:pPr>
      <w:r w:rsidRPr="00F17346">
        <w:rPr>
          <w:rFonts w:ascii="Times New Roman" w:hAnsi="Times New Roman"/>
          <w:sz w:val="20"/>
          <w:szCs w:val="20"/>
        </w:rPr>
        <w:t xml:space="preserve">It is likely that stakeholders would support this option, as some individual initiatives from different stakeholders are already trying to address ways to improve availability of </w:t>
      </w:r>
      <w:r w:rsidR="00F506EA">
        <w:rPr>
          <w:rFonts w:ascii="Times New Roman" w:hAnsi="Times New Roman"/>
          <w:sz w:val="20"/>
          <w:szCs w:val="20"/>
        </w:rPr>
        <w:t xml:space="preserve">AV </w:t>
      </w:r>
      <w:r w:rsidRPr="00F17346">
        <w:rPr>
          <w:rFonts w:ascii="Times New Roman" w:hAnsi="Times New Roman"/>
          <w:sz w:val="20"/>
          <w:szCs w:val="20"/>
        </w:rPr>
        <w:t>works (specifically European). This option would bring all stakeholders, at European level, around the table with that same objective. If successful, the stakeholder dialogue would help streamlining licensing practices as regards digital exploitation.</w:t>
      </w:r>
      <w:r w:rsidRPr="00F17346">
        <w:rPr>
          <w:rFonts w:ascii="Times New Roman" w:hAnsi="Times New Roman" w:cs="Times New Roman"/>
          <w:sz w:val="20"/>
          <w:szCs w:val="20"/>
        </w:rPr>
        <w:t xml:space="preserve"> Following meetings with stakeholders' representatives, it appears that </w:t>
      </w:r>
      <w:r w:rsidRPr="00F17346">
        <w:rPr>
          <w:rFonts w:ascii="Times New Roman" w:hAnsi="Times New Roman"/>
          <w:sz w:val="20"/>
          <w:szCs w:val="20"/>
        </w:rPr>
        <w:t>authors and VoD platforms in particular would support this measure but could consider it insufficient as it does not give a tool to solve individual d</w:t>
      </w:r>
      <w:r>
        <w:rPr>
          <w:rFonts w:ascii="Times New Roman" w:hAnsi="Times New Roman"/>
          <w:sz w:val="20"/>
          <w:szCs w:val="20"/>
        </w:rPr>
        <w:t xml:space="preserve">ifficulties </w:t>
      </w:r>
      <w:r w:rsidRPr="00F17346">
        <w:rPr>
          <w:rFonts w:ascii="Times New Roman" w:hAnsi="Times New Roman"/>
          <w:sz w:val="20"/>
          <w:szCs w:val="20"/>
        </w:rPr>
        <w:t xml:space="preserve">(including contractual blockages). Consumers would support an option aiming at enlarging the catalogue of EU </w:t>
      </w:r>
      <w:r w:rsidR="00F506EA">
        <w:rPr>
          <w:rFonts w:ascii="Times New Roman" w:hAnsi="Times New Roman"/>
          <w:sz w:val="20"/>
          <w:szCs w:val="20"/>
        </w:rPr>
        <w:t xml:space="preserve">AV </w:t>
      </w:r>
      <w:r w:rsidRPr="00F17346">
        <w:rPr>
          <w:rFonts w:ascii="Times New Roman" w:hAnsi="Times New Roman"/>
          <w:sz w:val="20"/>
          <w:szCs w:val="20"/>
        </w:rPr>
        <w:t>works on VoD platforms.</w:t>
      </w:r>
    </w:p>
    <w:p w:rsidR="00A57992" w:rsidRPr="00F17346" w:rsidRDefault="00A57992" w:rsidP="00A57992">
      <w:pPr>
        <w:pStyle w:val="Text1"/>
        <w:ind w:left="0"/>
        <w:rPr>
          <w:b/>
        </w:rPr>
      </w:pPr>
      <w:r w:rsidRPr="00F17346">
        <w:rPr>
          <w:b/>
        </w:rPr>
        <w:t xml:space="preserve">Option 2 – Stakeholders' dialogue (Option 1) + Obligation for Member States to establish a negotiation mechanism to overcome obstacles to the availability of audiovisual works on VoD </w:t>
      </w:r>
    </w:p>
    <w:p w:rsidR="00A57992" w:rsidRPr="006C0A72" w:rsidRDefault="00A57992" w:rsidP="00A57992">
      <w:pPr>
        <w:pStyle w:val="Default"/>
        <w:widowControl w:val="0"/>
        <w:spacing w:after="120"/>
        <w:jc w:val="both"/>
      </w:pPr>
      <w:r>
        <w:t xml:space="preserve">This option would maintain the European-level dialogue from Option 1 and will add the obligation for </w:t>
      </w:r>
      <w:r w:rsidR="00B82096">
        <w:t>MS</w:t>
      </w:r>
      <w:r w:rsidRPr="009E6A1E">
        <w:t xml:space="preserve"> </w:t>
      </w:r>
      <w:r>
        <w:t xml:space="preserve">to </w:t>
      </w:r>
      <w:r w:rsidRPr="009E6A1E">
        <w:t>introduce in their legislation a mechanism</w:t>
      </w:r>
      <w:r>
        <w:t>/</w:t>
      </w:r>
      <w:r w:rsidRPr="009E6A1E">
        <w:t xml:space="preserve">process to facilitate negotiations </w:t>
      </w:r>
      <w:r>
        <w:t xml:space="preserve">aimed at facilitating the exploitation of EU </w:t>
      </w:r>
      <w:r w:rsidR="00F506EA">
        <w:t xml:space="preserve">AV </w:t>
      </w:r>
      <w:r>
        <w:t>works on VoD platforms,</w:t>
      </w:r>
      <w:r w:rsidRPr="006C0A72">
        <w:t xml:space="preserve"> </w:t>
      </w:r>
      <w:r>
        <w:t>w</w:t>
      </w:r>
      <w:r w:rsidRPr="006C0A72">
        <w:t>ith the following elements:</w:t>
      </w:r>
    </w:p>
    <w:p w:rsidR="00A57992" w:rsidRPr="00EF6341" w:rsidRDefault="00A57992" w:rsidP="00A57992">
      <w:pPr>
        <w:pStyle w:val="Text1"/>
        <w:numPr>
          <w:ilvl w:val="0"/>
          <w:numId w:val="37"/>
        </w:numPr>
        <w:ind w:left="426" w:hanging="426"/>
        <w:rPr>
          <w:b/>
          <w:szCs w:val="24"/>
        </w:rPr>
      </w:pPr>
      <w:r w:rsidRPr="00EF6341">
        <w:rPr>
          <w:szCs w:val="24"/>
        </w:rPr>
        <w:t xml:space="preserve">The negotiation mechanism put in place by </w:t>
      </w:r>
      <w:r w:rsidR="00B82096">
        <w:rPr>
          <w:szCs w:val="24"/>
        </w:rPr>
        <w:t>MS</w:t>
      </w:r>
      <w:r w:rsidRPr="00EF6341">
        <w:rPr>
          <w:szCs w:val="24"/>
        </w:rPr>
        <w:t xml:space="preserve"> will help addressing individual cases</w:t>
      </w:r>
      <w:r>
        <w:rPr>
          <w:szCs w:val="24"/>
        </w:rPr>
        <w:t>.</w:t>
      </w:r>
      <w:r w:rsidRPr="00EF6341">
        <w:rPr>
          <w:szCs w:val="24"/>
        </w:rPr>
        <w:t xml:space="preserve"> The </w:t>
      </w:r>
      <w:r>
        <w:rPr>
          <w:szCs w:val="24"/>
        </w:rPr>
        <w:t xml:space="preserve">stakeholders' </w:t>
      </w:r>
      <w:r w:rsidRPr="00EF6341">
        <w:rPr>
          <w:szCs w:val="24"/>
        </w:rPr>
        <w:t>dialogue will address problems of availability in a general framework and try to find solutions agreed by a multiplicity of parties.</w:t>
      </w:r>
    </w:p>
    <w:p w:rsidR="00A57992" w:rsidRPr="00EF6341" w:rsidRDefault="00A57992" w:rsidP="00A57992">
      <w:pPr>
        <w:pStyle w:val="Text1"/>
        <w:numPr>
          <w:ilvl w:val="0"/>
          <w:numId w:val="37"/>
        </w:numPr>
        <w:ind w:left="426" w:hanging="426"/>
        <w:rPr>
          <w:b/>
          <w:szCs w:val="24"/>
        </w:rPr>
      </w:pPr>
      <w:r w:rsidRPr="00EF6341">
        <w:rPr>
          <w:szCs w:val="24"/>
        </w:rPr>
        <w:t>Th</w:t>
      </w:r>
      <w:r>
        <w:rPr>
          <w:szCs w:val="24"/>
        </w:rPr>
        <w:t>e</w:t>
      </w:r>
      <w:r w:rsidRPr="00EF6341">
        <w:rPr>
          <w:szCs w:val="24"/>
        </w:rPr>
        <w:t xml:space="preserve"> negotiation mechanism will aim at helping </w:t>
      </w:r>
      <w:r>
        <w:rPr>
          <w:szCs w:val="24"/>
        </w:rPr>
        <w:t>solving specific</w:t>
      </w:r>
      <w:r w:rsidRPr="00EF6341">
        <w:rPr>
          <w:szCs w:val="24"/>
        </w:rPr>
        <w:t xml:space="preserve"> </w:t>
      </w:r>
      <w:r>
        <w:rPr>
          <w:szCs w:val="24"/>
        </w:rPr>
        <w:t>cases</w:t>
      </w:r>
      <w:r w:rsidRPr="00EF6341">
        <w:rPr>
          <w:rFonts w:eastAsia="Times New Roman"/>
          <w:szCs w:val="24"/>
        </w:rPr>
        <w:t xml:space="preserve"> </w:t>
      </w:r>
      <w:r>
        <w:rPr>
          <w:szCs w:val="24"/>
        </w:rPr>
        <w:t>where licensing obstacles limit and/or block the</w:t>
      </w:r>
      <w:r w:rsidRPr="00EF6341">
        <w:rPr>
          <w:szCs w:val="24"/>
        </w:rPr>
        <w:t xml:space="preserve"> availability and exploitation of an </w:t>
      </w:r>
      <w:r>
        <w:rPr>
          <w:szCs w:val="24"/>
        </w:rPr>
        <w:t xml:space="preserve">(or several) </w:t>
      </w:r>
      <w:r w:rsidR="00F506EA">
        <w:rPr>
          <w:szCs w:val="24"/>
        </w:rPr>
        <w:t xml:space="preserve">AV </w:t>
      </w:r>
      <w:r>
        <w:rPr>
          <w:szCs w:val="24"/>
        </w:rPr>
        <w:t xml:space="preserve">work(s) on VoD platforms </w:t>
      </w:r>
      <w:r w:rsidRPr="00EF6341">
        <w:rPr>
          <w:rFonts w:eastAsia="Times New Roman"/>
          <w:szCs w:val="24"/>
        </w:rPr>
        <w:t>(</w:t>
      </w:r>
      <w:r w:rsidRPr="00EF6341">
        <w:rPr>
          <w:szCs w:val="24"/>
        </w:rPr>
        <w:t xml:space="preserve">e.g. a producer whose work is not exploited on VoD platforms; a VoD platform that wants to make available a particular AV work). </w:t>
      </w:r>
    </w:p>
    <w:p w:rsidR="00A57992" w:rsidRPr="00EF6341" w:rsidRDefault="00A57992" w:rsidP="00A57992">
      <w:pPr>
        <w:pStyle w:val="Text1"/>
        <w:numPr>
          <w:ilvl w:val="0"/>
          <w:numId w:val="37"/>
        </w:numPr>
        <w:ind w:left="426" w:hanging="426"/>
        <w:rPr>
          <w:szCs w:val="24"/>
        </w:rPr>
      </w:pPr>
      <w:r w:rsidRPr="00EF6341">
        <w:rPr>
          <w:szCs w:val="24"/>
        </w:rPr>
        <w:t xml:space="preserve">The parties who can resort to negotiation will be those wishing to exploit VoD rights </w:t>
      </w:r>
      <w:r>
        <w:rPr>
          <w:szCs w:val="24"/>
        </w:rPr>
        <w:t>and those holding the rights.</w:t>
      </w:r>
    </w:p>
    <w:p w:rsidR="00A57992" w:rsidRPr="00EF6341" w:rsidRDefault="00B82096" w:rsidP="00A57992">
      <w:pPr>
        <w:pStyle w:val="Text1"/>
        <w:numPr>
          <w:ilvl w:val="0"/>
          <w:numId w:val="37"/>
        </w:numPr>
        <w:ind w:left="426" w:hanging="426"/>
        <w:rPr>
          <w:b/>
          <w:szCs w:val="24"/>
        </w:rPr>
      </w:pPr>
      <w:r>
        <w:rPr>
          <w:szCs w:val="24"/>
        </w:rPr>
        <w:t>MS</w:t>
      </w:r>
      <w:r w:rsidR="00A57992" w:rsidRPr="00EF6341">
        <w:rPr>
          <w:szCs w:val="24"/>
        </w:rPr>
        <w:t xml:space="preserve"> will have to create a negotiation mechanism with the following essential elements: </w:t>
      </w:r>
      <w:r>
        <w:rPr>
          <w:szCs w:val="24"/>
        </w:rPr>
        <w:t>MS</w:t>
      </w:r>
      <w:r w:rsidR="00A57992" w:rsidRPr="00EF6341">
        <w:rPr>
          <w:szCs w:val="24"/>
        </w:rPr>
        <w:t xml:space="preserve"> will identify an impartial instance that will facilitate negotiations between parties (without prejudice of the possibility to go to Court).</w:t>
      </w:r>
      <w:r w:rsidR="00A57992">
        <w:rPr>
          <w:szCs w:val="24"/>
        </w:rPr>
        <w:t xml:space="preserve"> </w:t>
      </w:r>
      <w:r w:rsidR="00A57992" w:rsidRPr="00EF6341">
        <w:rPr>
          <w:szCs w:val="24"/>
        </w:rPr>
        <w:t xml:space="preserve">The negotiation mechanism (i) will be determined by each </w:t>
      </w:r>
      <w:r>
        <w:rPr>
          <w:szCs w:val="24"/>
        </w:rPr>
        <w:t>MS</w:t>
      </w:r>
      <w:r w:rsidR="00A57992" w:rsidRPr="00EF6341">
        <w:rPr>
          <w:szCs w:val="24"/>
        </w:rPr>
        <w:t xml:space="preserve"> after having consulted with the relevant stakeholders</w:t>
      </w:r>
      <w:r w:rsidR="00A57992">
        <w:rPr>
          <w:szCs w:val="24"/>
        </w:rPr>
        <w:t xml:space="preserve"> (practical issues such as the bearing of costs and timeline will therefore be left to </w:t>
      </w:r>
      <w:r>
        <w:rPr>
          <w:szCs w:val="24"/>
        </w:rPr>
        <w:t>MS</w:t>
      </w:r>
      <w:r w:rsidR="00A57992">
        <w:rPr>
          <w:szCs w:val="24"/>
        </w:rPr>
        <w:t>)</w:t>
      </w:r>
      <w:r w:rsidR="00A57992" w:rsidRPr="00EF6341">
        <w:rPr>
          <w:szCs w:val="24"/>
        </w:rPr>
        <w:t xml:space="preserve">; (ii) will be on a voluntary basis; and (iii) will require the parties' commitment to negotiate in good faith. The selected impartial party will </w:t>
      </w:r>
      <w:r w:rsidR="00A57992">
        <w:rPr>
          <w:szCs w:val="24"/>
        </w:rPr>
        <w:t>(</w:t>
      </w:r>
      <w:r w:rsidR="00A57992" w:rsidRPr="00EF6341">
        <w:rPr>
          <w:szCs w:val="24"/>
        </w:rPr>
        <w:t xml:space="preserve">i) actively work towards reaching an agreement and </w:t>
      </w:r>
      <w:r w:rsidR="00A57992">
        <w:rPr>
          <w:szCs w:val="24"/>
        </w:rPr>
        <w:t>facilitate</w:t>
      </w:r>
      <w:r w:rsidR="00A57992" w:rsidRPr="00EF6341">
        <w:rPr>
          <w:szCs w:val="24"/>
        </w:rPr>
        <w:t xml:space="preserve"> negotiations; </w:t>
      </w:r>
      <w:r w:rsidR="00A57992">
        <w:rPr>
          <w:szCs w:val="24"/>
        </w:rPr>
        <w:t>(</w:t>
      </w:r>
      <w:r w:rsidR="00A57992" w:rsidRPr="00EF6341">
        <w:rPr>
          <w:szCs w:val="24"/>
        </w:rPr>
        <w:t>ii) bring professional experience that can contribute to the conclusion of more commercial agreements.</w:t>
      </w:r>
    </w:p>
    <w:p w:rsidR="00A57992" w:rsidRPr="00EF6341" w:rsidRDefault="00A57992" w:rsidP="00A57992">
      <w:pPr>
        <w:pStyle w:val="Text1"/>
        <w:numPr>
          <w:ilvl w:val="0"/>
          <w:numId w:val="37"/>
        </w:numPr>
        <w:ind w:left="426" w:hanging="426"/>
        <w:rPr>
          <w:b/>
          <w:szCs w:val="24"/>
        </w:rPr>
      </w:pPr>
      <w:r w:rsidRPr="00EF6341">
        <w:rPr>
          <w:szCs w:val="24"/>
        </w:rPr>
        <w:t xml:space="preserve">The expected outcome would be commercial agreements leading to an increase of EU </w:t>
      </w:r>
      <w:r w:rsidR="00F506EA">
        <w:rPr>
          <w:szCs w:val="24"/>
        </w:rPr>
        <w:t xml:space="preserve">AV </w:t>
      </w:r>
      <w:r w:rsidRPr="00EF6341">
        <w:rPr>
          <w:szCs w:val="24"/>
        </w:rPr>
        <w:t>works being available on VoD platforms. There is no obligation for the parties to reach an agreement.</w:t>
      </w:r>
    </w:p>
    <w:p w:rsidR="00A57992" w:rsidRPr="00F17346"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i/>
          <w:sz w:val="20"/>
          <w:szCs w:val="20"/>
        </w:rPr>
      </w:pPr>
      <w:r w:rsidRPr="00F17346">
        <w:rPr>
          <w:rFonts w:ascii="Times New Roman" w:hAnsi="Times New Roman"/>
          <w:i/>
          <w:sz w:val="20"/>
          <w:szCs w:val="20"/>
        </w:rPr>
        <w:t>Stakeholders' views</w:t>
      </w:r>
    </w:p>
    <w:p w:rsidR="00A57992" w:rsidRPr="00F17346" w:rsidRDefault="00A57992" w:rsidP="00A579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sz w:val="20"/>
          <w:szCs w:val="20"/>
        </w:rPr>
      </w:pPr>
      <w:r w:rsidRPr="00F17346">
        <w:rPr>
          <w:rFonts w:ascii="Times New Roman" w:hAnsi="Times New Roman"/>
          <w:sz w:val="20"/>
          <w:szCs w:val="20"/>
        </w:rPr>
        <w:t xml:space="preserve">Authors, aggregators and platforms would support this mechanism, as they generally favour measures addressed to unblock contractual blockages and/or solve disputes leading to the unavailability of works. Following meetings and discussions with </w:t>
      </w:r>
      <w:r w:rsidRPr="00F17346">
        <w:rPr>
          <w:rFonts w:ascii="Times New Roman" w:hAnsi="Times New Roman" w:cs="Times New Roman"/>
          <w:sz w:val="20"/>
          <w:szCs w:val="20"/>
        </w:rPr>
        <w:t>stakeholders' representatives, it appears that</w:t>
      </w:r>
      <w:r w:rsidRPr="00F17346">
        <w:rPr>
          <w:rFonts w:ascii="Times New Roman" w:hAnsi="Times New Roman"/>
          <w:sz w:val="20"/>
          <w:szCs w:val="20"/>
        </w:rPr>
        <w:t xml:space="preserve"> producers, distributors, sales agents would support this option as well because it respects their contractual freedom while providing a framework to help solving individual </w:t>
      </w:r>
      <w:r>
        <w:rPr>
          <w:rFonts w:ascii="Times New Roman" w:hAnsi="Times New Roman"/>
          <w:sz w:val="20"/>
          <w:szCs w:val="20"/>
        </w:rPr>
        <w:t>cases</w:t>
      </w:r>
      <w:r w:rsidRPr="00F17346">
        <w:rPr>
          <w:rFonts w:ascii="Times New Roman" w:hAnsi="Times New Roman"/>
          <w:sz w:val="20"/>
          <w:szCs w:val="20"/>
        </w:rPr>
        <w:t xml:space="preserve">. Consumers would support an option aiming at enlarging the catalogue of EU </w:t>
      </w:r>
      <w:r w:rsidR="00F506EA">
        <w:rPr>
          <w:rFonts w:ascii="Times New Roman" w:hAnsi="Times New Roman"/>
          <w:sz w:val="20"/>
          <w:szCs w:val="20"/>
        </w:rPr>
        <w:t xml:space="preserve">AV </w:t>
      </w:r>
      <w:r w:rsidRPr="00F17346">
        <w:rPr>
          <w:rFonts w:ascii="Times New Roman" w:hAnsi="Times New Roman"/>
          <w:sz w:val="20"/>
          <w:szCs w:val="20"/>
        </w:rPr>
        <w:t>works on VoD platforms.</w:t>
      </w:r>
    </w:p>
    <w:p w:rsidR="00A57992" w:rsidRPr="00F17346" w:rsidRDefault="00A57992" w:rsidP="00A57992">
      <w:pPr>
        <w:pStyle w:val="Text1"/>
        <w:ind w:left="0"/>
        <w:rPr>
          <w:rFonts w:eastAsia="Arial Unicode MS"/>
          <w:b/>
          <w:bCs/>
          <w:color w:val="000000"/>
          <w:szCs w:val="24"/>
          <w:u w:val="single"/>
          <w:bdr w:val="nil"/>
        </w:rPr>
      </w:pPr>
      <w:bookmarkStart w:id="40" w:name="_Toc434927420"/>
      <w:bookmarkStart w:id="41" w:name="_Toc442345450"/>
      <w:r w:rsidRPr="00F17346">
        <w:rPr>
          <w:b/>
          <w:u w:val="single"/>
        </w:rPr>
        <w:t>D</w:t>
      </w:r>
      <w:r w:rsidRPr="00F17346">
        <w:rPr>
          <w:rFonts w:eastAsia="Arial Unicode MS"/>
          <w:b/>
          <w:bCs/>
          <w:color w:val="000000"/>
          <w:szCs w:val="24"/>
          <w:u w:val="single"/>
          <w:bdr w:val="nil"/>
        </w:rPr>
        <w:t>iscarded options</w:t>
      </w:r>
    </w:p>
    <w:p w:rsidR="00A57992" w:rsidRDefault="00A57992" w:rsidP="00A57992">
      <w:pPr>
        <w:pBdr>
          <w:top w:val="nil"/>
          <w:left w:val="nil"/>
          <w:bottom w:val="nil"/>
          <w:right w:val="nil"/>
          <w:between w:val="nil"/>
          <w:bar w:val="nil"/>
        </w:pBdr>
        <w:spacing w:after="120" w:line="240" w:lineRule="auto"/>
        <w:jc w:val="both"/>
        <w:rPr>
          <w:rFonts w:ascii="Times New Roman" w:eastAsia="Arial Unicode MS" w:hAnsi="Times New Roman" w:cs="Times New Roman"/>
          <w:sz w:val="24"/>
          <w:szCs w:val="24"/>
          <w:bdr w:val="nil"/>
        </w:rPr>
      </w:pPr>
      <w:r w:rsidRPr="00E970E4">
        <w:rPr>
          <w:rFonts w:ascii="Times New Roman" w:eastAsia="Arial Unicode MS" w:hAnsi="Times New Roman" w:cs="Times New Roman"/>
          <w:i/>
          <w:sz w:val="24"/>
          <w:szCs w:val="24"/>
          <w:u w:val="single"/>
          <w:bdr w:val="nil"/>
        </w:rPr>
        <w:t>Restrictions to contractual freedom</w:t>
      </w:r>
      <w:r w:rsidRPr="00E970E4">
        <w:rPr>
          <w:rFonts w:ascii="Times New Roman" w:eastAsia="Arial Unicode MS" w:hAnsi="Times New Roman" w:cs="Times New Roman"/>
          <w:sz w:val="24"/>
          <w:szCs w:val="24"/>
          <w:bdr w:val="nil"/>
        </w:rPr>
        <w:t>:</w:t>
      </w:r>
      <w:r w:rsidRPr="0035618A">
        <w:rPr>
          <w:rFonts w:ascii="Times New Roman" w:eastAsia="Arial Unicode MS" w:hAnsi="Times New Roman" w:cs="Times New Roman"/>
          <w:sz w:val="24"/>
          <w:szCs w:val="24"/>
          <w:bdr w:val="nil"/>
        </w:rPr>
        <w:t xml:space="preserve"> </w:t>
      </w:r>
      <w:r w:rsidRPr="00E970E4">
        <w:rPr>
          <w:rFonts w:ascii="Times New Roman" w:eastAsia="Arial Unicode MS" w:hAnsi="Times New Roman" w:cs="Times New Roman"/>
          <w:sz w:val="24"/>
          <w:szCs w:val="24"/>
          <w:bdr w:val="nil"/>
        </w:rPr>
        <w:t xml:space="preserve">Options </w:t>
      </w:r>
      <w:r>
        <w:rPr>
          <w:rFonts w:ascii="Times New Roman" w:eastAsia="Arial Unicode MS" w:hAnsi="Times New Roman" w:cs="Times New Roman"/>
          <w:sz w:val="24"/>
          <w:szCs w:val="24"/>
          <w:bdr w:val="nil"/>
        </w:rPr>
        <w:t xml:space="preserve">imposing obligations that would restrict the stakeholders' </w:t>
      </w:r>
      <w:r w:rsidRPr="00705E14">
        <w:rPr>
          <w:rFonts w:ascii="Times New Roman" w:eastAsia="Arial Unicode MS" w:hAnsi="Times New Roman" w:cs="Times New Roman"/>
          <w:sz w:val="24"/>
          <w:szCs w:val="24"/>
          <w:bdr w:val="nil"/>
        </w:rPr>
        <w:t>contractual freedom were discarded. Such options would be more constraining on the parties since parties would have no choice but to start negotiations or to allow the exploitation of the</w:t>
      </w:r>
      <w:r>
        <w:rPr>
          <w:rFonts w:ascii="Times New Roman" w:eastAsia="Arial Unicode MS" w:hAnsi="Times New Roman" w:cs="Times New Roman"/>
          <w:sz w:val="24"/>
          <w:szCs w:val="24"/>
          <w:bdr w:val="nil"/>
        </w:rPr>
        <w:t xml:space="preserve"> works. However, their practical implementation and real impact on the market remain unclear. It is for instance unclear whether forced negotiations (even in good faith) could reach more agreements than negotiations on a voluntary basis. As regards any obligation to exploit, it would have been very </w:t>
      </w:r>
      <w:r w:rsidRPr="00F17346">
        <w:rPr>
          <w:rFonts w:ascii="Times New Roman" w:hAnsi="Times New Roman" w:cs="Times New Roman"/>
          <w:color w:val="000000"/>
          <w:sz w:val="24"/>
          <w:szCs w:val="24"/>
        </w:rPr>
        <w:t>d</w:t>
      </w:r>
      <w:r>
        <w:rPr>
          <w:rFonts w:ascii="Times New Roman" w:eastAsia="Arial Unicode MS" w:hAnsi="Times New Roman" w:cs="Times New Roman"/>
          <w:sz w:val="24"/>
          <w:szCs w:val="24"/>
          <w:bdr w:val="nil"/>
        </w:rPr>
        <w:t xml:space="preserve">ifficult to determine the conditions under which such obligation could take place without expropriating the concerned person's rights. These options would heavily hinder the contractual freedom of the parties, which now freely negotiate and agree on the different types of exploitation that </w:t>
      </w:r>
      <w:r w:rsidR="00687496">
        <w:rPr>
          <w:rFonts w:ascii="Times New Roman" w:eastAsia="Arial Unicode MS" w:hAnsi="Times New Roman" w:cs="Times New Roman"/>
          <w:sz w:val="24"/>
          <w:szCs w:val="24"/>
          <w:bdr w:val="nil"/>
        </w:rPr>
        <w:t>r</w:t>
      </w:r>
      <w:r w:rsidR="00007677">
        <w:rPr>
          <w:rFonts w:ascii="Times New Roman" w:eastAsia="Arial Unicode MS" w:hAnsi="Times New Roman" w:cs="Times New Roman"/>
          <w:sz w:val="24"/>
          <w:szCs w:val="24"/>
          <w:bdr w:val="nil"/>
        </w:rPr>
        <w:t>ightholders</w:t>
      </w:r>
      <w:r>
        <w:rPr>
          <w:rFonts w:ascii="Times New Roman" w:eastAsia="Arial Unicode MS" w:hAnsi="Times New Roman" w:cs="Times New Roman"/>
          <w:sz w:val="24"/>
          <w:szCs w:val="24"/>
          <w:bdr w:val="nil"/>
        </w:rPr>
        <w:t xml:space="preserve"> want to licen</w:t>
      </w:r>
      <w:r w:rsidR="00235105">
        <w:rPr>
          <w:rFonts w:ascii="Times New Roman" w:eastAsia="Arial Unicode MS" w:hAnsi="Times New Roman" w:cs="Times New Roman"/>
          <w:sz w:val="24"/>
          <w:szCs w:val="24"/>
          <w:bdr w:val="nil"/>
        </w:rPr>
        <w:t>s</w:t>
      </w:r>
      <w:r>
        <w:rPr>
          <w:rFonts w:ascii="Times New Roman" w:eastAsia="Arial Unicode MS" w:hAnsi="Times New Roman" w:cs="Times New Roman"/>
          <w:sz w:val="24"/>
          <w:szCs w:val="24"/>
          <w:bdr w:val="nil"/>
        </w:rPr>
        <w:t>e, e.g. theatres, pay and free broadcasting, DVD, VoD.</w:t>
      </w:r>
    </w:p>
    <w:p w:rsidR="00A57992" w:rsidRPr="00EF6341" w:rsidRDefault="00A57992" w:rsidP="00A57992">
      <w:pPr>
        <w:pStyle w:val="Heading3"/>
      </w:pPr>
      <w:bookmarkStart w:id="42" w:name="_Toc461114712"/>
      <w:r w:rsidRPr="00EF6341">
        <w:t>What are the impacts of the different policy options and who will be affected?</w:t>
      </w:r>
      <w:bookmarkEnd w:id="40"/>
      <w:bookmarkEnd w:id="41"/>
      <w:bookmarkEnd w:id="42"/>
    </w:p>
    <w:p w:rsidR="00A57992" w:rsidRPr="00F17346" w:rsidRDefault="00A57992"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i/>
          <w:sz w:val="20"/>
          <w:szCs w:val="20"/>
        </w:rPr>
      </w:pPr>
      <w:r w:rsidRPr="00F17346">
        <w:rPr>
          <w:rFonts w:ascii="Times New Roman" w:hAnsi="Times New Roman"/>
          <w:b/>
          <w:i/>
          <w:sz w:val="20"/>
          <w:szCs w:val="20"/>
        </w:rPr>
        <w:t>Approach</w:t>
      </w:r>
    </w:p>
    <w:p w:rsidR="00A57992" w:rsidRPr="00F17346" w:rsidRDefault="00A57992"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F17346">
        <w:rPr>
          <w:rFonts w:ascii="Times New Roman" w:hAnsi="Times New Roman"/>
          <w:sz w:val="20"/>
          <w:szCs w:val="20"/>
        </w:rPr>
        <w:t xml:space="preserve">The options presented above would affect all stakeholders in the VoD exploitation chain of EU </w:t>
      </w:r>
      <w:r w:rsidR="00F506EA">
        <w:rPr>
          <w:rFonts w:ascii="Times New Roman" w:hAnsi="Times New Roman"/>
          <w:sz w:val="20"/>
          <w:szCs w:val="20"/>
        </w:rPr>
        <w:t xml:space="preserve">AV </w:t>
      </w:r>
      <w:r w:rsidRPr="00F17346">
        <w:rPr>
          <w:rFonts w:ascii="Times New Roman" w:hAnsi="Times New Roman"/>
          <w:sz w:val="20"/>
          <w:szCs w:val="20"/>
        </w:rPr>
        <w:t>works. Theses stakeholders include:</w:t>
      </w:r>
    </w:p>
    <w:p w:rsidR="00A57992" w:rsidRPr="00F17346" w:rsidRDefault="00007677"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0A4909">
        <w:rPr>
          <w:rFonts w:ascii="Times New Roman" w:hAnsi="Times New Roman"/>
          <w:sz w:val="20"/>
          <w:szCs w:val="20"/>
          <w:u w:val="single"/>
        </w:rPr>
        <w:t>Rightholders</w:t>
      </w:r>
      <w:r w:rsidR="00A57992" w:rsidRPr="000A4909">
        <w:rPr>
          <w:rFonts w:ascii="Times New Roman" w:hAnsi="Times New Roman"/>
          <w:sz w:val="20"/>
          <w:szCs w:val="20"/>
          <w:u w:val="single"/>
        </w:rPr>
        <w:t xml:space="preserve"> and distributors</w:t>
      </w:r>
      <w:r w:rsidR="00A57992" w:rsidRPr="00F17346">
        <w:rPr>
          <w:rFonts w:ascii="Times New Roman" w:hAnsi="Times New Roman"/>
          <w:sz w:val="20"/>
          <w:szCs w:val="20"/>
          <w:u w:val="single"/>
        </w:rPr>
        <w:t>:</w:t>
      </w:r>
      <w:r w:rsidR="00A57992" w:rsidRPr="00F17346">
        <w:rPr>
          <w:rFonts w:ascii="Times New Roman" w:hAnsi="Times New Roman"/>
          <w:sz w:val="20"/>
          <w:szCs w:val="20"/>
        </w:rPr>
        <w:t xml:space="preserve"> This category includes </w:t>
      </w:r>
      <w:r w:rsidR="00687496">
        <w:rPr>
          <w:rFonts w:ascii="Times New Roman" w:hAnsi="Times New Roman"/>
          <w:sz w:val="20"/>
          <w:szCs w:val="20"/>
        </w:rPr>
        <w:t>r</w:t>
      </w:r>
      <w:r>
        <w:rPr>
          <w:rFonts w:ascii="Times New Roman" w:hAnsi="Times New Roman"/>
          <w:sz w:val="20"/>
          <w:szCs w:val="20"/>
        </w:rPr>
        <w:t>ightholders</w:t>
      </w:r>
      <w:r w:rsidR="00A57992" w:rsidRPr="00F17346">
        <w:rPr>
          <w:rFonts w:ascii="Times New Roman" w:hAnsi="Times New Roman"/>
          <w:sz w:val="20"/>
          <w:szCs w:val="20"/>
        </w:rPr>
        <w:t xml:space="preserve"> (director of a movie, screenwriter, producers -to whom the rights to a work are generally assigned- and other possible </w:t>
      </w:r>
      <w:r w:rsidR="00687496">
        <w:rPr>
          <w:rFonts w:ascii="Times New Roman" w:hAnsi="Times New Roman"/>
          <w:sz w:val="20"/>
          <w:szCs w:val="20"/>
        </w:rPr>
        <w:t>r</w:t>
      </w:r>
      <w:r>
        <w:rPr>
          <w:rFonts w:ascii="Times New Roman" w:hAnsi="Times New Roman"/>
          <w:sz w:val="20"/>
          <w:szCs w:val="20"/>
        </w:rPr>
        <w:t>ightholders</w:t>
      </w:r>
      <w:r w:rsidR="00A57992" w:rsidRPr="00F17346">
        <w:rPr>
          <w:rFonts w:ascii="Times New Roman" w:hAnsi="Times New Roman"/>
          <w:sz w:val="20"/>
          <w:szCs w:val="20"/>
        </w:rPr>
        <w:t xml:space="preserve">), and broadcasters. This category also includes distributors and sales agents. For them, the following impacts have been considered: (i) impacts on the incentives for the exploitation of online rights (ii) impacts on costs. </w:t>
      </w:r>
    </w:p>
    <w:p w:rsidR="00A57992" w:rsidRPr="00F17346" w:rsidRDefault="00A57992"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F17346">
        <w:rPr>
          <w:rFonts w:ascii="Times New Roman" w:hAnsi="Times New Roman"/>
          <w:sz w:val="20"/>
          <w:szCs w:val="20"/>
          <w:u w:val="single"/>
        </w:rPr>
        <w:t>VoD platforms and aggregators</w:t>
      </w:r>
      <w:r w:rsidRPr="00F17346">
        <w:rPr>
          <w:rFonts w:ascii="Times New Roman" w:hAnsi="Times New Roman"/>
          <w:sz w:val="20"/>
          <w:szCs w:val="20"/>
        </w:rPr>
        <w:t xml:space="preserve">: The following impacts have been considered: (i) impacts on availability of works in their catalogue; (ii) impacts on costs. </w:t>
      </w:r>
    </w:p>
    <w:p w:rsidR="00A57992" w:rsidRPr="00F17346" w:rsidRDefault="00A57992"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F17346">
        <w:rPr>
          <w:rFonts w:ascii="Times New Roman" w:hAnsi="Times New Roman"/>
          <w:sz w:val="20"/>
          <w:szCs w:val="20"/>
          <w:u w:val="single"/>
        </w:rPr>
        <w:t>Consumers</w:t>
      </w:r>
      <w:r w:rsidRPr="00F17346">
        <w:rPr>
          <w:rFonts w:ascii="Times New Roman" w:hAnsi="Times New Roman"/>
          <w:sz w:val="20"/>
          <w:szCs w:val="20"/>
        </w:rPr>
        <w:t xml:space="preserve">: The impact on the availability of EU </w:t>
      </w:r>
      <w:r w:rsidR="00F506EA">
        <w:rPr>
          <w:rFonts w:ascii="Times New Roman" w:hAnsi="Times New Roman"/>
          <w:sz w:val="20"/>
          <w:szCs w:val="20"/>
        </w:rPr>
        <w:t>AV</w:t>
      </w:r>
      <w:r w:rsidRPr="00F17346">
        <w:rPr>
          <w:rFonts w:ascii="Times New Roman" w:hAnsi="Times New Roman"/>
          <w:sz w:val="20"/>
          <w:szCs w:val="20"/>
        </w:rPr>
        <w:t xml:space="preserve"> works on VoD platforms has been considered. </w:t>
      </w:r>
    </w:p>
    <w:p w:rsidR="00A57992" w:rsidRDefault="00A57992"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F17346">
        <w:rPr>
          <w:rFonts w:ascii="Times New Roman" w:hAnsi="Times New Roman"/>
          <w:sz w:val="20"/>
          <w:szCs w:val="20"/>
        </w:rPr>
        <w:t xml:space="preserve">Only the most significant and likely impacts are reported in this IA. The assessment is mainly qualitative, as the data available is very limited because of confidentiality issues. </w:t>
      </w:r>
    </w:p>
    <w:p w:rsidR="00CC27DB" w:rsidRPr="00F17346" w:rsidRDefault="00CC27DB" w:rsidP="00A579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CC27DB">
        <w:rPr>
          <w:rFonts w:ascii="Times New Roman" w:hAnsi="Times New Roman"/>
          <w:sz w:val="20"/>
          <w:szCs w:val="20"/>
        </w:rPr>
        <w:t xml:space="preserve">The assessment of Option </w:t>
      </w:r>
      <w:r>
        <w:rPr>
          <w:rFonts w:ascii="Times New Roman" w:hAnsi="Times New Roman"/>
          <w:sz w:val="20"/>
          <w:szCs w:val="20"/>
        </w:rPr>
        <w:t>2</w:t>
      </w:r>
      <w:r w:rsidRPr="00CC27DB">
        <w:rPr>
          <w:rFonts w:ascii="Times New Roman" w:hAnsi="Times New Roman"/>
          <w:sz w:val="20"/>
          <w:szCs w:val="20"/>
        </w:rPr>
        <w:t xml:space="preserve"> also includes an analysis of the impacts on </w:t>
      </w:r>
      <w:r w:rsidRPr="00AD57F7">
        <w:rPr>
          <w:rFonts w:ascii="Times New Roman" w:hAnsi="Times New Roman"/>
          <w:sz w:val="20"/>
          <w:szCs w:val="20"/>
          <w:u w:val="single"/>
        </w:rPr>
        <w:t>Member States</w:t>
      </w:r>
      <w:r w:rsidRPr="00CC27DB">
        <w:rPr>
          <w:rFonts w:ascii="Times New Roman" w:hAnsi="Times New Roman"/>
          <w:sz w:val="20"/>
          <w:szCs w:val="20"/>
        </w:rPr>
        <w:t xml:space="preserve">, in terms of implementation costs. </w:t>
      </w:r>
    </w:p>
    <w:p w:rsidR="00A57992" w:rsidRPr="00F17346" w:rsidRDefault="00A57992" w:rsidP="00A57992">
      <w:pPr>
        <w:pStyle w:val="Text1"/>
        <w:ind w:left="0"/>
        <w:rPr>
          <w:rFonts w:eastAsia="Arial Unicode MS"/>
          <w:b/>
          <w:bCs/>
          <w:color w:val="000000"/>
          <w:szCs w:val="24"/>
          <w:u w:val="single"/>
          <w:bdr w:val="nil"/>
        </w:rPr>
      </w:pPr>
      <w:r w:rsidRPr="00F17346">
        <w:rPr>
          <w:rFonts w:eastAsia="Arial Unicode MS"/>
          <w:b/>
          <w:bCs/>
          <w:color w:val="000000"/>
          <w:szCs w:val="24"/>
          <w:u w:val="single"/>
          <w:bdr w:val="nil"/>
        </w:rPr>
        <w:t>Baseline</w:t>
      </w:r>
    </w:p>
    <w:p w:rsidR="00A57992" w:rsidRDefault="00A57992" w:rsidP="00A57992">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stakeholders</w:t>
      </w:r>
    </w:p>
    <w:p w:rsidR="00A57992" w:rsidRDefault="00A57992" w:rsidP="00A57992">
      <w:pPr>
        <w:pStyle w:val="Default"/>
        <w:widowControl w:val="0"/>
        <w:spacing w:after="120"/>
        <w:jc w:val="both"/>
      </w:pPr>
      <w:r>
        <w:t xml:space="preserve">The limited availability of EU </w:t>
      </w:r>
      <w:r w:rsidR="00F506EA">
        <w:t xml:space="preserve">AV </w:t>
      </w:r>
      <w:r>
        <w:t>works on VoD platforms is expected to persist under the baseline option.</w:t>
      </w:r>
      <w:r>
        <w:rPr>
          <w:rStyle w:val="FootnoteReference"/>
        </w:rPr>
        <w:footnoteReference w:id="165"/>
      </w:r>
      <w:r>
        <w:t xml:space="preserve"> The maturity of the VoD market in terms of revenues has not been reached yet. In the absence of any intervention at EU level, contractual blockages are likely to persist. In many cases, the licensing process for EU </w:t>
      </w:r>
      <w:r w:rsidR="00F506EA">
        <w:t xml:space="preserve">AV </w:t>
      </w:r>
      <w:r>
        <w:t>works would remain burdensome.</w:t>
      </w:r>
    </w:p>
    <w:p w:rsidR="00A57992" w:rsidRDefault="00007677" w:rsidP="00A57992">
      <w:pPr>
        <w:pStyle w:val="Text1"/>
        <w:ind w:left="0"/>
        <w:rPr>
          <w:b/>
          <w:szCs w:val="24"/>
        </w:rPr>
      </w:pPr>
      <w:r>
        <w:rPr>
          <w:b/>
          <w:szCs w:val="24"/>
        </w:rPr>
        <w:t>Rightholders</w:t>
      </w:r>
      <w:r w:rsidR="00A57992">
        <w:rPr>
          <w:b/>
          <w:szCs w:val="24"/>
        </w:rPr>
        <w:t xml:space="preserve"> and distributors </w:t>
      </w:r>
    </w:p>
    <w:p w:rsidR="00A57992" w:rsidRDefault="00A57992" w:rsidP="00A57992">
      <w:pPr>
        <w:pStyle w:val="Default"/>
        <w:widowControl w:val="0"/>
        <w:spacing w:after="120"/>
        <w:jc w:val="both"/>
      </w:pPr>
      <w:r>
        <w:rPr>
          <w:u w:val="single"/>
        </w:rPr>
        <w:t>Impacts on the incentives for the exploitation of online rights</w:t>
      </w:r>
      <w:r>
        <w:t xml:space="preserve">: Most successful/mainstream works would find their way to VoD platforms. For other </w:t>
      </w:r>
      <w:r w:rsidR="00F506EA">
        <w:t xml:space="preserve">AV </w:t>
      </w:r>
      <w:r>
        <w:t xml:space="preserve">works (including numerous European works), low revenues and high costs would in many cases continue to prevent any online exploitation. The </w:t>
      </w:r>
      <w:r w:rsidR="00687496">
        <w:t>r</w:t>
      </w:r>
      <w:r w:rsidR="00007677">
        <w:t>ightholders</w:t>
      </w:r>
      <w:r>
        <w:t xml:space="preserve">' business model based on exclusivity deals and release windows would not be affected under this option. </w:t>
      </w:r>
      <w:r w:rsidR="00007677">
        <w:t>Rightholders</w:t>
      </w:r>
      <w:r>
        <w:t xml:space="preserve"> would only have limited incentive to intensify the online exploitation of their works. Apart from increased revenues, a possible incentive could be if the VoD market grows to the point that it becomes essential from the </w:t>
      </w:r>
      <w:r w:rsidR="00687496">
        <w:t>r</w:t>
      </w:r>
      <w:r w:rsidR="00007677">
        <w:t>ightholders</w:t>
      </w:r>
      <w:r>
        <w:t xml:space="preserve">' point of view (e.g. as a marketing tool or as the main distribution channel). However, this is not likely to happen in the short term. </w:t>
      </w:r>
    </w:p>
    <w:p w:rsidR="00A57992" w:rsidRDefault="00A57992" w:rsidP="00A57992">
      <w:pPr>
        <w:pStyle w:val="Default"/>
        <w:widowControl w:val="0"/>
        <w:spacing w:after="120"/>
        <w:jc w:val="both"/>
        <w:rPr>
          <w:b/>
        </w:rPr>
      </w:pPr>
      <w:r>
        <w:rPr>
          <w:u w:val="single"/>
        </w:rPr>
        <w:t>Impacts on costs</w:t>
      </w:r>
      <w:r>
        <w:t xml:space="preserve">: The development of intermediaries (such as aggregators) in the VoD market could have a positive outcome on transactions costs for </w:t>
      </w:r>
      <w:r w:rsidR="00687496">
        <w:t>r</w:t>
      </w:r>
      <w:r w:rsidR="00007677">
        <w:t>ightholders</w:t>
      </w:r>
      <w:r>
        <w:t xml:space="preserve">. Aggregators could help </w:t>
      </w:r>
      <w:r w:rsidR="00687496">
        <w:t>r</w:t>
      </w:r>
      <w:r w:rsidR="00007677">
        <w:t>ightholders</w:t>
      </w:r>
      <w:r>
        <w:t xml:space="preserve"> concluding agreements on the digital exploitation of their works. This would particularly be true for small producers and distributors who do not always have the resources to start direct negotiations with VoD platforms. However, this positive impact would be limited as intermediaries would continue to face high transaction costs, which could prevent their development.  </w:t>
      </w:r>
    </w:p>
    <w:p w:rsidR="00A57992" w:rsidRPr="008A00C3" w:rsidRDefault="00A57992" w:rsidP="00A57992">
      <w:pPr>
        <w:pStyle w:val="Text1"/>
        <w:ind w:left="0"/>
        <w:rPr>
          <w:b/>
          <w:szCs w:val="24"/>
        </w:rPr>
      </w:pPr>
      <w:r>
        <w:rPr>
          <w:b/>
          <w:szCs w:val="24"/>
        </w:rPr>
        <w:t>VoD platforms and aggregators</w:t>
      </w:r>
    </w:p>
    <w:p w:rsidR="00A57992" w:rsidRDefault="00A57992" w:rsidP="00A57992">
      <w:pPr>
        <w:pStyle w:val="Default"/>
        <w:widowControl w:val="0"/>
        <w:spacing w:after="120"/>
        <w:jc w:val="both"/>
      </w:pPr>
      <w:r>
        <w:rPr>
          <w:u w:val="single"/>
        </w:rPr>
        <w:t>Impacts on the availability of works in their catalogues</w:t>
      </w:r>
      <w:r>
        <w:t xml:space="preserve">: VoD platforms and aggregators would have no leverage under this option to unblock contractual blockages except for the growing importance of the VoD market (and revenues linked to it). Upstream, VoD platforms and aggregators are likely to face less clearance of rights issues. To facilitate clearance of rights, initiatives as the ones already launched in some countries could be launched in other countries. However, this would rely on individual initiatives, at national level. Downstream, even if reduced, costs would continue to be important (see </w:t>
      </w:r>
      <w:r>
        <w:rPr>
          <w:i/>
        </w:rPr>
        <w:t>infra</w:t>
      </w:r>
      <w:r>
        <w:t xml:space="preserve">). It would therefore still be difficult and expensive for VoD platforms and aggregators to conclude agreements with small and medium producers (and by consequence include their works in their catalogue).  </w:t>
      </w:r>
    </w:p>
    <w:p w:rsidR="00A57992" w:rsidRDefault="00A57992" w:rsidP="00A57992">
      <w:pPr>
        <w:pStyle w:val="Default"/>
        <w:widowControl w:val="0"/>
        <w:spacing w:after="120"/>
        <w:jc w:val="both"/>
      </w:pPr>
      <w:r>
        <w:rPr>
          <w:u w:val="single"/>
        </w:rPr>
        <w:t>Impacts on costs</w:t>
      </w:r>
      <w:r>
        <w:t>: With the development of the VoD market, VoD platforms and aggregators could gain in bargaining power and bring forward in the negotiation standard contractual practices (such as "</w:t>
      </w:r>
      <w:r w:rsidRPr="0074294E">
        <w:t>block-agreements"</w:t>
      </w:r>
      <w:r w:rsidRPr="00CE35F9">
        <w:rPr>
          <w:rStyle w:val="FootnoteReference"/>
        </w:rPr>
        <w:footnoteReference w:id="166"/>
      </w:r>
      <w:r w:rsidRPr="0074294E">
        <w:t>). This</w:t>
      </w:r>
      <w:r>
        <w:t xml:space="preserve"> could lead to some reduction of transaction costs. For some categories of works, VoD platforms and aggregators would also be able to better bargain the licence cost as VoD market gains in importance. Development of the VoD market could also lead to an increase of the licences prices but in proportion with an increase of the revenues. Under this option, VoD platforms would still face technical costs (when not borne by </w:t>
      </w:r>
      <w:r w:rsidR="00687496">
        <w:t>r</w:t>
      </w:r>
      <w:r w:rsidR="00007677">
        <w:t>ightholders</w:t>
      </w:r>
      <w:r>
        <w:t xml:space="preserve">). </w:t>
      </w:r>
    </w:p>
    <w:p w:rsidR="00A57992" w:rsidRDefault="00A57992" w:rsidP="00A57992">
      <w:pPr>
        <w:pStyle w:val="Text1"/>
        <w:ind w:left="0"/>
        <w:rPr>
          <w:b/>
          <w:szCs w:val="24"/>
        </w:rPr>
      </w:pPr>
      <w:r>
        <w:rPr>
          <w:b/>
          <w:szCs w:val="24"/>
        </w:rPr>
        <w:t>Consumers</w:t>
      </w:r>
    </w:p>
    <w:p w:rsidR="00A57992" w:rsidRDefault="00A57992" w:rsidP="00A57992">
      <w:pPr>
        <w:pStyle w:val="Default"/>
        <w:widowControl w:val="0"/>
        <w:spacing w:after="120"/>
        <w:jc w:val="both"/>
      </w:pPr>
      <w:r>
        <w:rPr>
          <w:u w:val="single"/>
        </w:rPr>
        <w:t xml:space="preserve">Impact on the availability of EU </w:t>
      </w:r>
      <w:r w:rsidR="00F506EA">
        <w:rPr>
          <w:u w:val="single"/>
        </w:rPr>
        <w:t xml:space="preserve">AV </w:t>
      </w:r>
      <w:r>
        <w:rPr>
          <w:u w:val="single"/>
        </w:rPr>
        <w:t>works on VoD platforms</w:t>
      </w:r>
      <w:r>
        <w:t xml:space="preserve">: As the VoD market evolves, consumers would be offered a larger choice of </w:t>
      </w:r>
      <w:r w:rsidR="00F506EA">
        <w:t xml:space="preserve">AV </w:t>
      </w:r>
      <w:r>
        <w:t xml:space="preserve">works. However, this choice would be limited to some extent as access to some categories of works would remain limited: (i) works whose rights are blocked by </w:t>
      </w:r>
      <w:r w:rsidR="00687496">
        <w:t>r</w:t>
      </w:r>
      <w:r w:rsidR="00007677">
        <w:t>ightholders</w:t>
      </w:r>
      <w:r>
        <w:t xml:space="preserve">; (ii) works (mainly small productions) for which transaction costs would be too high) and (iii) works that VoD platforms are not willing to include in their catalogue. Costs for consumers to access catalogues of VoD platforms would remain unchanged. </w:t>
      </w:r>
    </w:p>
    <w:p w:rsidR="00A57992" w:rsidRDefault="00A57992" w:rsidP="00A57992">
      <w:pPr>
        <w:pStyle w:val="Text1"/>
        <w:ind w:left="0"/>
        <w:rPr>
          <w:szCs w:val="24"/>
        </w:rPr>
      </w:pPr>
      <w:r w:rsidRPr="00C32C45">
        <w:rPr>
          <w:b/>
          <w:smallCaps/>
          <w:szCs w:val="24"/>
        </w:rPr>
        <w:t xml:space="preserve">Social </w:t>
      </w:r>
      <w:r w:rsidRPr="00F17346">
        <w:rPr>
          <w:rFonts w:ascii="Times New Roman Bold" w:eastAsia="Arial Unicode MS" w:hAnsi="Times New Roman Bold"/>
          <w:b/>
          <w:smallCaps/>
          <w:szCs w:val="24"/>
          <w:bdr w:val="none" w:sz="0" w:space="0" w:color="auto" w:frame="1"/>
        </w:rPr>
        <w:t>impacts</w:t>
      </w:r>
    </w:p>
    <w:p w:rsidR="00A57992" w:rsidRDefault="00A57992" w:rsidP="00A57992">
      <w:pPr>
        <w:pStyle w:val="Default"/>
        <w:widowControl w:val="0"/>
        <w:spacing w:after="120"/>
        <w:jc w:val="both"/>
      </w:pPr>
      <w:r w:rsidRPr="008B5817">
        <w:t xml:space="preserve">The baseline option </w:t>
      </w:r>
      <w:r>
        <w:t xml:space="preserve">will not sufficiently </w:t>
      </w:r>
      <w:r w:rsidRPr="008B5817">
        <w:t xml:space="preserve">contribute </w:t>
      </w:r>
      <w:r>
        <w:t xml:space="preserve">to increase the availability of European </w:t>
      </w:r>
      <w:r w:rsidR="00F506EA">
        <w:t xml:space="preserve">AV </w:t>
      </w:r>
      <w:r>
        <w:t xml:space="preserve">works on VoD platforms, which participate in the </w:t>
      </w:r>
      <w:r w:rsidRPr="008B5817">
        <w:t>cu</w:t>
      </w:r>
      <w:r>
        <w:t xml:space="preserve">ltural diversity. As a consequence, the visibility and circulation of European </w:t>
      </w:r>
      <w:r w:rsidR="00F506EA">
        <w:t xml:space="preserve">AV </w:t>
      </w:r>
      <w:r>
        <w:t xml:space="preserve">culture across the European Union would remain limited. This would constitute a lost opportunity for European </w:t>
      </w:r>
      <w:r w:rsidR="00F506EA">
        <w:t xml:space="preserve">AV </w:t>
      </w:r>
      <w:r>
        <w:t>works to reach a larger public.</w:t>
      </w:r>
    </w:p>
    <w:p w:rsidR="00A57992" w:rsidRPr="00C32C45" w:rsidRDefault="00A57992" w:rsidP="00A57992">
      <w:pPr>
        <w:pStyle w:val="Text1"/>
        <w:ind w:left="0"/>
        <w:rPr>
          <w:b/>
          <w:smallCaps/>
          <w:szCs w:val="24"/>
        </w:rPr>
      </w:pPr>
      <w:r>
        <w:rPr>
          <w:b/>
          <w:smallCaps/>
          <w:szCs w:val="24"/>
        </w:rPr>
        <w:t xml:space="preserve">Impacts on </w:t>
      </w:r>
      <w:r w:rsidRPr="00F17346">
        <w:rPr>
          <w:rFonts w:ascii="Times New Roman Bold" w:eastAsia="Arial Unicode MS" w:hAnsi="Times New Roman Bold"/>
          <w:b/>
          <w:smallCaps/>
          <w:szCs w:val="24"/>
          <w:bdr w:val="none" w:sz="0" w:space="0" w:color="auto" w:frame="1"/>
        </w:rPr>
        <w:t>fundamental</w:t>
      </w:r>
      <w:r w:rsidRPr="00C32C45">
        <w:rPr>
          <w:b/>
          <w:smallCaps/>
          <w:szCs w:val="24"/>
        </w:rPr>
        <w:t xml:space="preserve"> rights</w:t>
      </w:r>
    </w:p>
    <w:p w:rsidR="00A57992" w:rsidRPr="00E970E4" w:rsidRDefault="00A57992" w:rsidP="00A57992">
      <w:pPr>
        <w:pStyle w:val="Default"/>
        <w:widowControl w:val="0"/>
        <w:spacing w:after="120"/>
        <w:jc w:val="both"/>
        <w:rPr>
          <w:rFonts w:eastAsia="Arial Unicode MS" w:hAnsi="Arial Unicode MS" w:cs="Arial Unicode MS"/>
          <w:u w:color="000000"/>
          <w:bdr w:val="nil"/>
          <w:lang w:eastAsia="en-GB"/>
        </w:rPr>
      </w:pPr>
      <w:r w:rsidRPr="00690509">
        <w:rPr>
          <w:rFonts w:eastAsia="Arial Unicode MS"/>
          <w:u w:color="000000"/>
          <w:bdr w:val="nil"/>
          <w:lang w:eastAsia="en-GB"/>
        </w:rPr>
        <w:t xml:space="preserve">The </w:t>
      </w:r>
      <w:r w:rsidRPr="00F17346">
        <w:t>baseline</w:t>
      </w:r>
      <w:r w:rsidRPr="00690509">
        <w:rPr>
          <w:rFonts w:eastAsia="Arial Unicode MS"/>
          <w:u w:color="000000"/>
          <w:bdr w:val="nil"/>
          <w:lang w:eastAsia="en-GB"/>
        </w:rPr>
        <w:t xml:space="preserve"> scenario would not have any impact on copyright as property right </w:t>
      </w:r>
      <w:r w:rsidRPr="00690509">
        <w:rPr>
          <w:lang w:eastAsia="en-GB"/>
        </w:rPr>
        <w:t xml:space="preserve">(Article 17(2) Charter) </w:t>
      </w:r>
      <w:r w:rsidRPr="00690509">
        <w:rPr>
          <w:rFonts w:eastAsia="Arial Unicode MS"/>
          <w:u w:color="000000"/>
          <w:bdr w:val="nil"/>
          <w:lang w:eastAsia="en-GB"/>
        </w:rPr>
        <w:t xml:space="preserve">or on the freedom to conduct a business </w:t>
      </w:r>
      <w:r w:rsidRPr="00690509">
        <w:rPr>
          <w:lang w:eastAsia="en-GB"/>
        </w:rPr>
        <w:t>(Article 16)</w:t>
      </w:r>
      <w:r w:rsidRPr="00690509">
        <w:rPr>
          <w:rFonts w:eastAsia="Arial Unicode MS"/>
          <w:u w:color="000000"/>
          <w:bdr w:val="nil"/>
          <w:lang w:eastAsia="en-GB"/>
        </w:rPr>
        <w:t xml:space="preserve">, as it </w:t>
      </w:r>
      <w:r w:rsidRPr="000C55BF">
        <w:t>would</w:t>
      </w:r>
      <w:r w:rsidRPr="00690509">
        <w:rPr>
          <w:rFonts w:eastAsia="Arial Unicode MS"/>
          <w:u w:color="000000"/>
          <w:bdr w:val="nil"/>
          <w:lang w:eastAsia="en-GB"/>
        </w:rPr>
        <w:t xml:space="preserve"> not alter the current </w:t>
      </w:r>
      <w:r w:rsidR="006D21E9">
        <w:rPr>
          <w:rFonts w:eastAsia="Arial Unicode MS"/>
          <w:u w:color="000000"/>
          <w:bdr w:val="nil"/>
          <w:lang w:eastAsia="en-GB"/>
        </w:rPr>
        <w:t>licensing</w:t>
      </w:r>
      <w:r w:rsidRPr="00690509">
        <w:rPr>
          <w:rFonts w:eastAsia="Arial Unicode MS"/>
          <w:u w:color="000000"/>
          <w:bdr w:val="nil"/>
          <w:lang w:eastAsia="en-GB"/>
        </w:rPr>
        <w:t xml:space="preserve"> system. </w:t>
      </w:r>
    </w:p>
    <w:p w:rsidR="00A57992" w:rsidRPr="00F17346" w:rsidRDefault="00A57992" w:rsidP="00A57992">
      <w:pPr>
        <w:pStyle w:val="Text1"/>
        <w:ind w:left="0"/>
        <w:rPr>
          <w:rFonts w:eastAsia="Arial Unicode MS"/>
          <w:b/>
          <w:bCs/>
          <w:color w:val="000000"/>
          <w:szCs w:val="24"/>
          <w:u w:val="single"/>
          <w:bdr w:val="nil"/>
        </w:rPr>
      </w:pPr>
      <w:r w:rsidRPr="00F17346">
        <w:rPr>
          <w:rFonts w:eastAsia="Arial Unicode MS"/>
          <w:b/>
          <w:bCs/>
          <w:color w:val="000000"/>
          <w:szCs w:val="24"/>
          <w:u w:val="single"/>
          <w:bdr w:val="nil"/>
        </w:rPr>
        <w:t>Option 1 – Stakeholders' dialogue focusing on licensing issues and aiming at improving the proportion of EU audiovisual works available on VoD platforms</w:t>
      </w:r>
    </w:p>
    <w:p w:rsidR="00A57992" w:rsidRDefault="00A57992" w:rsidP="00A57992">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stakeholders</w:t>
      </w:r>
    </w:p>
    <w:p w:rsidR="00A57992" w:rsidRDefault="00A57992" w:rsidP="00A57992">
      <w:pPr>
        <w:pStyle w:val="Default"/>
        <w:widowControl w:val="0"/>
        <w:spacing w:after="120"/>
        <w:jc w:val="both"/>
      </w:pPr>
      <w:r>
        <w:t xml:space="preserve">Having a platform to meet and discuss licensing issues preventing availability of EU </w:t>
      </w:r>
      <w:r w:rsidR="00F506EA">
        <w:t xml:space="preserve">AV </w:t>
      </w:r>
      <w:r>
        <w:t xml:space="preserve">works on VoD platforms (e.g. exclusivity issues; release windows), at European level, could contribute to reach agreements (self-regulatory measures) for a more sustained exploitation of EU works, which would benefit all stakeholders involved. In particular, by setting the dialogue at European level, participation of representative European organisations will be secured and will produce a European effect of the potential self-regulatory measures that they will adopt. </w:t>
      </w:r>
      <w:r w:rsidRPr="009B2C82">
        <w:t>However, chances of reaching concrete agreements would depend on the willingness of the stakeholders to engage in constructive discussions and to take commitments.</w:t>
      </w:r>
      <w:r>
        <w:t xml:space="preserve"> </w:t>
      </w:r>
    </w:p>
    <w:p w:rsidR="00A57992" w:rsidRPr="008A00C3" w:rsidRDefault="00007677" w:rsidP="00A57992">
      <w:pPr>
        <w:pStyle w:val="Text1"/>
        <w:ind w:left="0"/>
        <w:rPr>
          <w:b/>
          <w:szCs w:val="24"/>
        </w:rPr>
      </w:pPr>
      <w:r>
        <w:rPr>
          <w:b/>
          <w:szCs w:val="24"/>
        </w:rPr>
        <w:t>Rightholders</w:t>
      </w:r>
      <w:r w:rsidR="00A57992">
        <w:rPr>
          <w:b/>
          <w:szCs w:val="24"/>
        </w:rPr>
        <w:t xml:space="preserve"> and distributors</w:t>
      </w:r>
    </w:p>
    <w:p w:rsidR="00A57992" w:rsidRDefault="00A57992" w:rsidP="00A57992">
      <w:pPr>
        <w:pStyle w:val="Default"/>
        <w:widowControl w:val="0"/>
        <w:spacing w:after="120"/>
        <w:jc w:val="both"/>
      </w:pPr>
      <w:r>
        <w:rPr>
          <w:u w:val="single"/>
        </w:rPr>
        <w:t>Impacts on the incentives for the exploitation of online rights</w:t>
      </w:r>
      <w:r>
        <w:t xml:space="preserve">: The </w:t>
      </w:r>
      <w:r w:rsidR="00687496">
        <w:t>r</w:t>
      </w:r>
      <w:r w:rsidR="00007677">
        <w:t>ightholders</w:t>
      </w:r>
      <w:r>
        <w:t xml:space="preserve">' business model based e.g. on exclusivity deals and release windows would not be affected under this option. The stakeholders' dialogue could lead to some agreement as regards the streamlining of licensing practices (for instance, development of standard clauses that could easily be included in contracts). This could encourage </w:t>
      </w:r>
      <w:r w:rsidR="00687496">
        <w:t>r</w:t>
      </w:r>
      <w:r w:rsidR="00007677">
        <w:t>ightholders</w:t>
      </w:r>
      <w:r>
        <w:t xml:space="preserve"> intensifying digital exploitation of their works. The stakeholder dialogue could also raise awareness as to the importance of clearing the rights for the producers. This could have a positive impact on distributors and other intermediaries down the contractual chain, and ultimately, on the availability of works on VoD platforms. </w:t>
      </w:r>
    </w:p>
    <w:p w:rsidR="00A57992" w:rsidRDefault="00A57992" w:rsidP="00A57992">
      <w:pPr>
        <w:pStyle w:val="Default"/>
        <w:widowControl w:val="0"/>
        <w:spacing w:after="120"/>
        <w:jc w:val="both"/>
      </w:pPr>
      <w:r>
        <w:rPr>
          <w:u w:val="single"/>
        </w:rPr>
        <w:t>Impacts on costs</w:t>
      </w:r>
      <w:r>
        <w:t>: The stakeholder dialogue could contribute to reduce costs linked to VoD exploitation (e.g. if the stakeholder dialogue help defining contractual standards that would streamline the licensing process and reduce transaction costs).</w:t>
      </w:r>
    </w:p>
    <w:p w:rsidR="001D5DE0" w:rsidRDefault="001D5DE0">
      <w:pPr>
        <w:rPr>
          <w:rFonts w:ascii="Times New Roman" w:eastAsia="Calibri" w:hAnsi="Times New Roman" w:cs="Times New Roman"/>
          <w:b/>
          <w:sz w:val="24"/>
          <w:szCs w:val="24"/>
          <w:lang w:eastAsia="en-GB"/>
        </w:rPr>
      </w:pPr>
      <w:r>
        <w:rPr>
          <w:b/>
          <w:szCs w:val="24"/>
        </w:rPr>
        <w:br w:type="page"/>
      </w:r>
    </w:p>
    <w:p w:rsidR="00A57992" w:rsidRDefault="00A57992" w:rsidP="00A57992">
      <w:pPr>
        <w:pStyle w:val="Text1"/>
        <w:ind w:left="0"/>
        <w:rPr>
          <w:b/>
          <w:szCs w:val="24"/>
        </w:rPr>
      </w:pPr>
      <w:r>
        <w:rPr>
          <w:b/>
          <w:szCs w:val="24"/>
        </w:rPr>
        <w:t>VoD platforms and aggregators</w:t>
      </w:r>
    </w:p>
    <w:p w:rsidR="00A57992" w:rsidRDefault="00A57992" w:rsidP="00A57992">
      <w:pPr>
        <w:pStyle w:val="Default"/>
        <w:widowControl w:val="0"/>
        <w:spacing w:after="120"/>
        <w:jc w:val="both"/>
      </w:pPr>
      <w:r>
        <w:rPr>
          <w:u w:val="single"/>
        </w:rPr>
        <w:t>Impacts on the availability of works in their catalogues</w:t>
      </w:r>
      <w:r>
        <w:t>:</w:t>
      </w:r>
      <w:r w:rsidRPr="001F72EA">
        <w:t xml:space="preserve"> </w:t>
      </w:r>
      <w:r>
        <w:t>As mentioned above ('</w:t>
      </w:r>
      <w:r w:rsidR="00687496">
        <w:rPr>
          <w:i/>
        </w:rPr>
        <w:t>r</w:t>
      </w:r>
      <w:r w:rsidR="00007677">
        <w:rPr>
          <w:i/>
        </w:rPr>
        <w:t>ightholders</w:t>
      </w:r>
      <w:r>
        <w:rPr>
          <w:i/>
        </w:rPr>
        <w:t xml:space="preserve"> and distributors</w:t>
      </w:r>
      <w:r>
        <w:t>'), the stakeholder dialogue could have a positive impact on the streamlining of the licensing process and the clearance of rights.</w:t>
      </w:r>
      <w:r>
        <w:rPr>
          <w:rStyle w:val="FootnoteReference"/>
        </w:rPr>
        <w:footnoteReference w:id="167"/>
      </w:r>
      <w:r>
        <w:t xml:space="preserve"> This could help increasing the number of works available in the VoD catalogues, in particular European works. However, by its nature, the stakeholder dialogue would only concern collective solutions and could not solve individual issues. Therefore, the impact of this option on works blocked in exclusivity deals are expected to be limited. It would indeed be necessary to start individual negotiations to obtain from a right holder that it renounces to its exclusivity. As regards release windows, this option could have a positive impact by bringing more flexibility. For instance, stakeholders could discuss under what conditions an earlier availability on SVoD platforms would be possible (for instance, stakeholders could discuss the possibility for </w:t>
      </w:r>
      <w:r w:rsidR="00687496">
        <w:t>r</w:t>
      </w:r>
      <w:r w:rsidR="00007677">
        <w:t>ightholders</w:t>
      </w:r>
      <w:r>
        <w:t xml:space="preserve"> to stop – even temporarily – the exploitation on SVoD in case of another, more valuable, distribution opportunity). Finally, the stakeholder dialogue could facilitate contacts between small and medium </w:t>
      </w:r>
      <w:r w:rsidR="00687496">
        <w:t>r</w:t>
      </w:r>
      <w:r w:rsidR="00007677">
        <w:t>ightholders</w:t>
      </w:r>
      <w:r>
        <w:t xml:space="preserve"> (or their representatives) and aggregators/VoD platforms. They could work together on ways to improve the inclusion of their works in an aggregator's or VoD platform's catalogue.</w:t>
      </w:r>
    </w:p>
    <w:p w:rsidR="00A57992" w:rsidRDefault="00A57992" w:rsidP="00A57992">
      <w:pPr>
        <w:pStyle w:val="Default"/>
        <w:widowControl w:val="0"/>
        <w:spacing w:after="120"/>
        <w:jc w:val="both"/>
        <w:rPr>
          <w:b/>
        </w:rPr>
      </w:pPr>
      <w:r>
        <w:rPr>
          <w:u w:val="single"/>
        </w:rPr>
        <w:t>Impacts on costs</w:t>
      </w:r>
      <w:r w:rsidRPr="001F72EA">
        <w:t xml:space="preserve">: </w:t>
      </w:r>
      <w:r>
        <w:t xml:space="preserve">The stakeholder dialogue could help reducing transaction costs. If successful, the stakeholder dialogue could lead to an agreement on new contractual standards. This could facilitate licences negotiation. </w:t>
      </w:r>
    </w:p>
    <w:p w:rsidR="00A57992" w:rsidRDefault="00A57992" w:rsidP="00A57992">
      <w:pPr>
        <w:pStyle w:val="Text1"/>
        <w:ind w:left="0"/>
        <w:rPr>
          <w:b/>
          <w:szCs w:val="24"/>
        </w:rPr>
      </w:pPr>
      <w:r>
        <w:rPr>
          <w:b/>
          <w:szCs w:val="24"/>
        </w:rPr>
        <w:t>Consumers</w:t>
      </w:r>
    </w:p>
    <w:p w:rsidR="00A57992" w:rsidRDefault="00A57992" w:rsidP="00A57992">
      <w:pPr>
        <w:pStyle w:val="Default"/>
        <w:widowControl w:val="0"/>
        <w:spacing w:after="120"/>
        <w:jc w:val="both"/>
      </w:pPr>
      <w:r>
        <w:rPr>
          <w:u w:val="single"/>
        </w:rPr>
        <w:t>Impact on the availability of EU audiovisual works on VoD platforms</w:t>
      </w:r>
      <w:r>
        <w:t xml:space="preserve">: Under this option, if the stakeholder dialogue helps reducing transactions costs and facilitating contacts between on the one hand, VoD platforms and aggregators, and on the other hand, </w:t>
      </w:r>
      <w:r w:rsidR="00687496">
        <w:t>r</w:t>
      </w:r>
      <w:r w:rsidR="00007677">
        <w:t>ightholders</w:t>
      </w:r>
      <w:r>
        <w:t xml:space="preserve"> (in particular producers), consumers would be able to enjoy a larger choice of works, including small productions (which are typically European works, as described in Section 3.3.1). They could also benefit from earlier access to some works on VoD platforms. It is likely that costs for consumers to access VoD services would remain unchanged or would only slightly increase in cases where SVoD platforms offer a substantially larger catalogue.</w:t>
      </w:r>
    </w:p>
    <w:p w:rsidR="00A57992" w:rsidRDefault="00A57992" w:rsidP="00A57992">
      <w:pPr>
        <w:pStyle w:val="Text1"/>
        <w:ind w:left="0"/>
        <w:rPr>
          <w:szCs w:val="24"/>
        </w:rPr>
      </w:pPr>
      <w:r w:rsidRPr="00C32C45">
        <w:rPr>
          <w:b/>
          <w:smallCaps/>
          <w:szCs w:val="24"/>
        </w:rPr>
        <w:t xml:space="preserve">Social </w:t>
      </w:r>
      <w:r w:rsidRPr="00F17346">
        <w:rPr>
          <w:rFonts w:ascii="Times New Roman Bold" w:eastAsia="Arial Unicode MS" w:hAnsi="Times New Roman Bold"/>
          <w:b/>
          <w:smallCaps/>
          <w:szCs w:val="24"/>
          <w:bdr w:val="none" w:sz="0" w:space="0" w:color="auto" w:frame="1"/>
        </w:rPr>
        <w:t>impacts</w:t>
      </w:r>
    </w:p>
    <w:p w:rsidR="00A57992" w:rsidRDefault="00A57992" w:rsidP="00A57992">
      <w:pPr>
        <w:pStyle w:val="Default"/>
        <w:widowControl w:val="0"/>
        <w:spacing w:after="120"/>
        <w:jc w:val="both"/>
      </w:pPr>
      <w:r w:rsidRPr="008B5817">
        <w:t xml:space="preserve">Option 1 is expected to contribute to the objective by </w:t>
      </w:r>
      <w:r>
        <w:t xml:space="preserve">enabling a dialogue that could facilitate </w:t>
      </w:r>
      <w:r w:rsidRPr="008B5817">
        <w:t>access to a wider range</w:t>
      </w:r>
      <w:r>
        <w:t xml:space="preserve"> of</w:t>
      </w:r>
      <w:r w:rsidRPr="008B5817">
        <w:t xml:space="preserve"> </w:t>
      </w:r>
      <w:r>
        <w:t xml:space="preserve">European </w:t>
      </w:r>
      <w:r w:rsidR="00F506EA">
        <w:t xml:space="preserve">AV </w:t>
      </w:r>
      <w:r>
        <w:t>works</w:t>
      </w:r>
      <w:r w:rsidRPr="008B5817">
        <w:t>.</w:t>
      </w:r>
      <w:r>
        <w:t xml:space="preserve"> This would in the medium/long term increase the number of works available on VoD platforms. This would positively affect the visibility and circulation of European </w:t>
      </w:r>
      <w:r w:rsidR="00F506EA">
        <w:t xml:space="preserve">AV </w:t>
      </w:r>
      <w:r>
        <w:t xml:space="preserve">works across the European Union.  </w:t>
      </w:r>
    </w:p>
    <w:p w:rsidR="00A57992" w:rsidRPr="00C32C45" w:rsidRDefault="00A57992" w:rsidP="00A57992">
      <w:pPr>
        <w:pStyle w:val="Text1"/>
        <w:ind w:left="0"/>
        <w:rPr>
          <w:rFonts w:eastAsia="Arial Unicode MS"/>
          <w:b/>
          <w:smallCaps/>
          <w:szCs w:val="24"/>
          <w:bdr w:val="nil"/>
        </w:rPr>
      </w:pPr>
      <w:r>
        <w:rPr>
          <w:rFonts w:eastAsia="Arial Unicode MS"/>
          <w:b/>
          <w:smallCaps/>
          <w:szCs w:val="24"/>
          <w:bdr w:val="nil"/>
        </w:rPr>
        <w:t xml:space="preserve">Impacts on </w:t>
      </w:r>
      <w:r w:rsidRPr="00F17346">
        <w:rPr>
          <w:rFonts w:ascii="Times New Roman Bold" w:eastAsia="Arial Unicode MS" w:hAnsi="Times New Roman Bold"/>
          <w:b/>
          <w:smallCaps/>
          <w:szCs w:val="24"/>
          <w:bdr w:val="none" w:sz="0" w:space="0" w:color="auto" w:frame="1"/>
        </w:rPr>
        <w:t>fundamental</w:t>
      </w:r>
      <w:r w:rsidRPr="00C32C45">
        <w:rPr>
          <w:rFonts w:eastAsia="Arial Unicode MS"/>
          <w:b/>
          <w:smallCaps/>
          <w:szCs w:val="24"/>
          <w:bdr w:val="nil"/>
        </w:rPr>
        <w:t xml:space="preserve"> rights</w:t>
      </w:r>
    </w:p>
    <w:p w:rsidR="00A57992" w:rsidRDefault="00A57992" w:rsidP="00A57992">
      <w:pPr>
        <w:pStyle w:val="Default"/>
        <w:widowControl w:val="0"/>
        <w:spacing w:after="120"/>
        <w:jc w:val="both"/>
        <w:rPr>
          <w:b/>
        </w:rPr>
      </w:pPr>
      <w:r w:rsidRPr="00E970E4">
        <w:rPr>
          <w:rFonts w:eastAsia="Arial Unicode MS" w:hAnsi="Arial Unicode MS" w:cs="Arial Unicode MS"/>
          <w:u w:color="000000"/>
          <w:bdr w:val="nil"/>
          <w:lang w:eastAsia="en-GB"/>
        </w:rPr>
        <w:t xml:space="preserve">The </w:t>
      </w:r>
      <w:r>
        <w:rPr>
          <w:rFonts w:eastAsia="Arial Unicode MS" w:hAnsi="Arial Unicode MS" w:cs="Arial Unicode MS"/>
          <w:u w:color="000000"/>
          <w:bdr w:val="nil"/>
          <w:lang w:eastAsia="en-GB"/>
        </w:rPr>
        <w:t xml:space="preserve">Option 1 </w:t>
      </w:r>
      <w:r w:rsidRPr="00E970E4">
        <w:rPr>
          <w:rFonts w:eastAsia="Arial Unicode MS" w:hAnsi="Arial Unicode MS" w:cs="Arial Unicode MS"/>
          <w:u w:color="000000"/>
          <w:bdr w:val="nil"/>
          <w:lang w:eastAsia="en-GB"/>
        </w:rPr>
        <w:t xml:space="preserve">scenario would not have any impact </w:t>
      </w:r>
      <w:r>
        <w:rPr>
          <w:rFonts w:eastAsia="Arial Unicode MS" w:hAnsi="Arial Unicode MS" w:cs="Arial Unicode MS"/>
          <w:u w:color="000000"/>
          <w:bdr w:val="nil"/>
          <w:lang w:eastAsia="en-GB"/>
        </w:rPr>
        <w:t xml:space="preserve">on the </w:t>
      </w:r>
      <w:r w:rsidRPr="00E970E4">
        <w:rPr>
          <w:rFonts w:eastAsia="Arial Unicode MS" w:hAnsi="Arial Unicode MS" w:cs="Arial Unicode MS"/>
          <w:u w:color="000000"/>
          <w:bdr w:val="nil"/>
          <w:lang w:eastAsia="en-GB"/>
        </w:rPr>
        <w:t>property right or on the freedom to conduct a business</w:t>
      </w:r>
      <w:r>
        <w:rPr>
          <w:rFonts w:eastAsia="Arial Unicode MS" w:hAnsi="Arial Unicode MS" w:cs="Arial Unicode MS"/>
          <w:u w:color="000000"/>
          <w:bdr w:val="nil"/>
          <w:lang w:eastAsia="en-GB"/>
        </w:rPr>
        <w:t xml:space="preserve">. </w:t>
      </w:r>
    </w:p>
    <w:p w:rsidR="00A57992" w:rsidRPr="00F17346" w:rsidRDefault="00A57992" w:rsidP="00A57992">
      <w:pPr>
        <w:pStyle w:val="Text1"/>
        <w:ind w:left="0"/>
        <w:rPr>
          <w:rFonts w:eastAsia="Arial Unicode MS"/>
          <w:b/>
          <w:bCs/>
          <w:color w:val="000000"/>
          <w:szCs w:val="24"/>
          <w:u w:val="single"/>
          <w:bdr w:val="nil"/>
        </w:rPr>
      </w:pPr>
      <w:r w:rsidRPr="00F17346">
        <w:rPr>
          <w:rFonts w:eastAsia="Arial Unicode MS"/>
          <w:b/>
          <w:bCs/>
          <w:color w:val="000000"/>
          <w:szCs w:val="24"/>
          <w:u w:val="single"/>
          <w:bdr w:val="nil"/>
        </w:rPr>
        <w:t xml:space="preserve">Option 2 – Stakeholders' dialogue (Option 1) + Obligation for Member States to establish a negotiation mechanism to overcome obstacles to the availability of audiovisual works on VoD </w:t>
      </w:r>
    </w:p>
    <w:p w:rsidR="00A57992" w:rsidRPr="00213A61" w:rsidRDefault="00A57992" w:rsidP="00A57992">
      <w:pPr>
        <w:pStyle w:val="Default"/>
        <w:widowControl w:val="0"/>
        <w:spacing w:after="120"/>
        <w:jc w:val="both"/>
      </w:pPr>
      <w:r w:rsidRPr="00213A61">
        <w:t>Impacts of the stakeholder dialogue, which is also part of Option 2, have been assessed under Option 1.</w:t>
      </w:r>
      <w:r>
        <w:t xml:space="preserve"> </w:t>
      </w:r>
      <w:r w:rsidRPr="0090666C">
        <w:rPr>
          <w:rFonts w:eastAsia="Arial Unicode MS" w:hAnsi="Arial Unicode MS" w:cs="Arial Unicode MS"/>
          <w:u w:color="000000"/>
          <w:bdr w:val="nil"/>
          <w:lang w:eastAsia="en-GB"/>
        </w:rPr>
        <w:t>The</w:t>
      </w:r>
      <w:r>
        <w:t xml:space="preserve"> </w:t>
      </w:r>
      <w:r w:rsidRPr="00F17346">
        <w:rPr>
          <w:rFonts w:eastAsia="Arial Unicode MS" w:hAnsi="Arial Unicode MS" w:cs="Arial Unicode MS"/>
          <w:u w:color="000000"/>
          <w:bdr w:val="nil"/>
          <w:lang w:eastAsia="en-GB"/>
        </w:rPr>
        <w:t>impacts</w:t>
      </w:r>
      <w:r>
        <w:t xml:space="preserve"> assessed below concern only the negotiation mechanism. The negotiation mechanism would exclusively address copyright-related issues and would complement measures provided for in the AVMS Directive review for the promotion of European works</w:t>
      </w:r>
      <w:r w:rsidR="000A4909">
        <w:t>.</w:t>
      </w:r>
      <w:r>
        <w:rPr>
          <w:rStyle w:val="FootnoteReference"/>
        </w:rPr>
        <w:footnoteReference w:id="168"/>
      </w:r>
      <w:r w:rsidRPr="00E83D36">
        <w:rPr>
          <w:rFonts w:eastAsia="Times New Roman" w:cs="Arial Unicode MS"/>
          <w:bdr w:val="nil"/>
          <w:lang w:val="en-US"/>
        </w:rPr>
        <w:t xml:space="preserve"> </w:t>
      </w:r>
      <w:r>
        <w:t>Successful negotiations unblocking licensing difficulties would contribute to reach or to go beyond the 20% minimum share of European works in catalogues of VoD platforms</w:t>
      </w:r>
      <w:r w:rsidR="000A4909">
        <w:t>.</w:t>
      </w:r>
      <w:r>
        <w:rPr>
          <w:rStyle w:val="FootnoteReference"/>
        </w:rPr>
        <w:footnoteReference w:id="169"/>
      </w:r>
      <w:r>
        <w:t xml:space="preserve"> Moreover, the negotiation mechanism would also have a beneficial effect on the type and variety of works making their way to VoD platforms.</w:t>
      </w:r>
    </w:p>
    <w:p w:rsidR="00A57992" w:rsidRDefault="00A57992" w:rsidP="00A57992">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 xml:space="preserve">Impacts </w:t>
      </w:r>
      <w:r w:rsidRPr="0090666C">
        <w:rPr>
          <w:b/>
          <w:smallCaps/>
          <w:szCs w:val="24"/>
        </w:rPr>
        <w:t>on</w:t>
      </w:r>
      <w:r>
        <w:rPr>
          <w:rFonts w:ascii="Times New Roman Bold" w:eastAsia="Arial Unicode MS" w:hAnsi="Times New Roman Bold"/>
          <w:b/>
          <w:smallCaps/>
          <w:szCs w:val="24"/>
          <w:bdr w:val="none" w:sz="0" w:space="0" w:color="auto" w:frame="1"/>
        </w:rPr>
        <w:t xml:space="preserve"> </w:t>
      </w:r>
      <w:r w:rsidRPr="00F17346">
        <w:rPr>
          <w:rFonts w:eastAsia="Arial Unicode MS"/>
          <w:b/>
          <w:smallCaps/>
          <w:szCs w:val="24"/>
          <w:bdr w:val="nil"/>
        </w:rPr>
        <w:t>stakeholders</w:t>
      </w:r>
    </w:p>
    <w:p w:rsidR="00A57992" w:rsidRDefault="00A57992" w:rsidP="00A57992">
      <w:pPr>
        <w:pStyle w:val="Default"/>
        <w:widowControl w:val="0"/>
        <w:spacing w:after="120"/>
        <w:jc w:val="both"/>
      </w:pPr>
      <w:r>
        <w:t xml:space="preserve">The negotiation mechanism would address individual cases of lack of availability and complements the general approach pursued by the stakeholder dialogue. Due to the specific nature of the European </w:t>
      </w:r>
      <w:r w:rsidR="00F506EA">
        <w:t>AV</w:t>
      </w:r>
      <w:r>
        <w:t xml:space="preserve"> market (mainly composed of small and medium film producers and a number of small VoD platforms operating at national level), Option 2 would particularly benefit European stakeholders, as the difficulties in the acquisition of the necessary rights are more acute in their case</w:t>
      </w:r>
      <w:r w:rsidR="000A4909">
        <w:t>.</w:t>
      </w:r>
      <w:r>
        <w:rPr>
          <w:rStyle w:val="FootnoteReference"/>
        </w:rPr>
        <w:footnoteReference w:id="170"/>
      </w:r>
      <w:r>
        <w:t xml:space="preserve">The intervention of an impartial instance is likely to facilitate negotiations in general and, as regards negotiations with major producers and VoD platforms, contribute to equilibrate their bargaining power. The nature of the negotiation process could lead to flexible solutions. Any potential guidelines or standards decided following the stakeholder dialogue could also be helpful to reach solutions. </w:t>
      </w:r>
    </w:p>
    <w:p w:rsidR="00A57992" w:rsidRDefault="00007677" w:rsidP="00A57992">
      <w:pPr>
        <w:pStyle w:val="Text1"/>
        <w:ind w:left="0"/>
        <w:rPr>
          <w:b/>
          <w:szCs w:val="24"/>
        </w:rPr>
      </w:pPr>
      <w:r>
        <w:rPr>
          <w:b/>
          <w:szCs w:val="24"/>
        </w:rPr>
        <w:t>Rightholders</w:t>
      </w:r>
      <w:r w:rsidR="00A57992">
        <w:rPr>
          <w:b/>
          <w:szCs w:val="24"/>
        </w:rPr>
        <w:t xml:space="preserve"> and distributors</w:t>
      </w:r>
    </w:p>
    <w:p w:rsidR="00A57992" w:rsidRDefault="00A57992" w:rsidP="00A57992">
      <w:pPr>
        <w:pStyle w:val="Default"/>
        <w:widowControl w:val="0"/>
        <w:spacing w:after="120"/>
        <w:jc w:val="both"/>
      </w:pPr>
      <w:r>
        <w:rPr>
          <w:u w:val="single"/>
        </w:rPr>
        <w:t>Impacts on the incentives for the exploitation of online rights</w:t>
      </w:r>
      <w:r>
        <w:t xml:space="preserve">: Under Option 2, the </w:t>
      </w:r>
      <w:r w:rsidR="00687496">
        <w:t>r</w:t>
      </w:r>
      <w:r w:rsidR="00007677">
        <w:t>ightholders</w:t>
      </w:r>
      <w:r>
        <w:t xml:space="preserve">' business model based on exclusivity deals and release windows would not be affected. However, online exploitation of a work could be discussed in the framework of the negotiation mechanism. Since the negotiation mechanism would work on a voluntary basis, this would prevent possible abusive demands from VoD platforms and aggregators. This negotiation body could also benefit </w:t>
      </w:r>
      <w:r w:rsidR="00687496">
        <w:t>r</w:t>
      </w:r>
      <w:r w:rsidR="00007677">
        <w:t>ightholders</w:t>
      </w:r>
      <w:r>
        <w:t xml:space="preserve">. For instance, a producer having assigned rights to a broadcaster not willing to exploit the work on VoD could rely on the negotiation mechanism to try unblocking the situation. </w:t>
      </w:r>
      <w:r w:rsidR="00007677">
        <w:t>Rightholders</w:t>
      </w:r>
      <w:r>
        <w:t xml:space="preserve"> could also use the negotiation mechanism to try unblocking situations of systematic refusals from VoD platforms or aggregators to include their works in the VoD catalogues. The intervention of an impartial instance/moderator could facilitate discussions and help finding solutions. The moderator could help unblocking the situation by providing objective and professional input. He could also submit proposals. More generally, the moderator would help rationalise discussions. The obligation of negotiation in good faith would also play a role. In view of the voluntary basis and the necessity to negotiate in good faith, parties would refrain from entering into negotiations unless there is a strong will to reach an agreement. This also means that the negotiation mechanism would not provide a solution to all cases</w:t>
      </w:r>
      <w:r w:rsidR="001620B3">
        <w:t xml:space="preserve"> and obviously will not lead to more availability of all films</w:t>
      </w:r>
      <w:r>
        <w:t xml:space="preserve">. In some cases, VoD platforms may be reluctant to start negotiations. </w:t>
      </w:r>
      <w:r w:rsidR="005530E8">
        <w:t xml:space="preserve">Indeed, </w:t>
      </w:r>
      <w:r>
        <w:t xml:space="preserve">VoD platforms are not willing to include all and any </w:t>
      </w:r>
      <w:r w:rsidR="00F506EA">
        <w:t xml:space="preserve">AV </w:t>
      </w:r>
      <w:r>
        <w:t>work in their catalogue. They</w:t>
      </w:r>
      <w:r w:rsidRPr="00BF1B10">
        <w:t xml:space="preserve"> </w:t>
      </w:r>
      <w:r w:rsidRPr="00A91030">
        <w:t>carefully select the works that will be part of their catalogue a</w:t>
      </w:r>
      <w:r>
        <w:t>nd</w:t>
      </w:r>
      <w:r w:rsidRPr="00A91030">
        <w:t xml:space="preserve"> find the right balance between costs and benefits. </w:t>
      </w:r>
      <w:r>
        <w:t>E</w:t>
      </w:r>
      <w:r w:rsidRPr="00BF1B10">
        <w:t xml:space="preserve">ven when costs are not particularly high, they would still need to be recovered by means of a minimum amount of viewers. Some works would never achieve this threshold and VoD platforms would therefore not include them in their catalogue. </w:t>
      </w:r>
      <w:r>
        <w:t>Even for works that could achieve this threshold</w:t>
      </w:r>
      <w:r w:rsidRPr="00A91030">
        <w:t xml:space="preserve">, </w:t>
      </w:r>
      <w:r w:rsidR="001620B3">
        <w:t xml:space="preserve">some </w:t>
      </w:r>
      <w:r w:rsidRPr="00A91030">
        <w:t>platforms</w:t>
      </w:r>
      <w:r w:rsidR="001620B3">
        <w:t xml:space="preserve">, </w:t>
      </w:r>
      <w:r w:rsidRPr="00A91030">
        <w:t xml:space="preserve">in particular </w:t>
      </w:r>
      <w:r w:rsidR="001620B3">
        <w:t>those i</w:t>
      </w:r>
      <w:r w:rsidRPr="00A91030">
        <w:t>nvesting in original content such as Netflix</w:t>
      </w:r>
      <w:r w:rsidR="001620B3">
        <w:t>,</w:t>
      </w:r>
      <w:r w:rsidRPr="00A91030">
        <w:t xml:space="preserve"> generally wish to limit the size of their catalogue to avoid any 'cannibalisation risk'</w:t>
      </w:r>
      <w:r>
        <w:t>.</w:t>
      </w:r>
      <w:r w:rsidRPr="00CE35F9">
        <w:rPr>
          <w:rStyle w:val="FootnoteReference"/>
        </w:rPr>
        <w:footnoteReference w:id="171"/>
      </w:r>
      <w:r>
        <w:t xml:space="preserve">  </w:t>
      </w:r>
    </w:p>
    <w:p w:rsidR="00A57992" w:rsidRDefault="00A57992" w:rsidP="00A57992">
      <w:pPr>
        <w:pStyle w:val="Default"/>
        <w:widowControl w:val="0"/>
        <w:spacing w:after="120"/>
        <w:jc w:val="both"/>
      </w:pPr>
      <w:r w:rsidRPr="001F72EA">
        <w:rPr>
          <w:u w:val="single"/>
        </w:rPr>
        <w:t>Impacts on costs</w:t>
      </w:r>
      <w:r>
        <w:t xml:space="preserve">: The participation in the negotiation mechanism may entail some limited costs for </w:t>
      </w:r>
      <w:r w:rsidR="00687496">
        <w:t>r</w:t>
      </w:r>
      <w:r w:rsidR="00007677">
        <w:t>ightholders</w:t>
      </w:r>
      <w:r>
        <w:t xml:space="preserve"> and distributors (depending on how MS decide to finance operational costs). These costs may however be offset by the efficiency gains deriving from the negotiation mechanism (it is expected to speed up the negotiation process and therefore reduce transaction costs) and by the possible additional licensing revenues linked to the exploitation of online rights. The negotiation mechanism could also contribute to develop more efficient licensing practices in the long term.</w:t>
      </w:r>
    </w:p>
    <w:p w:rsidR="00A57992" w:rsidRDefault="00A57992" w:rsidP="00A57992">
      <w:pPr>
        <w:pStyle w:val="Text1"/>
        <w:ind w:left="0"/>
        <w:rPr>
          <w:b/>
          <w:szCs w:val="24"/>
        </w:rPr>
      </w:pPr>
      <w:r>
        <w:rPr>
          <w:b/>
          <w:szCs w:val="24"/>
        </w:rPr>
        <w:t>VoD platforms and aggregators</w:t>
      </w:r>
    </w:p>
    <w:p w:rsidR="00A57992" w:rsidRDefault="00A57992" w:rsidP="00A57992">
      <w:pPr>
        <w:pStyle w:val="Default"/>
        <w:widowControl w:val="0"/>
        <w:spacing w:after="120"/>
        <w:jc w:val="both"/>
      </w:pPr>
      <w:r>
        <w:rPr>
          <w:u w:val="single"/>
        </w:rPr>
        <w:t>Impacts on the availability of works in their catalogues</w:t>
      </w:r>
      <w:r>
        <w:t xml:space="preserve">: This option is likely to have a positive impact on the possibility for VoD platforms and aggregators to overcome obstacles linked to exclusivity rights and exploitation rights, release windows and clearance of rights. The flexibility of the negotiation mechanism, the participation of different parties and the intervention of a moderator could help parties finding suitable solutions (see </w:t>
      </w:r>
      <w:r>
        <w:rPr>
          <w:i/>
        </w:rPr>
        <w:t>supra</w:t>
      </w:r>
      <w:r>
        <w:t xml:space="preserve"> '</w:t>
      </w:r>
      <w:r w:rsidR="00007677">
        <w:rPr>
          <w:i/>
        </w:rPr>
        <w:t>Rightholders</w:t>
      </w:r>
      <w:r>
        <w:rPr>
          <w:i/>
        </w:rPr>
        <w:t xml:space="preserve"> and distributors</w:t>
      </w:r>
      <w:r>
        <w:t xml:space="preserve">'). The obligation to negotiate in good faith would prevent any obstruction from </w:t>
      </w:r>
      <w:r w:rsidR="00687496">
        <w:t>r</w:t>
      </w:r>
      <w:r w:rsidR="00007677">
        <w:t>ightholders</w:t>
      </w:r>
      <w:r>
        <w:t xml:space="preserve"> (or other stakeholders). The experience gained from the negotiation mechanism could be reused in other negotiations. VoD platforms would for instance be able to conclude other agreements with stakeholders, based on the previous agreements obtained via the negotiation mechanism. Since the negotiation mechanism would entail some costs (i.e. costs linked to the involvement of parties negotiating), it would mainly be used in cases where there is a common will to make the works available online but where negotiations are difficult. This negotiation mechanism is likely to be used to unblock the rights to a catalogue of works or to facilitate contractual collaboration between parties. In view of the voluntary basis of the mechanism, the positive impact on VoD platforms and aggregators would materialise where </w:t>
      </w:r>
      <w:r w:rsidR="00687496">
        <w:t>r</w:t>
      </w:r>
      <w:r w:rsidR="00007677">
        <w:t>ightholders</w:t>
      </w:r>
      <w:r>
        <w:t xml:space="preserve"> are willing to negotiate. </w:t>
      </w:r>
    </w:p>
    <w:p w:rsidR="00A57992" w:rsidRDefault="00A57992" w:rsidP="00A57992">
      <w:pPr>
        <w:pStyle w:val="Default"/>
        <w:widowControl w:val="0"/>
        <w:spacing w:after="120"/>
        <w:jc w:val="both"/>
        <w:rPr>
          <w:b/>
        </w:rPr>
      </w:pPr>
      <w:r w:rsidRPr="00AB1F69">
        <w:rPr>
          <w:u w:val="single"/>
        </w:rPr>
        <w:t>Impacts on costs:</w:t>
      </w:r>
      <w:r>
        <w:t xml:space="preserve"> As this is the case for </w:t>
      </w:r>
      <w:r w:rsidR="00687496">
        <w:t>r</w:t>
      </w:r>
      <w:r w:rsidR="00007677">
        <w:t>ightholders</w:t>
      </w:r>
      <w:r>
        <w:t xml:space="preserve"> and distributors, VoD platforms and aggregators may have to bear some limited costs linked to the participation </w:t>
      </w:r>
      <w:r w:rsidR="00506F6D">
        <w:t>in</w:t>
      </w:r>
      <w:r>
        <w:t xml:space="preserve"> the negotiation mechanism. However, they would also benefit from easier and quicker </w:t>
      </w:r>
      <w:r w:rsidR="00506F6D">
        <w:t>negotiation</w:t>
      </w:r>
      <w:r>
        <w:t xml:space="preserve"> with </w:t>
      </w:r>
      <w:r w:rsidR="00687496">
        <w:t>r</w:t>
      </w:r>
      <w:r w:rsidR="00007677">
        <w:t>ightholders</w:t>
      </w:r>
      <w:r>
        <w:t xml:space="preserve"> or distributors, which could allow them to enrich their catalogue and attract more viewers. Since the negotiation mechanism would be used to address individual</w:t>
      </w:r>
      <w:r w:rsidR="00506F6D">
        <w:t xml:space="preserve"> licensing</w:t>
      </w:r>
      <w:r>
        <w:t xml:space="preserve"> blockages cases, it would not have an impact on technical costs. </w:t>
      </w:r>
    </w:p>
    <w:p w:rsidR="00A57992" w:rsidRDefault="00A57992" w:rsidP="00A57992">
      <w:pPr>
        <w:pStyle w:val="Text1"/>
        <w:ind w:left="0"/>
        <w:rPr>
          <w:b/>
          <w:szCs w:val="24"/>
        </w:rPr>
      </w:pPr>
      <w:r>
        <w:rPr>
          <w:b/>
          <w:szCs w:val="24"/>
        </w:rPr>
        <w:t>Consumers</w:t>
      </w:r>
    </w:p>
    <w:p w:rsidR="00A57992" w:rsidRDefault="00A57992" w:rsidP="00A57992">
      <w:pPr>
        <w:pStyle w:val="Default"/>
        <w:widowControl w:val="0"/>
        <w:spacing w:after="120"/>
        <w:jc w:val="both"/>
      </w:pPr>
      <w:r>
        <w:rPr>
          <w:u w:val="single"/>
        </w:rPr>
        <w:t>Impact on the availability of EU audiovisual works on VoD platforms</w:t>
      </w:r>
      <w:r>
        <w:t>: If the negotiation mechanism achieves unblocking some situations and facilitating collaboration between some parties, consumers could benefit from a larger catalogue of works</w:t>
      </w:r>
      <w:r w:rsidR="001620B3">
        <w:t>, in particular European,</w:t>
      </w:r>
      <w:r>
        <w:t xml:space="preserve"> on VoD platforms</w:t>
      </w:r>
      <w:r w:rsidR="001620B3">
        <w:t>.</w:t>
      </w:r>
      <w:r>
        <w:t xml:space="preserve"> Impact on the costs for consumers would be similar as the one under Option 1.</w:t>
      </w:r>
    </w:p>
    <w:p w:rsidR="00A57992" w:rsidRDefault="00A57992" w:rsidP="00A57992">
      <w:pPr>
        <w:pStyle w:val="Text1"/>
        <w:ind w:left="0"/>
        <w:rPr>
          <w:rFonts w:ascii="Times New Roman Bold" w:hAnsi="Times New Roman Bold"/>
          <w:b/>
          <w:smallCaps/>
          <w:szCs w:val="24"/>
        </w:rPr>
      </w:pPr>
      <w:r>
        <w:rPr>
          <w:rFonts w:ascii="Times New Roman Bold" w:hAnsi="Times New Roman Bold"/>
          <w:b/>
          <w:smallCaps/>
          <w:szCs w:val="24"/>
        </w:rPr>
        <w:t>Impacts on Member States</w:t>
      </w:r>
    </w:p>
    <w:p w:rsidR="00A57992" w:rsidRPr="002F4BFB" w:rsidRDefault="00A57992" w:rsidP="00A57992">
      <w:pPr>
        <w:pStyle w:val="Default"/>
        <w:widowControl w:val="0"/>
        <w:spacing w:after="120"/>
        <w:jc w:val="both"/>
      </w:pPr>
      <w:r w:rsidRPr="00AD57F7">
        <w:rPr>
          <w:u w:val="single"/>
        </w:rPr>
        <w:t>Impacts on implementation costs</w:t>
      </w:r>
      <w:r>
        <w:t xml:space="preserve">: MS would need to set up the negotiation mechanism, which would entail some </w:t>
      </w:r>
      <w:r w:rsidRPr="002F4BFB">
        <w:t>one-off costs. However, MS already have different bodies</w:t>
      </w:r>
      <w:r w:rsidRPr="002F4BFB">
        <w:rPr>
          <w:rStyle w:val="FootnoteReference"/>
        </w:rPr>
        <w:footnoteReference w:id="172"/>
      </w:r>
      <w:r w:rsidRPr="002F4BFB">
        <w:t xml:space="preserve"> with expertise and experience in the </w:t>
      </w:r>
      <w:r w:rsidR="00F506EA">
        <w:t xml:space="preserve">AV </w:t>
      </w:r>
      <w:r w:rsidRPr="002F4BFB">
        <w:t>sector</w:t>
      </w:r>
      <w:r>
        <w:t>, on which they</w:t>
      </w:r>
      <w:r w:rsidRPr="002F4BFB">
        <w:t xml:space="preserve"> could rely to implement the negotiation mechanism. </w:t>
      </w:r>
      <w:r>
        <w:t>The costs would therefore vary according to the scope of existing structures, but are expected to be relatively low. For example,</w:t>
      </w:r>
      <w:r w:rsidRPr="002F4BFB">
        <w:t xml:space="preserve"> </w:t>
      </w:r>
      <w:r w:rsidRPr="008012CB" w:rsidDel="00CD59ED">
        <w:rPr>
          <w:rFonts w:eastAsia="Calibri"/>
        </w:rPr>
        <w:t>when the implementation of dispute resolution mechanisms aimed at solving disputes arising between CMOs and their members was assessed, it was reported that the costs of establishing such mechanisms wo</w:t>
      </w:r>
      <w:r w:rsidR="00CA7032">
        <w:rPr>
          <w:rFonts w:eastAsia="Calibri"/>
        </w:rPr>
        <w:t>uld be in the range of €35,000.</w:t>
      </w:r>
      <w:r w:rsidR="00CA7032" w:rsidRPr="008012CB" w:rsidDel="00CD59ED">
        <w:rPr>
          <w:rFonts w:eastAsia="Calibri"/>
          <w:vertAlign w:val="superscript"/>
        </w:rPr>
        <w:footnoteReference w:id="173"/>
      </w:r>
    </w:p>
    <w:p w:rsidR="00506F6D" w:rsidRDefault="00A57992" w:rsidP="001D5DE0">
      <w:pPr>
        <w:pStyle w:val="Default"/>
        <w:widowControl w:val="0"/>
        <w:spacing w:after="120"/>
        <w:jc w:val="both"/>
        <w:rPr>
          <w:rFonts w:eastAsia="Arial Unicode MS" w:hAnsi="Arial Unicode MS" w:cs="Arial Unicode MS"/>
          <w:bdr w:val="nil"/>
        </w:rPr>
      </w:pPr>
      <w:r w:rsidRPr="002F4BFB">
        <w:t xml:space="preserve">The operating costs linked to the functioning of the negotiation mechanism would vary depending on the structure of the negotiation body, on the choices made by each MS on whether these costs should be born – partially or totally – by the parties resorting to the negotiation mechanism and on the number of cases submitted. </w:t>
      </w:r>
      <w:r w:rsidRPr="00F4703A">
        <w:t xml:space="preserve">The limited scope of the negotiation </w:t>
      </w:r>
      <w:r w:rsidRPr="00901FEE">
        <w:t xml:space="preserve">mechanism (aimed at addressing individual blockages), the voluntary nature of the process and the necessity to negotiate in good faith would </w:t>
      </w:r>
      <w:r w:rsidRPr="00BA3C30">
        <w:t xml:space="preserve">limit the number of cases and </w:t>
      </w:r>
      <w:r>
        <w:t>make sure that the mechanism is</w:t>
      </w:r>
      <w:r w:rsidRPr="00BA3C30">
        <w:t xml:space="preserve"> used by stakeholders only where there is a strong will to reach an agreement.</w:t>
      </w:r>
      <w:r w:rsidRPr="002F4BFB">
        <w:t xml:space="preserve"> Examples of existing arbitration or mediation mechanisms help to estimate the range of operating costs involved. </w:t>
      </w:r>
      <w:r w:rsidRPr="00F4703A">
        <w:rPr>
          <w:rFonts w:ascii="TimesNewRoman" w:hAnsi="TimesNewRoman" w:cs="TimesNewRoman"/>
        </w:rPr>
        <w:t>On a low end estimate</w:t>
      </w:r>
      <w:r w:rsidRPr="00901FEE">
        <w:rPr>
          <w:rFonts w:ascii="TimesNewRoman" w:hAnsi="TimesNewRoman" w:cs="TimesNewRoman"/>
        </w:rPr>
        <w:t xml:space="preserve">, </w:t>
      </w:r>
      <w:r w:rsidRPr="002F4BFB">
        <w:rPr>
          <w:rFonts w:eastAsia="Arial Unicode MS" w:hAnsi="Arial Unicode MS" w:cs="Arial Unicode MS"/>
          <w:bdr w:val="nil"/>
          <w:lang w:eastAsia="en-GB"/>
        </w:rPr>
        <w:t xml:space="preserve">CMOs </w:t>
      </w:r>
      <w:r w:rsidRPr="002F4BFB">
        <w:rPr>
          <w:rFonts w:eastAsia="Arial Unicode MS" w:cs="Arial Unicode MS"/>
          <w:bdr w:val="nil"/>
          <w:lang w:eastAsia="en-GB"/>
        </w:rPr>
        <w:t>that operate alternative dispute resolutions report that the operating costs would be in the range of €11</w:t>
      </w:r>
      <w:r w:rsidR="000A4909">
        <w:rPr>
          <w:rFonts w:eastAsia="Arial Unicode MS" w:cs="Arial Unicode MS"/>
          <w:bdr w:val="nil"/>
          <w:lang w:eastAsia="en-GB"/>
        </w:rPr>
        <w:t>,</w:t>
      </w:r>
      <w:r w:rsidRPr="002F4BFB">
        <w:rPr>
          <w:rFonts w:eastAsia="Arial Unicode MS" w:cs="Arial Unicode MS"/>
          <w:bdr w:val="nil"/>
          <w:lang w:eastAsia="en-GB"/>
        </w:rPr>
        <w:t xml:space="preserve">000 per </w:t>
      </w:r>
      <w:r w:rsidRPr="002F4BFB">
        <w:rPr>
          <w:rFonts w:eastAsia="Arial Unicode MS" w:hAnsi="Arial Unicode MS" w:cs="Arial Unicode MS"/>
          <w:bdr w:val="nil"/>
          <w:lang w:eastAsia="en-GB"/>
        </w:rPr>
        <w:t xml:space="preserve">year. </w:t>
      </w:r>
      <w:r w:rsidRPr="00F4703A">
        <w:rPr>
          <w:rFonts w:ascii="TimesNewRoman" w:hAnsi="TimesNewRoman" w:cs="TimesNewRoman"/>
        </w:rPr>
        <w:t>At the other end of the scale,</w:t>
      </w:r>
      <w:r w:rsidRPr="00901FEE">
        <w:rPr>
          <w:rFonts w:ascii="TimesNewRoman" w:hAnsi="TimesNewRoman" w:cs="TimesNewRoman"/>
        </w:rPr>
        <w:t xml:space="preserve"> </w:t>
      </w:r>
      <w:r w:rsidRPr="002F4BFB">
        <w:rPr>
          <w:rFonts w:eastAsia="Arial Unicode MS" w:hAnsi="Arial Unicode MS" w:cs="Arial Unicode MS"/>
          <w:bdr w:val="nil"/>
          <w:lang w:eastAsia="en-GB"/>
        </w:rPr>
        <w:t xml:space="preserve">the operating costs of the French cinema mediator (le Mediateur du cinema) amounted to </w:t>
      </w:r>
      <w:r w:rsidRPr="002F4BFB">
        <w:rPr>
          <w:rFonts w:eastAsia="Arial Unicode MS" w:cs="Arial Unicode MS"/>
          <w:bdr w:val="nil"/>
          <w:lang w:eastAsia="en-GB"/>
        </w:rPr>
        <w:t>€</w:t>
      </w:r>
      <w:r w:rsidRPr="001D5DE0">
        <w:rPr>
          <w:rFonts w:eastAsia="Calibri"/>
        </w:rPr>
        <w:t>21</w:t>
      </w:r>
      <w:r w:rsidR="00B5326B" w:rsidRPr="001D5DE0">
        <w:rPr>
          <w:rFonts w:eastAsia="Calibri"/>
        </w:rPr>
        <w:t>7</w:t>
      </w:r>
      <w:r w:rsidR="000A4909">
        <w:rPr>
          <w:rFonts w:eastAsia="Arial Unicode MS" w:hAnsi="Arial Unicode MS" w:cs="Arial Unicode MS"/>
          <w:bdr w:val="nil"/>
          <w:lang w:eastAsia="en-GB"/>
        </w:rPr>
        <w:t>,</w:t>
      </w:r>
      <w:r w:rsidRPr="002F4BFB">
        <w:rPr>
          <w:rFonts w:eastAsia="Arial Unicode MS" w:hAnsi="Arial Unicode MS" w:cs="Arial Unicode MS"/>
          <w:bdr w:val="nil"/>
          <w:lang w:eastAsia="en-GB"/>
        </w:rPr>
        <w:t>526 euros in 2014.</w:t>
      </w:r>
      <w:r w:rsidRPr="002F4BFB">
        <w:rPr>
          <w:rFonts w:eastAsia="Arial Unicode MS" w:hAnsi="Arial Unicode MS" w:cs="Arial Unicode MS"/>
          <w:bdr w:val="nil"/>
          <w:vertAlign w:val="superscript"/>
          <w:lang w:eastAsia="en-GB"/>
        </w:rPr>
        <w:footnoteReference w:id="174"/>
      </w:r>
      <w:r w:rsidRPr="002F4BFB">
        <w:rPr>
          <w:rFonts w:eastAsia="Arial Unicode MS" w:hAnsi="Arial Unicode MS" w:cs="Arial Unicode MS"/>
          <w:bdr w:val="nil"/>
          <w:lang w:eastAsia="en-GB"/>
        </w:rPr>
        <w:t xml:space="preserve"> </w:t>
      </w:r>
      <w:r w:rsidRPr="00901FEE">
        <w:rPr>
          <w:rFonts w:eastAsia="Arial Unicode MS" w:hAnsi="Arial Unicode MS" w:cs="Arial Unicode MS"/>
          <w:bdr w:val="nil"/>
          <w:lang w:eastAsia="en-GB"/>
        </w:rPr>
        <w:t>However, the</w:t>
      </w:r>
      <w:r w:rsidR="00506F6D">
        <w:rPr>
          <w:rFonts w:eastAsia="Arial Unicode MS" w:hAnsi="Arial Unicode MS" w:cs="Arial Unicode MS"/>
          <w:bdr w:val="nil"/>
          <w:lang w:eastAsia="en-GB"/>
        </w:rPr>
        <w:t xml:space="preserve"> scope of activity this body is different from the negotiation mechanism envisaged here.</w:t>
      </w:r>
    </w:p>
    <w:p w:rsidR="00A57992" w:rsidRPr="00C32C45" w:rsidRDefault="00A57992" w:rsidP="00A57992">
      <w:pPr>
        <w:pStyle w:val="Text1"/>
        <w:ind w:left="0"/>
        <w:rPr>
          <w:rFonts w:ascii="Times New Roman Bold" w:hAnsi="Times New Roman Bold"/>
          <w:smallCaps/>
          <w:szCs w:val="24"/>
        </w:rPr>
      </w:pPr>
      <w:r w:rsidRPr="00C32C45">
        <w:rPr>
          <w:rFonts w:ascii="Times New Roman Bold" w:hAnsi="Times New Roman Bold"/>
          <w:b/>
          <w:smallCaps/>
          <w:szCs w:val="24"/>
        </w:rPr>
        <w:t xml:space="preserve">Social </w:t>
      </w:r>
      <w:r w:rsidRPr="00F17346">
        <w:rPr>
          <w:rFonts w:eastAsia="Arial Unicode MS"/>
          <w:b/>
          <w:smallCaps/>
          <w:szCs w:val="24"/>
          <w:bdr w:val="nil"/>
        </w:rPr>
        <w:t>impacts</w:t>
      </w:r>
    </w:p>
    <w:p w:rsidR="00A57992" w:rsidRDefault="00A57992" w:rsidP="00A57992">
      <w:pPr>
        <w:pStyle w:val="Default"/>
        <w:widowControl w:val="0"/>
        <w:spacing w:after="120"/>
        <w:jc w:val="both"/>
        <w:rPr>
          <w:rFonts w:eastAsia="Arial Unicode MS" w:hAnsi="Arial Unicode MS" w:cs="Arial Unicode MS"/>
          <w:u w:color="000000"/>
          <w:bdr w:val="nil"/>
          <w:lang w:eastAsia="en-GB"/>
        </w:rPr>
      </w:pPr>
      <w:r>
        <w:rPr>
          <w:rFonts w:eastAsia="Arial Unicode MS" w:hAnsi="Arial Unicode MS" w:cs="Arial Unicode MS"/>
          <w:u w:color="000000"/>
          <w:bdr w:val="nil"/>
          <w:lang w:eastAsia="en-GB"/>
        </w:rPr>
        <w:t xml:space="preserve">Option 2 </w:t>
      </w:r>
      <w:r w:rsidRPr="00E970E4">
        <w:rPr>
          <w:rFonts w:eastAsia="Arial Unicode MS" w:hAnsi="Arial Unicode MS" w:cs="Arial Unicode MS"/>
          <w:u w:color="000000"/>
          <w:bdr w:val="nil"/>
          <w:lang w:eastAsia="en-GB"/>
        </w:rPr>
        <w:t xml:space="preserve">would </w:t>
      </w:r>
      <w:r>
        <w:rPr>
          <w:rFonts w:eastAsia="Arial Unicode MS" w:hAnsi="Arial Unicode MS" w:cs="Arial Unicode MS"/>
          <w:u w:color="000000"/>
          <w:bdr w:val="nil"/>
          <w:lang w:eastAsia="en-GB"/>
        </w:rPr>
        <w:t xml:space="preserve">have a positive impact on cultural diversity, as resolution of individual cases would contribute to enriching the catalogues of European works available to consumers </w:t>
      </w:r>
      <w:r>
        <w:t xml:space="preserve">(including the ones for which the rights were blocked). This would in the medium/long term increase the visibility and circulation of European </w:t>
      </w:r>
      <w:r w:rsidR="00F506EA">
        <w:t xml:space="preserve">AV </w:t>
      </w:r>
      <w:r>
        <w:t xml:space="preserve">works across the European Union.  </w:t>
      </w:r>
    </w:p>
    <w:p w:rsidR="00A57992" w:rsidRPr="00C32C45" w:rsidRDefault="00A57992" w:rsidP="00A57992">
      <w:pPr>
        <w:pStyle w:val="Text1"/>
        <w:ind w:left="0"/>
        <w:rPr>
          <w:rFonts w:ascii="Times New Roman Bold" w:hAnsi="Times New Roman Bold"/>
          <w:b/>
          <w:smallCaps/>
          <w:szCs w:val="24"/>
        </w:rPr>
      </w:pPr>
      <w:r>
        <w:rPr>
          <w:rFonts w:ascii="Times New Roman Bold" w:hAnsi="Times New Roman Bold"/>
          <w:b/>
          <w:smallCaps/>
          <w:szCs w:val="24"/>
        </w:rPr>
        <w:t>Impacts on f</w:t>
      </w:r>
      <w:r w:rsidRPr="00C32C45">
        <w:rPr>
          <w:rFonts w:ascii="Times New Roman Bold" w:hAnsi="Times New Roman Bold"/>
          <w:b/>
          <w:smallCaps/>
          <w:szCs w:val="24"/>
        </w:rPr>
        <w:t xml:space="preserve">undamental </w:t>
      </w:r>
      <w:r w:rsidRPr="00F17346">
        <w:rPr>
          <w:rFonts w:eastAsia="Arial Unicode MS"/>
          <w:b/>
          <w:smallCaps/>
          <w:szCs w:val="24"/>
          <w:bdr w:val="nil"/>
        </w:rPr>
        <w:t>rights</w:t>
      </w:r>
    </w:p>
    <w:p w:rsidR="00A57992" w:rsidRDefault="00A57992" w:rsidP="00A57992">
      <w:pPr>
        <w:pStyle w:val="Default"/>
        <w:widowControl w:val="0"/>
        <w:spacing w:after="120"/>
        <w:jc w:val="both"/>
        <w:rPr>
          <w:rFonts w:eastAsia="Arial Unicode MS" w:hAnsi="Arial Unicode MS" w:cs="Arial Unicode MS"/>
          <w:u w:color="000000"/>
          <w:bdr w:val="nil"/>
          <w:lang w:eastAsia="en-GB"/>
        </w:rPr>
      </w:pPr>
      <w:r>
        <w:rPr>
          <w:rFonts w:eastAsia="Arial Unicode MS" w:hAnsi="Arial Unicode MS" w:cs="Arial Unicode MS"/>
          <w:u w:color="000000"/>
          <w:bdr w:val="nil"/>
          <w:lang w:eastAsia="en-GB"/>
        </w:rPr>
        <w:t xml:space="preserve">Option 2 </w:t>
      </w:r>
      <w:r w:rsidRPr="00E970E4">
        <w:rPr>
          <w:rFonts w:eastAsia="Arial Unicode MS" w:hAnsi="Arial Unicode MS" w:cs="Arial Unicode MS"/>
          <w:u w:color="000000"/>
          <w:bdr w:val="nil"/>
          <w:lang w:eastAsia="en-GB"/>
        </w:rPr>
        <w:t xml:space="preserve">scenario would not have any impact </w:t>
      </w:r>
      <w:r w:rsidRPr="00F17346">
        <w:t>on</w:t>
      </w:r>
      <w:r>
        <w:rPr>
          <w:rFonts w:eastAsia="Arial Unicode MS" w:hAnsi="Arial Unicode MS" w:cs="Arial Unicode MS"/>
          <w:u w:color="000000"/>
          <w:bdr w:val="nil"/>
          <w:lang w:eastAsia="en-GB"/>
        </w:rPr>
        <w:t xml:space="preserve"> the </w:t>
      </w:r>
      <w:r w:rsidRPr="00E970E4">
        <w:rPr>
          <w:rFonts w:eastAsia="Arial Unicode MS" w:hAnsi="Arial Unicode MS" w:cs="Arial Unicode MS"/>
          <w:u w:color="000000"/>
          <w:bdr w:val="nil"/>
          <w:lang w:eastAsia="en-GB"/>
        </w:rPr>
        <w:t xml:space="preserve">property right or on the freedom to conduct a </w:t>
      </w:r>
      <w:r w:rsidRPr="0090666C">
        <w:t>business</w:t>
      </w:r>
      <w:r>
        <w:rPr>
          <w:rFonts w:eastAsia="Arial Unicode MS" w:hAnsi="Arial Unicode MS" w:cs="Arial Unicode MS"/>
          <w:u w:color="000000"/>
          <w:bdr w:val="nil"/>
          <w:lang w:eastAsia="en-GB"/>
        </w:rPr>
        <w:t xml:space="preserve"> since the participation in the negotiation mechanism would be on a voluntary basis. </w:t>
      </w:r>
    </w:p>
    <w:p w:rsidR="001D5DE0" w:rsidRDefault="001D5DE0">
      <w:pPr>
        <w:rPr>
          <w:rFonts w:ascii="Times New Roman" w:eastAsia="Times New Roman" w:hAnsi="Times New Roman" w:cs="Times New Roman"/>
          <w:b/>
          <w:bCs/>
          <w:sz w:val="24"/>
          <w:szCs w:val="24"/>
          <w:lang w:eastAsia="en-GB"/>
        </w:rPr>
      </w:pPr>
      <w:r>
        <w:br w:type="page"/>
      </w:r>
    </w:p>
    <w:p w:rsidR="00A57992" w:rsidRPr="00F17346" w:rsidRDefault="00A57992" w:rsidP="00A57992">
      <w:pPr>
        <w:pStyle w:val="Heading3"/>
      </w:pPr>
      <w:bookmarkStart w:id="43" w:name="_Toc461114713"/>
      <w:r w:rsidRPr="00FC3CB1">
        <w:t>How do the options compare?</w:t>
      </w:r>
      <w:bookmarkEnd w:id="43"/>
    </w:p>
    <w:tbl>
      <w:tblPr>
        <w:tblStyle w:val="TableGrid"/>
        <w:tblW w:w="0" w:type="auto"/>
        <w:tblLayout w:type="fixed"/>
        <w:tblLook w:val="04A0" w:firstRow="1" w:lastRow="0" w:firstColumn="1" w:lastColumn="0" w:noHBand="0" w:noVBand="1"/>
      </w:tblPr>
      <w:tblGrid>
        <w:gridCol w:w="1242"/>
        <w:gridCol w:w="1985"/>
        <w:gridCol w:w="1843"/>
        <w:gridCol w:w="2268"/>
        <w:gridCol w:w="1950"/>
      </w:tblGrid>
      <w:tr w:rsidR="00A57992" w:rsidRPr="00FC3CB1" w:rsidTr="00A57992">
        <w:tc>
          <w:tcPr>
            <w:tcW w:w="1242"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Option</w:t>
            </w:r>
          </w:p>
        </w:tc>
        <w:tc>
          <w:tcPr>
            <w:tcW w:w="1985"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Effectiveness</w:t>
            </w:r>
          </w:p>
        </w:tc>
        <w:tc>
          <w:tcPr>
            <w:tcW w:w="1843"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Efficiency</w:t>
            </w:r>
          </w:p>
        </w:tc>
        <w:tc>
          <w:tcPr>
            <w:tcW w:w="2268"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Impact on stakeholders</w:t>
            </w:r>
          </w:p>
        </w:tc>
        <w:tc>
          <w:tcPr>
            <w:tcW w:w="1950" w:type="dxa"/>
          </w:tcPr>
          <w:p w:rsidR="00A57992" w:rsidRPr="00FC3CB1" w:rsidRDefault="00A57992" w:rsidP="00A57992">
            <w:pPr>
              <w:rPr>
                <w:rFonts w:ascii="Times New Roman" w:hAnsi="Times New Roman" w:cs="Times New Roman"/>
                <w:b/>
                <w:sz w:val="20"/>
              </w:rPr>
            </w:pPr>
            <w:r>
              <w:rPr>
                <w:rFonts w:ascii="Times New Roman" w:hAnsi="Times New Roman" w:cs="Times New Roman"/>
                <w:b/>
                <w:sz w:val="20"/>
              </w:rPr>
              <w:t>Social impacts and fundamental rights</w:t>
            </w:r>
          </w:p>
        </w:tc>
      </w:tr>
      <w:tr w:rsidR="00A57992" w:rsidRPr="00FC3CB1" w:rsidTr="00A57992">
        <w:tc>
          <w:tcPr>
            <w:tcW w:w="1242"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Baseline</w:t>
            </w:r>
          </w:p>
        </w:tc>
        <w:tc>
          <w:tcPr>
            <w:tcW w:w="1985"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 xml:space="preserve">(0) </w:t>
            </w:r>
            <w:r>
              <w:rPr>
                <w:rFonts w:ascii="Times New Roman" w:eastAsia="Calibri" w:hAnsi="Times New Roman" w:cs="Times New Roman"/>
                <w:color w:val="000000"/>
                <w:sz w:val="20"/>
                <w:lang w:eastAsia="en-GB"/>
              </w:rPr>
              <w:t>Contractual blockages, clearance issues, issues linked to strict release windows and burdensome licensing processes would persist.</w:t>
            </w:r>
          </w:p>
        </w:tc>
        <w:tc>
          <w:tcPr>
            <w:tcW w:w="1843"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(0) No direct costs associated with the baseline option</w:t>
            </w:r>
            <w:r>
              <w:rPr>
                <w:rFonts w:ascii="Times New Roman" w:eastAsia="Calibri" w:hAnsi="Times New Roman" w:cs="Times New Roman"/>
                <w:color w:val="000000"/>
                <w:sz w:val="20"/>
                <w:lang w:eastAsia="en-GB"/>
              </w:rPr>
              <w:t>.</w:t>
            </w:r>
            <w:r w:rsidRPr="00FC3CB1">
              <w:rPr>
                <w:rFonts w:ascii="Times New Roman" w:eastAsia="Calibri" w:hAnsi="Times New Roman" w:cs="Times New Roman"/>
                <w:color w:val="000000"/>
                <w:sz w:val="20"/>
                <w:lang w:eastAsia="en-GB"/>
              </w:rPr>
              <w:t xml:space="preserve"> </w:t>
            </w:r>
          </w:p>
          <w:p w:rsidR="00A57992" w:rsidRPr="00FC3CB1" w:rsidRDefault="00A57992" w:rsidP="00A57992">
            <w:pPr>
              <w:rPr>
                <w:rFonts w:ascii="Times New Roman" w:hAnsi="Times New Roman" w:cs="Times New Roman"/>
                <w:sz w:val="20"/>
              </w:rPr>
            </w:pPr>
          </w:p>
        </w:tc>
        <w:tc>
          <w:tcPr>
            <w:tcW w:w="2268" w:type="dxa"/>
          </w:tcPr>
          <w:p w:rsidR="00A57992" w:rsidRPr="00FC3CB1" w:rsidRDefault="00A57992" w:rsidP="00A57992">
            <w:pPr>
              <w:autoSpaceDE w:val="0"/>
              <w:autoSpaceDN w:val="0"/>
              <w:adjustRightInd w:val="0"/>
              <w:rPr>
                <w:rFonts w:ascii="Times New Roman" w:eastAsia="Calibri" w:hAnsi="Times New Roman" w:cs="Times New Roman"/>
                <w:color w:val="000000"/>
                <w:sz w:val="20"/>
                <w:szCs w:val="24"/>
                <w:lang w:eastAsia="en-GB"/>
              </w:rPr>
            </w:pPr>
            <w:r w:rsidRPr="00FC3CB1">
              <w:rPr>
                <w:rFonts w:ascii="Times New Roman" w:eastAsia="Calibri" w:hAnsi="Times New Roman" w:cs="Times New Roman"/>
                <w:color w:val="000000"/>
                <w:sz w:val="20"/>
                <w:lang w:eastAsia="en-GB"/>
              </w:rPr>
              <w:t xml:space="preserve">(0) Impacts on stakeholders would depend on </w:t>
            </w:r>
            <w:r>
              <w:rPr>
                <w:rFonts w:ascii="Times New Roman" w:eastAsia="Calibri" w:hAnsi="Times New Roman" w:cs="Times New Roman"/>
                <w:color w:val="000000"/>
                <w:sz w:val="20"/>
                <w:lang w:eastAsia="en-GB"/>
              </w:rPr>
              <w:t>the evolution of the VoD market.</w:t>
            </w:r>
            <w:r w:rsidRPr="00FC3CB1">
              <w:rPr>
                <w:rFonts w:ascii="Times New Roman" w:eastAsia="Calibri" w:hAnsi="Times New Roman" w:cs="Times New Roman"/>
                <w:color w:val="000000"/>
                <w:sz w:val="20"/>
                <w:szCs w:val="20"/>
                <w:lang w:eastAsia="en-GB"/>
              </w:rPr>
              <w:t xml:space="preserve"> </w:t>
            </w:r>
          </w:p>
        </w:tc>
        <w:tc>
          <w:tcPr>
            <w:tcW w:w="1950" w:type="dxa"/>
          </w:tcPr>
          <w:p w:rsidR="00A57992"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(0) No direct impact on fundamental rights</w:t>
            </w:r>
            <w:r>
              <w:rPr>
                <w:rFonts w:ascii="Times New Roman" w:eastAsia="Calibri" w:hAnsi="Times New Roman" w:cs="Times New Roman"/>
                <w:color w:val="000000"/>
                <w:sz w:val="20"/>
                <w:lang w:eastAsia="en-GB"/>
              </w:rPr>
              <w:t xml:space="preserve">. </w:t>
            </w:r>
          </w:p>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Pr>
                <w:rFonts w:ascii="Times New Roman" w:eastAsia="Calibri" w:hAnsi="Times New Roman" w:cs="Times New Roman"/>
                <w:color w:val="000000"/>
                <w:sz w:val="20"/>
                <w:lang w:eastAsia="en-GB"/>
              </w:rPr>
              <w:t>(0)No direct impact on cultural diversity and the visibility and circulation of EU</w:t>
            </w:r>
            <w:r w:rsidR="00F506EA">
              <w:rPr>
                <w:rFonts w:ascii="Times New Roman" w:eastAsia="Calibri" w:hAnsi="Times New Roman" w:cs="Times New Roman"/>
                <w:color w:val="000000"/>
                <w:sz w:val="20"/>
                <w:lang w:eastAsia="en-GB"/>
              </w:rPr>
              <w:t xml:space="preserve"> AV </w:t>
            </w:r>
            <w:r>
              <w:rPr>
                <w:rFonts w:ascii="Times New Roman" w:eastAsia="Calibri" w:hAnsi="Times New Roman" w:cs="Times New Roman"/>
                <w:color w:val="000000"/>
                <w:sz w:val="20"/>
                <w:lang w:eastAsia="en-GB"/>
              </w:rPr>
              <w:t>works.</w:t>
            </w:r>
          </w:p>
        </w:tc>
      </w:tr>
      <w:tr w:rsidR="00A57992" w:rsidRPr="00FC3CB1" w:rsidTr="00A57992">
        <w:tc>
          <w:tcPr>
            <w:tcW w:w="1242"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Option 1 –</w:t>
            </w:r>
            <w:r>
              <w:rPr>
                <w:rFonts w:ascii="Times New Roman" w:hAnsi="Times New Roman" w:cs="Times New Roman"/>
                <w:b/>
                <w:sz w:val="20"/>
              </w:rPr>
              <w:t>S</w:t>
            </w:r>
            <w:r w:rsidRPr="00FC3CB1">
              <w:rPr>
                <w:rFonts w:ascii="Times New Roman" w:hAnsi="Times New Roman" w:cs="Times New Roman"/>
                <w:b/>
                <w:sz w:val="20"/>
              </w:rPr>
              <w:t>takeholders' dialogue</w:t>
            </w:r>
          </w:p>
        </w:tc>
        <w:tc>
          <w:tcPr>
            <w:tcW w:w="1985"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 xml:space="preserve">(0/+) Could result in some improvements </w:t>
            </w:r>
            <w:r>
              <w:rPr>
                <w:rFonts w:ascii="Times New Roman" w:eastAsia="Calibri" w:hAnsi="Times New Roman" w:cs="Times New Roman"/>
                <w:color w:val="000000"/>
                <w:sz w:val="20"/>
                <w:lang w:eastAsia="en-GB"/>
              </w:rPr>
              <w:t>as regards the clearance of rights, and the streamlining of the licensing process. To some extent, it could provide some flexibility as regards release windows. Contractual blockages linked to exclusivity deals would persist.</w:t>
            </w:r>
          </w:p>
        </w:tc>
        <w:tc>
          <w:tcPr>
            <w:tcW w:w="1843"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(0/-) Limited costs linked to the organisation of the stakeholders' dialogue</w:t>
            </w:r>
            <w:r>
              <w:rPr>
                <w:rFonts w:ascii="Times New Roman" w:eastAsia="Calibri" w:hAnsi="Times New Roman" w:cs="Times New Roman"/>
                <w:color w:val="000000"/>
                <w:sz w:val="20"/>
                <w:lang w:eastAsia="en-GB"/>
              </w:rPr>
              <w:t>.</w:t>
            </w:r>
          </w:p>
        </w:tc>
        <w:tc>
          <w:tcPr>
            <w:tcW w:w="2268"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 xml:space="preserve">(0/+) Main impacts on stakeholders would depend on the possible changes introduced </w:t>
            </w:r>
            <w:r>
              <w:rPr>
                <w:rFonts w:ascii="Times New Roman" w:eastAsia="Calibri" w:hAnsi="Times New Roman" w:cs="Times New Roman"/>
                <w:color w:val="000000"/>
                <w:sz w:val="20"/>
                <w:lang w:eastAsia="en-GB"/>
              </w:rPr>
              <w:t xml:space="preserve">by the stakeholders' dialogue. If the stakeholders' dialogue leads to the adoption of some standards and practices (e.g. contractual clauses) and more flexibility, there would be a possible reduction of licensing and clearance costs. </w:t>
            </w:r>
          </w:p>
        </w:tc>
        <w:tc>
          <w:tcPr>
            <w:tcW w:w="1950" w:type="dxa"/>
          </w:tcPr>
          <w:p w:rsidR="00A57992"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(0) No direct impact on fundamental rights</w:t>
            </w:r>
            <w:r>
              <w:rPr>
                <w:rFonts w:ascii="Times New Roman" w:eastAsia="Calibri" w:hAnsi="Times New Roman" w:cs="Times New Roman"/>
                <w:color w:val="000000"/>
                <w:sz w:val="20"/>
                <w:lang w:eastAsia="en-GB"/>
              </w:rPr>
              <w:t xml:space="preserve">.  </w:t>
            </w:r>
          </w:p>
          <w:p w:rsidR="00A57992" w:rsidRPr="00FC3CB1" w:rsidRDefault="00A57992" w:rsidP="00F506EA">
            <w:pPr>
              <w:autoSpaceDE w:val="0"/>
              <w:autoSpaceDN w:val="0"/>
              <w:adjustRightInd w:val="0"/>
              <w:rPr>
                <w:rFonts w:ascii="Times New Roman" w:eastAsia="Calibri" w:hAnsi="Times New Roman" w:cs="Times New Roman"/>
                <w:color w:val="000000"/>
                <w:sz w:val="20"/>
                <w:lang w:eastAsia="en-GB"/>
              </w:rPr>
            </w:pPr>
            <w:r>
              <w:rPr>
                <w:rFonts w:ascii="Times New Roman" w:eastAsia="Calibri" w:hAnsi="Times New Roman" w:cs="Times New Roman"/>
                <w:color w:val="000000"/>
                <w:sz w:val="20"/>
                <w:lang w:eastAsia="en-GB"/>
              </w:rPr>
              <w:t xml:space="preserve">(0/+) Positive impact on cultural diversity and the visibility and circulation of EU </w:t>
            </w:r>
            <w:r w:rsidR="00F506EA">
              <w:rPr>
                <w:rFonts w:ascii="Times New Roman" w:eastAsia="Calibri" w:hAnsi="Times New Roman" w:cs="Times New Roman"/>
                <w:color w:val="000000"/>
                <w:sz w:val="20"/>
                <w:lang w:eastAsia="en-GB"/>
              </w:rPr>
              <w:t xml:space="preserve">AV </w:t>
            </w:r>
            <w:r>
              <w:rPr>
                <w:rFonts w:ascii="Times New Roman" w:eastAsia="Calibri" w:hAnsi="Times New Roman" w:cs="Times New Roman"/>
                <w:color w:val="000000"/>
                <w:sz w:val="20"/>
                <w:lang w:eastAsia="en-GB"/>
              </w:rPr>
              <w:t>works provided that the stakeholder dialogue leads to more works available on VoD platforms.</w:t>
            </w:r>
          </w:p>
        </w:tc>
      </w:tr>
      <w:tr w:rsidR="00A57992" w:rsidRPr="00FC3CB1" w:rsidTr="00A57992">
        <w:trPr>
          <w:trHeight w:val="269"/>
        </w:trPr>
        <w:tc>
          <w:tcPr>
            <w:tcW w:w="1242" w:type="dxa"/>
          </w:tcPr>
          <w:p w:rsidR="00A57992" w:rsidRPr="00FC3CB1" w:rsidRDefault="00A57992" w:rsidP="00A57992">
            <w:pPr>
              <w:rPr>
                <w:rFonts w:ascii="Times New Roman" w:hAnsi="Times New Roman" w:cs="Times New Roman"/>
                <w:b/>
                <w:sz w:val="20"/>
              </w:rPr>
            </w:pPr>
            <w:r w:rsidRPr="00FC3CB1">
              <w:rPr>
                <w:rFonts w:ascii="Times New Roman" w:hAnsi="Times New Roman" w:cs="Times New Roman"/>
                <w:b/>
                <w:sz w:val="20"/>
              </w:rPr>
              <w:t xml:space="preserve">Option 2 – </w:t>
            </w:r>
            <w:r>
              <w:rPr>
                <w:rFonts w:ascii="Times New Roman" w:hAnsi="Times New Roman" w:cs="Times New Roman"/>
                <w:b/>
                <w:sz w:val="20"/>
              </w:rPr>
              <w:t>Stakeholders' dialogue and negotiation mechanism</w:t>
            </w:r>
          </w:p>
        </w:tc>
        <w:tc>
          <w:tcPr>
            <w:tcW w:w="1985" w:type="dxa"/>
          </w:tcPr>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 xml:space="preserve">(+) </w:t>
            </w:r>
            <w:r>
              <w:rPr>
                <w:rFonts w:ascii="Times New Roman" w:eastAsia="Calibri" w:hAnsi="Times New Roman" w:cs="Times New Roman"/>
                <w:color w:val="000000"/>
                <w:sz w:val="20"/>
                <w:lang w:eastAsia="en-GB"/>
              </w:rPr>
              <w:t>In addition to collective solutions that could be brought by the stakeholders' dialogue, individual cases could also be addressed. This w</w:t>
            </w:r>
            <w:r w:rsidRPr="00FC3CB1">
              <w:rPr>
                <w:rFonts w:ascii="Times New Roman" w:eastAsia="Calibri" w:hAnsi="Times New Roman" w:cs="Times New Roman"/>
                <w:color w:val="000000"/>
                <w:sz w:val="20"/>
                <w:lang w:eastAsia="en-GB"/>
              </w:rPr>
              <w:t xml:space="preserve">ould </w:t>
            </w:r>
            <w:r>
              <w:rPr>
                <w:rFonts w:ascii="Times New Roman" w:eastAsia="Calibri" w:hAnsi="Times New Roman" w:cs="Times New Roman"/>
                <w:color w:val="000000"/>
                <w:sz w:val="20"/>
                <w:lang w:eastAsia="en-GB"/>
              </w:rPr>
              <w:t xml:space="preserve">provide a framework for stakeholders to solve contractual blockages and other licensing individual issues. </w:t>
            </w:r>
          </w:p>
        </w:tc>
        <w:tc>
          <w:tcPr>
            <w:tcW w:w="1843" w:type="dxa"/>
          </w:tcPr>
          <w:p w:rsidR="00A57992"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w:t>
            </w:r>
            <w:r>
              <w:rPr>
                <w:rFonts w:ascii="Times New Roman" w:eastAsia="Calibri" w:hAnsi="Times New Roman" w:cs="Times New Roman"/>
                <w:color w:val="000000"/>
                <w:sz w:val="20"/>
                <w:lang w:eastAsia="en-GB"/>
              </w:rPr>
              <w:t>0/</w:t>
            </w:r>
            <w:r w:rsidRPr="00FC3CB1">
              <w:rPr>
                <w:rFonts w:ascii="Times New Roman" w:eastAsia="Calibri" w:hAnsi="Times New Roman" w:cs="Times New Roman"/>
                <w:color w:val="000000"/>
                <w:sz w:val="20"/>
                <w:lang w:eastAsia="en-GB"/>
              </w:rPr>
              <w:t>-)Limited costs linked to the organisation of the stakeholders' dialogue</w:t>
            </w:r>
            <w:r>
              <w:rPr>
                <w:rFonts w:ascii="Times New Roman" w:eastAsia="Calibri" w:hAnsi="Times New Roman" w:cs="Times New Roman"/>
                <w:color w:val="000000"/>
                <w:sz w:val="20"/>
                <w:lang w:eastAsia="en-GB"/>
              </w:rPr>
              <w:t xml:space="preserve"> and possible participation in the negotiation mechanism.</w:t>
            </w:r>
          </w:p>
          <w:p w:rsidR="00A57992" w:rsidRPr="00721C8E" w:rsidRDefault="00A57992" w:rsidP="00A57992">
            <w:pPr>
              <w:autoSpaceDE w:val="0"/>
              <w:autoSpaceDN w:val="0"/>
              <w:adjustRightInd w:val="0"/>
              <w:rPr>
                <w:rFonts w:ascii="Times New Roman" w:hAnsi="Times New Roman" w:cs="Times New Roman"/>
                <w:sz w:val="20"/>
                <w:szCs w:val="20"/>
              </w:rPr>
            </w:pPr>
            <w:r w:rsidRPr="00721C8E">
              <w:rPr>
                <w:rFonts w:ascii="Times New Roman" w:eastAsia="Calibri" w:hAnsi="Times New Roman" w:cs="Times New Roman"/>
                <w:color w:val="000000"/>
                <w:sz w:val="20"/>
                <w:szCs w:val="20"/>
                <w:lang w:eastAsia="en-GB"/>
              </w:rPr>
              <w:t>(</w:t>
            </w:r>
            <w:r>
              <w:rPr>
                <w:rFonts w:ascii="Times New Roman" w:eastAsia="Calibri" w:hAnsi="Times New Roman" w:cs="Times New Roman"/>
                <w:color w:val="000000"/>
                <w:sz w:val="20"/>
                <w:szCs w:val="20"/>
                <w:lang w:eastAsia="en-GB"/>
              </w:rPr>
              <w:t>0/</w:t>
            </w:r>
            <w:r w:rsidRPr="00721C8E">
              <w:rPr>
                <w:rFonts w:ascii="Times New Roman" w:eastAsia="Calibri" w:hAnsi="Times New Roman" w:cs="Times New Roman"/>
                <w:color w:val="000000"/>
                <w:sz w:val="20"/>
                <w:szCs w:val="20"/>
                <w:lang w:eastAsia="en-GB"/>
              </w:rPr>
              <w:t>+)</w:t>
            </w:r>
            <w:r>
              <w:rPr>
                <w:rFonts w:ascii="Times New Roman" w:eastAsia="Calibri" w:hAnsi="Times New Roman" w:cs="Times New Roman"/>
                <w:color w:val="000000"/>
                <w:sz w:val="20"/>
                <w:szCs w:val="20"/>
                <w:lang w:eastAsia="en-GB"/>
              </w:rPr>
              <w:t xml:space="preserve"> Possible reduction of transaction costs by </w:t>
            </w:r>
            <w:r w:rsidRPr="00721C8E">
              <w:rPr>
                <w:rFonts w:ascii="Times New Roman" w:hAnsi="Times New Roman" w:cs="Times New Roman"/>
                <w:sz w:val="20"/>
                <w:szCs w:val="20"/>
              </w:rPr>
              <w:t>speeding up the negotiation process.</w:t>
            </w:r>
          </w:p>
        </w:tc>
        <w:tc>
          <w:tcPr>
            <w:tcW w:w="2268" w:type="dxa"/>
          </w:tcPr>
          <w:p w:rsidR="00A57992" w:rsidRPr="004E1536" w:rsidRDefault="00A57992" w:rsidP="00A57992">
            <w:pPr>
              <w:autoSpaceDE w:val="0"/>
              <w:autoSpaceDN w:val="0"/>
              <w:adjustRightInd w:val="0"/>
              <w:rPr>
                <w:rFonts w:ascii="Times New Roman" w:eastAsia="Calibri" w:hAnsi="Times New Roman" w:cs="Times New Roman"/>
                <w:color w:val="000000"/>
                <w:sz w:val="20"/>
                <w:lang w:eastAsia="en-GB"/>
              </w:rPr>
            </w:pPr>
            <w:r w:rsidRPr="00FC3CB1">
              <w:rPr>
                <w:rFonts w:ascii="Times New Roman" w:eastAsia="Calibri" w:hAnsi="Times New Roman" w:cs="Times New Roman"/>
                <w:color w:val="000000"/>
                <w:sz w:val="20"/>
                <w:lang w:eastAsia="en-GB"/>
              </w:rPr>
              <w:t>(</w:t>
            </w:r>
            <w:r>
              <w:rPr>
                <w:rFonts w:ascii="Times New Roman" w:eastAsia="Calibri" w:hAnsi="Times New Roman" w:cs="Times New Roman"/>
                <w:color w:val="000000"/>
                <w:sz w:val="20"/>
                <w:lang w:eastAsia="en-GB"/>
              </w:rPr>
              <w:t>0/</w:t>
            </w:r>
            <w:r w:rsidRPr="00FC3CB1">
              <w:rPr>
                <w:rFonts w:ascii="Times New Roman" w:eastAsia="Calibri" w:hAnsi="Times New Roman" w:cs="Times New Roman"/>
                <w:color w:val="000000"/>
                <w:sz w:val="20"/>
                <w:lang w:eastAsia="en-GB"/>
              </w:rPr>
              <w:t xml:space="preserve">+) </w:t>
            </w:r>
            <w:r>
              <w:rPr>
                <w:rFonts w:ascii="Times New Roman" w:eastAsia="Calibri" w:hAnsi="Times New Roman" w:cs="Times New Roman"/>
                <w:color w:val="000000"/>
                <w:sz w:val="20"/>
                <w:lang w:eastAsia="en-GB"/>
              </w:rPr>
              <w:t>P</w:t>
            </w:r>
            <w:r w:rsidRPr="00FC3CB1">
              <w:rPr>
                <w:rFonts w:ascii="Times New Roman" w:eastAsia="Calibri" w:hAnsi="Times New Roman" w:cs="Times New Roman"/>
                <w:color w:val="000000"/>
                <w:sz w:val="20"/>
                <w:lang w:eastAsia="en-GB"/>
              </w:rPr>
              <w:t xml:space="preserve">ossible reduction of </w:t>
            </w:r>
            <w:r>
              <w:rPr>
                <w:rFonts w:ascii="Times New Roman" w:eastAsia="Calibri" w:hAnsi="Times New Roman" w:cs="Times New Roman"/>
                <w:color w:val="000000"/>
                <w:sz w:val="20"/>
                <w:lang w:eastAsia="en-GB"/>
              </w:rPr>
              <w:t xml:space="preserve">licensing and clearance </w:t>
            </w:r>
            <w:r w:rsidRPr="00FC3CB1">
              <w:rPr>
                <w:rFonts w:ascii="Times New Roman" w:eastAsia="Calibri" w:hAnsi="Times New Roman" w:cs="Times New Roman"/>
                <w:color w:val="000000"/>
                <w:sz w:val="20"/>
                <w:lang w:eastAsia="en-GB"/>
              </w:rPr>
              <w:t xml:space="preserve">costs </w:t>
            </w:r>
            <w:r>
              <w:rPr>
                <w:rFonts w:ascii="Times New Roman" w:eastAsia="Calibri" w:hAnsi="Times New Roman" w:cs="Times New Roman"/>
                <w:color w:val="000000"/>
                <w:sz w:val="20"/>
                <w:lang w:eastAsia="en-GB"/>
              </w:rPr>
              <w:t xml:space="preserve">(cf. </w:t>
            </w:r>
            <w:r>
              <w:rPr>
                <w:rFonts w:ascii="Times New Roman" w:eastAsia="Calibri" w:hAnsi="Times New Roman" w:cs="Times New Roman"/>
                <w:i/>
                <w:color w:val="000000"/>
                <w:sz w:val="20"/>
                <w:lang w:eastAsia="en-GB"/>
              </w:rPr>
              <w:t>supra</w:t>
            </w:r>
            <w:r>
              <w:rPr>
                <w:rFonts w:ascii="Times New Roman" w:eastAsia="Calibri" w:hAnsi="Times New Roman" w:cs="Times New Roman"/>
                <w:color w:val="000000"/>
                <w:sz w:val="20"/>
                <w:lang w:eastAsia="en-GB"/>
              </w:rPr>
              <w:t>).</w:t>
            </w:r>
          </w:p>
          <w:p w:rsidR="00A57992" w:rsidRPr="00721C8E" w:rsidRDefault="00A57992" w:rsidP="00A57992">
            <w:pPr>
              <w:autoSpaceDE w:val="0"/>
              <w:autoSpaceDN w:val="0"/>
              <w:adjustRightInd w:val="0"/>
              <w:rPr>
                <w:rFonts w:ascii="Times New Roman" w:eastAsia="Calibri" w:hAnsi="Times New Roman" w:cs="Times New Roman"/>
                <w:color w:val="000000"/>
                <w:sz w:val="20"/>
                <w:szCs w:val="20"/>
                <w:lang w:eastAsia="en-GB"/>
              </w:rPr>
            </w:pPr>
            <w:r>
              <w:rPr>
                <w:rFonts w:ascii="Times New Roman" w:eastAsia="Calibri" w:hAnsi="Times New Roman" w:cs="Times New Roman"/>
                <w:color w:val="000000"/>
                <w:sz w:val="20"/>
                <w:lang w:eastAsia="en-GB"/>
              </w:rPr>
              <w:t xml:space="preserve">(+) Possibility to use the negotiation mechanism to unblock individual cases (e.g. contractual blockages) and to facilitate contractual </w:t>
            </w:r>
            <w:r w:rsidRPr="00721C8E">
              <w:rPr>
                <w:rFonts w:ascii="Times New Roman" w:eastAsia="Calibri" w:hAnsi="Times New Roman" w:cs="Times New Roman"/>
                <w:color w:val="000000"/>
                <w:sz w:val="20"/>
                <w:szCs w:val="20"/>
                <w:lang w:eastAsia="en-GB"/>
              </w:rPr>
              <w:t xml:space="preserve">collaboration between stakeholders.  </w:t>
            </w:r>
          </w:p>
          <w:p w:rsidR="00A57992" w:rsidRPr="00FC3CB1" w:rsidRDefault="00A57992" w:rsidP="00A57992">
            <w:pPr>
              <w:jc w:val="both"/>
              <w:rPr>
                <w:rFonts w:ascii="Times New Roman" w:eastAsia="Calibri" w:hAnsi="Times New Roman" w:cs="Times New Roman"/>
                <w:color w:val="000000"/>
                <w:sz w:val="20"/>
                <w:lang w:eastAsia="en-GB"/>
              </w:rPr>
            </w:pPr>
          </w:p>
        </w:tc>
        <w:tc>
          <w:tcPr>
            <w:tcW w:w="1950" w:type="dxa"/>
          </w:tcPr>
          <w:p w:rsidR="00A57992" w:rsidRDefault="00A57992" w:rsidP="00A57992">
            <w:pPr>
              <w:autoSpaceDE w:val="0"/>
              <w:autoSpaceDN w:val="0"/>
              <w:adjustRightInd w:val="0"/>
              <w:rPr>
                <w:rFonts w:ascii="Times New Roman" w:eastAsia="Calibri" w:hAnsi="Times New Roman" w:cs="Times New Roman"/>
                <w:color w:val="000000"/>
                <w:sz w:val="20"/>
                <w:lang w:eastAsia="en-GB"/>
              </w:rPr>
            </w:pPr>
            <w:r w:rsidRPr="0090180E">
              <w:rPr>
                <w:rFonts w:ascii="Times New Roman" w:eastAsia="Calibri" w:hAnsi="Times New Roman" w:cs="Times New Roman"/>
                <w:color w:val="000000"/>
                <w:sz w:val="20"/>
                <w:lang w:eastAsia="en-GB"/>
              </w:rPr>
              <w:t>(0) No direct impact on fundamental rights.</w:t>
            </w:r>
          </w:p>
          <w:p w:rsidR="00A57992" w:rsidRPr="00FC3CB1" w:rsidRDefault="00A57992" w:rsidP="00A57992">
            <w:pPr>
              <w:autoSpaceDE w:val="0"/>
              <w:autoSpaceDN w:val="0"/>
              <w:adjustRightInd w:val="0"/>
              <w:rPr>
                <w:rFonts w:ascii="Times New Roman" w:eastAsia="Calibri" w:hAnsi="Times New Roman" w:cs="Times New Roman"/>
                <w:color w:val="000000"/>
                <w:sz w:val="20"/>
                <w:lang w:eastAsia="en-GB"/>
              </w:rPr>
            </w:pPr>
            <w:r w:rsidRPr="0090180E">
              <w:rPr>
                <w:rFonts w:ascii="Times New Roman" w:eastAsia="Calibri" w:hAnsi="Times New Roman" w:cs="Times New Roman"/>
                <w:color w:val="000000"/>
                <w:sz w:val="20"/>
                <w:lang w:eastAsia="en-GB"/>
              </w:rPr>
              <w:t xml:space="preserve">(+) Positive impact on cultural diversity </w:t>
            </w:r>
            <w:r>
              <w:rPr>
                <w:rFonts w:ascii="Times New Roman" w:eastAsia="Calibri" w:hAnsi="Times New Roman" w:cs="Times New Roman"/>
                <w:color w:val="000000"/>
                <w:sz w:val="20"/>
                <w:lang w:eastAsia="en-GB"/>
              </w:rPr>
              <w:t xml:space="preserve">and the visibility and circulation of EU </w:t>
            </w:r>
            <w:r w:rsidR="00F506EA">
              <w:rPr>
                <w:rFonts w:ascii="Times New Roman" w:eastAsia="Calibri" w:hAnsi="Times New Roman" w:cs="Times New Roman"/>
                <w:color w:val="000000"/>
                <w:sz w:val="20"/>
                <w:lang w:eastAsia="en-GB"/>
              </w:rPr>
              <w:t xml:space="preserve">AV </w:t>
            </w:r>
            <w:r>
              <w:rPr>
                <w:rFonts w:ascii="Times New Roman" w:eastAsia="Calibri" w:hAnsi="Times New Roman" w:cs="Times New Roman"/>
                <w:color w:val="000000"/>
                <w:sz w:val="20"/>
                <w:lang w:eastAsia="en-GB"/>
              </w:rPr>
              <w:t>works</w:t>
            </w:r>
            <w:r w:rsidRPr="0090180E">
              <w:rPr>
                <w:rFonts w:ascii="Times New Roman" w:eastAsia="Calibri" w:hAnsi="Times New Roman" w:cs="Times New Roman"/>
                <w:color w:val="000000"/>
                <w:sz w:val="20"/>
                <w:lang w:eastAsia="en-GB"/>
              </w:rPr>
              <w:t xml:space="preserve"> thanks to the greater availability of EU AV works on VoD platforms</w:t>
            </w:r>
            <w:r>
              <w:rPr>
                <w:rFonts w:ascii="Times New Roman" w:eastAsia="Calibri" w:hAnsi="Times New Roman" w:cs="Times New Roman"/>
                <w:color w:val="000000"/>
                <w:sz w:val="20"/>
                <w:lang w:eastAsia="en-GB"/>
              </w:rPr>
              <w:t xml:space="preserve"> (which would also include </w:t>
            </w:r>
            <w:r w:rsidR="00F506EA">
              <w:rPr>
                <w:rFonts w:ascii="Times New Roman" w:eastAsia="Calibri" w:hAnsi="Times New Roman" w:cs="Times New Roman"/>
                <w:color w:val="000000"/>
                <w:sz w:val="20"/>
                <w:lang w:eastAsia="en-GB"/>
              </w:rPr>
              <w:t xml:space="preserve">AV </w:t>
            </w:r>
            <w:r>
              <w:rPr>
                <w:rFonts w:ascii="Times New Roman" w:eastAsia="Calibri" w:hAnsi="Times New Roman" w:cs="Times New Roman"/>
                <w:color w:val="000000"/>
                <w:sz w:val="20"/>
                <w:lang w:eastAsia="en-GB"/>
              </w:rPr>
              <w:t>works for which the rights were blocked)</w:t>
            </w:r>
            <w:r w:rsidRPr="0090180E">
              <w:rPr>
                <w:rFonts w:ascii="Times New Roman" w:eastAsia="Calibri" w:hAnsi="Times New Roman" w:cs="Times New Roman"/>
                <w:color w:val="000000"/>
                <w:sz w:val="20"/>
                <w:lang w:eastAsia="en-GB"/>
              </w:rPr>
              <w:t>.</w:t>
            </w:r>
          </w:p>
        </w:tc>
      </w:tr>
    </w:tbl>
    <w:p w:rsidR="00A57992" w:rsidRPr="00035D49" w:rsidRDefault="00A57992" w:rsidP="00A57992">
      <w:pPr>
        <w:pStyle w:val="Default"/>
        <w:widowControl w:val="0"/>
        <w:spacing w:before="240" w:after="120"/>
        <w:jc w:val="both"/>
      </w:pPr>
      <w:r w:rsidRPr="00A0495A">
        <w:rPr>
          <w:b/>
        </w:rPr>
        <w:t xml:space="preserve">Option 2 </w:t>
      </w:r>
      <w:r w:rsidRPr="00D1507D">
        <w:rPr>
          <w:b/>
        </w:rPr>
        <w:t>is the preferred option, as it would allow reaching the objective of improving the availability of EU audiovisual works on VoD platforms. Under this option, solutions to both collective and individual cases are envisaged.</w:t>
      </w:r>
      <w:r>
        <w:t xml:space="preserve"> The stakeholders' dialogue, if successful, could lead to the adoption of some contractual standards that could benefit all stakeholders in the </w:t>
      </w:r>
      <w:r w:rsidR="00F506EA">
        <w:t xml:space="preserve">AV </w:t>
      </w:r>
      <w:r>
        <w:t xml:space="preserve">sector. This would have a positive impact on the licensing process. The stakeholders' dialogue could also increase flexibility in licensing VoD rights and facilitate to some extent contacts between small and medium </w:t>
      </w:r>
      <w:r w:rsidR="00687496">
        <w:t>r</w:t>
      </w:r>
      <w:r w:rsidR="00007677">
        <w:t>ightholders</w:t>
      </w:r>
      <w:r w:rsidRPr="00710F09">
        <w:t xml:space="preserve"> (or their representatives) and aggregators/VoD platforms. As regards individual cases, the negotiation mechanism could help parties finding suitable solutions to allow the licensing of VoD rights. In contras</w:t>
      </w:r>
      <w:r w:rsidRPr="00035D49">
        <w:t>t, Option 1 would not addre</w:t>
      </w:r>
      <w:r>
        <w:t>ss these individual situations and would therefore be less effective.</w:t>
      </w:r>
      <w:r w:rsidRPr="00035D49">
        <w:t xml:space="preserve"> </w:t>
      </w:r>
      <w:r w:rsidRPr="00710F09">
        <w:t xml:space="preserve">Since the negotiation mechanism would be on a voluntary basis, this solution would heavily rely on the will of parties to reach agreement. All blockages could therefore not be solved under this solution.  </w:t>
      </w:r>
      <w:r>
        <w:t xml:space="preserve">The compliance </w:t>
      </w:r>
      <w:r w:rsidRPr="00901FEE">
        <w:t>costs</w:t>
      </w:r>
      <w:r w:rsidRPr="005E4AE9">
        <w:t xml:space="preserve"> related to</w:t>
      </w:r>
      <w:r w:rsidRPr="00901FEE">
        <w:t xml:space="preserve"> Option</w:t>
      </w:r>
      <w:r w:rsidRPr="005E4AE9">
        <w:t xml:space="preserve"> </w:t>
      </w:r>
      <w:r w:rsidRPr="00F4703A">
        <w:t xml:space="preserve">2 </w:t>
      </w:r>
      <w:r w:rsidRPr="005E4AE9">
        <w:t>are expected to be compensated by the benefits it would generate for the parties, e.g. by speeding up the negotiation process. This is all the more the case since the participation in the</w:t>
      </w:r>
      <w:r w:rsidRPr="00F4703A">
        <w:t xml:space="preserve"> negotiation mechanism would be on a voluntary basis, stakeholders would be protected against abusive demands from other stakeholders. Finally, Option 2 has no impact on the </w:t>
      </w:r>
      <w:r w:rsidR="00687496">
        <w:t>r</w:t>
      </w:r>
      <w:r w:rsidR="00007677">
        <w:t>ightholders</w:t>
      </w:r>
      <w:r w:rsidRPr="00F4703A">
        <w:t>' business model based on exclusivity deals and release windows. The impact on the right to property is therefore neutral.</w:t>
      </w:r>
    </w:p>
    <w:p w:rsidR="00A57992" w:rsidRDefault="00A57992" w:rsidP="00A57992">
      <w:pPr>
        <w:pStyle w:val="Default"/>
        <w:widowControl w:val="0"/>
        <w:spacing w:after="120"/>
        <w:jc w:val="both"/>
      </w:pPr>
      <w:r w:rsidRPr="005E4AE9">
        <w:rPr>
          <w:u w:val="single"/>
        </w:rPr>
        <w:t>Proportionality and impacts on MS</w:t>
      </w:r>
      <w:r>
        <w:t xml:space="preserve">: </w:t>
      </w:r>
      <w:r w:rsidRPr="00D1507D">
        <w:rPr>
          <w:b/>
        </w:rPr>
        <w:t>Option 2 allows reaching the policy objective in a proportionate manner, focusing on facilitating contacts and negotiations between stakeholders without interfering with their contractual freedom.</w:t>
      </w:r>
    </w:p>
    <w:p w:rsidR="003D1FA8" w:rsidRDefault="00506F6D" w:rsidP="00A57992">
      <w:pPr>
        <w:pStyle w:val="Default"/>
        <w:widowControl w:val="0"/>
        <w:spacing w:after="120"/>
        <w:jc w:val="both"/>
      </w:pPr>
      <w:r>
        <w:t>Depending</w:t>
      </w:r>
      <w:r w:rsidR="00034B2D">
        <w:t xml:space="preserve"> on the approach adopted, MS may have to introduce the negotiation mechanism in their legislation and set up the related body, </w:t>
      </w:r>
      <w:r w:rsidR="00A57992" w:rsidRPr="00506F6D">
        <w:t>which would entail some limited costs, as explained above.</w:t>
      </w:r>
    </w:p>
    <w:p w:rsidR="006C71DB" w:rsidRDefault="006C71DB" w:rsidP="00CE35F9">
      <w:pPr>
        <w:pStyle w:val="Heading2"/>
        <w:numPr>
          <w:ilvl w:val="1"/>
          <w:numId w:val="1"/>
        </w:numPr>
        <w:spacing w:before="0" w:after="240"/>
        <w:rPr>
          <w:rFonts w:ascii="Times New Roman Bold" w:hAnsi="Times New Roman Bold"/>
          <w:smallCaps/>
        </w:rPr>
      </w:pPr>
      <w:bookmarkStart w:id="44" w:name="_Toc461114714"/>
      <w:r>
        <w:rPr>
          <w:rFonts w:ascii="Times New Roman Bold" w:hAnsi="Times New Roman Bold"/>
          <w:smallCaps/>
        </w:rPr>
        <w:t>Out-of-commerce works in the collections of cultural heritage institutions</w:t>
      </w:r>
      <w:bookmarkEnd w:id="44"/>
    </w:p>
    <w:p w:rsidR="006C71DB" w:rsidRPr="006C71DB" w:rsidRDefault="006C71DB" w:rsidP="00CF38F1">
      <w:pPr>
        <w:pStyle w:val="Heading3"/>
      </w:pPr>
      <w:bookmarkStart w:id="45" w:name="_Toc461114715"/>
      <w:r w:rsidRPr="006C71DB">
        <w:t>What is the problem and why is it a problem?</w:t>
      </w:r>
      <w:bookmarkEnd w:id="45"/>
      <w:r w:rsidRPr="006C71DB">
        <w:t xml:space="preserve"> </w:t>
      </w:r>
    </w:p>
    <w:p w:rsidR="006C71DB" w:rsidRDefault="006C71DB" w:rsidP="00A474C5">
      <w:pPr>
        <w:pBdr>
          <w:top w:val="nil"/>
          <w:left w:val="nil"/>
          <w:bottom w:val="nil"/>
          <w:right w:val="nil"/>
          <w:between w:val="nil"/>
          <w:bar w:val="nil"/>
        </w:pBdr>
        <w:spacing w:after="120" w:line="240" w:lineRule="auto"/>
        <w:jc w:val="both"/>
        <w:rPr>
          <w:rFonts w:ascii="Times New Roman" w:hAnsi="Times New Roman"/>
          <w:i/>
          <w:sz w:val="24"/>
          <w:szCs w:val="24"/>
        </w:rPr>
      </w:pPr>
      <w:r w:rsidRPr="007C5266">
        <w:rPr>
          <w:rFonts w:ascii="Times New Roman" w:hAnsi="Times New Roman"/>
          <w:b/>
          <w:i/>
          <w:sz w:val="24"/>
          <w:szCs w:val="24"/>
        </w:rPr>
        <w:t>Problem:</w:t>
      </w:r>
      <w:r>
        <w:rPr>
          <w:rFonts w:ascii="Times New Roman" w:hAnsi="Times New Roman"/>
          <w:i/>
          <w:sz w:val="24"/>
          <w:szCs w:val="24"/>
        </w:rPr>
        <w:t xml:space="preserve"> Digitisation and dissemination</w:t>
      </w:r>
      <w:r w:rsidRPr="003D5D7E">
        <w:rPr>
          <w:rFonts w:ascii="Times New Roman" w:hAnsi="Times New Roman"/>
          <w:i/>
          <w:sz w:val="24"/>
          <w:szCs w:val="24"/>
        </w:rPr>
        <w:t xml:space="preserve"> </w:t>
      </w:r>
      <w:r>
        <w:rPr>
          <w:rFonts w:ascii="Times New Roman" w:hAnsi="Times New Roman"/>
          <w:i/>
          <w:sz w:val="24"/>
          <w:szCs w:val="24"/>
        </w:rPr>
        <w:t xml:space="preserve">of </w:t>
      </w:r>
      <w:r w:rsidRPr="003D5D7E">
        <w:rPr>
          <w:rFonts w:ascii="Times New Roman" w:hAnsi="Times New Roman"/>
          <w:i/>
          <w:sz w:val="24"/>
          <w:szCs w:val="24"/>
        </w:rPr>
        <w:t>out-of-commerce works held by cultu</w:t>
      </w:r>
      <w:r>
        <w:rPr>
          <w:rFonts w:ascii="Times New Roman" w:hAnsi="Times New Roman"/>
          <w:i/>
          <w:sz w:val="24"/>
          <w:szCs w:val="24"/>
        </w:rPr>
        <w:t>ral heritage institutions</w:t>
      </w:r>
      <w:r w:rsidRPr="003D5D7E">
        <w:rPr>
          <w:rFonts w:ascii="Times New Roman" w:hAnsi="Times New Roman"/>
          <w:i/>
          <w:sz w:val="24"/>
          <w:szCs w:val="24"/>
        </w:rPr>
        <w:t>, including across borders, in 'mass digitisation' projects</w:t>
      </w:r>
      <w:r>
        <w:rPr>
          <w:rFonts w:ascii="Times New Roman" w:hAnsi="Times New Roman"/>
          <w:i/>
          <w:sz w:val="24"/>
          <w:szCs w:val="24"/>
        </w:rPr>
        <w:t>,</w:t>
      </w:r>
      <w:r w:rsidRPr="003D5D7E">
        <w:rPr>
          <w:rFonts w:ascii="Times New Roman" w:hAnsi="Times New Roman"/>
          <w:i/>
          <w:sz w:val="24"/>
          <w:szCs w:val="24"/>
        </w:rPr>
        <w:t xml:space="preserve"> is adversely affected by </w:t>
      </w:r>
      <w:r>
        <w:rPr>
          <w:rFonts w:ascii="Times New Roman" w:hAnsi="Times New Roman"/>
          <w:i/>
          <w:sz w:val="24"/>
          <w:szCs w:val="24"/>
        </w:rPr>
        <w:t>difficulties in clearing</w:t>
      </w:r>
      <w:r w:rsidRPr="003D5D7E">
        <w:rPr>
          <w:rFonts w:ascii="Times New Roman" w:hAnsi="Times New Roman"/>
          <w:i/>
          <w:sz w:val="24"/>
          <w:szCs w:val="24"/>
        </w:rPr>
        <w:t xml:space="preserve"> rights</w:t>
      </w:r>
    </w:p>
    <w:p w:rsidR="004A03F2" w:rsidRDefault="004A03F2" w:rsidP="004A03F2">
      <w:pPr>
        <w:pStyle w:val="Default"/>
        <w:widowControl w:val="0"/>
        <w:spacing w:after="120"/>
        <w:jc w:val="both"/>
      </w:pPr>
      <w:r>
        <w:rPr>
          <w:u w:val="single"/>
        </w:rPr>
        <w:t>Description of the problem:</w:t>
      </w:r>
      <w:r w:rsidRPr="00C32C45">
        <w:t xml:space="preserve"> </w:t>
      </w:r>
      <w:r>
        <w:t>As part of their dissemination missions, cultural heritage institutions (CHIs)</w:t>
      </w:r>
      <w:r w:rsidRPr="00791285">
        <w:t xml:space="preserve"> </w:t>
      </w:r>
      <w:r>
        <w:t>are willing to digitise</w:t>
      </w:r>
      <w:r w:rsidRPr="00D63525">
        <w:t xml:space="preserve"> </w:t>
      </w:r>
      <w:r>
        <w:t>works held in their collections and disseminate them to the public, notably online, including across borders.</w:t>
      </w:r>
      <w:r>
        <w:rPr>
          <w:rStyle w:val="FootnoteReference"/>
        </w:rPr>
        <w:footnoteReference w:id="175"/>
      </w:r>
      <w:r>
        <w:t xml:space="preserve"> This activity is particularly relevant when collections are</w:t>
      </w:r>
      <w:r w:rsidR="00D15CCB">
        <w:t xml:space="preserve"> out-of-commerce </w:t>
      </w:r>
      <w:r w:rsidR="000A4909">
        <w:t>(</w:t>
      </w:r>
      <w:r w:rsidR="00D15CCB">
        <w:t>Oo</w:t>
      </w:r>
      <w:r>
        <w:t>C</w:t>
      </w:r>
      <w:r w:rsidR="000A4909">
        <w:t>)</w:t>
      </w:r>
      <w:r>
        <w:t>,</w:t>
      </w:r>
      <w:r>
        <w:rPr>
          <w:rStyle w:val="FootnoteReference"/>
        </w:rPr>
        <w:footnoteReference w:id="176"/>
      </w:r>
      <w:r w:rsidR="00D15CCB">
        <w:t xml:space="preserve"> as Oo</w:t>
      </w:r>
      <w:r>
        <w:t>C works are not available via any other channel but can still hold great cultural, scientific, educational, historical and entertainment value.</w:t>
      </w:r>
      <w:r>
        <w:rPr>
          <w:rStyle w:val="FootnoteReference"/>
        </w:rPr>
        <w:footnoteReference w:id="177"/>
      </w:r>
    </w:p>
    <w:p w:rsidR="004A03F2" w:rsidRDefault="004A03F2" w:rsidP="004A03F2">
      <w:pPr>
        <w:pStyle w:val="Default"/>
        <w:widowControl w:val="0"/>
        <w:spacing w:after="120"/>
        <w:jc w:val="both"/>
      </w:pPr>
      <w:r w:rsidRPr="008477E6">
        <w:t xml:space="preserve">The digitisation and </w:t>
      </w:r>
      <w:r w:rsidR="00D15CCB">
        <w:t>dissemination of in-copyright Oo</w:t>
      </w:r>
      <w:r>
        <w:t>C works</w:t>
      </w:r>
      <w:r w:rsidRPr="008477E6">
        <w:t xml:space="preserve"> as part of 'mass digitisation'</w:t>
      </w:r>
      <w:r w:rsidRPr="008477E6">
        <w:rPr>
          <w:vertAlign w:val="superscript"/>
          <w:lang w:eastAsia="en-GB"/>
        </w:rPr>
        <w:footnoteReference w:id="178"/>
      </w:r>
      <w:r>
        <w:t xml:space="preserve"> efforts is however faced by distinct difficulties and high transaction costs for clearing the relevant rights.</w:t>
      </w:r>
      <w:r>
        <w:rPr>
          <w:rStyle w:val="FootnoteReference"/>
        </w:rPr>
        <w:footnoteReference w:id="179"/>
      </w:r>
      <w:r>
        <w:t xml:space="preserve"> This problem contrasts with the inherently low current commercial value of the works at stake. </w:t>
      </w:r>
      <w:r w:rsidRPr="00B65D74">
        <w:rPr>
          <w:rFonts w:eastAsia="Calibri"/>
        </w:rPr>
        <w:t>CHIs have generally reported problems with mass digitisation projects despite the large demand for online access to all types of works in their collection.</w:t>
      </w:r>
      <w:r>
        <w:rPr>
          <w:rStyle w:val="FootnoteReference"/>
          <w:rFonts w:eastAsia="Calibri"/>
        </w:rPr>
        <w:footnoteReference w:id="180"/>
      </w:r>
    </w:p>
    <w:p w:rsidR="004A03F2" w:rsidRPr="005B746E" w:rsidRDefault="004A03F2" w:rsidP="004A03F2">
      <w:pPr>
        <w:pStyle w:val="Default"/>
        <w:widowControl w:val="0"/>
        <w:spacing w:after="120"/>
        <w:jc w:val="both"/>
      </w:pPr>
      <w:r>
        <w:rPr>
          <w:lang w:eastAsia="en-GB"/>
        </w:rPr>
        <w:t xml:space="preserve">The collections of European CHIs are very large: for example, a 2010 study estimated that archives </w:t>
      </w:r>
      <w:r w:rsidRPr="00CA2062">
        <w:rPr>
          <w:lang w:eastAsia="en-GB"/>
        </w:rPr>
        <w:t>held 26.98 billion pages of archival records and that there were 10.81 million hours</w:t>
      </w:r>
      <w:r>
        <w:rPr>
          <w:lang w:eastAsia="en-GB"/>
        </w:rPr>
        <w:t xml:space="preserve"> of audio materials in European CHIs.</w:t>
      </w:r>
      <w:r>
        <w:rPr>
          <w:rStyle w:val="FootnoteReference"/>
          <w:lang w:eastAsia="en-GB"/>
        </w:rPr>
        <w:footnoteReference w:id="181"/>
      </w:r>
      <w:r>
        <w:rPr>
          <w:lang w:eastAsia="en-GB"/>
        </w:rPr>
        <w:t xml:space="preserve"> It is very difficult to give an estimation of the number of works that remain </w:t>
      </w:r>
      <w:r w:rsidRPr="007E178C">
        <w:rPr>
          <w:lang w:eastAsia="en-GB"/>
        </w:rPr>
        <w:t xml:space="preserve">locked </w:t>
      </w:r>
      <w:r>
        <w:rPr>
          <w:lang w:eastAsia="en-GB"/>
        </w:rPr>
        <w:t>with</w:t>
      </w:r>
      <w:r w:rsidRPr="007E178C">
        <w:rPr>
          <w:lang w:eastAsia="en-GB"/>
        </w:rPr>
        <w:t xml:space="preserve">in the </w:t>
      </w:r>
      <w:r>
        <w:rPr>
          <w:lang w:eastAsia="en-GB"/>
        </w:rPr>
        <w:t>walls</w:t>
      </w:r>
      <w:r w:rsidRPr="007E178C">
        <w:rPr>
          <w:lang w:eastAsia="en-GB"/>
        </w:rPr>
        <w:t xml:space="preserve"> of CHIs</w:t>
      </w:r>
      <w:r>
        <w:rPr>
          <w:lang w:eastAsia="en-GB"/>
        </w:rPr>
        <w:t xml:space="preserve"> as a direct consequence of copyright-related issues, as the feasibility of mass digitisation projects depends on a variety of factors.</w:t>
      </w:r>
      <w:r>
        <w:rPr>
          <w:rStyle w:val="FootnoteReference"/>
        </w:rPr>
        <w:footnoteReference w:id="182"/>
      </w:r>
      <w:r>
        <w:t xml:space="preserve"> </w:t>
      </w:r>
      <w:r w:rsidRPr="00C01DB9" w:rsidDel="004F4B36">
        <w:t>In a recent survey of cultural institutions</w:t>
      </w:r>
      <w:r>
        <w:t xml:space="preserve"> carried out in the context of the Europana project</w:t>
      </w:r>
      <w:r w:rsidRPr="00C01DB9" w:rsidDel="004F4B36">
        <w:t xml:space="preserve">, respondents </w:t>
      </w:r>
      <w:r w:rsidRPr="00C01DB9">
        <w:t>estimated</w:t>
      </w:r>
      <w:r w:rsidRPr="00C01DB9" w:rsidDel="004F4B36">
        <w:t xml:space="preserve"> that only </w:t>
      </w:r>
      <w:r w:rsidRPr="00C01DB9">
        <w:t>55</w:t>
      </w:r>
      <w:r w:rsidR="00C20A59">
        <w:t xml:space="preserve"> </w:t>
      </w:r>
      <w:r w:rsidRPr="00C01DB9" w:rsidDel="004F4B36">
        <w:t xml:space="preserve">% of their </w:t>
      </w:r>
      <w:r w:rsidRPr="00AA53EC">
        <w:t xml:space="preserve">digital </w:t>
      </w:r>
      <w:r w:rsidRPr="00AA53EC" w:rsidDel="004F4B36">
        <w:t>c</w:t>
      </w:r>
      <w:r w:rsidRPr="00C01DB9" w:rsidDel="004F4B36">
        <w:t>ollections</w:t>
      </w:r>
      <w:r>
        <w:rPr>
          <w:rStyle w:val="FootnoteReference"/>
        </w:rPr>
        <w:footnoteReference w:id="183"/>
      </w:r>
      <w:r w:rsidRPr="00C01DB9" w:rsidDel="004F4B36">
        <w:t xml:space="preserve"> </w:t>
      </w:r>
      <w:r w:rsidRPr="00C01DB9">
        <w:t>are</w:t>
      </w:r>
      <w:r w:rsidRPr="00C01DB9" w:rsidDel="004F4B36">
        <w:t xml:space="preserve"> available on their institutional website, </w:t>
      </w:r>
      <w:r w:rsidRPr="00C01DB9">
        <w:t>28</w:t>
      </w:r>
      <w:r w:rsidR="00C20A59">
        <w:t xml:space="preserve"> </w:t>
      </w:r>
      <w:r w:rsidRPr="00C01DB9" w:rsidDel="004F4B36">
        <w:t>% in a national online aggregator</w:t>
      </w:r>
      <w:r w:rsidRPr="00C01DB9">
        <w:rPr>
          <w:vertAlign w:val="superscript"/>
          <w:lang w:eastAsia="en-GB"/>
        </w:rPr>
        <w:footnoteReference w:id="184"/>
      </w:r>
      <w:r w:rsidRPr="00C01DB9" w:rsidDel="004F4B36">
        <w:rPr>
          <w:vertAlign w:val="superscript"/>
          <w:lang w:eastAsia="en-GB"/>
        </w:rPr>
        <w:t xml:space="preserve"> </w:t>
      </w:r>
      <w:r w:rsidRPr="00C01DB9" w:rsidDel="004F4B36">
        <w:t xml:space="preserve">and </w:t>
      </w:r>
      <w:r w:rsidRPr="00C01DB9">
        <w:t>22</w:t>
      </w:r>
      <w:r w:rsidR="00C20A59">
        <w:t xml:space="preserve"> </w:t>
      </w:r>
      <w:r w:rsidRPr="00C01DB9" w:rsidDel="004F4B36">
        <w:t>% on Europeana</w:t>
      </w:r>
      <w:r w:rsidRPr="00AE397B" w:rsidDel="004F4B36">
        <w:rPr>
          <w:lang w:eastAsia="en-GB"/>
        </w:rPr>
        <w:t>.</w:t>
      </w:r>
      <w:r w:rsidRPr="00C01DB9">
        <w:rPr>
          <w:vertAlign w:val="superscript"/>
          <w:lang w:eastAsia="en-GB"/>
        </w:rPr>
        <w:footnoteReference w:id="185"/>
      </w:r>
      <w:r w:rsidRPr="00AE397B" w:rsidDel="004F4B36">
        <w:t xml:space="preserve"> </w:t>
      </w:r>
      <w:r w:rsidRPr="00C01DB9" w:rsidDel="004F4B36">
        <w:t>These data d</w:t>
      </w:r>
      <w:r>
        <w:t>o not distinguish between in-</w:t>
      </w:r>
      <w:r w:rsidRPr="00C01DB9" w:rsidDel="004F4B36">
        <w:t xml:space="preserve">copyright and </w:t>
      </w:r>
      <w:r>
        <w:t>public domain works and among the different possible causes. It is however</w:t>
      </w:r>
      <w:r w:rsidRPr="00C01DB9" w:rsidDel="004F4B36">
        <w:t xml:space="preserve"> reasonable to expect that if only copyright</w:t>
      </w:r>
      <w:r w:rsidRPr="00C01DB9">
        <w:t>-</w:t>
      </w:r>
      <w:r w:rsidRPr="00C01DB9" w:rsidDel="004F4B36">
        <w:t>protected works were considered, the level of works available online would be lower</w:t>
      </w:r>
      <w:r>
        <w:t>. Furthermore, practitioners in this field say that the relative underrepresentation of works from the 20</w:t>
      </w:r>
      <w:r w:rsidRPr="002F6879">
        <w:rPr>
          <w:vertAlign w:val="superscript"/>
        </w:rPr>
        <w:t>th</w:t>
      </w:r>
      <w:r>
        <w:t xml:space="preserve"> century (known as the '20</w:t>
      </w:r>
      <w:r w:rsidRPr="007F036A">
        <w:rPr>
          <w:vertAlign w:val="superscript"/>
        </w:rPr>
        <w:t>th</w:t>
      </w:r>
      <w:r>
        <w:t xml:space="preserve"> century black hole'), particularly its second half, and, generally speaking, of </w:t>
      </w:r>
      <w:r>
        <w:rPr>
          <w:lang w:eastAsia="en-GB"/>
        </w:rPr>
        <w:t xml:space="preserve">sound recordings and </w:t>
      </w:r>
      <w:r w:rsidR="00F506EA">
        <w:rPr>
          <w:lang w:eastAsia="en-GB"/>
        </w:rPr>
        <w:t xml:space="preserve">AV </w:t>
      </w:r>
      <w:r>
        <w:rPr>
          <w:lang w:eastAsia="en-GB"/>
        </w:rPr>
        <w:t>works</w:t>
      </w:r>
      <w:r>
        <w:rPr>
          <w:rStyle w:val="FootnoteReference"/>
          <w:lang w:eastAsia="en-GB"/>
        </w:rPr>
        <w:footnoteReference w:id="186"/>
      </w:r>
      <w:r>
        <w:rPr>
          <w:lang w:eastAsia="en-GB"/>
        </w:rPr>
        <w:t xml:space="preserve"> </w:t>
      </w:r>
      <w:r>
        <w:t xml:space="preserve">in online collections </w:t>
      </w:r>
      <w:r>
        <w:rPr>
          <w:lang w:eastAsia="en-GB"/>
        </w:rPr>
        <w:t>is</w:t>
      </w:r>
      <w:r>
        <w:t xml:space="preserve"> an illustration of the correlation between the copyright status of works in CHIs collections and their availability online.</w:t>
      </w:r>
      <w:r w:rsidRPr="005B746E">
        <w:t xml:space="preserve"> </w:t>
      </w:r>
      <w:r>
        <w:t xml:space="preserve">For example, </w:t>
      </w:r>
      <w:r w:rsidRPr="005B746E">
        <w:t xml:space="preserve">only </w:t>
      </w:r>
      <w:r w:rsidRPr="00E364D9">
        <w:t>10.9</w:t>
      </w:r>
      <w:r>
        <w:t>3</w:t>
      </w:r>
      <w:r w:rsidR="00C20A59">
        <w:t xml:space="preserve"> </w:t>
      </w:r>
      <w:r w:rsidRPr="00E364D9">
        <w:t>% of works in a recent sampling made by the Europeana Foundation of works showing up in the Europeana portal belong to the second half of the 20th century</w:t>
      </w:r>
      <w:r>
        <w:t>.</w:t>
      </w:r>
      <w:r>
        <w:rPr>
          <w:rStyle w:val="FootnoteReference"/>
        </w:rPr>
        <w:footnoteReference w:id="187"/>
      </w:r>
      <w:r>
        <w:t xml:space="preserve"> </w:t>
      </w:r>
    </w:p>
    <w:p w:rsidR="004A03F2" w:rsidRDefault="004A03F2" w:rsidP="004A03F2">
      <w:pPr>
        <w:pStyle w:val="Default"/>
        <w:widowControl w:val="0"/>
        <w:spacing w:after="120"/>
        <w:jc w:val="both"/>
      </w:pPr>
      <w:r w:rsidRPr="00DB5A9E">
        <w:rPr>
          <w:u w:val="single"/>
        </w:rPr>
        <w:t>Drivers</w:t>
      </w:r>
      <w:r>
        <w:rPr>
          <w:u w:val="single"/>
        </w:rPr>
        <w:t>:</w:t>
      </w:r>
      <w:r>
        <w:t xml:space="preserve"> [</w:t>
      </w:r>
      <w:r w:rsidRPr="00C03C08">
        <w:rPr>
          <w:i/>
        </w:rPr>
        <w:t>S</w:t>
      </w:r>
      <w:r w:rsidRPr="00C32C45">
        <w:rPr>
          <w:i/>
        </w:rPr>
        <w:t>ize</w:t>
      </w:r>
      <w:r>
        <w:rPr>
          <w:i/>
        </w:rPr>
        <w:t xml:space="preserve"> of O</w:t>
      </w:r>
      <w:r w:rsidR="00D15CCB">
        <w:rPr>
          <w:i/>
        </w:rPr>
        <w:t>o</w:t>
      </w:r>
      <w:r>
        <w:rPr>
          <w:i/>
        </w:rPr>
        <w:t>C collections</w:t>
      </w:r>
      <w:r w:rsidRPr="00C32C45">
        <w:rPr>
          <w:i/>
        </w:rPr>
        <w:t xml:space="preserve">, age and type of </w:t>
      </w:r>
      <w:r>
        <w:rPr>
          <w:i/>
        </w:rPr>
        <w:t>works</w:t>
      </w:r>
      <w:r>
        <w:t>] Difficulties in rights clearance and transaction costs affecting mass digitisation are mainly related to the nature of the works involved:</w:t>
      </w:r>
    </w:p>
    <w:p w:rsidR="004A03F2" w:rsidRDefault="004A03F2" w:rsidP="004A03F2">
      <w:pPr>
        <w:pStyle w:val="Text1"/>
        <w:numPr>
          <w:ilvl w:val="0"/>
          <w:numId w:val="37"/>
        </w:numPr>
        <w:ind w:left="426" w:hanging="426"/>
        <w:rPr>
          <w:color w:val="000000"/>
        </w:rPr>
      </w:pPr>
      <w:r>
        <w:rPr>
          <w:szCs w:val="24"/>
        </w:rPr>
        <w:t xml:space="preserve">The </w:t>
      </w:r>
      <w:r w:rsidRPr="00091179">
        <w:rPr>
          <w:i/>
          <w:szCs w:val="24"/>
        </w:rPr>
        <w:t>size</w:t>
      </w:r>
      <w:r w:rsidR="00D15CCB">
        <w:rPr>
          <w:szCs w:val="24"/>
        </w:rPr>
        <w:t xml:space="preserve"> of Oo</w:t>
      </w:r>
      <w:r>
        <w:rPr>
          <w:szCs w:val="24"/>
        </w:rPr>
        <w:t>C c</w:t>
      </w:r>
      <w:r w:rsidRPr="00E0791D">
        <w:rPr>
          <w:szCs w:val="24"/>
        </w:rPr>
        <w:t>ollections</w:t>
      </w:r>
      <w:r>
        <w:rPr>
          <w:szCs w:val="24"/>
        </w:rPr>
        <w:t xml:space="preserve"> that CHIs wish to digitise and further disseminate</w:t>
      </w:r>
      <w:r w:rsidRPr="00E0791D">
        <w:rPr>
          <w:szCs w:val="24"/>
        </w:rPr>
        <w:t xml:space="preserve"> </w:t>
      </w:r>
      <w:r>
        <w:rPr>
          <w:szCs w:val="24"/>
        </w:rPr>
        <w:t>is</w:t>
      </w:r>
      <w:r w:rsidRPr="009A47EB">
        <w:rPr>
          <w:szCs w:val="24"/>
        </w:rPr>
        <w:t xml:space="preserve"> </w:t>
      </w:r>
      <w:r w:rsidRPr="0061686C">
        <w:rPr>
          <w:color w:val="000000"/>
          <w:szCs w:val="24"/>
        </w:rPr>
        <w:t>often large</w:t>
      </w:r>
      <w:r>
        <w:rPr>
          <w:color w:val="000000"/>
          <w:szCs w:val="24"/>
        </w:rPr>
        <w:t>,</w:t>
      </w:r>
      <w:r w:rsidRPr="00292529">
        <w:rPr>
          <w:rStyle w:val="FootnoteReference"/>
          <w:color w:val="000000"/>
          <w:szCs w:val="24"/>
        </w:rPr>
        <w:footnoteReference w:id="188"/>
      </w:r>
      <w:r>
        <w:rPr>
          <w:color w:val="000000"/>
          <w:szCs w:val="24"/>
        </w:rPr>
        <w:t xml:space="preserve"> multiplying the resources that are required for rights clearance.</w:t>
      </w:r>
      <w:r>
        <w:rPr>
          <w:rStyle w:val="FootnoteReference"/>
          <w:color w:val="000000"/>
          <w:szCs w:val="24"/>
        </w:rPr>
        <w:footnoteReference w:id="189"/>
      </w:r>
      <w:r>
        <w:rPr>
          <w:color w:val="000000"/>
          <w:szCs w:val="24"/>
        </w:rPr>
        <w:t xml:space="preserve"> For example, in a </w:t>
      </w:r>
      <w:r w:rsidRPr="00E8504F">
        <w:rPr>
          <w:color w:val="000000"/>
          <w:szCs w:val="24"/>
        </w:rPr>
        <w:t xml:space="preserve">project </w:t>
      </w:r>
      <w:r>
        <w:rPr>
          <w:color w:val="000000"/>
          <w:szCs w:val="24"/>
        </w:rPr>
        <w:t xml:space="preserve">on the history of genetics </w:t>
      </w:r>
      <w:r w:rsidRPr="00E8504F">
        <w:rPr>
          <w:color w:val="000000"/>
          <w:szCs w:val="24"/>
        </w:rPr>
        <w:t xml:space="preserve">carried out in the UK </w:t>
      </w:r>
      <w:r>
        <w:rPr>
          <w:color w:val="000000"/>
          <w:szCs w:val="24"/>
        </w:rPr>
        <w:t>on a collection of</w:t>
      </w:r>
      <w:r w:rsidRPr="00E8504F">
        <w:rPr>
          <w:color w:val="000000"/>
          <w:szCs w:val="24"/>
        </w:rPr>
        <w:t xml:space="preserve"> books </w:t>
      </w:r>
      <w:r w:rsidRPr="00F711C0">
        <w:rPr>
          <w:color w:val="000000"/>
          <w:szCs w:val="24"/>
        </w:rPr>
        <w:t>from the 20</w:t>
      </w:r>
      <w:r w:rsidRPr="00F711C0">
        <w:rPr>
          <w:color w:val="000000"/>
          <w:szCs w:val="24"/>
          <w:vertAlign w:val="superscript"/>
        </w:rPr>
        <w:t>th</w:t>
      </w:r>
      <w:r w:rsidRPr="00F711C0">
        <w:rPr>
          <w:color w:val="000000"/>
          <w:szCs w:val="24"/>
        </w:rPr>
        <w:t xml:space="preserve"> century, 5,459 individual authors were identified for 1,620 works, with 5</w:t>
      </w:r>
      <w:r>
        <w:rPr>
          <w:color w:val="000000"/>
          <w:szCs w:val="24"/>
        </w:rPr>
        <w:t xml:space="preserve"> </w:t>
      </w:r>
      <w:r w:rsidRPr="00F711C0">
        <w:rPr>
          <w:color w:val="000000"/>
          <w:szCs w:val="24"/>
        </w:rPr>
        <w:t xml:space="preserve">% of </w:t>
      </w:r>
      <w:r>
        <w:rPr>
          <w:color w:val="000000"/>
          <w:szCs w:val="24"/>
        </w:rPr>
        <w:t>the works</w:t>
      </w:r>
      <w:r w:rsidRPr="00F711C0">
        <w:rPr>
          <w:color w:val="000000"/>
          <w:szCs w:val="24"/>
        </w:rPr>
        <w:t xml:space="preserve"> having more than 10 authors.</w:t>
      </w:r>
      <w:r w:rsidRPr="00F711C0">
        <w:rPr>
          <w:rStyle w:val="FootnoteReference"/>
          <w:color w:val="000000"/>
          <w:szCs w:val="24"/>
        </w:rPr>
        <w:footnoteReference w:id="190"/>
      </w:r>
    </w:p>
    <w:p w:rsidR="004A03F2" w:rsidRPr="00386BCD" w:rsidRDefault="004A03F2" w:rsidP="004A03F2">
      <w:pPr>
        <w:pStyle w:val="Text1"/>
        <w:numPr>
          <w:ilvl w:val="0"/>
          <w:numId w:val="37"/>
        </w:numPr>
        <w:ind w:left="426" w:hanging="426"/>
        <w:rPr>
          <w:color w:val="000000"/>
        </w:rPr>
      </w:pPr>
      <w:r w:rsidRPr="000B6179">
        <w:rPr>
          <w:szCs w:val="24"/>
        </w:rPr>
        <w:t>Works</w:t>
      </w:r>
      <w:r w:rsidRPr="00BD0530">
        <w:rPr>
          <w:color w:val="000000"/>
          <w:szCs w:val="24"/>
        </w:rPr>
        <w:t xml:space="preserve"> are often </w:t>
      </w:r>
      <w:r w:rsidRPr="00091179">
        <w:rPr>
          <w:i/>
          <w:color w:val="000000"/>
          <w:szCs w:val="24"/>
        </w:rPr>
        <w:t>old</w:t>
      </w:r>
      <w:r>
        <w:rPr>
          <w:rStyle w:val="FootnoteReference"/>
          <w:color w:val="000000"/>
          <w:szCs w:val="24"/>
        </w:rPr>
        <w:footnoteReference w:id="191"/>
      </w:r>
      <w:r>
        <w:rPr>
          <w:color w:val="000000"/>
          <w:szCs w:val="24"/>
        </w:rPr>
        <w:t xml:space="preserve"> and have been, by definition, out of circulation. This means </w:t>
      </w:r>
      <w:r w:rsidR="00687496">
        <w:rPr>
          <w:color w:val="000000"/>
          <w:szCs w:val="24"/>
        </w:rPr>
        <w:t>r</w:t>
      </w:r>
      <w:r w:rsidR="00007677">
        <w:rPr>
          <w:color w:val="000000"/>
          <w:szCs w:val="24"/>
        </w:rPr>
        <w:t>ightholders</w:t>
      </w:r>
      <w:r w:rsidRPr="00BD0530">
        <w:rPr>
          <w:color w:val="000000"/>
          <w:szCs w:val="24"/>
        </w:rPr>
        <w:t xml:space="preserve"> (or those who can clear the rights on their behalf) </w:t>
      </w:r>
      <w:r>
        <w:rPr>
          <w:color w:val="000000"/>
          <w:szCs w:val="24"/>
        </w:rPr>
        <w:t xml:space="preserve">may be </w:t>
      </w:r>
      <w:r w:rsidRPr="00BD0530">
        <w:rPr>
          <w:color w:val="000000"/>
          <w:szCs w:val="24"/>
        </w:rPr>
        <w:t>difficult</w:t>
      </w:r>
      <w:r>
        <w:rPr>
          <w:color w:val="000000"/>
          <w:szCs w:val="24"/>
        </w:rPr>
        <w:t xml:space="preserve"> to find and that the chain of title can be considerably long, complex and subject to uncertainty.</w:t>
      </w:r>
      <w:r>
        <w:rPr>
          <w:rStyle w:val="FootnoteReference"/>
          <w:color w:val="000000"/>
          <w:szCs w:val="24"/>
        </w:rPr>
        <w:footnoteReference w:id="192"/>
      </w:r>
    </w:p>
    <w:p w:rsidR="004A03F2" w:rsidRPr="00091179" w:rsidRDefault="004A03F2" w:rsidP="004A03F2">
      <w:pPr>
        <w:pStyle w:val="Text1"/>
        <w:numPr>
          <w:ilvl w:val="0"/>
          <w:numId w:val="37"/>
        </w:numPr>
        <w:ind w:left="426" w:hanging="426"/>
        <w:rPr>
          <w:color w:val="000000"/>
        </w:rPr>
      </w:pPr>
      <w:r w:rsidRPr="000B6179">
        <w:rPr>
          <w:szCs w:val="24"/>
        </w:rPr>
        <w:t>The</w:t>
      </w:r>
      <w:r w:rsidRPr="00BD0530">
        <w:rPr>
          <w:color w:val="000000"/>
          <w:szCs w:val="24"/>
        </w:rPr>
        <w:t xml:space="preserve"> </w:t>
      </w:r>
      <w:r>
        <w:rPr>
          <w:i/>
          <w:color w:val="000000"/>
          <w:szCs w:val="24"/>
        </w:rPr>
        <w:t>type</w:t>
      </w:r>
      <w:r w:rsidRPr="00BD0530">
        <w:rPr>
          <w:color w:val="000000"/>
          <w:szCs w:val="24"/>
        </w:rPr>
        <w:t xml:space="preserve"> of </w:t>
      </w:r>
      <w:r>
        <w:rPr>
          <w:color w:val="000000"/>
          <w:szCs w:val="24"/>
        </w:rPr>
        <w:t>many</w:t>
      </w:r>
      <w:r w:rsidRPr="00BD0530">
        <w:rPr>
          <w:color w:val="000000"/>
          <w:szCs w:val="24"/>
        </w:rPr>
        <w:t xml:space="preserve"> of the works that </w:t>
      </w:r>
      <w:r>
        <w:rPr>
          <w:color w:val="000000"/>
          <w:szCs w:val="24"/>
        </w:rPr>
        <w:t>are important from a heritage perspective –</w:t>
      </w:r>
      <w:r w:rsidRPr="00BD0530">
        <w:rPr>
          <w:color w:val="000000"/>
          <w:szCs w:val="24"/>
        </w:rPr>
        <w:t xml:space="preserve"> for example newsreels, photos, unpublished materials</w:t>
      </w:r>
      <w:r>
        <w:rPr>
          <w:color w:val="000000"/>
          <w:szCs w:val="24"/>
        </w:rPr>
        <w:t>,</w:t>
      </w:r>
      <w:r w:rsidRPr="00BD0530">
        <w:rPr>
          <w:color w:val="000000"/>
          <w:szCs w:val="24"/>
        </w:rPr>
        <w:t xml:space="preserve"> or works that have never been intended for commercial circulation</w:t>
      </w:r>
      <w:r>
        <w:rPr>
          <w:color w:val="000000"/>
          <w:szCs w:val="24"/>
        </w:rPr>
        <w:t>,</w:t>
      </w:r>
      <w:r w:rsidRPr="00BD0530">
        <w:rPr>
          <w:color w:val="000000"/>
          <w:szCs w:val="24"/>
        </w:rPr>
        <w:t xml:space="preserve"> </w:t>
      </w:r>
      <w:r>
        <w:rPr>
          <w:color w:val="000000"/>
          <w:szCs w:val="24"/>
        </w:rPr>
        <w:t>such as</w:t>
      </w:r>
      <w:r w:rsidRPr="00BD0530">
        <w:rPr>
          <w:color w:val="000000"/>
          <w:szCs w:val="24"/>
        </w:rPr>
        <w:t xml:space="preserve"> political leaflets or trench journals</w:t>
      </w:r>
      <w:r>
        <w:rPr>
          <w:rStyle w:val="FootnoteReference"/>
          <w:color w:val="000000"/>
          <w:szCs w:val="24"/>
        </w:rPr>
        <w:footnoteReference w:id="193"/>
      </w:r>
      <w:r>
        <w:rPr>
          <w:color w:val="000000"/>
          <w:szCs w:val="24"/>
        </w:rPr>
        <w:t xml:space="preserve"> – means that rights may have never been managed in any way.</w:t>
      </w:r>
    </w:p>
    <w:p w:rsidR="004A03F2" w:rsidRDefault="004A03F2" w:rsidP="004A03F2">
      <w:pPr>
        <w:pStyle w:val="Default"/>
        <w:widowControl w:val="0"/>
        <w:spacing w:after="120"/>
        <w:jc w:val="both"/>
        <w:rPr>
          <w:lang w:eastAsia="en-GB"/>
        </w:rPr>
      </w:pPr>
      <w:r>
        <w:rPr>
          <w:lang w:eastAsia="en-GB"/>
        </w:rPr>
        <w:t xml:space="preserve">Time-demanding rights clearance means high transaction costs for CHIs: attempts to quantify such costs in a general way are difficult as each collection and process is different. Quantifications can however be based on individual case studies; available ones, mainly provided by CHIs, suggest figures varying between approximately </w:t>
      </w:r>
      <w:r w:rsidR="0039257D">
        <w:rPr>
          <w:lang w:eastAsia="en-GB"/>
        </w:rPr>
        <w:t>€</w:t>
      </w:r>
      <w:r>
        <w:rPr>
          <w:lang w:eastAsia="en-GB"/>
        </w:rPr>
        <w:t xml:space="preserve">50 and </w:t>
      </w:r>
      <w:r w:rsidR="00C20A59">
        <w:rPr>
          <w:lang w:eastAsia="en-GB"/>
        </w:rPr>
        <w:t>€</w:t>
      </w:r>
      <w:r>
        <w:rPr>
          <w:lang w:eastAsia="en-GB"/>
        </w:rPr>
        <w:t xml:space="preserve">100 for a single book, between </w:t>
      </w:r>
      <w:r w:rsidR="0039257D">
        <w:rPr>
          <w:lang w:eastAsia="en-GB"/>
        </w:rPr>
        <w:t>€</w:t>
      </w:r>
      <w:r>
        <w:rPr>
          <w:lang w:eastAsia="en-GB"/>
        </w:rPr>
        <w:t xml:space="preserve">5.70 and </w:t>
      </w:r>
      <w:r w:rsidR="0039257D">
        <w:rPr>
          <w:lang w:eastAsia="en-GB"/>
        </w:rPr>
        <w:t>€</w:t>
      </w:r>
      <w:r>
        <w:rPr>
          <w:lang w:eastAsia="en-GB"/>
        </w:rPr>
        <w:t xml:space="preserve">50 for a single poster, between </w:t>
      </w:r>
      <w:r w:rsidR="0039257D">
        <w:rPr>
          <w:lang w:eastAsia="en-GB"/>
        </w:rPr>
        <w:t>€</w:t>
      </w:r>
      <w:r>
        <w:rPr>
          <w:lang w:eastAsia="en-GB"/>
        </w:rPr>
        <w:t xml:space="preserve">0.70 and </w:t>
      </w:r>
      <w:r w:rsidR="0039257D">
        <w:rPr>
          <w:lang w:eastAsia="en-GB"/>
        </w:rPr>
        <w:t>€</w:t>
      </w:r>
      <w:r>
        <w:rPr>
          <w:lang w:eastAsia="en-GB"/>
        </w:rPr>
        <w:t xml:space="preserve">1.70 for a single photograph, around </w:t>
      </w:r>
      <w:r w:rsidR="0039257D">
        <w:rPr>
          <w:lang w:eastAsia="en-GB"/>
        </w:rPr>
        <w:t>€</w:t>
      </w:r>
      <w:r>
        <w:rPr>
          <w:lang w:eastAsia="en-GB"/>
        </w:rPr>
        <w:t xml:space="preserve">27 for a short amateur film, </w:t>
      </w:r>
      <w:r>
        <w:t xml:space="preserve">and </w:t>
      </w:r>
      <w:r w:rsidR="0039257D">
        <w:t>€</w:t>
      </w:r>
      <w:r>
        <w:t>10 for mixed collections</w:t>
      </w:r>
      <w:r>
        <w:rPr>
          <w:lang w:eastAsia="en-GB"/>
        </w:rPr>
        <w:t>.</w:t>
      </w:r>
      <w:r>
        <w:rPr>
          <w:rStyle w:val="FootnoteReference"/>
          <w:lang w:eastAsia="en-GB"/>
        </w:rPr>
        <w:footnoteReference w:id="194"/>
      </w:r>
      <w:r>
        <w:rPr>
          <w:lang w:eastAsia="en-GB"/>
        </w:rPr>
        <w:t xml:space="preserve"> </w:t>
      </w:r>
      <w:r w:rsidRPr="00911B7B">
        <w:rPr>
          <w:lang w:eastAsia="en-GB"/>
        </w:rPr>
        <w:t xml:space="preserve"> </w:t>
      </w:r>
    </w:p>
    <w:p w:rsidR="004A03F2" w:rsidRDefault="004A03F2" w:rsidP="004A03F2">
      <w:pPr>
        <w:pStyle w:val="Default"/>
        <w:widowControl w:val="0"/>
        <w:spacing w:after="120"/>
        <w:jc w:val="both"/>
        <w:rPr>
          <w:lang w:eastAsia="en-GB"/>
        </w:rPr>
      </w:pPr>
      <w:r>
        <w:rPr>
          <w:lang w:eastAsia="en-GB"/>
        </w:rPr>
        <w:t>[</w:t>
      </w:r>
      <w:r w:rsidRPr="00C32C45">
        <w:rPr>
          <w:i/>
          <w:lang w:eastAsia="en-GB"/>
        </w:rPr>
        <w:t>Suitable licensing mechanisms only available in some MS and for some types of works</w:t>
      </w:r>
      <w:r>
        <w:rPr>
          <w:lang w:eastAsia="en-GB"/>
        </w:rPr>
        <w:t xml:space="preserve">] Collective licensing, whereby single contracts are concluded with a CMO for entire collections of works, can be an evident answer to the transaction costs problem mentioned above. Yet, collective management of rights is not </w:t>
      </w:r>
      <w:r w:rsidRPr="00EC7497">
        <w:rPr>
          <w:lang w:eastAsia="en-GB"/>
        </w:rPr>
        <w:t xml:space="preserve">available </w:t>
      </w:r>
      <w:r>
        <w:rPr>
          <w:lang w:eastAsia="en-GB"/>
        </w:rPr>
        <w:t>for all types of works</w:t>
      </w:r>
      <w:r w:rsidRPr="003E7B8D">
        <w:rPr>
          <w:vertAlign w:val="superscript"/>
          <w:lang w:eastAsia="en-GB"/>
        </w:rPr>
        <w:footnoteReference w:id="195"/>
      </w:r>
      <w:r>
        <w:rPr>
          <w:lang w:eastAsia="en-GB"/>
        </w:rPr>
        <w:t xml:space="preserve"> and CMOs may only grant licences for the rights mandated to them by the </w:t>
      </w:r>
      <w:r w:rsidR="004D059D">
        <w:rPr>
          <w:lang w:eastAsia="en-GB"/>
        </w:rPr>
        <w:t>r</w:t>
      </w:r>
      <w:r w:rsidR="00007677">
        <w:rPr>
          <w:lang w:eastAsia="en-GB"/>
        </w:rPr>
        <w:t>ightholders</w:t>
      </w:r>
      <w:r>
        <w:rPr>
          <w:lang w:eastAsia="en-GB"/>
        </w:rPr>
        <w:t xml:space="preserve"> that they represent. Given the nature of the works at stake, however, it is quite common that part of their </w:t>
      </w:r>
      <w:r w:rsidR="004D059D">
        <w:rPr>
          <w:lang w:eastAsia="en-GB"/>
        </w:rPr>
        <w:t>r</w:t>
      </w:r>
      <w:r w:rsidR="00007677">
        <w:rPr>
          <w:lang w:eastAsia="en-GB"/>
        </w:rPr>
        <w:t>ightholders</w:t>
      </w:r>
      <w:r w:rsidR="004D059D">
        <w:rPr>
          <w:lang w:eastAsia="en-GB"/>
        </w:rPr>
        <w:t xml:space="preserve"> </w:t>
      </w:r>
      <w:r>
        <w:rPr>
          <w:lang w:eastAsia="en-GB"/>
        </w:rPr>
        <w:t xml:space="preserve">are not represented in the relevant CMOs. This makes it impossible for the latter to issue a licence that also comprises the rights of such 'outsider' </w:t>
      </w:r>
      <w:r w:rsidR="004D059D">
        <w:rPr>
          <w:lang w:eastAsia="en-GB"/>
        </w:rPr>
        <w:t>r</w:t>
      </w:r>
      <w:r w:rsidR="00007677">
        <w:rPr>
          <w:lang w:eastAsia="en-GB"/>
        </w:rPr>
        <w:t>ightholders</w:t>
      </w:r>
      <w:r>
        <w:rPr>
          <w:lang w:eastAsia="en-GB"/>
        </w:rPr>
        <w:t>. This situation undermines the usefulness of collective licensing in many of the cases at hand, leaving, again, individual rights clearance as the only solution for many works.</w:t>
      </w:r>
    </w:p>
    <w:p w:rsidR="004A03F2" w:rsidRDefault="004A03F2" w:rsidP="004A03F2">
      <w:pPr>
        <w:pStyle w:val="Default"/>
        <w:widowControl w:val="0"/>
        <w:spacing w:after="120"/>
        <w:jc w:val="both"/>
        <w:rPr>
          <w:lang w:eastAsia="en-GB"/>
        </w:rPr>
      </w:pPr>
      <w:r w:rsidRPr="00AE7634">
        <w:rPr>
          <w:lang w:eastAsia="en-GB"/>
        </w:rPr>
        <w:t xml:space="preserve">Some MS have </w:t>
      </w:r>
      <w:r>
        <w:rPr>
          <w:lang w:eastAsia="en-GB"/>
        </w:rPr>
        <w:t>addressed</w:t>
      </w:r>
      <w:r w:rsidRPr="00AE7634">
        <w:rPr>
          <w:lang w:eastAsia="en-GB"/>
        </w:rPr>
        <w:t xml:space="preserve"> the latter problem by </w:t>
      </w:r>
      <w:r>
        <w:rPr>
          <w:lang w:eastAsia="en-GB"/>
        </w:rPr>
        <w:t>establishing in national law, for example through extended collective licensing (ECL) or presumptions of representation,</w:t>
      </w:r>
      <w:r w:rsidRPr="00AE7634">
        <w:rPr>
          <w:lang w:eastAsia="en-GB"/>
        </w:rPr>
        <w:t xml:space="preserve"> that licences issued by a CMO can apply to works of outsiders, under certain conditions</w:t>
      </w:r>
      <w:r>
        <w:rPr>
          <w:lang w:eastAsia="en-GB"/>
        </w:rPr>
        <w:t xml:space="preserve">, including the possibility for individual </w:t>
      </w:r>
      <w:r w:rsidR="004D059D">
        <w:rPr>
          <w:lang w:eastAsia="en-GB"/>
        </w:rPr>
        <w:t>r</w:t>
      </w:r>
      <w:r w:rsidR="00007677">
        <w:rPr>
          <w:lang w:eastAsia="en-GB"/>
        </w:rPr>
        <w:t>ightholders</w:t>
      </w:r>
      <w:r>
        <w:rPr>
          <w:lang w:eastAsia="en-GB"/>
        </w:rPr>
        <w:t xml:space="preserve"> to 'opt out' their works from these licences.</w:t>
      </w:r>
      <w:r w:rsidRPr="00AE7634">
        <w:rPr>
          <w:rStyle w:val="FootnoteReference"/>
          <w:lang w:eastAsia="en-GB"/>
        </w:rPr>
        <w:footnoteReference w:id="196"/>
      </w:r>
      <w:r w:rsidRPr="00AE7634">
        <w:rPr>
          <w:lang w:eastAsia="en-GB"/>
        </w:rPr>
        <w:t xml:space="preserve"> </w:t>
      </w:r>
      <w:r>
        <w:rPr>
          <w:lang w:eastAsia="en-GB"/>
        </w:rPr>
        <w:t>Under such legislation, CMOs can issue licences that cover entire collections, including works of outsiders, in full legal certainty. This means, for example, that if a CHI wishes to digitise and m</w:t>
      </w:r>
      <w:r w:rsidR="00D15CCB">
        <w:rPr>
          <w:lang w:eastAsia="en-GB"/>
        </w:rPr>
        <w:t>ake available a collection of Oo</w:t>
      </w:r>
      <w:r>
        <w:rPr>
          <w:lang w:eastAsia="en-GB"/>
        </w:rPr>
        <w:t xml:space="preserve">C books and part of the </w:t>
      </w:r>
      <w:r w:rsidR="004D059D">
        <w:rPr>
          <w:lang w:eastAsia="en-GB"/>
        </w:rPr>
        <w:t>r</w:t>
      </w:r>
      <w:r w:rsidR="00007677">
        <w:rPr>
          <w:lang w:eastAsia="en-GB"/>
        </w:rPr>
        <w:t>ightholders</w:t>
      </w:r>
      <w:r>
        <w:rPr>
          <w:lang w:eastAsia="en-GB"/>
        </w:rPr>
        <w:t xml:space="preserve"> in the collection is not represented in the relevant CMO, that CMO will be allowed by the law, under certain conditions, to grant a licence to the CHI covering the full collection, except for </w:t>
      </w:r>
      <w:r w:rsidR="004D059D">
        <w:rPr>
          <w:lang w:eastAsia="en-GB"/>
        </w:rPr>
        <w:t>r</w:t>
      </w:r>
      <w:r w:rsidR="00007677">
        <w:rPr>
          <w:lang w:eastAsia="en-GB"/>
        </w:rPr>
        <w:t>ightholders</w:t>
      </w:r>
      <w:r>
        <w:rPr>
          <w:lang w:eastAsia="en-GB"/>
        </w:rPr>
        <w:t xml:space="preserve"> that express their opposition to their works to be used. </w:t>
      </w:r>
      <w:r w:rsidRPr="00AE7634">
        <w:rPr>
          <w:lang w:eastAsia="en-GB"/>
        </w:rPr>
        <w:t xml:space="preserve">These mechanisms are </w:t>
      </w:r>
      <w:r>
        <w:rPr>
          <w:lang w:eastAsia="en-GB"/>
        </w:rPr>
        <w:t xml:space="preserve">however </w:t>
      </w:r>
      <w:r w:rsidRPr="00AE7634">
        <w:rPr>
          <w:lang w:eastAsia="en-GB"/>
        </w:rPr>
        <w:t xml:space="preserve">not </w:t>
      </w:r>
      <w:r>
        <w:rPr>
          <w:lang w:eastAsia="en-GB"/>
        </w:rPr>
        <w:t>available</w:t>
      </w:r>
      <w:r w:rsidRPr="00AE7634">
        <w:rPr>
          <w:lang w:eastAsia="en-GB"/>
        </w:rPr>
        <w:t xml:space="preserve"> in all MS for the uses </w:t>
      </w:r>
      <w:r>
        <w:rPr>
          <w:lang w:eastAsia="en-GB"/>
        </w:rPr>
        <w:t>in questions</w:t>
      </w:r>
      <w:r w:rsidRPr="00AE7634">
        <w:rPr>
          <w:lang w:eastAsia="en-GB"/>
        </w:rPr>
        <w:t xml:space="preserve"> and for all kinds of works</w:t>
      </w:r>
      <w:r>
        <w:rPr>
          <w:lang w:eastAsia="en-GB"/>
        </w:rPr>
        <w:t>.</w:t>
      </w:r>
      <w:r w:rsidRPr="00AE7634">
        <w:rPr>
          <w:rStyle w:val="FootnoteReference"/>
          <w:lang w:eastAsia="en-GB"/>
        </w:rPr>
        <w:footnoteReference w:id="197"/>
      </w:r>
      <w:r w:rsidRPr="00AE7634">
        <w:rPr>
          <w:lang w:eastAsia="en-GB"/>
        </w:rPr>
        <w:t xml:space="preserve"> </w:t>
      </w:r>
    </w:p>
    <w:p w:rsidR="004A03F2" w:rsidRPr="00AE7634" w:rsidRDefault="004A03F2" w:rsidP="004A03F2">
      <w:pPr>
        <w:pStyle w:val="Default"/>
        <w:widowControl w:val="0"/>
        <w:spacing w:after="120"/>
        <w:jc w:val="both"/>
        <w:rPr>
          <w:lang w:eastAsia="en-GB"/>
        </w:rPr>
      </w:pPr>
      <w:r>
        <w:rPr>
          <w:lang w:eastAsia="en-GB"/>
        </w:rPr>
        <w:t>[</w:t>
      </w:r>
      <w:r>
        <w:rPr>
          <w:i/>
          <w:lang w:eastAsia="en-GB"/>
        </w:rPr>
        <w:t>Lack of cross-border effect of national solutions</w:t>
      </w:r>
      <w:r>
        <w:rPr>
          <w:lang w:eastAsia="en-GB"/>
        </w:rPr>
        <w:t xml:space="preserve">] </w:t>
      </w:r>
      <w:r w:rsidRPr="00AE7634">
        <w:rPr>
          <w:lang w:eastAsia="en-GB"/>
        </w:rPr>
        <w:t xml:space="preserve">Where </w:t>
      </w:r>
      <w:r w:rsidR="0039257D">
        <w:rPr>
          <w:lang w:eastAsia="en-GB"/>
        </w:rPr>
        <w:t>licensing mechanisms exist</w:t>
      </w:r>
      <w:r w:rsidRPr="00AE7634">
        <w:rPr>
          <w:lang w:eastAsia="en-GB"/>
        </w:rPr>
        <w:t xml:space="preserve">, they only apply within the MS that has enacted them, in practice limiting access </w:t>
      </w:r>
      <w:r>
        <w:rPr>
          <w:lang w:eastAsia="en-GB"/>
        </w:rPr>
        <w:t xml:space="preserve">to works licensed under this type of mechanisms </w:t>
      </w:r>
      <w:r w:rsidRPr="00AE7634">
        <w:rPr>
          <w:lang w:eastAsia="en-GB"/>
        </w:rPr>
        <w:t>to one national territory.</w:t>
      </w:r>
    </w:p>
    <w:p w:rsidR="00D41F7E" w:rsidRPr="00D1507D" w:rsidRDefault="004A03F2" w:rsidP="004A03F2">
      <w:pPr>
        <w:pStyle w:val="Default"/>
        <w:widowControl w:val="0"/>
        <w:spacing w:after="120"/>
        <w:jc w:val="both"/>
        <w:rPr>
          <w:b/>
          <w:u w:val="single"/>
        </w:rPr>
      </w:pPr>
      <w:r w:rsidRPr="006457A3">
        <w:rPr>
          <w:lang w:eastAsia="en-GB"/>
        </w:rPr>
        <w:t xml:space="preserve">Some of </w:t>
      </w:r>
      <w:r>
        <w:rPr>
          <w:lang w:eastAsia="en-GB"/>
        </w:rPr>
        <w:t xml:space="preserve">such </w:t>
      </w:r>
      <w:r w:rsidRPr="006457A3">
        <w:rPr>
          <w:lang w:eastAsia="en-GB"/>
        </w:rPr>
        <w:t xml:space="preserve">national developments </w:t>
      </w:r>
      <w:r>
        <w:rPr>
          <w:lang w:eastAsia="en-GB"/>
        </w:rPr>
        <w:t>follow</w:t>
      </w:r>
      <w:r w:rsidRPr="006457A3">
        <w:rPr>
          <w:lang w:eastAsia="en-GB"/>
        </w:rPr>
        <w:t xml:space="preserve"> a 2011 Memorandum of Understanding</w:t>
      </w:r>
      <w:r w:rsidRPr="006457A3">
        <w:rPr>
          <w:rStyle w:val="FootnoteReference"/>
          <w:lang w:eastAsia="en-GB"/>
        </w:rPr>
        <w:footnoteReference w:id="198"/>
      </w:r>
      <w:r w:rsidRPr="006457A3">
        <w:rPr>
          <w:rStyle w:val="FootnoteReference"/>
        </w:rPr>
        <w:t xml:space="preserve"> </w:t>
      </w:r>
      <w:r>
        <w:rPr>
          <w:lang w:eastAsia="en-GB"/>
        </w:rPr>
        <w:t xml:space="preserve">(hereafter: 'the 2011 MoU') </w:t>
      </w:r>
      <w:r w:rsidRPr="006457A3">
        <w:rPr>
          <w:lang w:eastAsia="en-GB"/>
        </w:rPr>
        <w:t xml:space="preserve">agreed </w:t>
      </w:r>
      <w:r>
        <w:rPr>
          <w:lang w:eastAsia="en-GB"/>
        </w:rPr>
        <w:t>between right holder and library representatives</w:t>
      </w:r>
      <w:r w:rsidRPr="006457A3">
        <w:rPr>
          <w:lang w:eastAsia="en-GB"/>
        </w:rPr>
        <w:t xml:space="preserve"> under the auspices of the European Commission to facilita</w:t>
      </w:r>
      <w:r w:rsidR="00D15CCB">
        <w:rPr>
          <w:lang w:eastAsia="en-GB"/>
        </w:rPr>
        <w:t>te the clearance of rights in Oo</w:t>
      </w:r>
      <w:r w:rsidRPr="006457A3">
        <w:rPr>
          <w:lang w:eastAsia="en-GB"/>
        </w:rPr>
        <w:t>C books and learned journals.</w:t>
      </w:r>
      <w:r w:rsidRPr="006457A3">
        <w:rPr>
          <w:rStyle w:val="FootnoteReference"/>
          <w:lang w:eastAsia="en-GB"/>
        </w:rPr>
        <w:footnoteReference w:id="199"/>
      </w:r>
      <w:r>
        <w:rPr>
          <w:lang w:eastAsia="en-GB"/>
        </w:rPr>
        <w:t xml:space="preserve"> </w:t>
      </w:r>
      <w:r w:rsidRPr="006457A3">
        <w:rPr>
          <w:lang w:eastAsia="en-GB"/>
        </w:rPr>
        <w:t xml:space="preserve">The </w:t>
      </w:r>
      <w:r>
        <w:rPr>
          <w:lang w:eastAsia="en-GB"/>
        </w:rPr>
        <w:t xml:space="preserve">2011 </w:t>
      </w:r>
      <w:r w:rsidRPr="006457A3">
        <w:rPr>
          <w:lang w:eastAsia="en-GB"/>
        </w:rPr>
        <w:t xml:space="preserve">MoU </w:t>
      </w:r>
      <w:r>
        <w:rPr>
          <w:lang w:eastAsia="en-GB"/>
        </w:rPr>
        <w:t>however</w:t>
      </w:r>
      <w:r w:rsidRPr="006457A3">
        <w:rPr>
          <w:lang w:eastAsia="en-GB"/>
        </w:rPr>
        <w:t xml:space="preserve"> only applies to </w:t>
      </w:r>
      <w:r>
        <w:rPr>
          <w:lang w:eastAsia="en-GB"/>
        </w:rPr>
        <w:t>some categories of works</w:t>
      </w:r>
      <w:r w:rsidRPr="00E576AD">
        <w:rPr>
          <w:lang w:eastAsia="en-GB"/>
        </w:rPr>
        <w:t>.</w:t>
      </w:r>
      <w:r w:rsidRPr="00E576AD">
        <w:rPr>
          <w:rStyle w:val="FootnoteReference"/>
          <w:lang w:eastAsia="en-GB"/>
        </w:rPr>
        <w:footnoteReference w:id="200"/>
      </w:r>
      <w:r>
        <w:rPr>
          <w:lang w:eastAsia="en-GB"/>
        </w:rPr>
        <w:t xml:space="preserve"> Successful national legislative </w:t>
      </w:r>
      <w:r w:rsidRPr="006457A3">
        <w:rPr>
          <w:lang w:eastAsia="en-GB"/>
        </w:rPr>
        <w:t xml:space="preserve">and contractual solutions have </w:t>
      </w:r>
      <w:r>
        <w:rPr>
          <w:lang w:eastAsia="en-GB"/>
        </w:rPr>
        <w:t xml:space="preserve">also </w:t>
      </w:r>
      <w:r w:rsidRPr="006457A3">
        <w:rPr>
          <w:lang w:eastAsia="en-GB"/>
        </w:rPr>
        <w:t>been preceded by stakeholder consultation process</w:t>
      </w:r>
      <w:r>
        <w:rPr>
          <w:lang w:eastAsia="en-GB"/>
        </w:rPr>
        <w:t>es</w:t>
      </w:r>
      <w:r w:rsidRPr="006457A3">
        <w:rPr>
          <w:lang w:eastAsia="en-GB"/>
        </w:rPr>
        <w:t>, sometimes reflected in model contracts</w:t>
      </w:r>
      <w:r>
        <w:rPr>
          <w:lang w:eastAsia="en-GB"/>
        </w:rPr>
        <w:t>.</w:t>
      </w:r>
      <w:r w:rsidRPr="006457A3">
        <w:rPr>
          <w:rStyle w:val="FootnoteReference"/>
          <w:lang w:eastAsia="en-GB"/>
        </w:rPr>
        <w:footnoteReference w:id="201"/>
      </w:r>
      <w:r>
        <w:rPr>
          <w:lang w:eastAsia="en-GB"/>
        </w:rPr>
        <w:t xml:space="preserve"> Such experiences </w:t>
      </w:r>
      <w:r w:rsidRPr="006457A3">
        <w:rPr>
          <w:lang w:eastAsia="en-GB"/>
        </w:rPr>
        <w:t xml:space="preserve">point to </w:t>
      </w:r>
      <w:r>
        <w:rPr>
          <w:lang w:eastAsia="en-GB"/>
        </w:rPr>
        <w:t xml:space="preserve">the </w:t>
      </w:r>
      <w:r w:rsidRPr="006457A3">
        <w:rPr>
          <w:lang w:eastAsia="en-GB"/>
        </w:rPr>
        <w:t>important role played by stakeholder cooperation and engagement with public authorities</w:t>
      </w:r>
      <w:r>
        <w:rPr>
          <w:lang w:eastAsia="en-GB"/>
        </w:rPr>
        <w:t xml:space="preserve"> </w:t>
      </w:r>
      <w:r w:rsidRPr="00E4131E">
        <w:rPr>
          <w:lang w:eastAsia="en-GB"/>
        </w:rPr>
        <w:t>on the field</w:t>
      </w:r>
      <w:r>
        <w:rPr>
          <w:lang w:eastAsia="en-GB"/>
        </w:rPr>
        <w:t xml:space="preserve"> in</w:t>
      </w:r>
      <w:r w:rsidRPr="006457A3">
        <w:rPr>
          <w:lang w:eastAsia="en-GB"/>
        </w:rPr>
        <w:t xml:space="preserve"> the achievement of practical solutions</w:t>
      </w:r>
      <w:r>
        <w:rPr>
          <w:lang w:eastAsia="en-GB"/>
        </w:rPr>
        <w:t>,</w:t>
      </w:r>
      <w:r w:rsidRPr="005E5462">
        <w:rPr>
          <w:lang w:eastAsia="en-GB"/>
        </w:rPr>
        <w:t xml:space="preserve"> </w:t>
      </w:r>
      <w:r w:rsidRPr="007423CC">
        <w:rPr>
          <w:lang w:eastAsia="en-GB"/>
        </w:rPr>
        <w:t xml:space="preserve">but </w:t>
      </w:r>
      <w:r>
        <w:rPr>
          <w:lang w:eastAsia="en-GB"/>
        </w:rPr>
        <w:t xml:space="preserve">this has occurred </w:t>
      </w:r>
      <w:r w:rsidRPr="007423CC">
        <w:rPr>
          <w:lang w:eastAsia="en-GB"/>
        </w:rPr>
        <w:t xml:space="preserve">in some </w:t>
      </w:r>
      <w:r>
        <w:rPr>
          <w:lang w:eastAsia="en-GB"/>
        </w:rPr>
        <w:t xml:space="preserve">specific </w:t>
      </w:r>
      <w:r w:rsidRPr="007423CC">
        <w:rPr>
          <w:lang w:eastAsia="en-GB"/>
        </w:rPr>
        <w:t>areas and MS only.</w:t>
      </w:r>
      <w:r>
        <w:rPr>
          <w:rStyle w:val="FootnoteReference"/>
          <w:lang w:eastAsia="en-GB"/>
        </w:rPr>
        <w:footnoteReference w:id="202"/>
      </w:r>
    </w:p>
    <w:p w:rsidR="004A03F2" w:rsidRDefault="004A03F2" w:rsidP="004A03F2">
      <w:pPr>
        <w:pStyle w:val="Default"/>
        <w:widowControl w:val="0"/>
        <w:spacing w:after="120"/>
        <w:jc w:val="both"/>
      </w:pPr>
      <w:r>
        <w:rPr>
          <w:u w:val="single"/>
          <w:lang w:eastAsia="en-GB"/>
        </w:rPr>
        <w:t>Consequences</w:t>
      </w:r>
      <w:r w:rsidRPr="00890CAD">
        <w:rPr>
          <w:lang w:eastAsia="en-GB"/>
        </w:rPr>
        <w:t>:</w:t>
      </w:r>
      <w:r>
        <w:rPr>
          <w:lang w:eastAsia="en-GB"/>
        </w:rPr>
        <w:t xml:space="preserve"> CHIs regularly report that difficulties in clearing rights can be, and often are, a defining barrier for proceeding with a project at all, or in selecting the works that will be included in one. This causes projects to be skewed toward public domain and pre-20</w:t>
      </w:r>
      <w:r w:rsidRPr="00382885">
        <w:rPr>
          <w:vertAlign w:val="superscript"/>
          <w:lang w:eastAsia="en-GB"/>
        </w:rPr>
        <w:t>th</w:t>
      </w:r>
      <w:r>
        <w:rPr>
          <w:lang w:eastAsia="en-GB"/>
        </w:rPr>
        <w:t xml:space="preserve"> century works, or newer collections) or </w:t>
      </w:r>
      <w:r w:rsidR="00D15CCB">
        <w:t>Oo</w:t>
      </w:r>
      <w:r>
        <w:t xml:space="preserve">C collections remaining simply unavailable </w:t>
      </w:r>
      <w:r w:rsidRPr="00D23E55">
        <w:t xml:space="preserve">beyond CHI's </w:t>
      </w:r>
      <w:r>
        <w:t>premises, and not accessible across borders</w:t>
      </w:r>
      <w:r>
        <w:rPr>
          <w:lang w:eastAsia="en-GB"/>
        </w:rPr>
        <w:t>.</w:t>
      </w:r>
      <w:r>
        <w:rPr>
          <w:rStyle w:val="FootnoteReference"/>
          <w:lang w:eastAsia="en-GB"/>
        </w:rPr>
        <w:footnoteReference w:id="203"/>
      </w:r>
      <w:r>
        <w:rPr>
          <w:lang w:eastAsia="en-GB"/>
        </w:rPr>
        <w:t xml:space="preserve"> </w:t>
      </w:r>
      <w:r w:rsidRPr="007E178C">
        <w:rPr>
          <w:lang w:eastAsia="en-GB"/>
        </w:rPr>
        <w:t xml:space="preserve">More broadly, </w:t>
      </w:r>
      <w:r>
        <w:rPr>
          <w:lang w:eastAsia="en-GB"/>
        </w:rPr>
        <w:t>this situation means that the s</w:t>
      </w:r>
      <w:r w:rsidRPr="007E178C">
        <w:rPr>
          <w:lang w:eastAsia="en-GB"/>
        </w:rPr>
        <w:t xml:space="preserve">ocietal and economic benefits of the digitisation and </w:t>
      </w:r>
      <w:r>
        <w:rPr>
          <w:lang w:eastAsia="en-GB"/>
        </w:rPr>
        <w:t>dissemination</w:t>
      </w:r>
      <w:r w:rsidRPr="007E178C">
        <w:rPr>
          <w:lang w:eastAsia="en-GB"/>
        </w:rPr>
        <w:t xml:space="preserve"> of </w:t>
      </w:r>
      <w:r>
        <w:rPr>
          <w:lang w:eastAsia="en-GB"/>
        </w:rPr>
        <w:t xml:space="preserve">digitised </w:t>
      </w:r>
      <w:r w:rsidRPr="007E178C">
        <w:rPr>
          <w:lang w:eastAsia="en-GB"/>
        </w:rPr>
        <w:t>cultural heritage are missed</w:t>
      </w:r>
      <w:r>
        <w:rPr>
          <w:lang w:eastAsia="en-GB"/>
        </w:rPr>
        <w:t>,</w:t>
      </w:r>
      <w:r w:rsidRPr="007E178C">
        <w:rPr>
          <w:rStyle w:val="FootnoteReference"/>
          <w:lang w:eastAsia="en-GB"/>
        </w:rPr>
        <w:footnoteReference w:id="204"/>
      </w:r>
      <w:r>
        <w:rPr>
          <w:lang w:eastAsia="en-GB"/>
        </w:rPr>
        <w:t xml:space="preserve"> including</w:t>
      </w:r>
      <w:r w:rsidRPr="007E178C">
        <w:rPr>
          <w:lang w:eastAsia="en-GB"/>
        </w:rPr>
        <w:t xml:space="preserve"> </w:t>
      </w:r>
      <w:r>
        <w:rPr>
          <w:lang w:eastAsia="en-GB"/>
        </w:rPr>
        <w:t xml:space="preserve">for certain </w:t>
      </w:r>
      <w:r w:rsidR="00687496">
        <w:rPr>
          <w:lang w:eastAsia="en-GB"/>
        </w:rPr>
        <w:t>r</w:t>
      </w:r>
      <w:r w:rsidR="00007677">
        <w:rPr>
          <w:lang w:eastAsia="en-GB"/>
        </w:rPr>
        <w:t>ightholders</w:t>
      </w:r>
      <w:r>
        <w:rPr>
          <w:lang w:eastAsia="en-GB"/>
        </w:rPr>
        <w:t xml:space="preserve"> in terms of</w:t>
      </w:r>
      <w:r w:rsidRPr="007E178C">
        <w:rPr>
          <w:lang w:eastAsia="en-GB"/>
        </w:rPr>
        <w:t xml:space="preserve"> </w:t>
      </w:r>
      <w:r w:rsidRPr="007E178C">
        <w:t xml:space="preserve">better discoverability of </w:t>
      </w:r>
      <w:r>
        <w:t xml:space="preserve">'dormant' </w:t>
      </w:r>
      <w:r w:rsidRPr="007E178C">
        <w:t>works that can lead to further exploitation</w:t>
      </w:r>
      <w:r>
        <w:t xml:space="preserve"> and therefore revenue</w:t>
      </w:r>
      <w:r w:rsidRPr="007E178C">
        <w:t xml:space="preserve"> possibilities</w:t>
      </w:r>
      <w:r>
        <w:t>.</w:t>
      </w:r>
    </w:p>
    <w:p w:rsidR="004A03F2" w:rsidRPr="00C32C45" w:rsidRDefault="004A03F2" w:rsidP="004A03F2">
      <w:pPr>
        <w:pStyle w:val="Default"/>
        <w:widowControl w:val="0"/>
        <w:spacing w:after="120"/>
        <w:jc w:val="both"/>
        <w:rPr>
          <w:u w:val="single"/>
        </w:rPr>
      </w:pPr>
      <w:r w:rsidRPr="00C32C45">
        <w:rPr>
          <w:u w:val="single"/>
        </w:rPr>
        <w:t>How the problem would evolve</w:t>
      </w:r>
      <w:r>
        <w:t xml:space="preserve">: </w:t>
      </w:r>
      <w:r>
        <w:rPr>
          <w:lang w:eastAsia="en-GB"/>
        </w:rPr>
        <w:t>The difficulties and costs of clearing rights in this area are influenced by various factors, but they are likely to persist for the foreseeable future. Although in the wake of the 2011 MoU and of EU recommendations</w:t>
      </w:r>
      <w:r>
        <w:rPr>
          <w:rStyle w:val="FootnoteReference"/>
          <w:lang w:eastAsia="en-GB"/>
        </w:rPr>
        <w:footnoteReference w:id="205"/>
      </w:r>
      <w:r>
        <w:rPr>
          <w:lang w:eastAsia="en-GB"/>
        </w:rPr>
        <w:t xml:space="preserve"> the number of MS has increased that have national provisions allowing for collective licences also covering the right of 'outsiders', these solutions are not expected to develop across the EU in a uniform way. The main observed trend is for them to cover literary works only. Furthermore, cross-border barriers will remain as those solutions only have national application.  </w:t>
      </w:r>
    </w:p>
    <w:p w:rsidR="00041DC6" w:rsidRDefault="00041DC6" w:rsidP="00CF38F1">
      <w:pPr>
        <w:pStyle w:val="Heading3"/>
      </w:pPr>
      <w:bookmarkStart w:id="46" w:name="_Toc461114716"/>
      <w:r>
        <w:t>What are the various options to achieve the objectives?</w:t>
      </w:r>
      <w:bookmarkEnd w:id="46"/>
    </w:p>
    <w:p w:rsidR="00041DC6" w:rsidRPr="00C03C08" w:rsidRDefault="00041DC6" w:rsidP="00C03C08">
      <w:pPr>
        <w:pStyle w:val="Text1"/>
        <w:ind w:left="0"/>
        <w:rPr>
          <w:b/>
          <w:szCs w:val="24"/>
        </w:rPr>
      </w:pPr>
      <w:r w:rsidRPr="00C03C08">
        <w:rPr>
          <w:b/>
          <w:szCs w:val="24"/>
        </w:rPr>
        <w:t>Baseline</w:t>
      </w:r>
    </w:p>
    <w:p w:rsidR="00041DC6" w:rsidRPr="002C78D8" w:rsidRDefault="00041DC6" w:rsidP="00C03C08">
      <w:pPr>
        <w:pStyle w:val="Default"/>
        <w:widowControl w:val="0"/>
        <w:spacing w:after="120"/>
        <w:jc w:val="both"/>
        <w:rPr>
          <w:lang w:eastAsia="en-GB"/>
        </w:rPr>
      </w:pPr>
      <w:r w:rsidRPr="005C49BE">
        <w:rPr>
          <w:lang w:eastAsia="en-GB"/>
        </w:rPr>
        <w:t>No policy intervention.</w:t>
      </w:r>
      <w:r>
        <w:rPr>
          <w:lang w:eastAsia="en-GB"/>
        </w:rPr>
        <w:t xml:space="preserve"> </w:t>
      </w:r>
      <w:r w:rsidRPr="00EC51B1">
        <w:rPr>
          <w:bCs/>
        </w:rPr>
        <w:t>CHIs would continue to rely mainly on individual licensing</w:t>
      </w:r>
      <w:r>
        <w:rPr>
          <w:bCs/>
        </w:rPr>
        <w:t xml:space="preserve">, or collective </w:t>
      </w:r>
      <w:r w:rsidRPr="00C03C08">
        <w:rPr>
          <w:lang w:eastAsia="en-GB"/>
        </w:rPr>
        <w:t>licensing</w:t>
      </w:r>
      <w:r>
        <w:rPr>
          <w:bCs/>
        </w:rPr>
        <w:t xml:space="preserve"> where possible</w:t>
      </w:r>
      <w:r w:rsidRPr="00EC51B1">
        <w:rPr>
          <w:bCs/>
        </w:rPr>
        <w:t xml:space="preserve">. </w:t>
      </w:r>
      <w:r>
        <w:rPr>
          <w:bCs/>
        </w:rPr>
        <w:t>Collective licensing</w:t>
      </w:r>
      <w:r w:rsidRPr="00EC51B1">
        <w:rPr>
          <w:bCs/>
        </w:rPr>
        <w:t xml:space="preserve"> w</w:t>
      </w:r>
      <w:r>
        <w:rPr>
          <w:bCs/>
        </w:rPr>
        <w:t>ould</w:t>
      </w:r>
      <w:r w:rsidRPr="00EC51B1">
        <w:rPr>
          <w:bCs/>
        </w:rPr>
        <w:t xml:space="preserve"> be supported by national legal mechanisms to cover the rights of outsiders</w:t>
      </w:r>
      <w:r>
        <w:rPr>
          <w:bCs/>
        </w:rPr>
        <w:t xml:space="preserve"> only in a limited number of MS</w:t>
      </w:r>
      <w:r w:rsidRPr="00EC51B1">
        <w:rPr>
          <w:bCs/>
        </w:rPr>
        <w:t>.</w:t>
      </w:r>
      <w:r w:rsidRPr="00EC51B1">
        <w:rPr>
          <w:rStyle w:val="FootnoteReference"/>
          <w:bCs/>
        </w:rPr>
        <w:footnoteReference w:id="206"/>
      </w:r>
      <w:r>
        <w:rPr>
          <w:bCs/>
        </w:rPr>
        <w:t xml:space="preserve"> Licences resulting from these mechanisms would be limited to one national territory.</w:t>
      </w:r>
      <w:r w:rsidRPr="00EC51B1">
        <w:rPr>
          <w:bCs/>
        </w:rPr>
        <w:t xml:space="preserve"> The 2011 </w:t>
      </w:r>
      <w:r>
        <w:rPr>
          <w:bCs/>
        </w:rPr>
        <w:t>MoU</w:t>
      </w:r>
      <w:r w:rsidRPr="00EC51B1">
        <w:rPr>
          <w:bCs/>
        </w:rPr>
        <w:t xml:space="preserve"> would continue to call on MS to adopt such mechanisms for books and learned journals</w:t>
      </w:r>
      <w:r>
        <w:rPr>
          <w:bCs/>
        </w:rPr>
        <w:t>, and to</w:t>
      </w:r>
      <w:r w:rsidRPr="00EC51B1">
        <w:rPr>
          <w:bCs/>
        </w:rPr>
        <w:t xml:space="preserve"> provide a basis for further </w:t>
      </w:r>
      <w:r>
        <w:rPr>
          <w:bCs/>
        </w:rPr>
        <w:t>collective licences</w:t>
      </w:r>
      <w:r w:rsidRPr="00EC51B1">
        <w:rPr>
          <w:bCs/>
        </w:rPr>
        <w:t xml:space="preserve"> for th</w:t>
      </w:r>
      <w:r>
        <w:rPr>
          <w:bCs/>
        </w:rPr>
        <w:t>is category of works.</w:t>
      </w:r>
    </w:p>
    <w:p w:rsidR="00041DC6" w:rsidRPr="00C03C08" w:rsidRDefault="00041DC6" w:rsidP="00041D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i/>
          <w:color w:val="000000"/>
          <w:sz w:val="20"/>
          <w:szCs w:val="20"/>
          <w:lang w:eastAsia="en-GB"/>
        </w:rPr>
      </w:pPr>
      <w:r w:rsidRPr="00C03C08">
        <w:rPr>
          <w:rFonts w:ascii="Times New Roman" w:hAnsi="Times New Roman"/>
          <w:i/>
          <w:color w:val="000000"/>
          <w:sz w:val="20"/>
          <w:szCs w:val="20"/>
          <w:lang w:eastAsia="en-GB"/>
        </w:rPr>
        <w:t>Stakeholder views</w:t>
      </w:r>
    </w:p>
    <w:p w:rsidR="00506F6D" w:rsidRPr="00C03C08" w:rsidRDefault="00041DC6" w:rsidP="00041DC6">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olor w:val="000000"/>
          <w:sz w:val="20"/>
          <w:szCs w:val="20"/>
          <w:lang w:eastAsia="en-GB"/>
        </w:rPr>
      </w:pPr>
      <w:r w:rsidRPr="00B1145D">
        <w:rPr>
          <w:rFonts w:ascii="Times New Roman" w:hAnsi="Times New Roman" w:cs="Times New Roman"/>
          <w:color w:val="000000"/>
          <w:sz w:val="20"/>
        </w:rPr>
        <w:t>CHIs consider the status quo insufficient and would not support lack of policy action, as wouldn't individual end users/consumers. Within the cultural industries, views would be more mixed with some players, for example among film producers and commercial broadcasters, supporting no intervention at EU level, while others, such as authors and CMOs, favourable to EU intervention to varying degrees (at least to address uncertainty in cross-border contexts)</w:t>
      </w:r>
      <w:r w:rsidRPr="00D1507D">
        <w:rPr>
          <w:color w:val="000000"/>
          <w:sz w:val="20"/>
        </w:rPr>
        <w:t>.</w:t>
      </w:r>
      <w:r w:rsidRPr="00D1507D">
        <w:rPr>
          <w:rStyle w:val="FootnoteReference"/>
          <w:color w:val="000000"/>
          <w:sz w:val="20"/>
        </w:rPr>
        <w:footnoteReference w:id="207"/>
      </w:r>
    </w:p>
    <w:p w:rsidR="001D5DE0" w:rsidRDefault="001D5DE0">
      <w:pPr>
        <w:rPr>
          <w:rFonts w:ascii="Times New Roman" w:eastAsia="Calibri" w:hAnsi="Times New Roman" w:cs="Times New Roman"/>
          <w:b/>
          <w:sz w:val="24"/>
          <w:szCs w:val="24"/>
          <w:lang w:eastAsia="en-GB"/>
        </w:rPr>
      </w:pPr>
      <w:r>
        <w:rPr>
          <w:b/>
          <w:szCs w:val="24"/>
        </w:rPr>
        <w:br w:type="page"/>
      </w:r>
    </w:p>
    <w:p w:rsidR="00041DC6" w:rsidRPr="00C03C08" w:rsidRDefault="00041DC6" w:rsidP="00C03C08">
      <w:pPr>
        <w:pStyle w:val="Text1"/>
        <w:ind w:left="0"/>
        <w:rPr>
          <w:b/>
          <w:szCs w:val="24"/>
        </w:rPr>
      </w:pPr>
      <w:r w:rsidRPr="00C03C08">
        <w:rPr>
          <w:b/>
          <w:szCs w:val="24"/>
        </w:rPr>
        <w:t>Option 1 – EU legislative intervention (i) requiring MS to put in place legal mechanisms to facilitate collective licensing agr</w:t>
      </w:r>
      <w:r w:rsidR="00D15CCB">
        <w:rPr>
          <w:b/>
          <w:szCs w:val="24"/>
        </w:rPr>
        <w:t>eements for Oo</w:t>
      </w:r>
      <w:r w:rsidRPr="00C03C08">
        <w:rPr>
          <w:b/>
          <w:szCs w:val="24"/>
        </w:rPr>
        <w:t>C books and learned journals</w:t>
      </w:r>
      <w:r w:rsidRPr="00D1507D">
        <w:rPr>
          <w:vertAlign w:val="superscript"/>
        </w:rPr>
        <w:footnoteReference w:id="208"/>
      </w:r>
      <w:r w:rsidRPr="00C03C08">
        <w:rPr>
          <w:b/>
          <w:szCs w:val="24"/>
        </w:rPr>
        <w:t xml:space="preserve"> and to foster national stakeholder frameworks, and (ii) giving cross-border effect to such legal mechanisms.</w:t>
      </w:r>
    </w:p>
    <w:p w:rsidR="004A03F2" w:rsidRDefault="004A03F2" w:rsidP="004A03F2">
      <w:pPr>
        <w:pStyle w:val="Text1"/>
        <w:numPr>
          <w:ilvl w:val="0"/>
          <w:numId w:val="37"/>
        </w:numPr>
        <w:ind w:left="426" w:hanging="426"/>
        <w:rPr>
          <w:bCs/>
          <w:szCs w:val="24"/>
        </w:rPr>
      </w:pPr>
      <w:r>
        <w:rPr>
          <w:bCs/>
          <w:szCs w:val="24"/>
        </w:rPr>
        <w:t>Type of mechanisms: MS would be required</w:t>
      </w:r>
      <w:r w:rsidRPr="00AD2A58">
        <w:rPr>
          <w:bCs/>
          <w:szCs w:val="24"/>
        </w:rPr>
        <w:t xml:space="preserve"> to</w:t>
      </w:r>
      <w:r>
        <w:rPr>
          <w:bCs/>
          <w:szCs w:val="24"/>
        </w:rPr>
        <w:t xml:space="preserve"> provide for </w:t>
      </w:r>
      <w:r w:rsidRPr="00AD2A58">
        <w:rPr>
          <w:bCs/>
          <w:szCs w:val="24"/>
        </w:rPr>
        <w:t xml:space="preserve">adequate mechanisms </w:t>
      </w:r>
      <w:r>
        <w:rPr>
          <w:bCs/>
          <w:szCs w:val="24"/>
        </w:rPr>
        <w:t>in their legal system</w:t>
      </w:r>
      <w:r w:rsidRPr="00AD2A58">
        <w:rPr>
          <w:bCs/>
          <w:szCs w:val="24"/>
        </w:rPr>
        <w:t xml:space="preserve"> </w:t>
      </w:r>
      <w:r>
        <w:rPr>
          <w:bCs/>
          <w:szCs w:val="24"/>
        </w:rPr>
        <w:t xml:space="preserve">ensuring that </w:t>
      </w:r>
      <w:r w:rsidRPr="00AD2A58">
        <w:rPr>
          <w:bCs/>
          <w:szCs w:val="24"/>
        </w:rPr>
        <w:t xml:space="preserve">voluntary collective licensing agreements between </w:t>
      </w:r>
      <w:r w:rsidRPr="000033FD">
        <w:rPr>
          <w:bCs/>
          <w:szCs w:val="24"/>
        </w:rPr>
        <w:t>CHIs</w:t>
      </w:r>
      <w:r>
        <w:rPr>
          <w:bCs/>
          <w:szCs w:val="24"/>
        </w:rPr>
        <w:t xml:space="preserve"> (i.e. </w:t>
      </w:r>
      <w:r w:rsidRPr="000033FD">
        <w:rPr>
          <w:color w:val="000000"/>
          <w:szCs w:val="24"/>
        </w:rPr>
        <w:t>publicly accessible libraries and museums, as well as archives and film or audio heritage institutions</w:t>
      </w:r>
      <w:r>
        <w:rPr>
          <w:color w:val="000000"/>
          <w:szCs w:val="24"/>
        </w:rPr>
        <w:t>)</w:t>
      </w:r>
      <w:r w:rsidRPr="00AD2A58">
        <w:rPr>
          <w:bCs/>
          <w:szCs w:val="24"/>
        </w:rPr>
        <w:t xml:space="preserve"> and CMOs for the digitisation </w:t>
      </w:r>
      <w:r>
        <w:rPr>
          <w:bCs/>
          <w:szCs w:val="24"/>
        </w:rPr>
        <w:t xml:space="preserve">and dissemination of </w:t>
      </w:r>
      <w:r w:rsidR="00D15CCB">
        <w:rPr>
          <w:bCs/>
          <w:szCs w:val="24"/>
        </w:rPr>
        <w:t>Oo</w:t>
      </w:r>
      <w:r w:rsidRPr="00AD2A58">
        <w:rPr>
          <w:bCs/>
          <w:szCs w:val="24"/>
        </w:rPr>
        <w:t>C books and learned journals</w:t>
      </w:r>
      <w:r>
        <w:rPr>
          <w:bCs/>
          <w:szCs w:val="24"/>
        </w:rPr>
        <w:t xml:space="preserve"> (including embedded images) in their collections can also apply to the</w:t>
      </w:r>
      <w:r w:rsidRPr="002E0244">
        <w:rPr>
          <w:bCs/>
          <w:szCs w:val="24"/>
        </w:rPr>
        <w:t xml:space="preserve"> </w:t>
      </w:r>
      <w:r>
        <w:rPr>
          <w:bCs/>
          <w:szCs w:val="24"/>
        </w:rPr>
        <w:t>works of outsiders.</w:t>
      </w:r>
    </w:p>
    <w:p w:rsidR="00041DC6" w:rsidRPr="000A2B94" w:rsidRDefault="00D15CCB" w:rsidP="007D6CF3">
      <w:pPr>
        <w:pStyle w:val="Text1"/>
        <w:numPr>
          <w:ilvl w:val="0"/>
          <w:numId w:val="37"/>
        </w:numPr>
        <w:ind w:left="426" w:hanging="426"/>
        <w:rPr>
          <w:bCs/>
          <w:szCs w:val="24"/>
        </w:rPr>
      </w:pPr>
      <w:r>
        <w:rPr>
          <w:bCs/>
          <w:szCs w:val="24"/>
        </w:rPr>
        <w:t>Scope of the mechanisms: (i) Oo</w:t>
      </w:r>
      <w:r w:rsidR="00041DC6">
        <w:rPr>
          <w:bCs/>
          <w:szCs w:val="24"/>
        </w:rPr>
        <w:t xml:space="preserve">C </w:t>
      </w:r>
      <w:r w:rsidR="00041DC6" w:rsidRPr="00670FD5">
        <w:rPr>
          <w:bCs/>
          <w:szCs w:val="24"/>
        </w:rPr>
        <w:t xml:space="preserve">books and learned journals </w:t>
      </w:r>
      <w:r w:rsidR="00041DC6" w:rsidRPr="00E90683">
        <w:rPr>
          <w:bCs/>
          <w:szCs w:val="24"/>
        </w:rPr>
        <w:t>first published in the MS where the l</w:t>
      </w:r>
      <w:r w:rsidR="00041DC6">
        <w:rPr>
          <w:bCs/>
          <w:szCs w:val="24"/>
        </w:rPr>
        <w:t>icenc</w:t>
      </w:r>
      <w:r w:rsidR="00041DC6" w:rsidRPr="00E90683">
        <w:rPr>
          <w:bCs/>
          <w:szCs w:val="24"/>
        </w:rPr>
        <w:t>e is sought,</w:t>
      </w:r>
      <w:r w:rsidR="00041DC6">
        <w:rPr>
          <w:bCs/>
          <w:szCs w:val="24"/>
        </w:rPr>
        <w:t xml:space="preserve"> (ii)</w:t>
      </w:r>
      <w:r w:rsidR="00041DC6" w:rsidRPr="00670FD5">
        <w:rPr>
          <w:bCs/>
          <w:szCs w:val="24"/>
        </w:rPr>
        <w:t xml:space="preserve"> the rights of reproduction, communication to the public (including making available) and distribution, </w:t>
      </w:r>
      <w:r w:rsidR="00041DC6">
        <w:rPr>
          <w:bCs/>
          <w:szCs w:val="24"/>
        </w:rPr>
        <w:t xml:space="preserve">and (iii) </w:t>
      </w:r>
      <w:r w:rsidR="00041DC6" w:rsidRPr="00670FD5">
        <w:rPr>
          <w:bCs/>
          <w:szCs w:val="24"/>
        </w:rPr>
        <w:t>non-commercial uses.</w:t>
      </w:r>
      <w:r w:rsidR="00041DC6">
        <w:rPr>
          <w:rStyle w:val="FootnoteReference"/>
          <w:bCs/>
          <w:szCs w:val="24"/>
        </w:rPr>
        <w:footnoteReference w:id="209"/>
      </w:r>
      <w:r w:rsidR="00041DC6" w:rsidRPr="00670FD5">
        <w:rPr>
          <w:bCs/>
          <w:szCs w:val="24"/>
        </w:rPr>
        <w:t xml:space="preserve"> </w:t>
      </w:r>
      <w:r w:rsidR="00041DC6" w:rsidRPr="000A2B94">
        <w:rPr>
          <w:bCs/>
          <w:szCs w:val="24"/>
        </w:rPr>
        <w:t>Books and learned journals would be considered</w:t>
      </w:r>
      <w:r>
        <w:rPr>
          <w:bCs/>
          <w:szCs w:val="24"/>
        </w:rPr>
        <w:t xml:space="preserve"> Oo</w:t>
      </w:r>
      <w:r w:rsidR="00041DC6">
        <w:rPr>
          <w:bCs/>
          <w:szCs w:val="24"/>
        </w:rPr>
        <w:t>C as defined in the 2011 MoU.</w:t>
      </w:r>
      <w:r w:rsidR="00041DC6">
        <w:rPr>
          <w:rStyle w:val="FootnoteReference"/>
          <w:bCs/>
          <w:szCs w:val="24"/>
        </w:rPr>
        <w:footnoteReference w:id="210"/>
      </w:r>
      <w:r w:rsidR="00041DC6" w:rsidRPr="000A2B94">
        <w:rPr>
          <w:bCs/>
          <w:szCs w:val="24"/>
        </w:rPr>
        <w:t xml:space="preserve"> MS </w:t>
      </w:r>
      <w:r w:rsidR="00041DC6">
        <w:rPr>
          <w:bCs/>
          <w:szCs w:val="24"/>
        </w:rPr>
        <w:t xml:space="preserve">would have the possibility </w:t>
      </w:r>
      <w:r w:rsidR="00041DC6" w:rsidRPr="000A2B94">
        <w:rPr>
          <w:bCs/>
          <w:szCs w:val="24"/>
        </w:rPr>
        <w:t xml:space="preserve">to establish further national-specific criteria for works to be eligible for </w:t>
      </w:r>
      <w:r w:rsidR="00041DC6">
        <w:rPr>
          <w:bCs/>
          <w:szCs w:val="24"/>
        </w:rPr>
        <w:t>the mechanisms in question</w:t>
      </w:r>
      <w:r w:rsidR="00041DC6" w:rsidRPr="000A2B94">
        <w:rPr>
          <w:bCs/>
          <w:szCs w:val="24"/>
        </w:rPr>
        <w:t>,</w:t>
      </w:r>
      <w:r w:rsidR="00041DC6">
        <w:rPr>
          <w:rStyle w:val="FootnoteReference"/>
          <w:bCs/>
          <w:szCs w:val="24"/>
        </w:rPr>
        <w:footnoteReference w:id="211"/>
      </w:r>
      <w:r w:rsidR="00041DC6" w:rsidRPr="000A2B94">
        <w:rPr>
          <w:bCs/>
          <w:szCs w:val="24"/>
        </w:rPr>
        <w:t xml:space="preserve"> </w:t>
      </w:r>
      <w:r w:rsidR="00041DC6">
        <w:rPr>
          <w:bCs/>
          <w:szCs w:val="24"/>
        </w:rPr>
        <w:t>which will have to be</w:t>
      </w:r>
      <w:r w:rsidR="00041DC6" w:rsidRPr="000A2B94">
        <w:rPr>
          <w:bCs/>
          <w:szCs w:val="24"/>
        </w:rPr>
        <w:t xml:space="preserve"> done in consultation with </w:t>
      </w:r>
      <w:r w:rsidR="00041DC6">
        <w:rPr>
          <w:bCs/>
          <w:szCs w:val="24"/>
        </w:rPr>
        <w:t xml:space="preserve">concerned </w:t>
      </w:r>
      <w:r w:rsidR="004D059D">
        <w:rPr>
          <w:bCs/>
          <w:szCs w:val="24"/>
        </w:rPr>
        <w:t>r</w:t>
      </w:r>
      <w:r w:rsidR="00007677">
        <w:rPr>
          <w:bCs/>
          <w:szCs w:val="24"/>
        </w:rPr>
        <w:t>ightholders</w:t>
      </w:r>
      <w:r w:rsidR="00041DC6">
        <w:rPr>
          <w:bCs/>
          <w:szCs w:val="24"/>
        </w:rPr>
        <w:t xml:space="preserve"> and users</w:t>
      </w:r>
      <w:r w:rsidR="00041DC6" w:rsidRPr="000A2B94">
        <w:rPr>
          <w:bCs/>
          <w:szCs w:val="24"/>
        </w:rPr>
        <w:t>.</w:t>
      </w:r>
    </w:p>
    <w:p w:rsidR="00041DC6" w:rsidRPr="00B26285" w:rsidRDefault="00041DC6" w:rsidP="007D6CF3">
      <w:pPr>
        <w:pStyle w:val="Text1"/>
        <w:numPr>
          <w:ilvl w:val="0"/>
          <w:numId w:val="37"/>
        </w:numPr>
        <w:ind w:left="426" w:hanging="426"/>
        <w:rPr>
          <w:bCs/>
          <w:szCs w:val="24"/>
        </w:rPr>
      </w:pPr>
      <w:r>
        <w:rPr>
          <w:bCs/>
          <w:szCs w:val="24"/>
        </w:rPr>
        <w:t xml:space="preserve">Safeguards for </w:t>
      </w:r>
      <w:r w:rsidR="004D059D">
        <w:rPr>
          <w:bCs/>
          <w:szCs w:val="24"/>
        </w:rPr>
        <w:t>r</w:t>
      </w:r>
      <w:r w:rsidR="00007677">
        <w:rPr>
          <w:bCs/>
          <w:szCs w:val="24"/>
        </w:rPr>
        <w:t>ightholders</w:t>
      </w:r>
      <w:r>
        <w:rPr>
          <w:bCs/>
          <w:szCs w:val="24"/>
        </w:rPr>
        <w:t xml:space="preserve">: these mechanisms would have to reflect a set of features established at EU level to provide for adequate safeguards for </w:t>
      </w:r>
      <w:r w:rsidR="004D059D">
        <w:rPr>
          <w:bCs/>
          <w:szCs w:val="24"/>
        </w:rPr>
        <w:t>r</w:t>
      </w:r>
      <w:r w:rsidR="00007677">
        <w:rPr>
          <w:bCs/>
          <w:szCs w:val="24"/>
        </w:rPr>
        <w:t>ightholders</w:t>
      </w:r>
      <w:r>
        <w:rPr>
          <w:bCs/>
          <w:szCs w:val="24"/>
        </w:rPr>
        <w:t>, notably outsiders, as regards: (i) sufficient representativeness of the licensor CMO of</w:t>
      </w:r>
      <w:r w:rsidRPr="003A6183">
        <w:rPr>
          <w:bCs/>
          <w:szCs w:val="24"/>
        </w:rPr>
        <w:t xml:space="preserve"> </w:t>
      </w:r>
      <w:r w:rsidR="004D059D">
        <w:rPr>
          <w:bCs/>
          <w:szCs w:val="24"/>
        </w:rPr>
        <w:t>r</w:t>
      </w:r>
      <w:r w:rsidR="00007677">
        <w:rPr>
          <w:bCs/>
          <w:szCs w:val="24"/>
        </w:rPr>
        <w:t>ightholders</w:t>
      </w:r>
      <w:r w:rsidRPr="003A6183">
        <w:rPr>
          <w:bCs/>
          <w:szCs w:val="24"/>
        </w:rPr>
        <w:t xml:space="preserve"> </w:t>
      </w:r>
      <w:r>
        <w:rPr>
          <w:bCs/>
          <w:szCs w:val="24"/>
        </w:rPr>
        <w:t xml:space="preserve">in the </w:t>
      </w:r>
      <w:r w:rsidRPr="003A6183">
        <w:rPr>
          <w:bCs/>
          <w:szCs w:val="24"/>
        </w:rPr>
        <w:t xml:space="preserve">relevant </w:t>
      </w:r>
      <w:r>
        <w:rPr>
          <w:bCs/>
          <w:szCs w:val="24"/>
        </w:rPr>
        <w:t xml:space="preserve">category of </w:t>
      </w:r>
      <w:r w:rsidRPr="003A6183">
        <w:rPr>
          <w:bCs/>
          <w:szCs w:val="24"/>
        </w:rPr>
        <w:t>works</w:t>
      </w:r>
      <w:r>
        <w:rPr>
          <w:bCs/>
          <w:szCs w:val="24"/>
        </w:rPr>
        <w:t xml:space="preserve">, rights and uses in </w:t>
      </w:r>
      <w:r w:rsidRPr="003A6183">
        <w:rPr>
          <w:bCs/>
          <w:szCs w:val="24"/>
        </w:rPr>
        <w:t xml:space="preserve">the </w:t>
      </w:r>
      <w:r w:rsidRPr="00CA6DFC">
        <w:rPr>
          <w:bCs/>
          <w:szCs w:val="24"/>
        </w:rPr>
        <w:t>MS where the licence</w:t>
      </w:r>
      <w:r w:rsidRPr="003A6183">
        <w:rPr>
          <w:bCs/>
          <w:szCs w:val="24"/>
        </w:rPr>
        <w:t xml:space="preserve"> is sought,</w:t>
      </w:r>
      <w:r>
        <w:rPr>
          <w:bCs/>
          <w:szCs w:val="24"/>
        </w:rPr>
        <w:t xml:space="preserve"> (ii) the possibility for outsiders to opt out of licences prior and during licence terms, (iii) equal treatment of CMO members and outsiders, and (iv) transparency/publicity obligations.</w:t>
      </w:r>
      <w:r w:rsidRPr="001808C0">
        <w:rPr>
          <w:bCs/>
          <w:szCs w:val="24"/>
        </w:rPr>
        <w:t xml:space="preserve"> </w:t>
      </w:r>
      <w:r>
        <w:rPr>
          <w:bCs/>
          <w:szCs w:val="24"/>
        </w:rPr>
        <w:t>MS</w:t>
      </w:r>
      <w:r w:rsidRPr="00A45B31">
        <w:rPr>
          <w:bCs/>
          <w:szCs w:val="24"/>
        </w:rPr>
        <w:t xml:space="preserve"> would </w:t>
      </w:r>
      <w:r>
        <w:rPr>
          <w:bCs/>
          <w:szCs w:val="24"/>
        </w:rPr>
        <w:t xml:space="preserve">otherwise </w:t>
      </w:r>
      <w:r w:rsidRPr="00A45B31">
        <w:rPr>
          <w:bCs/>
          <w:szCs w:val="24"/>
        </w:rPr>
        <w:t>remain free to choose the suitable mechanism</w:t>
      </w:r>
      <w:r>
        <w:rPr>
          <w:bCs/>
          <w:szCs w:val="24"/>
        </w:rPr>
        <w:t xml:space="preserve"> according to their legal traditions, practices or circumstances.</w:t>
      </w:r>
      <w:r>
        <w:rPr>
          <w:rStyle w:val="FootnoteReference"/>
          <w:bCs/>
          <w:szCs w:val="24"/>
        </w:rPr>
        <w:footnoteReference w:id="212"/>
      </w:r>
    </w:p>
    <w:p w:rsidR="00041DC6" w:rsidRPr="000A2B94" w:rsidRDefault="00041DC6" w:rsidP="007D6CF3">
      <w:pPr>
        <w:pStyle w:val="Text1"/>
        <w:numPr>
          <w:ilvl w:val="0"/>
          <w:numId w:val="37"/>
        </w:numPr>
        <w:ind w:left="426" w:hanging="426"/>
        <w:rPr>
          <w:bCs/>
          <w:szCs w:val="24"/>
        </w:rPr>
      </w:pPr>
      <w:r>
        <w:rPr>
          <w:bCs/>
          <w:szCs w:val="24"/>
        </w:rPr>
        <w:t>Cross-border effect: the</w:t>
      </w:r>
      <w:r w:rsidRPr="00A45B31">
        <w:rPr>
          <w:bCs/>
          <w:szCs w:val="24"/>
        </w:rPr>
        <w:t xml:space="preserve"> </w:t>
      </w:r>
      <w:r>
        <w:rPr>
          <w:bCs/>
          <w:szCs w:val="24"/>
        </w:rPr>
        <w:t>legal possibility for</w:t>
      </w:r>
      <w:r w:rsidRPr="00A45B31">
        <w:rPr>
          <w:bCs/>
          <w:szCs w:val="24"/>
        </w:rPr>
        <w:t xml:space="preserve"> the </w:t>
      </w:r>
      <w:r>
        <w:rPr>
          <w:bCs/>
          <w:szCs w:val="24"/>
        </w:rPr>
        <w:t xml:space="preserve">part of the </w:t>
      </w:r>
      <w:r w:rsidRPr="00A45B31">
        <w:rPr>
          <w:bCs/>
          <w:szCs w:val="24"/>
        </w:rPr>
        <w:t>licences</w:t>
      </w:r>
      <w:r>
        <w:rPr>
          <w:bCs/>
          <w:szCs w:val="24"/>
        </w:rPr>
        <w:t xml:space="preserve"> that relates to outsiders to apply across borders in the EU</w:t>
      </w:r>
      <w:r w:rsidRPr="00276120">
        <w:rPr>
          <w:bCs/>
          <w:szCs w:val="24"/>
        </w:rPr>
        <w:t xml:space="preserve"> </w:t>
      </w:r>
      <w:r>
        <w:rPr>
          <w:bCs/>
          <w:szCs w:val="24"/>
        </w:rPr>
        <w:t>would be established by EU law</w:t>
      </w:r>
      <w:r w:rsidRPr="00A652D1">
        <w:rPr>
          <w:bCs/>
          <w:szCs w:val="24"/>
        </w:rPr>
        <w:t>.</w:t>
      </w:r>
      <w:r>
        <w:rPr>
          <w:bCs/>
          <w:szCs w:val="24"/>
        </w:rPr>
        <w:t xml:space="preserve"> Such cross-border effect would kick in </w:t>
      </w:r>
      <w:r w:rsidRPr="00B26285">
        <w:rPr>
          <w:bCs/>
          <w:szCs w:val="24"/>
        </w:rPr>
        <w:t>after adequate information</w:t>
      </w:r>
      <w:r>
        <w:rPr>
          <w:bCs/>
          <w:szCs w:val="24"/>
        </w:rPr>
        <w:t xml:space="preserve"> on the collections of works covered by the licence has appeared on a publicly accessible European transparency web portal for a sufficient period of time, except for works of authors that might have opted out during that period.</w:t>
      </w:r>
    </w:p>
    <w:p w:rsidR="00041DC6" w:rsidRPr="00C44271" w:rsidRDefault="00041DC6" w:rsidP="007D6CF3">
      <w:pPr>
        <w:pStyle w:val="Text1"/>
        <w:numPr>
          <w:ilvl w:val="0"/>
          <w:numId w:val="37"/>
        </w:numPr>
        <w:ind w:left="426" w:hanging="426"/>
        <w:rPr>
          <w:bCs/>
          <w:szCs w:val="24"/>
        </w:rPr>
      </w:pPr>
      <w:r>
        <w:rPr>
          <w:bCs/>
          <w:szCs w:val="24"/>
        </w:rPr>
        <w:t>Stakeholder frameworks: MS would also be required to foster national stakeholder frameworks and</w:t>
      </w:r>
      <w:r w:rsidRPr="00725639">
        <w:rPr>
          <w:bCs/>
          <w:szCs w:val="24"/>
        </w:rPr>
        <w:t xml:space="preserve"> </w:t>
      </w:r>
      <w:r>
        <w:rPr>
          <w:bCs/>
          <w:szCs w:val="24"/>
        </w:rPr>
        <w:t xml:space="preserve">dialogue at national level </w:t>
      </w:r>
      <w:r w:rsidRPr="00725639">
        <w:rPr>
          <w:bCs/>
          <w:szCs w:val="24"/>
        </w:rPr>
        <w:t xml:space="preserve">with a view to </w:t>
      </w:r>
      <w:r>
        <w:rPr>
          <w:bCs/>
          <w:szCs w:val="24"/>
        </w:rPr>
        <w:t xml:space="preserve">facilitate </w:t>
      </w:r>
      <w:r w:rsidRPr="00725639">
        <w:rPr>
          <w:bCs/>
          <w:szCs w:val="24"/>
        </w:rPr>
        <w:t>the practical implementation of the</w:t>
      </w:r>
      <w:r>
        <w:rPr>
          <w:bCs/>
          <w:szCs w:val="24"/>
        </w:rPr>
        <w:t xml:space="preserve"> licensing mechanisms deriving from the obligation defined above,</w:t>
      </w:r>
      <w:r w:rsidRPr="00725639">
        <w:rPr>
          <w:bCs/>
          <w:szCs w:val="24"/>
        </w:rPr>
        <w:t xml:space="preserve"> beyond </w:t>
      </w:r>
      <w:r>
        <w:rPr>
          <w:bCs/>
          <w:szCs w:val="24"/>
        </w:rPr>
        <w:t>purely</w:t>
      </w:r>
      <w:r w:rsidRPr="00F25EA7">
        <w:rPr>
          <w:bCs/>
          <w:szCs w:val="24"/>
        </w:rPr>
        <w:t xml:space="preserve"> legal aspects</w:t>
      </w:r>
      <w:r w:rsidRPr="00236A71">
        <w:rPr>
          <w:bCs/>
          <w:szCs w:val="24"/>
        </w:rPr>
        <w:t xml:space="preserve">, and to achieve similar </w:t>
      </w:r>
      <w:r w:rsidRPr="00336247">
        <w:rPr>
          <w:bCs/>
          <w:szCs w:val="24"/>
        </w:rPr>
        <w:t>outcomes</w:t>
      </w:r>
      <w:r w:rsidRPr="00C44271">
        <w:rPr>
          <w:bCs/>
          <w:szCs w:val="24"/>
        </w:rPr>
        <w:t xml:space="preserve"> as the 2011 MoU in other sectors.</w:t>
      </w:r>
    </w:p>
    <w:p w:rsidR="00041DC6" w:rsidRPr="00C03C08" w:rsidRDefault="00041DC6" w:rsidP="00041D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i/>
          <w:color w:val="000000"/>
          <w:sz w:val="20"/>
          <w:szCs w:val="20"/>
          <w:lang w:eastAsia="en-GB"/>
        </w:rPr>
      </w:pPr>
      <w:r w:rsidRPr="00C03C08">
        <w:rPr>
          <w:rFonts w:ascii="Times New Roman" w:hAnsi="Times New Roman"/>
          <w:i/>
          <w:color w:val="000000"/>
          <w:sz w:val="20"/>
          <w:szCs w:val="20"/>
          <w:lang w:eastAsia="en-GB"/>
        </w:rPr>
        <w:t>Stakeholder views</w:t>
      </w:r>
    </w:p>
    <w:p w:rsidR="00041DC6" w:rsidRPr="006C71DB" w:rsidRDefault="00041DC6" w:rsidP="00041DC6">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olor w:val="000000"/>
          <w:szCs w:val="24"/>
          <w:lang w:eastAsia="en-GB"/>
        </w:rPr>
      </w:pPr>
      <w:r w:rsidRPr="00C03C08">
        <w:rPr>
          <w:rFonts w:ascii="Times New Roman" w:hAnsi="Times New Roman"/>
          <w:color w:val="000000"/>
          <w:sz w:val="20"/>
          <w:szCs w:val="20"/>
          <w:lang w:eastAsia="en-GB"/>
        </w:rPr>
        <w:t>Most CHIs would consider this option not satisfactory because it covers books and learned journals only (as would individual users/consumers),</w:t>
      </w:r>
      <w:r w:rsidRPr="00C03C08">
        <w:rPr>
          <w:rStyle w:val="FootnoteReference"/>
          <w:rFonts w:ascii="Times New Roman" w:hAnsi="Times New Roman"/>
          <w:color w:val="000000"/>
          <w:sz w:val="20"/>
          <w:szCs w:val="20"/>
          <w:lang w:eastAsia="en-GB"/>
        </w:rPr>
        <w:footnoteReference w:id="213"/>
      </w:r>
      <w:r w:rsidRPr="00C03C08">
        <w:rPr>
          <w:rFonts w:ascii="Times New Roman" w:hAnsi="Times New Roman"/>
          <w:color w:val="000000"/>
          <w:sz w:val="20"/>
          <w:szCs w:val="20"/>
          <w:lang w:eastAsia="en-GB"/>
        </w:rPr>
        <w:t xml:space="preserve"> even if they would welcome legal certainty as regards the cross-border effect.</w:t>
      </w:r>
      <w:r w:rsidRPr="00C03C08">
        <w:rPr>
          <w:rStyle w:val="FootnoteReference"/>
          <w:rFonts w:ascii="Times New Roman" w:hAnsi="Times New Roman"/>
          <w:color w:val="000000"/>
          <w:sz w:val="20"/>
          <w:szCs w:val="20"/>
          <w:lang w:eastAsia="en-GB"/>
        </w:rPr>
        <w:footnoteReference w:id="214"/>
      </w:r>
      <w:r w:rsidRPr="00C03C08">
        <w:rPr>
          <w:rFonts w:ascii="Times New Roman" w:hAnsi="Times New Roman"/>
          <w:color w:val="000000"/>
          <w:sz w:val="20"/>
          <w:szCs w:val="20"/>
          <w:lang w:eastAsia="en-GB"/>
        </w:rPr>
        <w:t xml:space="preserve"> Views within the right holder constituencies would vary. Some, like certain authors and CMOs, would welcome the option as it ensures cross-border effect to the licensing mechanisms foreseen by the 2011 MoU. Others, especially outside of the books and journals sector, would consider it irrelevant or oppose this approach. Some right holder sectors might be willing to engage in stakeholder dialogues with a view to voluntary solutions.</w:t>
      </w:r>
      <w:r w:rsidRPr="00C03C08">
        <w:rPr>
          <w:rStyle w:val="FootnoteReference"/>
          <w:rFonts w:ascii="Times New Roman" w:hAnsi="Times New Roman"/>
          <w:color w:val="000000"/>
          <w:sz w:val="20"/>
          <w:szCs w:val="20"/>
          <w:lang w:eastAsia="en-GB"/>
        </w:rPr>
        <w:footnoteReference w:id="215"/>
      </w:r>
    </w:p>
    <w:p w:rsidR="00041DC6" w:rsidRPr="00C03C08" w:rsidRDefault="00041DC6" w:rsidP="00C03C08">
      <w:pPr>
        <w:pStyle w:val="Text1"/>
        <w:ind w:left="0"/>
        <w:rPr>
          <w:b/>
          <w:szCs w:val="24"/>
        </w:rPr>
      </w:pPr>
      <w:r w:rsidRPr="00C03C08">
        <w:rPr>
          <w:b/>
          <w:szCs w:val="24"/>
        </w:rPr>
        <w:t>Option 2 – EU legislative intervention (i) requiring MS to put in place legal mechanisms to facilitate collective licensin</w:t>
      </w:r>
      <w:r w:rsidR="00D15CCB">
        <w:rPr>
          <w:b/>
          <w:szCs w:val="24"/>
        </w:rPr>
        <w:t>g agreements for all types of Oo</w:t>
      </w:r>
      <w:r w:rsidRPr="00C03C08">
        <w:rPr>
          <w:b/>
          <w:szCs w:val="24"/>
        </w:rPr>
        <w:t>C works and to foster national stakeholder frameworks, and (ii) giving cross-border effect to such legal mechanisms.</w:t>
      </w:r>
    </w:p>
    <w:p w:rsidR="00041DC6" w:rsidRDefault="00041DC6" w:rsidP="00C03C08">
      <w:pPr>
        <w:pStyle w:val="Default"/>
        <w:widowControl w:val="0"/>
        <w:spacing w:after="120"/>
        <w:jc w:val="both"/>
        <w:rPr>
          <w:bCs/>
        </w:rPr>
      </w:pPr>
      <w:r>
        <w:rPr>
          <w:bCs/>
        </w:rPr>
        <w:t xml:space="preserve">Same as </w:t>
      </w:r>
      <w:r w:rsidRPr="00C03C08">
        <w:rPr>
          <w:lang w:eastAsia="en-GB"/>
        </w:rPr>
        <w:t>Option</w:t>
      </w:r>
      <w:r>
        <w:rPr>
          <w:bCs/>
        </w:rPr>
        <w:t xml:space="preserve"> 1, but:</w:t>
      </w:r>
    </w:p>
    <w:p w:rsidR="00297D1C" w:rsidRDefault="00297D1C" w:rsidP="00297D1C">
      <w:pPr>
        <w:pStyle w:val="Text1"/>
        <w:numPr>
          <w:ilvl w:val="0"/>
          <w:numId w:val="37"/>
        </w:numPr>
        <w:ind w:left="426" w:hanging="426"/>
        <w:rPr>
          <w:bCs/>
          <w:szCs w:val="24"/>
        </w:rPr>
      </w:pPr>
      <w:r w:rsidRPr="00C03C08">
        <w:rPr>
          <w:bCs/>
          <w:szCs w:val="24"/>
        </w:rPr>
        <w:t>Covering</w:t>
      </w:r>
      <w:r w:rsidR="00D15CCB">
        <w:rPr>
          <w:bCs/>
          <w:szCs w:val="24"/>
        </w:rPr>
        <w:t xml:space="preserve"> all types of Oo</w:t>
      </w:r>
      <w:r>
        <w:rPr>
          <w:bCs/>
          <w:szCs w:val="24"/>
        </w:rPr>
        <w:t xml:space="preserve">C works, with a similar attachment to a single MS as in Option 1. Licences would have to be sought in the </w:t>
      </w:r>
      <w:r w:rsidRPr="00E1655D">
        <w:rPr>
          <w:bCs/>
          <w:szCs w:val="24"/>
        </w:rPr>
        <w:t>MS of first publication or, in the absence of publication, first broadcast</w:t>
      </w:r>
      <w:r>
        <w:rPr>
          <w:bCs/>
          <w:szCs w:val="24"/>
        </w:rPr>
        <w:t>,</w:t>
      </w:r>
      <w:r w:rsidRPr="00E1655D">
        <w:rPr>
          <w:bCs/>
          <w:szCs w:val="24"/>
        </w:rPr>
        <w:t xml:space="preserve"> </w:t>
      </w:r>
      <w:r>
        <w:rPr>
          <w:bCs/>
          <w:szCs w:val="24"/>
        </w:rPr>
        <w:t xml:space="preserve">or – </w:t>
      </w:r>
      <w:r w:rsidRPr="00E1655D">
        <w:rPr>
          <w:bCs/>
          <w:szCs w:val="24"/>
        </w:rPr>
        <w:t xml:space="preserve">in the case of cinematographic or </w:t>
      </w:r>
      <w:r w:rsidR="00F506EA">
        <w:rPr>
          <w:bCs/>
          <w:szCs w:val="24"/>
        </w:rPr>
        <w:t xml:space="preserve">AV </w:t>
      </w:r>
      <w:r w:rsidRPr="00E1655D">
        <w:rPr>
          <w:bCs/>
          <w:szCs w:val="24"/>
        </w:rPr>
        <w:t>works</w:t>
      </w:r>
      <w:r>
        <w:rPr>
          <w:bCs/>
          <w:szCs w:val="24"/>
        </w:rPr>
        <w:t xml:space="preserve"> – the MS where the </w:t>
      </w:r>
      <w:r w:rsidRPr="00E1655D">
        <w:rPr>
          <w:bCs/>
          <w:szCs w:val="24"/>
        </w:rPr>
        <w:t>headquarters or habitual residence of the producer</w:t>
      </w:r>
      <w:r>
        <w:rPr>
          <w:bCs/>
          <w:szCs w:val="24"/>
        </w:rPr>
        <w:t xml:space="preserve"> is located</w:t>
      </w:r>
      <w:r w:rsidRPr="00E1655D">
        <w:rPr>
          <w:bCs/>
          <w:szCs w:val="24"/>
        </w:rPr>
        <w:t>.</w:t>
      </w:r>
      <w:r>
        <w:rPr>
          <w:rStyle w:val="FootnoteReference"/>
          <w:bCs/>
          <w:szCs w:val="24"/>
        </w:rPr>
        <w:footnoteReference w:id="216"/>
      </w:r>
      <w:r>
        <w:rPr>
          <w:bCs/>
          <w:szCs w:val="24"/>
        </w:rPr>
        <w:t xml:space="preserve"> </w:t>
      </w:r>
      <w:r w:rsidRPr="00716D4C">
        <w:rPr>
          <w:bCs/>
          <w:szCs w:val="24"/>
        </w:rPr>
        <w:t xml:space="preserve">In cases where attachment to a MS </w:t>
      </w:r>
      <w:r>
        <w:rPr>
          <w:bCs/>
          <w:szCs w:val="24"/>
        </w:rPr>
        <w:t xml:space="preserve">(or to a third country, in which case the mechanism could not be used) </w:t>
      </w:r>
      <w:r w:rsidRPr="00716D4C">
        <w:rPr>
          <w:bCs/>
          <w:szCs w:val="24"/>
        </w:rPr>
        <w:t>cannot be established with cer</w:t>
      </w:r>
      <w:r w:rsidRPr="009E6A03">
        <w:rPr>
          <w:bCs/>
          <w:szCs w:val="24"/>
        </w:rPr>
        <w:t>tainty after reasonable efforts, the licence would have to be sought in the MS where the CHI is established.</w:t>
      </w:r>
    </w:p>
    <w:p w:rsidR="00041DC6" w:rsidRDefault="00041DC6" w:rsidP="007D6CF3">
      <w:pPr>
        <w:pStyle w:val="Text1"/>
        <w:numPr>
          <w:ilvl w:val="0"/>
          <w:numId w:val="37"/>
        </w:numPr>
        <w:ind w:left="426" w:hanging="426"/>
        <w:rPr>
          <w:color w:val="000000"/>
          <w:szCs w:val="24"/>
        </w:rPr>
      </w:pPr>
      <w:r w:rsidRPr="001324DF">
        <w:rPr>
          <w:szCs w:val="24"/>
        </w:rPr>
        <w:t xml:space="preserve">A </w:t>
      </w:r>
      <w:r w:rsidRPr="001324DF">
        <w:rPr>
          <w:bCs/>
          <w:szCs w:val="24"/>
        </w:rPr>
        <w:t xml:space="preserve">work would be considered </w:t>
      </w:r>
      <w:r w:rsidR="00D15CCB">
        <w:rPr>
          <w:bCs/>
          <w:szCs w:val="24"/>
        </w:rPr>
        <w:t>Oo</w:t>
      </w:r>
      <w:r>
        <w:rPr>
          <w:bCs/>
          <w:szCs w:val="24"/>
        </w:rPr>
        <w:t>C</w:t>
      </w:r>
      <w:r w:rsidRPr="001324DF">
        <w:rPr>
          <w:bCs/>
          <w:szCs w:val="24"/>
        </w:rPr>
        <w:t xml:space="preserve"> when </w:t>
      </w:r>
      <w:r w:rsidRPr="001324DF">
        <w:rPr>
          <w:szCs w:val="24"/>
        </w:rPr>
        <w:t xml:space="preserve">the whole work is, in all its translations, versions and manifestations, not </w:t>
      </w:r>
      <w:r>
        <w:rPr>
          <w:szCs w:val="24"/>
        </w:rPr>
        <w:t xml:space="preserve">being </w:t>
      </w:r>
      <w:r w:rsidRPr="001324DF">
        <w:rPr>
          <w:szCs w:val="24"/>
        </w:rPr>
        <w:t xml:space="preserve">communicated, made available </w:t>
      </w:r>
      <w:r>
        <w:rPr>
          <w:szCs w:val="24"/>
        </w:rPr>
        <w:t>or</w:t>
      </w:r>
      <w:r w:rsidRPr="001324DF">
        <w:rPr>
          <w:szCs w:val="24"/>
        </w:rPr>
        <w:t xml:space="preserve"> distributed to the public through customary channels of access, and can</w:t>
      </w:r>
      <w:r>
        <w:rPr>
          <w:szCs w:val="24"/>
        </w:rPr>
        <w:t>not</w:t>
      </w:r>
      <w:r w:rsidRPr="001324DF">
        <w:rPr>
          <w:szCs w:val="24"/>
        </w:rPr>
        <w:t xml:space="preserve"> be reasonably expected to become so.</w:t>
      </w:r>
      <w:r>
        <w:rPr>
          <w:color w:val="000000"/>
          <w:szCs w:val="24"/>
        </w:rPr>
        <w:t xml:space="preserve"> </w:t>
      </w:r>
      <w:r w:rsidRPr="000A2B94">
        <w:rPr>
          <w:bCs/>
          <w:szCs w:val="24"/>
        </w:rPr>
        <w:t xml:space="preserve">MS </w:t>
      </w:r>
      <w:r>
        <w:rPr>
          <w:bCs/>
          <w:szCs w:val="24"/>
        </w:rPr>
        <w:t xml:space="preserve">would have the same possibility as in Option 1 </w:t>
      </w:r>
      <w:r w:rsidRPr="000A2B94">
        <w:rPr>
          <w:bCs/>
          <w:szCs w:val="24"/>
        </w:rPr>
        <w:t>to establish further national-specific criteria</w:t>
      </w:r>
      <w:r>
        <w:rPr>
          <w:bCs/>
          <w:szCs w:val="24"/>
        </w:rPr>
        <w:t>.</w:t>
      </w:r>
    </w:p>
    <w:p w:rsidR="00041DC6" w:rsidRPr="00C03C08" w:rsidRDefault="00041DC6" w:rsidP="00041DC6">
      <w:pPr>
        <w:pBdr>
          <w:top w:val="single" w:sz="4" w:space="1" w:color="auto"/>
          <w:left w:val="single" w:sz="4" w:space="3" w:color="auto"/>
          <w:bottom w:val="single" w:sz="4" w:space="1" w:color="auto"/>
          <w:right w:val="single" w:sz="4" w:space="4" w:color="auto"/>
        </w:pBdr>
        <w:shd w:val="clear" w:color="auto" w:fill="D9D9D9"/>
        <w:spacing w:after="0" w:line="240" w:lineRule="auto"/>
        <w:jc w:val="both"/>
        <w:rPr>
          <w:rFonts w:ascii="Times New Roman" w:hAnsi="Times New Roman"/>
          <w:i/>
          <w:color w:val="000000"/>
          <w:sz w:val="20"/>
          <w:szCs w:val="20"/>
          <w:lang w:eastAsia="en-GB"/>
        </w:rPr>
      </w:pPr>
      <w:r w:rsidRPr="00C03C08">
        <w:rPr>
          <w:rFonts w:ascii="Times New Roman" w:hAnsi="Times New Roman"/>
          <w:i/>
          <w:color w:val="000000"/>
          <w:sz w:val="20"/>
          <w:szCs w:val="20"/>
          <w:lang w:eastAsia="en-GB"/>
        </w:rPr>
        <w:t>Stakeholder views</w:t>
      </w:r>
    </w:p>
    <w:p w:rsidR="00041DC6" w:rsidRPr="00C03C08" w:rsidRDefault="00041DC6" w:rsidP="00041DC6">
      <w:pPr>
        <w:pBdr>
          <w:top w:val="single" w:sz="4" w:space="1" w:color="auto"/>
          <w:left w:val="single" w:sz="4" w:space="3" w:color="auto"/>
          <w:bottom w:val="single" w:sz="4" w:space="1" w:color="auto"/>
          <w:right w:val="single" w:sz="4" w:space="4" w:color="auto"/>
        </w:pBdr>
        <w:shd w:val="clear" w:color="auto" w:fill="D9D9D9"/>
        <w:spacing w:after="120" w:line="240" w:lineRule="auto"/>
        <w:jc w:val="both"/>
        <w:rPr>
          <w:rFonts w:ascii="Times New Roman" w:hAnsi="Times New Roman"/>
          <w:b/>
          <w:sz w:val="20"/>
          <w:szCs w:val="20"/>
        </w:rPr>
      </w:pPr>
      <w:r w:rsidRPr="00C03C08">
        <w:rPr>
          <w:rFonts w:ascii="Times New Roman" w:hAnsi="Times New Roman"/>
          <w:color w:val="000000"/>
          <w:sz w:val="20"/>
          <w:szCs w:val="20"/>
          <w:lang w:eastAsia="en-GB"/>
        </w:rPr>
        <w:t>A number of CHIs and CHI professionals, notably national librarians, would be positive about this option as the intervention covers all categories of works and is in line with certain national experiences that they consider successful. Others would still not find it satisfactory, given their preference for an exception.</w:t>
      </w:r>
      <w:r w:rsidRPr="00C03C08">
        <w:rPr>
          <w:rStyle w:val="FootnoteReference"/>
          <w:rFonts w:ascii="Times New Roman" w:hAnsi="Times New Roman"/>
          <w:color w:val="000000"/>
          <w:sz w:val="20"/>
          <w:szCs w:val="20"/>
          <w:lang w:eastAsia="en-GB"/>
        </w:rPr>
        <w:footnoteReference w:id="217"/>
      </w:r>
      <w:r w:rsidRPr="00C03C08">
        <w:rPr>
          <w:rFonts w:ascii="Times New Roman" w:hAnsi="Times New Roman"/>
          <w:color w:val="000000"/>
          <w:sz w:val="20"/>
          <w:szCs w:val="20"/>
          <w:lang w:eastAsia="en-GB"/>
        </w:rPr>
        <w:t xml:space="preserve"> Some </w:t>
      </w:r>
      <w:r w:rsidR="004D059D">
        <w:rPr>
          <w:rFonts w:ascii="Times New Roman" w:hAnsi="Times New Roman"/>
          <w:color w:val="000000"/>
          <w:sz w:val="20"/>
          <w:szCs w:val="20"/>
          <w:lang w:eastAsia="en-GB"/>
        </w:rPr>
        <w:t>r</w:t>
      </w:r>
      <w:r w:rsidR="00007677">
        <w:rPr>
          <w:rFonts w:ascii="Times New Roman" w:hAnsi="Times New Roman"/>
          <w:color w:val="000000"/>
          <w:sz w:val="20"/>
          <w:szCs w:val="20"/>
          <w:lang w:eastAsia="en-GB"/>
        </w:rPr>
        <w:t>ightholders</w:t>
      </w:r>
      <w:r w:rsidRPr="00C03C08">
        <w:rPr>
          <w:rFonts w:ascii="Times New Roman" w:hAnsi="Times New Roman"/>
          <w:color w:val="000000"/>
          <w:sz w:val="20"/>
          <w:szCs w:val="20"/>
          <w:lang w:eastAsia="en-GB"/>
        </w:rPr>
        <w:t>, for instance among authors and CMOs would also find the large scope of the option satisfactory, and engage in the stakeholder processes that the option foresees. Other segments of the industry, for example newspaper publishers, commercial broadcasters and film and record producers, would not support this option, also in view of its reliance on collective management.</w:t>
      </w:r>
      <w:r w:rsidRPr="00C03C08">
        <w:rPr>
          <w:rStyle w:val="FootnoteReference"/>
          <w:rFonts w:ascii="Times New Roman" w:hAnsi="Times New Roman"/>
          <w:color w:val="000000"/>
          <w:sz w:val="20"/>
          <w:szCs w:val="20"/>
          <w:lang w:eastAsia="en-GB"/>
        </w:rPr>
        <w:footnoteReference w:id="218"/>
      </w:r>
    </w:p>
    <w:p w:rsidR="009D59CB" w:rsidRDefault="009D59CB">
      <w:pPr>
        <w:rPr>
          <w:rFonts w:ascii="Times New Roman" w:eastAsia="Times New Roman" w:hAnsi="Times New Roman" w:cs="Times New Roman"/>
          <w:b/>
          <w:bCs/>
          <w:sz w:val="24"/>
          <w:szCs w:val="24"/>
          <w:lang w:eastAsia="en-GB"/>
        </w:rPr>
      </w:pPr>
      <w:r>
        <w:br w:type="page"/>
      </w:r>
    </w:p>
    <w:p w:rsidR="00041DC6" w:rsidRDefault="00041DC6" w:rsidP="00CF38F1">
      <w:pPr>
        <w:pStyle w:val="Heading3"/>
      </w:pPr>
      <w:bookmarkStart w:id="47" w:name="_Toc461114717"/>
      <w:r w:rsidRPr="00ED79C5">
        <w:t>What are the impacts of the different policy options and who will be affected?</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41DC6" w:rsidRPr="00C85CE8" w:rsidTr="00023ED9">
        <w:tc>
          <w:tcPr>
            <w:tcW w:w="9288" w:type="dxa"/>
            <w:shd w:val="clear" w:color="auto" w:fill="auto"/>
          </w:tcPr>
          <w:p w:rsidR="00041DC6" w:rsidRPr="00C32C45" w:rsidRDefault="00041DC6" w:rsidP="00023ED9">
            <w:pPr>
              <w:spacing w:after="0" w:line="240" w:lineRule="auto"/>
              <w:jc w:val="both"/>
              <w:rPr>
                <w:rFonts w:ascii="Times New Roman" w:hAnsi="Times New Roman"/>
                <w:b/>
                <w:i/>
                <w:sz w:val="20"/>
                <w:szCs w:val="20"/>
                <w:lang w:eastAsia="en-GB"/>
              </w:rPr>
            </w:pPr>
            <w:r w:rsidRPr="00C32C45">
              <w:rPr>
                <w:rFonts w:ascii="Times New Roman" w:hAnsi="Times New Roman"/>
                <w:b/>
                <w:i/>
                <w:sz w:val="20"/>
                <w:szCs w:val="20"/>
                <w:lang w:eastAsia="en-GB"/>
              </w:rPr>
              <w:t>Approach</w:t>
            </w:r>
          </w:p>
          <w:p w:rsidR="00041DC6" w:rsidRPr="00C32C45" w:rsidRDefault="00041DC6" w:rsidP="00023ED9">
            <w:pPr>
              <w:spacing w:after="0" w:line="240" w:lineRule="auto"/>
              <w:jc w:val="both"/>
              <w:rPr>
                <w:rFonts w:ascii="Times New Roman" w:hAnsi="Times New Roman"/>
                <w:sz w:val="20"/>
                <w:szCs w:val="20"/>
                <w:lang w:eastAsia="en-GB"/>
              </w:rPr>
            </w:pPr>
            <w:r w:rsidRPr="00C32C45">
              <w:rPr>
                <w:rFonts w:ascii="Times New Roman" w:hAnsi="Times New Roman"/>
                <w:sz w:val="20"/>
                <w:szCs w:val="20"/>
                <w:lang w:eastAsia="en-GB"/>
              </w:rPr>
              <w:t>The options presented above would mainly affect institutional users (CHIs) (and by extension people with an interest in accessing digitised cultural heritage through them, i.e. end-users)</w:t>
            </w:r>
            <w:r w:rsidR="00D15CCB">
              <w:rPr>
                <w:rFonts w:ascii="Times New Roman" w:hAnsi="Times New Roman"/>
                <w:sz w:val="20"/>
                <w:szCs w:val="20"/>
                <w:lang w:eastAsia="en-GB"/>
              </w:rPr>
              <w:t xml:space="preserve">, as well as </w:t>
            </w:r>
            <w:r w:rsidR="004D059D">
              <w:rPr>
                <w:rFonts w:ascii="Times New Roman" w:hAnsi="Times New Roman"/>
                <w:sz w:val="20"/>
                <w:szCs w:val="20"/>
                <w:lang w:eastAsia="en-GB"/>
              </w:rPr>
              <w:t>r</w:t>
            </w:r>
            <w:r w:rsidR="00007677">
              <w:rPr>
                <w:rFonts w:ascii="Times New Roman" w:hAnsi="Times New Roman"/>
                <w:sz w:val="20"/>
                <w:szCs w:val="20"/>
                <w:lang w:eastAsia="en-GB"/>
              </w:rPr>
              <w:t>ightholders</w:t>
            </w:r>
            <w:r w:rsidR="00D15CCB">
              <w:rPr>
                <w:rFonts w:ascii="Times New Roman" w:hAnsi="Times New Roman"/>
                <w:sz w:val="20"/>
                <w:szCs w:val="20"/>
                <w:lang w:eastAsia="en-GB"/>
              </w:rPr>
              <w:t xml:space="preserve"> in Oo</w:t>
            </w:r>
            <w:r w:rsidRPr="00C32C45">
              <w:rPr>
                <w:rFonts w:ascii="Times New Roman" w:hAnsi="Times New Roman"/>
                <w:sz w:val="20"/>
                <w:szCs w:val="20"/>
                <w:lang w:eastAsia="en-GB"/>
              </w:rPr>
              <w:t>C works held by CHIs (and, by extension, CMOs). The impacts affecting these two groups are presented separately.</w:t>
            </w:r>
          </w:p>
          <w:p w:rsidR="00041DC6" w:rsidRPr="00C32C45" w:rsidRDefault="00041DC6" w:rsidP="007D6CF3">
            <w:pPr>
              <w:numPr>
                <w:ilvl w:val="0"/>
                <w:numId w:val="27"/>
              </w:numPr>
              <w:tabs>
                <w:tab w:val="left" w:pos="0"/>
              </w:tabs>
              <w:spacing w:after="0" w:line="240" w:lineRule="auto"/>
              <w:contextualSpacing/>
              <w:jc w:val="both"/>
              <w:rPr>
                <w:rFonts w:ascii="Times New Roman" w:hAnsi="Times New Roman"/>
                <w:sz w:val="20"/>
                <w:szCs w:val="20"/>
                <w:lang w:eastAsia="en-GB"/>
              </w:rPr>
            </w:pPr>
            <w:r w:rsidRPr="00C32C45">
              <w:rPr>
                <w:rFonts w:ascii="Times New Roman" w:hAnsi="Times New Roman"/>
                <w:sz w:val="20"/>
                <w:szCs w:val="20"/>
                <w:lang w:eastAsia="en-GB"/>
              </w:rPr>
              <w:t xml:space="preserve">For </w:t>
            </w:r>
            <w:r w:rsidRPr="00C32C45">
              <w:rPr>
                <w:rFonts w:ascii="Times New Roman" w:hAnsi="Times New Roman"/>
                <w:sz w:val="20"/>
                <w:szCs w:val="20"/>
                <w:u w:val="single"/>
                <w:lang w:eastAsia="en-GB"/>
              </w:rPr>
              <w:t>CHIs</w:t>
            </w:r>
            <w:r w:rsidRPr="00C32C45">
              <w:rPr>
                <w:rFonts w:ascii="Times New Roman" w:hAnsi="Times New Roman"/>
                <w:sz w:val="20"/>
                <w:szCs w:val="20"/>
                <w:lang w:eastAsia="en-GB"/>
              </w:rPr>
              <w:t xml:space="preserve">, the impact on lower transaction costs and the possibility to carry out-cross-border uses was assessed, with reference to the possibility for CHIs to obtain collective licences </w:t>
            </w:r>
            <w:r>
              <w:rPr>
                <w:rFonts w:ascii="Times New Roman" w:hAnsi="Times New Roman"/>
                <w:sz w:val="20"/>
                <w:szCs w:val="20"/>
                <w:lang w:eastAsia="en-GB"/>
              </w:rPr>
              <w:t>with</w:t>
            </w:r>
            <w:r w:rsidRPr="00C32C45">
              <w:rPr>
                <w:rFonts w:ascii="Times New Roman" w:hAnsi="Times New Roman"/>
                <w:sz w:val="20"/>
                <w:szCs w:val="20"/>
                <w:lang w:eastAsia="en-GB"/>
              </w:rPr>
              <w:t xml:space="preserve"> that effect.  These effects are both </w:t>
            </w:r>
            <w:r w:rsidRPr="00C32C45">
              <w:rPr>
                <w:rFonts w:ascii="Times New Roman" w:hAnsi="Times New Roman"/>
                <w:b/>
                <w:sz w:val="20"/>
                <w:szCs w:val="20"/>
                <w:lang w:eastAsia="en-GB"/>
              </w:rPr>
              <w:t>economic</w:t>
            </w:r>
            <w:r w:rsidRPr="00C32C45">
              <w:rPr>
                <w:rFonts w:ascii="Times New Roman" w:hAnsi="Times New Roman"/>
                <w:sz w:val="20"/>
                <w:szCs w:val="20"/>
                <w:lang w:eastAsia="en-GB"/>
              </w:rPr>
              <w:t xml:space="preserve"> and </w:t>
            </w:r>
            <w:r w:rsidRPr="00C32C45">
              <w:rPr>
                <w:rFonts w:ascii="Times New Roman" w:hAnsi="Times New Roman"/>
                <w:b/>
                <w:sz w:val="20"/>
                <w:szCs w:val="20"/>
                <w:lang w:eastAsia="en-GB"/>
              </w:rPr>
              <w:t>social</w:t>
            </w:r>
            <w:r w:rsidRPr="00C32C45">
              <w:rPr>
                <w:rFonts w:ascii="Times New Roman" w:hAnsi="Times New Roman"/>
                <w:sz w:val="20"/>
                <w:szCs w:val="20"/>
                <w:lang w:eastAsia="en-GB"/>
              </w:rPr>
              <w:t xml:space="preserve"> in nature, as they influence the availability of digitised cultural heritage in the EU. </w:t>
            </w:r>
          </w:p>
          <w:p w:rsidR="00041DC6" w:rsidRPr="00C32C45" w:rsidRDefault="00041DC6" w:rsidP="007D6CF3">
            <w:pPr>
              <w:numPr>
                <w:ilvl w:val="0"/>
                <w:numId w:val="27"/>
              </w:numPr>
              <w:tabs>
                <w:tab w:val="left" w:pos="0"/>
              </w:tabs>
              <w:spacing w:after="0" w:line="240" w:lineRule="auto"/>
              <w:contextualSpacing/>
              <w:jc w:val="both"/>
              <w:rPr>
                <w:rFonts w:ascii="Times New Roman" w:hAnsi="Times New Roman"/>
                <w:sz w:val="20"/>
                <w:szCs w:val="20"/>
                <w:lang w:eastAsia="en-GB"/>
              </w:rPr>
            </w:pPr>
            <w:r w:rsidRPr="00C32C45">
              <w:rPr>
                <w:rFonts w:ascii="Times New Roman" w:hAnsi="Times New Roman"/>
                <w:sz w:val="20"/>
                <w:szCs w:val="20"/>
                <w:lang w:eastAsia="en-GB"/>
              </w:rPr>
              <w:t xml:space="preserve">For </w:t>
            </w:r>
            <w:r w:rsidR="004D059D">
              <w:rPr>
                <w:rFonts w:ascii="Times New Roman" w:hAnsi="Times New Roman"/>
                <w:sz w:val="20"/>
                <w:szCs w:val="20"/>
                <w:u w:val="single"/>
                <w:lang w:eastAsia="en-GB"/>
              </w:rPr>
              <w:t>r</w:t>
            </w:r>
            <w:r w:rsidR="00007677">
              <w:rPr>
                <w:rFonts w:ascii="Times New Roman" w:hAnsi="Times New Roman"/>
                <w:sz w:val="20"/>
                <w:szCs w:val="20"/>
                <w:u w:val="single"/>
                <w:lang w:eastAsia="en-GB"/>
              </w:rPr>
              <w:t>ightholders</w:t>
            </w:r>
            <w:r w:rsidRPr="00C32C45">
              <w:rPr>
                <w:rFonts w:ascii="Times New Roman" w:hAnsi="Times New Roman"/>
                <w:sz w:val="20"/>
                <w:szCs w:val="20"/>
                <w:lang w:eastAsia="en-GB"/>
              </w:rPr>
              <w:t xml:space="preserve">, the following impacts, </w:t>
            </w:r>
            <w:r w:rsidRPr="00C32C45">
              <w:rPr>
                <w:rFonts w:ascii="Times New Roman" w:hAnsi="Times New Roman"/>
                <w:b/>
                <w:sz w:val="20"/>
                <w:szCs w:val="20"/>
                <w:lang w:eastAsia="en-GB"/>
              </w:rPr>
              <w:t>economic</w:t>
            </w:r>
            <w:r w:rsidRPr="00C32C45">
              <w:rPr>
                <w:rFonts w:ascii="Times New Roman" w:hAnsi="Times New Roman"/>
                <w:sz w:val="20"/>
                <w:szCs w:val="20"/>
                <w:lang w:eastAsia="en-GB"/>
              </w:rPr>
              <w:t xml:space="preserve"> in nature, were assessed: impacts (i) on revenues, (ii) on the exercise of rights (in other words, on their freedom not to have their works exploited or to exploit them directly and in ways other than by CHIs), and (iii) on possible administrative burden.</w:t>
            </w:r>
          </w:p>
          <w:p w:rsidR="00041DC6" w:rsidRPr="00C32C45" w:rsidRDefault="00041DC6" w:rsidP="00023ED9">
            <w:pPr>
              <w:tabs>
                <w:tab w:val="left" w:pos="0"/>
              </w:tabs>
              <w:spacing w:after="0" w:line="240" w:lineRule="auto"/>
              <w:jc w:val="both"/>
              <w:rPr>
                <w:rFonts w:ascii="Times New Roman" w:hAnsi="Times New Roman"/>
                <w:sz w:val="20"/>
                <w:szCs w:val="20"/>
                <w:lang w:eastAsia="en-GB"/>
              </w:rPr>
            </w:pPr>
            <w:r w:rsidRPr="00C32C45">
              <w:rPr>
                <w:rFonts w:ascii="Times New Roman" w:hAnsi="Times New Roman"/>
                <w:sz w:val="20"/>
                <w:szCs w:val="20"/>
                <w:lang w:eastAsia="en-GB"/>
              </w:rPr>
              <w:t xml:space="preserve">The policy options are also assessed in relation to their </w:t>
            </w:r>
            <w:r w:rsidRPr="00C32C45">
              <w:rPr>
                <w:rFonts w:ascii="Times New Roman" w:hAnsi="Times New Roman"/>
                <w:b/>
                <w:sz w:val="20"/>
                <w:szCs w:val="20"/>
                <w:lang w:eastAsia="en-GB"/>
              </w:rPr>
              <w:t xml:space="preserve">general social impacts </w:t>
            </w:r>
            <w:r w:rsidRPr="00C32C45">
              <w:rPr>
                <w:rFonts w:ascii="Times New Roman" w:hAnsi="Times New Roman"/>
                <w:sz w:val="20"/>
                <w:szCs w:val="20"/>
                <w:lang w:eastAsia="en-GB"/>
              </w:rPr>
              <w:t>(cultural diversity, the possibility for end users to have access to digitised cultural heritage, and influence on the general societal impacts of digitisation)</w:t>
            </w:r>
            <w:r w:rsidRPr="00C32C45">
              <w:rPr>
                <w:rStyle w:val="FootnoteReference"/>
                <w:rFonts w:ascii="Times New Roman" w:hAnsi="Times New Roman"/>
                <w:sz w:val="20"/>
                <w:szCs w:val="20"/>
                <w:lang w:eastAsia="en-GB"/>
              </w:rPr>
              <w:footnoteReference w:id="219"/>
            </w:r>
            <w:r w:rsidRPr="00C32C45">
              <w:rPr>
                <w:rFonts w:ascii="Times New Roman" w:hAnsi="Times New Roman"/>
                <w:sz w:val="20"/>
                <w:szCs w:val="20"/>
                <w:lang w:eastAsia="en-GB"/>
              </w:rPr>
              <w:t xml:space="preserve"> and as to the impacts on </w:t>
            </w:r>
            <w:r w:rsidRPr="00C32C45">
              <w:rPr>
                <w:rFonts w:ascii="Times New Roman" w:hAnsi="Times New Roman"/>
                <w:b/>
                <w:sz w:val="20"/>
                <w:szCs w:val="20"/>
                <w:lang w:eastAsia="en-GB"/>
              </w:rPr>
              <w:t>fundamental rights</w:t>
            </w:r>
            <w:r w:rsidRPr="00C32C45">
              <w:rPr>
                <w:rFonts w:ascii="Times New Roman" w:hAnsi="Times New Roman"/>
                <w:sz w:val="20"/>
                <w:szCs w:val="20"/>
                <w:lang w:eastAsia="en-GB"/>
              </w:rPr>
              <w:t xml:space="preserve"> (property right, freedom of the arts and sciences, and right to education). </w:t>
            </w:r>
          </w:p>
          <w:p w:rsidR="00041DC6" w:rsidRPr="007D4504" w:rsidRDefault="00041DC6" w:rsidP="00023ED9">
            <w:pPr>
              <w:tabs>
                <w:tab w:val="left" w:pos="0"/>
              </w:tabs>
              <w:spacing w:after="0" w:line="240" w:lineRule="auto"/>
              <w:jc w:val="both"/>
              <w:rPr>
                <w:rFonts w:ascii="Times New Roman" w:hAnsi="Times New Roman"/>
                <w:szCs w:val="20"/>
                <w:lang w:eastAsia="en-GB"/>
              </w:rPr>
            </w:pPr>
            <w:r w:rsidRPr="00C32C45">
              <w:rPr>
                <w:rFonts w:ascii="Times New Roman" w:hAnsi="Times New Roman"/>
                <w:sz w:val="20"/>
                <w:szCs w:val="20"/>
                <w:lang w:eastAsia="en-GB"/>
              </w:rPr>
              <w:t xml:space="preserve">The assessment below is mainly qualitative, as suitable data was not available to produce quantitative assessments. Quantitative examples of the transaction costs that the considered options aim to reduce are included in </w:t>
            </w:r>
            <w:r w:rsidRPr="006955B8">
              <w:rPr>
                <w:rFonts w:ascii="Times New Roman" w:hAnsi="Times New Roman"/>
                <w:sz w:val="20"/>
                <w:szCs w:val="20"/>
                <w:lang w:eastAsia="en-GB"/>
              </w:rPr>
              <w:t>Annex 9D</w:t>
            </w:r>
            <w:r w:rsidRPr="00C32C45">
              <w:rPr>
                <w:rFonts w:ascii="Times New Roman" w:hAnsi="Times New Roman"/>
                <w:sz w:val="20"/>
                <w:szCs w:val="20"/>
                <w:lang w:eastAsia="en-GB"/>
              </w:rPr>
              <w:t xml:space="preserve">.  Practical impacts are also illustrated in a dedicated case study under each of the three options, which can be found in </w:t>
            </w:r>
            <w:r w:rsidRPr="006955B8">
              <w:rPr>
                <w:rFonts w:ascii="Times New Roman" w:hAnsi="Times New Roman"/>
                <w:sz w:val="20"/>
                <w:szCs w:val="20"/>
                <w:lang w:eastAsia="en-GB"/>
              </w:rPr>
              <w:t>Annex 9H</w:t>
            </w:r>
            <w:r w:rsidRPr="00C32C45">
              <w:rPr>
                <w:rFonts w:ascii="Times New Roman" w:hAnsi="Times New Roman"/>
                <w:sz w:val="20"/>
                <w:szCs w:val="20"/>
                <w:lang w:eastAsia="en-GB"/>
              </w:rPr>
              <w:t>.</w:t>
            </w:r>
          </w:p>
        </w:tc>
      </w:tr>
    </w:tbl>
    <w:p w:rsidR="00041DC6" w:rsidRDefault="00041DC6" w:rsidP="00C03C08">
      <w:pPr>
        <w:pStyle w:val="Text1"/>
        <w:ind w:left="0"/>
        <w:rPr>
          <w:b/>
          <w:u w:val="single"/>
        </w:rPr>
      </w:pPr>
      <w:r w:rsidRPr="00B40470">
        <w:rPr>
          <w:b/>
          <w:u w:val="single"/>
        </w:rPr>
        <w:t>Baseline</w:t>
      </w:r>
    </w:p>
    <w:p w:rsidR="00041DC6" w:rsidRPr="00C32C45" w:rsidRDefault="00041DC6" w:rsidP="00C03C08">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 xml:space="preserve">Impacts on </w:t>
      </w:r>
      <w:r w:rsidRPr="00C03C08">
        <w:rPr>
          <w:rFonts w:ascii="Times New Roman Bold" w:hAnsi="Times New Roman Bold"/>
          <w:b/>
          <w:smallCaps/>
          <w:szCs w:val="24"/>
        </w:rPr>
        <w:t>stakeholders</w:t>
      </w:r>
    </w:p>
    <w:p w:rsidR="00041DC6" w:rsidRPr="001A2242" w:rsidRDefault="00041DC6" w:rsidP="00C03C08">
      <w:pPr>
        <w:pStyle w:val="Text1"/>
        <w:ind w:left="0"/>
        <w:rPr>
          <w:b/>
        </w:rPr>
      </w:pPr>
      <w:r w:rsidRPr="001A2242">
        <w:rPr>
          <w:b/>
        </w:rPr>
        <w:t>CHIs</w:t>
      </w:r>
    </w:p>
    <w:p w:rsidR="00041DC6" w:rsidRPr="0037506A" w:rsidRDefault="00041DC6" w:rsidP="00C03C08">
      <w:pPr>
        <w:pStyle w:val="Default"/>
        <w:widowControl w:val="0"/>
        <w:spacing w:after="120"/>
        <w:jc w:val="both"/>
        <w:rPr>
          <w:szCs w:val="20"/>
          <w:lang w:eastAsia="en-GB"/>
        </w:rPr>
      </w:pPr>
      <w:r>
        <w:rPr>
          <w:szCs w:val="20"/>
          <w:u w:val="single"/>
          <w:lang w:eastAsia="en-GB"/>
        </w:rPr>
        <w:t>Transaction costs and cross-border uses</w:t>
      </w:r>
      <w:r>
        <w:rPr>
          <w:szCs w:val="20"/>
          <w:lang w:eastAsia="en-GB"/>
        </w:rPr>
        <w:t xml:space="preserve">: This option would not have any direct impact on rights clearance and transaction costs and would entirely depend on the solutions available at national level. </w:t>
      </w:r>
      <w:r w:rsidRPr="00E36AA9">
        <w:rPr>
          <w:szCs w:val="20"/>
          <w:lang w:eastAsia="en-GB"/>
        </w:rPr>
        <w:t>CHIs</w:t>
      </w:r>
      <w:r>
        <w:rPr>
          <w:szCs w:val="20"/>
          <w:lang w:eastAsia="en-GB"/>
        </w:rPr>
        <w:t xml:space="preserve"> in MS whose legal frameworks already allow for licences also covering the rights of outsiders for the digi</w:t>
      </w:r>
      <w:r w:rsidR="00D15CCB">
        <w:rPr>
          <w:szCs w:val="20"/>
          <w:lang w:eastAsia="en-GB"/>
        </w:rPr>
        <w:t>tisation and dissemination of Oo</w:t>
      </w:r>
      <w:r>
        <w:rPr>
          <w:szCs w:val="20"/>
          <w:lang w:eastAsia="en-GB"/>
        </w:rPr>
        <w:t>C works</w:t>
      </w:r>
      <w:r>
        <w:rPr>
          <w:rStyle w:val="FootnoteReference"/>
          <w:szCs w:val="20"/>
          <w:lang w:eastAsia="en-GB"/>
        </w:rPr>
        <w:footnoteReference w:id="220"/>
      </w:r>
      <w:r>
        <w:rPr>
          <w:szCs w:val="20"/>
          <w:lang w:eastAsia="en-GB"/>
        </w:rPr>
        <w:t xml:space="preserve"> </w:t>
      </w:r>
      <w:r w:rsidRPr="00E36AA9">
        <w:rPr>
          <w:szCs w:val="20"/>
          <w:lang w:eastAsia="en-GB"/>
        </w:rPr>
        <w:t xml:space="preserve">would </w:t>
      </w:r>
      <w:r>
        <w:rPr>
          <w:szCs w:val="20"/>
          <w:lang w:eastAsia="en-GB"/>
        </w:rPr>
        <w:t xml:space="preserve">already </w:t>
      </w:r>
      <w:r w:rsidRPr="00E36AA9">
        <w:rPr>
          <w:szCs w:val="20"/>
          <w:lang w:eastAsia="en-GB"/>
        </w:rPr>
        <w:t xml:space="preserve">benefit from </w:t>
      </w:r>
      <w:r>
        <w:rPr>
          <w:szCs w:val="20"/>
          <w:lang w:eastAsia="en-GB"/>
        </w:rPr>
        <w:t xml:space="preserve">the possibility of substantially </w:t>
      </w:r>
      <w:r w:rsidRPr="00E36AA9">
        <w:rPr>
          <w:szCs w:val="20"/>
          <w:lang w:eastAsia="en-GB"/>
        </w:rPr>
        <w:t>low</w:t>
      </w:r>
      <w:r>
        <w:rPr>
          <w:szCs w:val="20"/>
          <w:lang w:eastAsia="en-GB"/>
        </w:rPr>
        <w:t>er</w:t>
      </w:r>
      <w:r w:rsidRPr="00E36AA9">
        <w:rPr>
          <w:szCs w:val="20"/>
          <w:lang w:eastAsia="en-GB"/>
        </w:rPr>
        <w:t xml:space="preserve"> transaction costs</w:t>
      </w:r>
      <w:r>
        <w:rPr>
          <w:szCs w:val="20"/>
          <w:lang w:eastAsia="en-GB"/>
        </w:rPr>
        <w:t>. The issues described in the description of the problem above would persist in the majority of MS, as that possibility is present in only a few MS, and mainly for books and other literary works (there are legal frameworks which could al</w:t>
      </w:r>
      <w:r w:rsidR="00D15CCB">
        <w:rPr>
          <w:szCs w:val="20"/>
          <w:lang w:eastAsia="en-GB"/>
        </w:rPr>
        <w:t>so be used for other types of Oo</w:t>
      </w:r>
      <w:r>
        <w:rPr>
          <w:szCs w:val="20"/>
          <w:lang w:eastAsia="en-GB"/>
        </w:rPr>
        <w:t>C works in an even smaller group of MS).</w:t>
      </w:r>
      <w:r>
        <w:rPr>
          <w:rStyle w:val="FootnoteReference"/>
          <w:szCs w:val="20"/>
          <w:lang w:eastAsia="en-GB"/>
        </w:rPr>
        <w:footnoteReference w:id="221"/>
      </w:r>
      <w:r>
        <w:rPr>
          <w:szCs w:val="20"/>
          <w:lang w:eastAsia="en-GB"/>
        </w:rPr>
        <w:t xml:space="preserve"> In the absence of EU intervention, licences concluded via these mechanisms covering outsiders, be them specific to certain types of works or not, would be valid for a single MS territory (at least as regards the rights of outsiders). Opportunities would be larger for literary works than in other sectors also because suitable licensing structures are widespread in this area and much less in others, like for film and audio-visual works.</w:t>
      </w:r>
      <w:r>
        <w:rPr>
          <w:rStyle w:val="FootnoteReference"/>
          <w:szCs w:val="20"/>
          <w:lang w:eastAsia="en-GB"/>
        </w:rPr>
        <w:footnoteReference w:id="222"/>
      </w:r>
      <w:r>
        <w:rPr>
          <w:szCs w:val="20"/>
          <w:lang w:eastAsia="en-GB"/>
        </w:rPr>
        <w:t xml:space="preserve"> Irrespective of the broader category of works, possibilities to obtain suitable collective licences could be limited for </w:t>
      </w:r>
      <w:r w:rsidRPr="00E36AA9">
        <w:rPr>
          <w:szCs w:val="20"/>
          <w:lang w:eastAsia="en-GB"/>
        </w:rPr>
        <w:t xml:space="preserve">works </w:t>
      </w:r>
      <w:r>
        <w:rPr>
          <w:szCs w:val="20"/>
          <w:lang w:eastAsia="en-GB"/>
        </w:rPr>
        <w:t>that CMOs do not traditionally licen</w:t>
      </w:r>
      <w:r w:rsidR="0083659F">
        <w:rPr>
          <w:szCs w:val="20"/>
          <w:lang w:eastAsia="en-GB"/>
        </w:rPr>
        <w:t>s</w:t>
      </w:r>
      <w:r>
        <w:rPr>
          <w:szCs w:val="20"/>
          <w:lang w:eastAsia="en-GB"/>
        </w:rPr>
        <w:t>e, for example because they have never been intended for commercial use,</w:t>
      </w:r>
      <w:r>
        <w:rPr>
          <w:rStyle w:val="FootnoteReference"/>
          <w:szCs w:val="20"/>
          <w:lang w:eastAsia="en-GB"/>
        </w:rPr>
        <w:footnoteReference w:id="223"/>
      </w:r>
      <w:r>
        <w:rPr>
          <w:szCs w:val="20"/>
          <w:lang w:eastAsia="en-GB"/>
        </w:rPr>
        <w:t xml:space="preserve"> due for example to lack of familiarity of CMOs with them and their </w:t>
      </w:r>
      <w:r w:rsidR="003B07E4">
        <w:rPr>
          <w:szCs w:val="20"/>
          <w:lang w:eastAsia="en-GB"/>
        </w:rPr>
        <w:t>r</w:t>
      </w:r>
      <w:r w:rsidR="00007677">
        <w:rPr>
          <w:szCs w:val="20"/>
          <w:lang w:eastAsia="en-GB"/>
        </w:rPr>
        <w:t>ightholders</w:t>
      </w:r>
      <w:r>
        <w:rPr>
          <w:szCs w:val="20"/>
          <w:lang w:eastAsia="en-GB"/>
        </w:rPr>
        <w:t xml:space="preserve">. </w:t>
      </w:r>
      <w:r w:rsidRPr="00E451D6">
        <w:rPr>
          <w:szCs w:val="20"/>
          <w:lang w:eastAsia="en-GB"/>
        </w:rPr>
        <w:t xml:space="preserve"> </w:t>
      </w:r>
    </w:p>
    <w:p w:rsidR="00041DC6" w:rsidRDefault="00041DC6" w:rsidP="00C03C08">
      <w:pPr>
        <w:pStyle w:val="Default"/>
        <w:widowControl w:val="0"/>
        <w:spacing w:after="120"/>
        <w:jc w:val="both"/>
        <w:rPr>
          <w:szCs w:val="20"/>
          <w:lang w:eastAsia="en-GB"/>
        </w:rPr>
      </w:pPr>
      <w:r>
        <w:rPr>
          <w:szCs w:val="20"/>
          <w:lang w:eastAsia="en-GB"/>
        </w:rPr>
        <w:t xml:space="preserve">Other </w:t>
      </w:r>
      <w:r w:rsidRPr="00E36AA9">
        <w:rPr>
          <w:szCs w:val="20"/>
          <w:lang w:eastAsia="en-GB"/>
        </w:rPr>
        <w:t>MS might decide in t</w:t>
      </w:r>
      <w:r>
        <w:rPr>
          <w:szCs w:val="20"/>
          <w:lang w:eastAsia="en-GB"/>
        </w:rPr>
        <w:t>he future to adapt their legal frameworks.</w:t>
      </w:r>
      <w:r w:rsidRPr="00E36AA9">
        <w:rPr>
          <w:szCs w:val="20"/>
          <w:lang w:eastAsia="en-GB"/>
        </w:rPr>
        <w:t xml:space="preserve"> </w:t>
      </w:r>
      <w:r>
        <w:rPr>
          <w:szCs w:val="20"/>
          <w:lang w:eastAsia="en-GB"/>
        </w:rPr>
        <w:t>Such evolution</w:t>
      </w:r>
      <w:r w:rsidRPr="00E36AA9">
        <w:rPr>
          <w:szCs w:val="20"/>
          <w:lang w:eastAsia="en-GB"/>
        </w:rPr>
        <w:t xml:space="preserve"> is </w:t>
      </w:r>
      <w:r>
        <w:rPr>
          <w:szCs w:val="20"/>
          <w:lang w:eastAsia="en-GB"/>
        </w:rPr>
        <w:t xml:space="preserve">however </w:t>
      </w:r>
      <w:r w:rsidRPr="00E36AA9">
        <w:rPr>
          <w:szCs w:val="20"/>
          <w:lang w:eastAsia="en-GB"/>
        </w:rPr>
        <w:t xml:space="preserve">entirely dependent on the will of individual MS, and </w:t>
      </w:r>
      <w:r>
        <w:rPr>
          <w:szCs w:val="20"/>
          <w:lang w:eastAsia="en-GB"/>
        </w:rPr>
        <w:t>would probably not take place</w:t>
      </w:r>
      <w:r w:rsidRPr="00E36AA9">
        <w:rPr>
          <w:szCs w:val="20"/>
          <w:lang w:eastAsia="en-GB"/>
        </w:rPr>
        <w:t xml:space="preserve"> in </w:t>
      </w:r>
      <w:r>
        <w:rPr>
          <w:szCs w:val="20"/>
          <w:lang w:eastAsia="en-GB"/>
        </w:rPr>
        <w:t xml:space="preserve">a </w:t>
      </w:r>
      <w:r w:rsidRPr="00E36AA9">
        <w:rPr>
          <w:szCs w:val="20"/>
          <w:lang w:eastAsia="en-GB"/>
        </w:rPr>
        <w:t xml:space="preserve">systematic manner, particularly </w:t>
      </w:r>
      <w:r>
        <w:rPr>
          <w:szCs w:val="20"/>
          <w:lang w:eastAsia="en-GB"/>
        </w:rPr>
        <w:t>beyond books and learned journals (where the 2011 MoU has generated momentum). Resulting licences would still be limited territorially.</w:t>
      </w:r>
    </w:p>
    <w:p w:rsidR="00041DC6" w:rsidRPr="001A2242" w:rsidRDefault="00007677" w:rsidP="00C03C08">
      <w:pPr>
        <w:pStyle w:val="Text1"/>
        <w:ind w:left="0"/>
        <w:rPr>
          <w:b/>
        </w:rPr>
      </w:pPr>
      <w:r>
        <w:rPr>
          <w:b/>
        </w:rPr>
        <w:t>Rightholders</w:t>
      </w:r>
    </w:p>
    <w:p w:rsidR="00041DC6" w:rsidRPr="00E70125" w:rsidRDefault="00041DC6" w:rsidP="00C03C08">
      <w:pPr>
        <w:pStyle w:val="Default"/>
        <w:widowControl w:val="0"/>
        <w:spacing w:after="120"/>
        <w:jc w:val="both"/>
        <w:rPr>
          <w:szCs w:val="20"/>
          <w:lang w:eastAsia="en-GB"/>
        </w:rPr>
      </w:pPr>
      <w:r>
        <w:rPr>
          <w:szCs w:val="20"/>
          <w:u w:val="single"/>
          <w:lang w:eastAsia="en-GB"/>
        </w:rPr>
        <w:t>Revenues</w:t>
      </w:r>
      <w:r>
        <w:rPr>
          <w:szCs w:val="20"/>
          <w:lang w:eastAsia="en-GB"/>
        </w:rPr>
        <w:t xml:space="preserve">: Possibilities for </w:t>
      </w:r>
      <w:r w:rsidR="003B07E4">
        <w:rPr>
          <w:szCs w:val="20"/>
          <w:lang w:eastAsia="en-GB"/>
        </w:rPr>
        <w:t>r</w:t>
      </w:r>
      <w:r w:rsidR="00007677">
        <w:rPr>
          <w:szCs w:val="20"/>
          <w:lang w:eastAsia="en-GB"/>
        </w:rPr>
        <w:t>ightholders</w:t>
      </w:r>
      <w:r>
        <w:rPr>
          <w:szCs w:val="20"/>
          <w:lang w:eastAsia="en-GB"/>
        </w:rPr>
        <w:t>, including outsiders, to receive new or extra revenue</w:t>
      </w:r>
      <w:r w:rsidR="00D15CCB">
        <w:rPr>
          <w:szCs w:val="20"/>
          <w:lang w:eastAsia="en-GB"/>
        </w:rPr>
        <w:t xml:space="preserve"> from collective licences for Oo</w:t>
      </w:r>
      <w:r>
        <w:rPr>
          <w:szCs w:val="20"/>
          <w:lang w:eastAsia="en-GB"/>
        </w:rPr>
        <w:t xml:space="preserve">C works </w:t>
      </w:r>
      <w:r w:rsidR="0039467D">
        <w:rPr>
          <w:szCs w:val="20"/>
          <w:lang w:eastAsia="en-GB"/>
        </w:rPr>
        <w:t xml:space="preserve">which already exist in MS </w:t>
      </w:r>
      <w:r>
        <w:rPr>
          <w:szCs w:val="20"/>
          <w:lang w:eastAsia="en-GB"/>
        </w:rPr>
        <w:t>can take the form of payments generated by the initial licences with CHIs, and from subsequent licensing opportunities stemming from the exposure of works that are otherwise not easily visible. Under the baseline scenario, these opportunities would not increase and be subject to the same limitations as regards MS territories and categories of works as discussed under "CHIs".</w:t>
      </w:r>
    </w:p>
    <w:p w:rsidR="00041DC6" w:rsidRDefault="00041DC6" w:rsidP="00C03C08">
      <w:pPr>
        <w:pStyle w:val="Default"/>
        <w:widowControl w:val="0"/>
        <w:spacing w:after="120"/>
        <w:jc w:val="both"/>
        <w:rPr>
          <w:szCs w:val="20"/>
          <w:lang w:eastAsia="en-GB"/>
        </w:rPr>
      </w:pPr>
      <w:r>
        <w:rPr>
          <w:szCs w:val="20"/>
          <w:u w:val="single"/>
          <w:lang w:eastAsia="en-GB"/>
        </w:rPr>
        <w:t>Impact on the exercise of rights</w:t>
      </w:r>
      <w:r w:rsidRPr="00A11027">
        <w:rPr>
          <w:szCs w:val="20"/>
          <w:lang w:eastAsia="en-GB"/>
        </w:rPr>
        <w:t>:</w:t>
      </w:r>
      <w:r>
        <w:rPr>
          <w:szCs w:val="20"/>
          <w:lang w:eastAsia="en-GB"/>
        </w:rPr>
        <w:t xml:space="preserve"> There would be no change for </w:t>
      </w:r>
      <w:r w:rsidR="003B07E4">
        <w:rPr>
          <w:szCs w:val="20"/>
          <w:lang w:eastAsia="en-GB"/>
        </w:rPr>
        <w:t>r</w:t>
      </w:r>
      <w:r w:rsidR="00007677">
        <w:rPr>
          <w:szCs w:val="20"/>
          <w:lang w:eastAsia="en-GB"/>
        </w:rPr>
        <w:t>ightholders</w:t>
      </w:r>
      <w:r>
        <w:rPr>
          <w:szCs w:val="20"/>
          <w:lang w:eastAsia="en-GB"/>
        </w:rPr>
        <w:t xml:space="preserve">. In those MS and for those categories of works for which mechanisms exist through which licences between CMOs and CHIs can also cover the rights of outsiders and suitable licensing structures are in place, </w:t>
      </w:r>
      <w:r w:rsidR="003B07E4">
        <w:rPr>
          <w:szCs w:val="20"/>
          <w:lang w:eastAsia="en-GB"/>
        </w:rPr>
        <w:t>r</w:t>
      </w:r>
      <w:r w:rsidR="00007677">
        <w:rPr>
          <w:szCs w:val="20"/>
          <w:lang w:eastAsia="en-GB"/>
        </w:rPr>
        <w:t>ightholders</w:t>
      </w:r>
      <w:r>
        <w:rPr>
          <w:szCs w:val="20"/>
          <w:lang w:eastAsia="en-GB"/>
        </w:rPr>
        <w:t xml:space="preserve"> should still retain the freedom to decide on the exploitation of their works through the opt-out possibilities that such schemes normally foresee.</w:t>
      </w:r>
      <w:r>
        <w:rPr>
          <w:rStyle w:val="FootnoteReference"/>
          <w:szCs w:val="20"/>
          <w:lang w:eastAsia="en-GB"/>
        </w:rPr>
        <w:footnoteReference w:id="224"/>
      </w:r>
      <w:r>
        <w:rPr>
          <w:szCs w:val="20"/>
          <w:lang w:eastAsia="en-GB"/>
        </w:rPr>
        <w:t xml:space="preserve"> </w:t>
      </w:r>
    </w:p>
    <w:p w:rsidR="00041DC6" w:rsidRDefault="00041DC6" w:rsidP="00C03C08">
      <w:pPr>
        <w:pStyle w:val="Default"/>
        <w:widowControl w:val="0"/>
        <w:spacing w:after="120"/>
        <w:jc w:val="both"/>
        <w:rPr>
          <w:szCs w:val="20"/>
          <w:lang w:eastAsia="en-GB"/>
        </w:rPr>
      </w:pPr>
      <w:r>
        <w:rPr>
          <w:szCs w:val="20"/>
          <w:u w:val="single"/>
          <w:lang w:eastAsia="en-GB"/>
        </w:rPr>
        <w:t xml:space="preserve">Possible </w:t>
      </w:r>
      <w:r w:rsidRPr="007D2E4F">
        <w:rPr>
          <w:szCs w:val="20"/>
          <w:u w:val="single"/>
          <w:lang w:eastAsia="en-GB"/>
        </w:rPr>
        <w:t>administrative burden</w:t>
      </w:r>
      <w:r>
        <w:rPr>
          <w:szCs w:val="20"/>
          <w:lang w:eastAsia="en-GB"/>
        </w:rPr>
        <w:t xml:space="preserve">: </w:t>
      </w:r>
      <w:r w:rsidR="009C3F95" w:rsidRPr="00AD57F7">
        <w:rPr>
          <w:szCs w:val="20"/>
          <w:lang w:eastAsia="en-GB"/>
        </w:rPr>
        <w:t xml:space="preserve">Existing </w:t>
      </w:r>
      <w:r w:rsidR="006D21E9">
        <w:rPr>
          <w:szCs w:val="20"/>
          <w:lang w:eastAsia="en-GB"/>
        </w:rPr>
        <w:t>licensing</w:t>
      </w:r>
      <w:r w:rsidR="0039467D" w:rsidRPr="009C3F95">
        <w:rPr>
          <w:szCs w:val="20"/>
          <w:lang w:eastAsia="en-GB"/>
        </w:rPr>
        <w:t xml:space="preserve"> mechanisms </w:t>
      </w:r>
      <w:r w:rsidR="009C3F95" w:rsidRPr="00AD57F7">
        <w:rPr>
          <w:szCs w:val="20"/>
          <w:lang w:eastAsia="en-GB"/>
        </w:rPr>
        <w:t xml:space="preserve">in some MS </w:t>
      </w:r>
      <w:r w:rsidR="0039467D" w:rsidRPr="009C3F95">
        <w:rPr>
          <w:szCs w:val="20"/>
          <w:lang w:eastAsia="en-GB"/>
        </w:rPr>
        <w:t xml:space="preserve">for the </w:t>
      </w:r>
      <w:r w:rsidR="009C3F95" w:rsidRPr="00AD57F7">
        <w:rPr>
          <w:szCs w:val="20"/>
          <w:lang w:eastAsia="en-GB"/>
        </w:rPr>
        <w:t>digitisation and dissemination</w:t>
      </w:r>
      <w:r w:rsidR="00D15CCB">
        <w:rPr>
          <w:szCs w:val="20"/>
          <w:lang w:eastAsia="en-GB"/>
        </w:rPr>
        <w:t xml:space="preserve"> of Oo</w:t>
      </w:r>
      <w:r w:rsidR="0039467D" w:rsidRPr="009C3F95">
        <w:rPr>
          <w:szCs w:val="20"/>
          <w:lang w:eastAsia="en-GB"/>
        </w:rPr>
        <w:t>C works</w:t>
      </w:r>
      <w:r w:rsidR="0039467D">
        <w:rPr>
          <w:szCs w:val="20"/>
          <w:lang w:eastAsia="en-GB"/>
        </w:rPr>
        <w:t xml:space="preserve"> may result in </w:t>
      </w:r>
      <w:r>
        <w:rPr>
          <w:szCs w:val="20"/>
          <w:lang w:eastAsia="en-GB"/>
        </w:rPr>
        <w:t xml:space="preserve">costs for </w:t>
      </w:r>
      <w:r w:rsidR="003B07E4">
        <w:rPr>
          <w:szCs w:val="20"/>
          <w:lang w:eastAsia="en-GB"/>
        </w:rPr>
        <w:t>r</w:t>
      </w:r>
      <w:r w:rsidR="00007677">
        <w:rPr>
          <w:szCs w:val="20"/>
          <w:lang w:eastAsia="en-GB"/>
        </w:rPr>
        <w:t>ightholders</w:t>
      </w:r>
      <w:r w:rsidR="0039467D">
        <w:rPr>
          <w:szCs w:val="20"/>
          <w:lang w:eastAsia="en-GB"/>
        </w:rPr>
        <w:t xml:space="preserve"> in relation to the </w:t>
      </w:r>
      <w:r>
        <w:rPr>
          <w:szCs w:val="20"/>
          <w:lang w:eastAsia="en-GB"/>
        </w:rPr>
        <w:t>exercis</w:t>
      </w:r>
      <w:r w:rsidR="0039467D">
        <w:rPr>
          <w:szCs w:val="20"/>
          <w:lang w:eastAsia="en-GB"/>
        </w:rPr>
        <w:t>e of</w:t>
      </w:r>
      <w:r>
        <w:rPr>
          <w:szCs w:val="20"/>
          <w:lang w:eastAsia="en-GB"/>
        </w:rPr>
        <w:t xml:space="preserve"> their opt-out possibility. Licensor CMOs can also incur specific costs related to the use of the existing mechanisms, for example related to publicity/transparency, the handling of opt-outs and the distribution of remuneration to outsiders.</w:t>
      </w:r>
      <w:r>
        <w:rPr>
          <w:rStyle w:val="FootnoteReference"/>
          <w:szCs w:val="20"/>
          <w:lang w:eastAsia="en-GB"/>
        </w:rPr>
        <w:footnoteReference w:id="225"/>
      </w:r>
      <w:r>
        <w:rPr>
          <w:szCs w:val="20"/>
          <w:lang w:eastAsia="en-GB"/>
        </w:rPr>
        <w:t xml:space="preserve"> The baseline scenario would have no impact as such in this area either, as these costs are only relevant where the mechanisms referred to in the previous paragraph already exist today. </w:t>
      </w:r>
    </w:p>
    <w:p w:rsidR="00041DC6" w:rsidRPr="00C32C45" w:rsidRDefault="00041DC6" w:rsidP="00C03C08">
      <w:pPr>
        <w:pStyle w:val="Text1"/>
        <w:ind w:left="0"/>
        <w:rPr>
          <w:rFonts w:ascii="Times New Roman Bold" w:hAnsi="Times New Roman Bold"/>
          <w:smallCaps/>
          <w:szCs w:val="24"/>
        </w:rPr>
      </w:pPr>
      <w:r w:rsidRPr="00C32C45">
        <w:rPr>
          <w:rFonts w:ascii="Times New Roman Bold" w:hAnsi="Times New Roman Bold"/>
          <w:b/>
          <w:smallCaps/>
          <w:szCs w:val="24"/>
        </w:rPr>
        <w:t xml:space="preserve">Social </w:t>
      </w:r>
      <w:r w:rsidRPr="00C03C08">
        <w:rPr>
          <w:rFonts w:ascii="Times New Roman Bold" w:eastAsia="Arial Unicode MS" w:hAnsi="Times New Roman Bold"/>
          <w:b/>
          <w:smallCaps/>
          <w:szCs w:val="24"/>
          <w:bdr w:val="none" w:sz="0" w:space="0" w:color="auto" w:frame="1"/>
        </w:rPr>
        <w:t>impacts</w:t>
      </w:r>
    </w:p>
    <w:p w:rsidR="00041DC6" w:rsidRPr="00DB5A9E" w:rsidRDefault="00041DC6" w:rsidP="00C03C08">
      <w:pPr>
        <w:pStyle w:val="Default"/>
        <w:widowControl w:val="0"/>
        <w:spacing w:after="120"/>
        <w:jc w:val="both"/>
      </w:pPr>
      <w:r w:rsidRPr="00DB5A9E">
        <w:t xml:space="preserve">No impact on cultural diversity in terms of access by people to a larger and more diverse set of works held in </w:t>
      </w:r>
      <w:r w:rsidRPr="00C03C08">
        <w:rPr>
          <w:szCs w:val="20"/>
          <w:lang w:eastAsia="en-GB"/>
        </w:rPr>
        <w:t>CHIs</w:t>
      </w:r>
      <w:r w:rsidRPr="00DB5A9E">
        <w:t xml:space="preserve"> and of incentives for creators to keep creating works.</w:t>
      </w:r>
    </w:p>
    <w:p w:rsidR="00041DC6" w:rsidRPr="00DB5A9E" w:rsidRDefault="00041DC6" w:rsidP="00C03C08">
      <w:pPr>
        <w:pStyle w:val="Default"/>
        <w:widowControl w:val="0"/>
        <w:spacing w:after="120"/>
        <w:jc w:val="both"/>
      </w:pPr>
      <w:r w:rsidRPr="00DB5A9E">
        <w:rPr>
          <w:szCs w:val="20"/>
          <w:lang w:eastAsia="en-GB"/>
        </w:rPr>
        <w:t>Additional opportunities for end-users to access their cultural heritage would be limited, as regards MS and types of works, as outlined under "CHIs" above.  The same limitations would more broadly apply to the social and economic impacts associated to digitisation.</w:t>
      </w:r>
      <w:r w:rsidRPr="00DB5A9E">
        <w:rPr>
          <w:rStyle w:val="FootnoteReference"/>
          <w:szCs w:val="20"/>
          <w:lang w:eastAsia="en-GB"/>
        </w:rPr>
        <w:footnoteReference w:id="226"/>
      </w:r>
      <w:r w:rsidRPr="00DB5A9E">
        <w:t xml:space="preserve"> </w:t>
      </w:r>
    </w:p>
    <w:p w:rsidR="00041DC6" w:rsidRPr="00DB5A9E" w:rsidRDefault="00041DC6" w:rsidP="00C03C08">
      <w:pPr>
        <w:pStyle w:val="Default"/>
        <w:widowControl w:val="0"/>
        <w:spacing w:after="120"/>
        <w:jc w:val="both"/>
      </w:pPr>
      <w:r w:rsidRPr="00DB5A9E">
        <w:t>No specific contribution to the EU's policy on digitisation and online accessibility of cultural heritage.</w:t>
      </w:r>
    </w:p>
    <w:p w:rsidR="00041DC6" w:rsidRPr="00C32C45" w:rsidRDefault="00041DC6" w:rsidP="00C03C08">
      <w:pPr>
        <w:pStyle w:val="Text1"/>
        <w:ind w:left="0"/>
        <w:rPr>
          <w:rFonts w:ascii="Times New Roman Bold" w:hAnsi="Times New Roman Bold"/>
          <w:b/>
          <w:smallCaps/>
          <w:szCs w:val="24"/>
        </w:rPr>
      </w:pPr>
      <w:r>
        <w:rPr>
          <w:rFonts w:ascii="Times New Roman Bold" w:hAnsi="Times New Roman Bold"/>
          <w:b/>
          <w:smallCaps/>
          <w:szCs w:val="24"/>
        </w:rPr>
        <w:t xml:space="preserve">Impacts on </w:t>
      </w:r>
      <w:r w:rsidRPr="00C03C08">
        <w:rPr>
          <w:rFonts w:ascii="Times New Roman Bold" w:eastAsia="Arial Unicode MS" w:hAnsi="Times New Roman Bold"/>
          <w:b/>
          <w:smallCaps/>
          <w:szCs w:val="24"/>
          <w:bdr w:val="none" w:sz="0" w:space="0" w:color="auto" w:frame="1"/>
        </w:rPr>
        <w:t>Fundamental</w:t>
      </w:r>
      <w:r w:rsidRPr="00C32C45">
        <w:rPr>
          <w:rFonts w:ascii="Times New Roman Bold" w:hAnsi="Times New Roman Bold"/>
          <w:b/>
          <w:smallCaps/>
          <w:szCs w:val="24"/>
        </w:rPr>
        <w:t xml:space="preserve"> rights</w:t>
      </w:r>
    </w:p>
    <w:p w:rsidR="00041DC6" w:rsidRDefault="00041DC6" w:rsidP="00C03C08">
      <w:pPr>
        <w:pStyle w:val="Default"/>
        <w:widowControl w:val="0"/>
        <w:spacing w:after="120"/>
        <w:jc w:val="both"/>
      </w:pPr>
      <w:r>
        <w:t>N</w:t>
      </w:r>
      <w:r w:rsidRPr="00E36AA9">
        <w:t xml:space="preserve">o impact on copyright as </w:t>
      </w:r>
      <w:r>
        <w:t xml:space="preserve">a </w:t>
      </w:r>
      <w:r w:rsidRPr="00E36AA9">
        <w:t xml:space="preserve">property right, as recognised by Article 17(2) of the </w:t>
      </w:r>
      <w:r w:rsidR="00BE5314">
        <w:t>Charter</w:t>
      </w:r>
      <w:r>
        <w:t>, nor any</w:t>
      </w:r>
      <w:r w:rsidRPr="00E36AA9">
        <w:t xml:space="preserve"> substantial impact on the arts and scientific research, relevant for the freedom of the art</w:t>
      </w:r>
      <w:r>
        <w:t>s and sciences (Article 13), and</w:t>
      </w:r>
      <w:r w:rsidRPr="00E36AA9">
        <w:t xml:space="preserve"> on education, protected under Article 14.</w:t>
      </w:r>
    </w:p>
    <w:p w:rsidR="00041DC6" w:rsidRDefault="00041DC6" w:rsidP="00C03C08">
      <w:pPr>
        <w:pStyle w:val="Text1"/>
        <w:ind w:left="0"/>
        <w:rPr>
          <w:b/>
          <w:u w:val="single"/>
        </w:rPr>
      </w:pPr>
      <w:r w:rsidRPr="00ED79C5">
        <w:rPr>
          <w:b/>
          <w:u w:val="single"/>
        </w:rPr>
        <w:t xml:space="preserve">Option 1 – EU legislative intervention (i) requiring MS to put in place legal mechanisms to facilitate collective licensing agreements </w:t>
      </w:r>
      <w:r w:rsidR="00D15CCB">
        <w:rPr>
          <w:b/>
          <w:u w:val="single"/>
        </w:rPr>
        <w:t>for Oo</w:t>
      </w:r>
      <w:r w:rsidRPr="00C03C08">
        <w:rPr>
          <w:b/>
          <w:u w:val="single"/>
        </w:rPr>
        <w:t>C books and learned journals</w:t>
      </w:r>
      <w:r w:rsidRPr="00C03C08">
        <w:footnoteReference w:id="227"/>
      </w:r>
      <w:r w:rsidRPr="00ED79C5">
        <w:rPr>
          <w:b/>
          <w:u w:val="single"/>
        </w:rPr>
        <w:t xml:space="preserve"> and to foster national stakeholder frameworks for these and other works, and (ii) giving cross-border effect to such legal mechanisms.</w:t>
      </w:r>
    </w:p>
    <w:p w:rsidR="00041DC6" w:rsidRDefault="00041DC6" w:rsidP="00C03C08">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Impacts on stakeholders</w:t>
      </w:r>
    </w:p>
    <w:p w:rsidR="00041DC6" w:rsidRPr="001A2242" w:rsidRDefault="00041DC6" w:rsidP="00C03C08">
      <w:pPr>
        <w:pStyle w:val="Text1"/>
        <w:ind w:left="0"/>
        <w:rPr>
          <w:b/>
        </w:rPr>
      </w:pPr>
      <w:r w:rsidRPr="001A2242">
        <w:rPr>
          <w:b/>
        </w:rPr>
        <w:t>CHIs</w:t>
      </w:r>
    </w:p>
    <w:p w:rsidR="00041DC6" w:rsidRDefault="00041DC6" w:rsidP="00C03C08">
      <w:pPr>
        <w:pStyle w:val="Default"/>
        <w:widowControl w:val="0"/>
        <w:spacing w:after="120"/>
        <w:jc w:val="both"/>
      </w:pPr>
      <w:r>
        <w:rPr>
          <w:u w:val="single"/>
        </w:rPr>
        <w:t>Transaction costs and cross-border uses</w:t>
      </w:r>
      <w:r>
        <w:t>: Option 1 would deliver solutions in all MS for books and learned journals. These could take the form o</w:t>
      </w:r>
      <w:r w:rsidR="003B07E4">
        <w:t xml:space="preserve">f </w:t>
      </w:r>
      <w:r>
        <w:t>ECLs, presumptions of representations or similar systems, depending on national circumstances. Combined with the large availability of collective licensing practices and CMOs in this sector, this would mean that the possibility for CHIs to benefit from lower transaction costs to obta</w:t>
      </w:r>
      <w:r w:rsidR="00D15CCB">
        <w:t>in comprehensive licences for Oo</w:t>
      </w:r>
      <w:r>
        <w:t xml:space="preserve">C books and learned journals would exist largely across Europe for this category of works. </w:t>
      </w:r>
      <w:r w:rsidRPr="007848D0">
        <w:t xml:space="preserve">For example, the transaction costs emerged in the digitisation project on the history of genetics mentioned in </w:t>
      </w:r>
      <w:r w:rsidRPr="00750BFB">
        <w:t>section 3.4.1,</w:t>
      </w:r>
      <w:r w:rsidRPr="007848D0">
        <w:t xml:space="preserve"> </w:t>
      </w:r>
      <w:r>
        <w:t>estimated at</w:t>
      </w:r>
      <w:r w:rsidRPr="007848D0">
        <w:t xml:space="preserve"> approximately GBP 45</w:t>
      </w:r>
      <w:r>
        <w:t>,</w:t>
      </w:r>
      <w:r w:rsidRPr="007848D0">
        <w:t xml:space="preserve">000 for 987 works made available, </w:t>
      </w:r>
      <w:r>
        <w:t>c</w:t>
      </w:r>
      <w:r w:rsidRPr="007848D0">
        <w:t xml:space="preserve">ould be reduced to the costs of negotiating </w:t>
      </w:r>
      <w:r>
        <w:t>one</w:t>
      </w:r>
      <w:r w:rsidRPr="007848D0">
        <w:t xml:space="preserve"> licence with the relevant CMO,</w:t>
      </w:r>
      <w:r w:rsidRPr="007848D0">
        <w:rPr>
          <w:rStyle w:val="FootnoteReference"/>
        </w:rPr>
        <w:footnoteReference w:id="228"/>
      </w:r>
      <w:r w:rsidRPr="007848D0">
        <w:t xml:space="preserve"> and this would be legally possible everywhere in the EU.</w:t>
      </w:r>
      <w:r>
        <w:t xml:space="preserve"> </w:t>
      </w:r>
    </w:p>
    <w:p w:rsidR="00041DC6" w:rsidRDefault="00041DC6" w:rsidP="00C03C08">
      <w:pPr>
        <w:pStyle w:val="Default"/>
        <w:widowControl w:val="0"/>
        <w:spacing w:after="120"/>
        <w:jc w:val="both"/>
      </w:pPr>
      <w:r>
        <w:t>The possibility to actually use those legal frameworks would be accelerated by the stakeholder frameworks that MS would have to put in place, helping to address practical issues, like for example the absence of suitable licensing structures in certain MS, CMOs' lack of familiarity with types of works that they do not traditionally licen</w:t>
      </w:r>
      <w:r w:rsidR="0083659F">
        <w:t>s</w:t>
      </w:r>
      <w:r>
        <w:t>e, the need for literary and visual works CMOs to work jointly (for embedded visual works), and other licensing aspects. Given the current estimations concerning individual rights clearance for books,</w:t>
      </w:r>
      <w:r w:rsidRPr="008866C7">
        <w:rPr>
          <w:vertAlign w:val="superscript"/>
        </w:rPr>
        <w:footnoteReference w:id="229"/>
      </w:r>
      <w:r>
        <w:t xml:space="preserve"> savings in transaction costs that this option would entail for CHIs across the EU are expected to be meaningful. </w:t>
      </w:r>
    </w:p>
    <w:p w:rsidR="00041DC6" w:rsidRDefault="00041DC6" w:rsidP="00C03C08">
      <w:pPr>
        <w:pStyle w:val="Default"/>
        <w:widowControl w:val="0"/>
        <w:spacing w:after="120"/>
        <w:jc w:val="both"/>
        <w:rPr>
          <w:bCs/>
        </w:rPr>
      </w:pPr>
      <w:r>
        <w:rPr>
          <w:bCs/>
        </w:rPr>
        <w:t xml:space="preserve">The above impacts would however only materialise in a substantial way for books and learned journals. </w:t>
      </w:r>
      <w:r w:rsidRPr="008866C7">
        <w:rPr>
          <w:bCs/>
        </w:rPr>
        <w:t xml:space="preserve">For </w:t>
      </w:r>
      <w:r>
        <w:rPr>
          <w:bCs/>
        </w:rPr>
        <w:t xml:space="preserve">other </w:t>
      </w:r>
      <w:r w:rsidRPr="008866C7">
        <w:rPr>
          <w:bCs/>
        </w:rPr>
        <w:t xml:space="preserve">works, </w:t>
      </w:r>
      <w:r>
        <w:rPr>
          <w:bCs/>
        </w:rPr>
        <w:t>the situation would be similar to the baseline scenario</w:t>
      </w:r>
      <w:r w:rsidRPr="00B10A28">
        <w:rPr>
          <w:bCs/>
        </w:rPr>
        <w:t xml:space="preserve"> </w:t>
      </w:r>
      <w:r>
        <w:rPr>
          <w:bCs/>
        </w:rPr>
        <w:t>in the short term.</w:t>
      </w:r>
      <w:r>
        <w:rPr>
          <w:rStyle w:val="FootnoteReference"/>
          <w:bCs/>
        </w:rPr>
        <w:footnoteReference w:id="230"/>
      </w:r>
      <w:r>
        <w:rPr>
          <w:bCs/>
        </w:rPr>
        <w:t xml:space="preserve"> </w:t>
      </w:r>
      <w:r>
        <w:t xml:space="preserve">In the long term, the </w:t>
      </w:r>
      <w:r>
        <w:rPr>
          <w:bCs/>
        </w:rPr>
        <w:t>stakeholder frameworks</w:t>
      </w:r>
      <w:r w:rsidRPr="008866C7">
        <w:rPr>
          <w:bCs/>
        </w:rPr>
        <w:t xml:space="preserve"> </w:t>
      </w:r>
      <w:r>
        <w:rPr>
          <w:bCs/>
        </w:rPr>
        <w:t>that the MS would have to foster</w:t>
      </w:r>
      <w:r w:rsidRPr="008866C7">
        <w:rPr>
          <w:bCs/>
        </w:rPr>
        <w:t xml:space="preserve"> could </w:t>
      </w:r>
      <w:r>
        <w:rPr>
          <w:bCs/>
        </w:rPr>
        <w:t xml:space="preserve">improve the situation to some extent, through processes similar to the 2011 MoU. These developments, which are </w:t>
      </w:r>
      <w:r w:rsidRPr="00C03C08">
        <w:t>difficult</w:t>
      </w:r>
      <w:r>
        <w:rPr>
          <w:bCs/>
        </w:rPr>
        <w:t xml:space="preserve"> to predict precisely, could in turn, but only in the even longer term, induce MS to adapt their legal frameworks at national level. The resulting licences would however still be limited territorially as this option would only give cross-border applicability to licences for books and learned journals.</w:t>
      </w:r>
    </w:p>
    <w:p w:rsidR="00041DC6" w:rsidRPr="001A2242" w:rsidRDefault="00007677" w:rsidP="00C03C08">
      <w:pPr>
        <w:pStyle w:val="Text1"/>
        <w:ind w:left="0"/>
        <w:rPr>
          <w:b/>
        </w:rPr>
      </w:pPr>
      <w:r>
        <w:rPr>
          <w:b/>
        </w:rPr>
        <w:t>Rightholders</w:t>
      </w:r>
    </w:p>
    <w:p w:rsidR="00041DC6" w:rsidRPr="00132AFC" w:rsidRDefault="00041DC6" w:rsidP="00C03C08">
      <w:pPr>
        <w:pStyle w:val="Default"/>
        <w:widowControl w:val="0"/>
        <w:spacing w:after="120"/>
        <w:jc w:val="both"/>
        <w:rPr>
          <w:bCs/>
        </w:rPr>
      </w:pPr>
      <w:r>
        <w:rPr>
          <w:szCs w:val="20"/>
          <w:u w:val="single"/>
          <w:lang w:eastAsia="en-GB"/>
        </w:rPr>
        <w:t>Revenues</w:t>
      </w:r>
      <w:r>
        <w:rPr>
          <w:szCs w:val="20"/>
          <w:lang w:eastAsia="en-GB"/>
        </w:rPr>
        <w:t xml:space="preserve">: New revenue opportunities for </w:t>
      </w:r>
      <w:r w:rsidR="003B07E4">
        <w:rPr>
          <w:szCs w:val="20"/>
          <w:lang w:eastAsia="en-GB"/>
        </w:rPr>
        <w:t>r</w:t>
      </w:r>
      <w:r w:rsidR="00007677">
        <w:rPr>
          <w:szCs w:val="20"/>
          <w:lang w:eastAsia="en-GB"/>
        </w:rPr>
        <w:t>ightholders</w:t>
      </w:r>
      <w:r>
        <w:rPr>
          <w:szCs w:val="20"/>
          <w:lang w:eastAsia="en-GB"/>
        </w:rPr>
        <w:t xml:space="preserve"> as described under the baseline scenario would </w:t>
      </w:r>
      <w:r w:rsidRPr="00C03C08">
        <w:rPr>
          <w:bCs/>
        </w:rPr>
        <w:t>potentially</w:t>
      </w:r>
      <w:r>
        <w:rPr>
          <w:szCs w:val="20"/>
          <w:lang w:eastAsia="en-GB"/>
        </w:rPr>
        <w:t xml:space="preserve"> emerge in all MS for books and learned journals.</w:t>
      </w:r>
      <w:r>
        <w:rPr>
          <w:bCs/>
        </w:rPr>
        <w:t xml:space="preserve"> </w:t>
      </w:r>
      <w:r>
        <w:rPr>
          <w:szCs w:val="20"/>
          <w:lang w:eastAsia="en-GB"/>
        </w:rPr>
        <w:t xml:space="preserve">Such opportunities would however not increase for </w:t>
      </w:r>
      <w:r w:rsidR="003B07E4">
        <w:rPr>
          <w:szCs w:val="20"/>
          <w:lang w:eastAsia="en-GB"/>
        </w:rPr>
        <w:t>r</w:t>
      </w:r>
      <w:r w:rsidR="00007677">
        <w:rPr>
          <w:szCs w:val="20"/>
          <w:lang w:eastAsia="en-GB"/>
        </w:rPr>
        <w:t>ightholders</w:t>
      </w:r>
      <w:r>
        <w:rPr>
          <w:szCs w:val="20"/>
          <w:lang w:eastAsia="en-GB"/>
        </w:rPr>
        <w:t xml:space="preserve"> in other types of works, or only in the long term as a consequence of the stakeholder frameworks which MS would have to foster.</w:t>
      </w:r>
    </w:p>
    <w:p w:rsidR="00297D1C" w:rsidRDefault="00297D1C" w:rsidP="00297D1C">
      <w:pPr>
        <w:pStyle w:val="Default"/>
        <w:widowControl w:val="0"/>
        <w:spacing w:after="120"/>
        <w:jc w:val="both"/>
        <w:rPr>
          <w:bCs/>
        </w:rPr>
      </w:pPr>
      <w:r>
        <w:rPr>
          <w:u w:val="single"/>
        </w:rPr>
        <w:t>Impact on the exercise of rights</w:t>
      </w:r>
      <w:r w:rsidRPr="00A11027">
        <w:t>:</w:t>
      </w:r>
      <w:r>
        <w:t xml:space="preserve"> </w:t>
      </w:r>
      <w:r w:rsidRPr="00F90AC4">
        <w:t xml:space="preserve">Option 1 would </w:t>
      </w:r>
      <w:r>
        <w:t xml:space="preserve">increase the scope for collective licensing, as opposed to individual licensing, </w:t>
      </w:r>
      <w:r w:rsidRPr="00F90AC4">
        <w:t xml:space="preserve">for </w:t>
      </w:r>
      <w:r>
        <w:t>the digitisation and disseminati</w:t>
      </w:r>
      <w:r w:rsidR="00D15CCB">
        <w:t>on of Oo</w:t>
      </w:r>
      <w:r>
        <w:t xml:space="preserve">C books and learned journals by CHIs. </w:t>
      </w:r>
      <w:r w:rsidR="0099184B">
        <w:t>However</w:t>
      </w:r>
      <w:r>
        <w:t xml:space="preserve">, the mechanism introduced by this </w:t>
      </w:r>
      <w:r w:rsidR="00273495">
        <w:t>o</w:t>
      </w:r>
      <w:r>
        <w:t xml:space="preserve">ption would remain of voluntary use and </w:t>
      </w:r>
      <w:r w:rsidR="003B07E4">
        <w:t>r</w:t>
      </w:r>
      <w:r w:rsidR="00007677">
        <w:t>ightholders</w:t>
      </w:r>
      <w:r>
        <w:t xml:space="preserve"> in books and learned journals would retain the possibility to prevent the dissemination of their works by a CHI. While members of licensor CMOs would do so by the normal management of their mandates to the CMO, o</w:t>
      </w:r>
      <w:r w:rsidRPr="00D53F3F">
        <w:t>utsiders would rely on the opt</w:t>
      </w:r>
      <w:r>
        <w:t xml:space="preserve">-out possibilities that </w:t>
      </w:r>
      <w:r w:rsidRPr="00C03C08">
        <w:rPr>
          <w:bCs/>
        </w:rPr>
        <w:t>licensing</w:t>
      </w:r>
      <w:r>
        <w:t xml:space="preserve"> mechanisms foreseen by this option would have to ensure. These would be compounded by adequate transparency/publicity measures on relevant licences and opt-out possibilities, which MS would also be obliged to ensure. Foreign </w:t>
      </w:r>
      <w:r w:rsidR="003B07E4">
        <w:t>r</w:t>
      </w:r>
      <w:r w:rsidR="00007677">
        <w:t>ightholders</w:t>
      </w:r>
      <w:r>
        <w:t xml:space="preserve"> would not be at a substantial disadvantage as only rights in books and learned journals first published in the country where the licence is sought could be licensed under such mechanisms. Apart from </w:t>
      </w:r>
      <w:r>
        <w:rPr>
          <w:szCs w:val="20"/>
          <w:lang w:eastAsia="en-GB"/>
        </w:rPr>
        <w:t xml:space="preserve">strengthening the representativeness of the respective CMO, this requirement serves as a safeguard to ensure that the mechanisms are not applied to works from third countries. </w:t>
      </w:r>
      <w:r>
        <w:t xml:space="preserve">The obligation to publish </w:t>
      </w:r>
      <w:r w:rsidRPr="00B26285">
        <w:rPr>
          <w:bCs/>
        </w:rPr>
        <w:t>adequate information</w:t>
      </w:r>
      <w:r>
        <w:rPr>
          <w:bCs/>
        </w:rPr>
        <w:t xml:space="preserve"> on the collections of works to be used in a publicly accessible European transparency web portal for an appropriate period of time would mitigate the risk of licensing works against the will of individual </w:t>
      </w:r>
      <w:r w:rsidR="003B07E4">
        <w:rPr>
          <w:bCs/>
        </w:rPr>
        <w:t>r</w:t>
      </w:r>
      <w:r w:rsidR="00007677">
        <w:rPr>
          <w:bCs/>
        </w:rPr>
        <w:t>ightholders</w:t>
      </w:r>
      <w:r>
        <w:rPr>
          <w:bCs/>
        </w:rPr>
        <w:t>, including forei</w:t>
      </w:r>
      <w:r w:rsidR="00D15CCB">
        <w:rPr>
          <w:bCs/>
        </w:rPr>
        <w:t>gn ones, or of works that are Oo</w:t>
      </w:r>
      <w:r>
        <w:rPr>
          <w:bCs/>
        </w:rPr>
        <w:t>C in a MS but still in commerce in another MS.</w:t>
      </w:r>
    </w:p>
    <w:p w:rsidR="00297D1C" w:rsidRDefault="00297D1C" w:rsidP="00297D1C">
      <w:pPr>
        <w:pStyle w:val="Default"/>
        <w:widowControl w:val="0"/>
        <w:spacing w:after="120"/>
        <w:jc w:val="both"/>
        <w:rPr>
          <w:szCs w:val="20"/>
          <w:lang w:eastAsia="en-GB"/>
        </w:rPr>
      </w:pPr>
      <w:r>
        <w:rPr>
          <w:szCs w:val="20"/>
          <w:u w:val="single"/>
          <w:lang w:eastAsia="en-GB"/>
        </w:rPr>
        <w:t xml:space="preserve">Possible </w:t>
      </w:r>
      <w:r w:rsidRPr="007D2E4F">
        <w:rPr>
          <w:szCs w:val="20"/>
          <w:u w:val="single"/>
          <w:lang w:eastAsia="en-GB"/>
        </w:rPr>
        <w:t>administrative burden</w:t>
      </w:r>
      <w:r>
        <w:rPr>
          <w:szCs w:val="20"/>
          <w:lang w:eastAsia="en-GB"/>
        </w:rPr>
        <w:t xml:space="preserve">: Given the widespread </w:t>
      </w:r>
      <w:r w:rsidR="0099184B">
        <w:rPr>
          <w:szCs w:val="20"/>
          <w:lang w:eastAsia="en-GB"/>
        </w:rPr>
        <w:t>use</w:t>
      </w:r>
      <w:r>
        <w:rPr>
          <w:szCs w:val="20"/>
          <w:lang w:eastAsia="en-GB"/>
        </w:rPr>
        <w:t xml:space="preserve"> of collective management for th</w:t>
      </w:r>
      <w:r w:rsidR="00DF1EC8">
        <w:rPr>
          <w:szCs w:val="20"/>
          <w:lang w:eastAsia="en-GB"/>
        </w:rPr>
        <w:t>e</w:t>
      </w:r>
      <w:r>
        <w:rPr>
          <w:szCs w:val="20"/>
          <w:lang w:eastAsia="en-GB"/>
        </w:rPr>
        <w:t xml:space="preserve"> type of works</w:t>
      </w:r>
      <w:r w:rsidR="00DF1EC8">
        <w:rPr>
          <w:szCs w:val="20"/>
          <w:lang w:eastAsia="en-GB"/>
        </w:rPr>
        <w:t xml:space="preserve"> covered by this option (books and learned journals)</w:t>
      </w:r>
      <w:r>
        <w:rPr>
          <w:szCs w:val="20"/>
          <w:lang w:eastAsia="en-GB"/>
        </w:rPr>
        <w:t xml:space="preserve">,  costs </w:t>
      </w:r>
      <w:r w:rsidR="00DF1EC8">
        <w:rPr>
          <w:szCs w:val="20"/>
          <w:lang w:eastAsia="en-GB"/>
        </w:rPr>
        <w:t xml:space="preserve">for </w:t>
      </w:r>
      <w:r w:rsidR="003B07E4">
        <w:rPr>
          <w:szCs w:val="20"/>
          <w:lang w:eastAsia="en-GB"/>
        </w:rPr>
        <w:t>r</w:t>
      </w:r>
      <w:r w:rsidR="00007677">
        <w:rPr>
          <w:szCs w:val="20"/>
          <w:lang w:eastAsia="en-GB"/>
        </w:rPr>
        <w:t>ightholders</w:t>
      </w:r>
      <w:r w:rsidR="00DF1EC8">
        <w:rPr>
          <w:szCs w:val="20"/>
          <w:lang w:eastAsia="en-GB"/>
        </w:rPr>
        <w:t xml:space="preserve"> and CMOs </w:t>
      </w:r>
      <w:r>
        <w:rPr>
          <w:szCs w:val="20"/>
          <w:lang w:eastAsia="en-GB"/>
        </w:rPr>
        <w:t xml:space="preserve">related to the </w:t>
      </w:r>
      <w:r w:rsidR="0099184B">
        <w:rPr>
          <w:szCs w:val="20"/>
          <w:lang w:eastAsia="en-GB"/>
        </w:rPr>
        <w:t xml:space="preserve">development of </w:t>
      </w:r>
      <w:r>
        <w:rPr>
          <w:szCs w:val="20"/>
          <w:lang w:eastAsia="en-GB"/>
        </w:rPr>
        <w:t xml:space="preserve">collective licensing </w:t>
      </w:r>
      <w:r w:rsidR="0099184B">
        <w:rPr>
          <w:szCs w:val="20"/>
          <w:lang w:eastAsia="en-GB"/>
        </w:rPr>
        <w:t xml:space="preserve">schemes for </w:t>
      </w:r>
      <w:r w:rsidR="0099184B">
        <w:t>the digi</w:t>
      </w:r>
      <w:r w:rsidR="00D15CCB">
        <w:t>tisation and dissemination of Oo</w:t>
      </w:r>
      <w:r w:rsidR="0099184B">
        <w:t>C books and learned journals by CHIs</w:t>
      </w:r>
      <w:r w:rsidR="0039467D">
        <w:t xml:space="preserve"> (such as costs related to opt-out and transparency mechanisms and the administration of the licence, including the distribution of remuneration to outsiders)</w:t>
      </w:r>
      <w:r w:rsidR="0099184B">
        <w:rPr>
          <w:szCs w:val="20"/>
          <w:lang w:eastAsia="en-GB"/>
        </w:rPr>
        <w:t xml:space="preserve"> </w:t>
      </w:r>
      <w:r>
        <w:rPr>
          <w:szCs w:val="20"/>
          <w:lang w:eastAsia="en-GB"/>
        </w:rPr>
        <w:t xml:space="preserve">would be limited. The transparency/publicity </w:t>
      </w:r>
      <w:r w:rsidRPr="00C03C08">
        <w:rPr>
          <w:bCs/>
        </w:rPr>
        <w:t>obligations</w:t>
      </w:r>
      <w:r>
        <w:rPr>
          <w:szCs w:val="20"/>
          <w:lang w:eastAsia="en-GB"/>
        </w:rPr>
        <w:t xml:space="preserve"> foreseen by this option would however help keeping </w:t>
      </w:r>
      <w:r w:rsidR="0039467D">
        <w:rPr>
          <w:szCs w:val="20"/>
          <w:lang w:eastAsia="en-GB"/>
        </w:rPr>
        <w:t>burden</w:t>
      </w:r>
      <w:r>
        <w:rPr>
          <w:szCs w:val="20"/>
          <w:lang w:eastAsia="en-GB"/>
        </w:rPr>
        <w:t xml:space="preserve"> to a reasonable level for </w:t>
      </w:r>
      <w:r w:rsidR="003B07E4">
        <w:rPr>
          <w:szCs w:val="20"/>
          <w:lang w:eastAsia="en-GB"/>
        </w:rPr>
        <w:t>r</w:t>
      </w:r>
      <w:r w:rsidR="00007677">
        <w:rPr>
          <w:szCs w:val="20"/>
          <w:lang w:eastAsia="en-GB"/>
        </w:rPr>
        <w:t>ightholders</w:t>
      </w:r>
      <w:r>
        <w:rPr>
          <w:szCs w:val="20"/>
          <w:lang w:eastAsia="en-GB"/>
        </w:rPr>
        <w:t xml:space="preserve">. The number of opt-outs that is reported from current experiences with extended collective licences, presumptions of representations or similar mechanisms at national level suggests that costs would overall be limited. </w:t>
      </w:r>
      <w:r w:rsidRPr="008866C7">
        <w:rPr>
          <w:bCs/>
        </w:rPr>
        <w:t>For example,</w:t>
      </w:r>
      <w:r w:rsidR="00D15CCB">
        <w:rPr>
          <w:bCs/>
        </w:rPr>
        <w:t xml:space="preserve"> the German CMO that licences Oo</w:t>
      </w:r>
      <w:r>
        <w:rPr>
          <w:bCs/>
        </w:rPr>
        <w:t>C books as part of the DE system based on a presumption of representation has not received any objection to the licensing from any right</w:t>
      </w:r>
      <w:r w:rsidR="00506F6D">
        <w:rPr>
          <w:bCs/>
        </w:rPr>
        <w:t xml:space="preserve"> </w:t>
      </w:r>
      <w:r>
        <w:rPr>
          <w:bCs/>
        </w:rPr>
        <w:t>holder,</w:t>
      </w:r>
      <w:r>
        <w:rPr>
          <w:rStyle w:val="FootnoteReference"/>
          <w:bCs/>
        </w:rPr>
        <w:footnoteReference w:id="231"/>
      </w:r>
      <w:r w:rsidRPr="008866C7">
        <w:rPr>
          <w:bCs/>
        </w:rPr>
        <w:t xml:space="preserve"> </w:t>
      </w:r>
      <w:r>
        <w:rPr>
          <w:bCs/>
        </w:rPr>
        <w:t xml:space="preserve"> and </w:t>
      </w:r>
      <w:r w:rsidRPr="008866C7">
        <w:rPr>
          <w:bCs/>
        </w:rPr>
        <w:t xml:space="preserve">only about </w:t>
      </w:r>
      <w:r>
        <w:rPr>
          <w:bCs/>
        </w:rPr>
        <w:t>1.8</w:t>
      </w:r>
      <w:r w:rsidRPr="008866C7">
        <w:rPr>
          <w:bCs/>
        </w:rPr>
        <w:t>% of the total book titles digitised and made available by the National Library of Norw</w:t>
      </w:r>
      <w:r>
        <w:rPr>
          <w:bCs/>
        </w:rPr>
        <w:t>ay as a result of an ECL licence</w:t>
      </w:r>
      <w:r w:rsidRPr="00E23B2F">
        <w:rPr>
          <w:bCs/>
        </w:rPr>
        <w:t xml:space="preserve"> </w:t>
      </w:r>
      <w:r>
        <w:rPr>
          <w:bCs/>
        </w:rPr>
        <w:t xml:space="preserve">(in a project that also covers books in commerce) </w:t>
      </w:r>
      <w:r w:rsidRPr="008866C7">
        <w:rPr>
          <w:bCs/>
        </w:rPr>
        <w:t xml:space="preserve">were </w:t>
      </w:r>
      <w:r>
        <w:rPr>
          <w:bCs/>
        </w:rPr>
        <w:t xml:space="preserve">opted </w:t>
      </w:r>
      <w:r w:rsidRPr="005A53D3">
        <w:rPr>
          <w:bCs/>
        </w:rPr>
        <w:t>out</w:t>
      </w:r>
      <w:r w:rsidRPr="008866C7">
        <w:rPr>
          <w:bCs/>
        </w:rPr>
        <w:t>.</w:t>
      </w:r>
      <w:r w:rsidRPr="008866C7">
        <w:rPr>
          <w:bCs/>
          <w:vertAlign w:val="superscript"/>
        </w:rPr>
        <w:footnoteReference w:id="232"/>
      </w:r>
      <w:r>
        <w:rPr>
          <w:szCs w:val="20"/>
          <w:lang w:eastAsia="en-GB"/>
        </w:rPr>
        <w:t xml:space="preserve"> </w:t>
      </w:r>
    </w:p>
    <w:p w:rsidR="00041DC6" w:rsidRDefault="00041DC6" w:rsidP="00C03C08">
      <w:pPr>
        <w:pStyle w:val="Default"/>
        <w:widowControl w:val="0"/>
        <w:spacing w:after="120"/>
        <w:jc w:val="both"/>
        <w:rPr>
          <w:bCs/>
        </w:rPr>
      </w:pPr>
      <w:r w:rsidRPr="004D0855">
        <w:rPr>
          <w:bCs/>
        </w:rPr>
        <w:t xml:space="preserve">The effects described above for books and learned journals would extend to other types of works at the same pace and to the same extent as described under </w:t>
      </w:r>
      <w:r>
        <w:rPr>
          <w:bCs/>
        </w:rPr>
        <w:t>"</w:t>
      </w:r>
      <w:r w:rsidRPr="004D0855">
        <w:rPr>
          <w:bCs/>
        </w:rPr>
        <w:t>CHIs</w:t>
      </w:r>
      <w:r>
        <w:rPr>
          <w:bCs/>
        </w:rPr>
        <w:t xml:space="preserve">" and not be present as regards the </w:t>
      </w:r>
      <w:r w:rsidRPr="004D0855">
        <w:rPr>
          <w:bCs/>
        </w:rPr>
        <w:t xml:space="preserve">cross-border </w:t>
      </w:r>
      <w:r>
        <w:rPr>
          <w:bCs/>
        </w:rPr>
        <w:t>effect of licences</w:t>
      </w:r>
      <w:r w:rsidRPr="004D0855">
        <w:rPr>
          <w:bCs/>
        </w:rPr>
        <w:t>.</w:t>
      </w:r>
      <w:r>
        <w:rPr>
          <w:rStyle w:val="FootnoteReference"/>
          <w:bCs/>
        </w:rPr>
        <w:footnoteReference w:id="233"/>
      </w:r>
    </w:p>
    <w:p w:rsidR="00041DC6" w:rsidRPr="00474708" w:rsidRDefault="00041DC6" w:rsidP="00C03C08">
      <w:pPr>
        <w:pStyle w:val="Default"/>
        <w:widowControl w:val="0"/>
        <w:spacing w:after="120"/>
        <w:jc w:val="both"/>
      </w:pPr>
      <w:r w:rsidRPr="00CA6DFC">
        <w:t xml:space="preserve">The European </w:t>
      </w:r>
      <w:r>
        <w:t>transparency web portal</w:t>
      </w:r>
      <w:r w:rsidR="00D15CCB">
        <w:t xml:space="preserve"> of Oo</w:t>
      </w:r>
      <w:r w:rsidRPr="00CA6DFC">
        <w:t>C works w</w:t>
      </w:r>
      <w:r>
        <w:t>ould</w:t>
      </w:r>
      <w:r w:rsidRPr="00CA6DFC">
        <w:t xml:space="preserve"> be </w:t>
      </w:r>
      <w:r>
        <w:t xml:space="preserve">built on the existing Orphan Works </w:t>
      </w:r>
      <w:r w:rsidRPr="00C03C08">
        <w:rPr>
          <w:bCs/>
        </w:rPr>
        <w:t>Database</w:t>
      </w:r>
      <w:r>
        <w:t xml:space="preserve"> infrastructure, which is </w:t>
      </w:r>
      <w:r w:rsidRPr="00CA6DFC">
        <w:t xml:space="preserve">run by the European Union Intellectual Property Office (hereafter: 'EUIPO'). </w:t>
      </w:r>
      <w:r>
        <w:t xml:space="preserve">Thanks to the use of existing infrastructure and resources, it is estimated that the building </w:t>
      </w:r>
      <w:r w:rsidRPr="00CA6DFC">
        <w:t xml:space="preserve">cost of the </w:t>
      </w:r>
      <w:r>
        <w:t xml:space="preserve">portal infrastructure could range between </w:t>
      </w:r>
      <w:r w:rsidR="0016036A">
        <w:t>€</w:t>
      </w:r>
      <w:r>
        <w:t>500,000 and 700,000, with its annual maintenance amounting to approximately 15</w:t>
      </w:r>
      <w:r w:rsidR="00195F59">
        <w:t xml:space="preserve"> </w:t>
      </w:r>
      <w:r>
        <w:t xml:space="preserve">% of the building cost (i.e. in the range of </w:t>
      </w:r>
      <w:r w:rsidR="00273495">
        <w:t>€</w:t>
      </w:r>
      <w:r>
        <w:t>75,000-105,000).</w:t>
      </w:r>
      <w:r>
        <w:rPr>
          <w:rStyle w:val="FootnoteReference"/>
        </w:rPr>
        <w:footnoteReference w:id="234"/>
      </w:r>
      <w:r w:rsidRPr="00CA6DFC">
        <w:t xml:space="preserve"> This cost would be covered by the budget of EUIPO.</w:t>
      </w:r>
      <w:r>
        <w:rPr>
          <w:rStyle w:val="FootnoteReference"/>
        </w:rPr>
        <w:footnoteReference w:id="235"/>
      </w:r>
      <w:r>
        <w:t xml:space="preserve"> </w:t>
      </w:r>
    </w:p>
    <w:p w:rsidR="00041DC6" w:rsidRPr="00C32C45" w:rsidRDefault="00041DC6" w:rsidP="00C03C08">
      <w:pPr>
        <w:pStyle w:val="Text1"/>
        <w:ind w:left="0"/>
        <w:rPr>
          <w:rFonts w:ascii="Times New Roman Bold" w:hAnsi="Times New Roman Bold"/>
          <w:smallCaps/>
          <w:szCs w:val="24"/>
        </w:rPr>
      </w:pPr>
      <w:r w:rsidRPr="00C32C45">
        <w:rPr>
          <w:rFonts w:ascii="Times New Roman Bold" w:hAnsi="Times New Roman Bold"/>
          <w:b/>
          <w:smallCaps/>
          <w:szCs w:val="24"/>
        </w:rPr>
        <w:t xml:space="preserve">Social </w:t>
      </w:r>
      <w:r w:rsidRPr="00C03C08">
        <w:rPr>
          <w:rFonts w:ascii="Times New Roman Bold" w:eastAsia="Arial Unicode MS" w:hAnsi="Times New Roman Bold"/>
          <w:b/>
          <w:smallCaps/>
          <w:szCs w:val="24"/>
          <w:bdr w:val="none" w:sz="0" w:space="0" w:color="auto" w:frame="1"/>
        </w:rPr>
        <w:t>impacts</w:t>
      </w:r>
    </w:p>
    <w:p w:rsidR="00041DC6" w:rsidRPr="00DB5A9E" w:rsidRDefault="00041DC6" w:rsidP="00041DC6">
      <w:pPr>
        <w:spacing w:after="0" w:line="240" w:lineRule="auto"/>
        <w:jc w:val="both"/>
      </w:pPr>
      <w:r w:rsidRPr="00DB5A9E">
        <w:rPr>
          <w:rFonts w:ascii="Times New Roman" w:hAnsi="Times New Roman"/>
          <w:bCs/>
          <w:sz w:val="24"/>
          <w:szCs w:val="24"/>
        </w:rPr>
        <w:t>Positive impact on cultural diversity, as a larger set of books and learned journals that would otherwise remain confined to the premises of CHIs is expected to become available to the public, while incentives for authors to create new works would not be substantially affected.</w:t>
      </w:r>
      <w:r w:rsidRPr="00DB5A9E">
        <w:t xml:space="preserve"> </w:t>
      </w:r>
    </w:p>
    <w:p w:rsidR="00041DC6" w:rsidRPr="00DB5A9E" w:rsidRDefault="00041DC6" w:rsidP="00C03C08">
      <w:pPr>
        <w:pStyle w:val="Default"/>
        <w:widowControl w:val="0"/>
        <w:spacing w:after="120"/>
        <w:jc w:val="both"/>
        <w:rPr>
          <w:bCs/>
        </w:rPr>
      </w:pPr>
      <w:r w:rsidRPr="00DB5A9E">
        <w:rPr>
          <w:bCs/>
        </w:rPr>
        <w:t xml:space="preserve">Opportunities for </w:t>
      </w:r>
      <w:r w:rsidRPr="00C32C45">
        <w:rPr>
          <w:bCs/>
        </w:rPr>
        <w:t xml:space="preserve">end-users to </w:t>
      </w:r>
      <w:r w:rsidRPr="00DB5A9E">
        <w:rPr>
          <w:bCs/>
        </w:rPr>
        <w:t xml:space="preserve">have access to cultural heritage would increase, but mainly as regards </w:t>
      </w:r>
      <w:r w:rsidRPr="00C32C45">
        <w:rPr>
          <w:bCs/>
        </w:rPr>
        <w:t>O</w:t>
      </w:r>
      <w:r w:rsidR="00D15CCB">
        <w:rPr>
          <w:bCs/>
        </w:rPr>
        <w:t>o</w:t>
      </w:r>
      <w:r w:rsidRPr="00C32C45">
        <w:rPr>
          <w:bCs/>
        </w:rPr>
        <w:t>C books and learned journals</w:t>
      </w:r>
      <w:r w:rsidRPr="00DB5A9E">
        <w:rPr>
          <w:bCs/>
        </w:rPr>
        <w:t xml:space="preserve"> and not </w:t>
      </w:r>
      <w:r>
        <w:rPr>
          <w:bCs/>
        </w:rPr>
        <w:t xml:space="preserve">for </w:t>
      </w:r>
      <w:r w:rsidRPr="00DB5A9E">
        <w:rPr>
          <w:bCs/>
        </w:rPr>
        <w:t xml:space="preserve">other types of works. </w:t>
      </w:r>
      <w:r w:rsidRPr="00C32C45">
        <w:rPr>
          <w:bCs/>
        </w:rPr>
        <w:t>Th</w:t>
      </w:r>
      <w:r>
        <w:rPr>
          <w:bCs/>
        </w:rPr>
        <w:t xml:space="preserve">e same </w:t>
      </w:r>
      <w:r w:rsidRPr="00C03C08">
        <w:t>limitation</w:t>
      </w:r>
      <w:r w:rsidRPr="00C32C45">
        <w:rPr>
          <w:bCs/>
        </w:rPr>
        <w:t xml:space="preserve"> would </w:t>
      </w:r>
      <w:r w:rsidRPr="00DB5A9E">
        <w:rPr>
          <w:bCs/>
        </w:rPr>
        <w:t xml:space="preserve">apply to the </w:t>
      </w:r>
      <w:r w:rsidRPr="00C32C45">
        <w:rPr>
          <w:bCs/>
        </w:rPr>
        <w:t xml:space="preserve">broader social and economic </w:t>
      </w:r>
      <w:r w:rsidRPr="00DB5A9E">
        <w:rPr>
          <w:bCs/>
        </w:rPr>
        <w:t>impacts of digitisation</w:t>
      </w:r>
      <w:r w:rsidRPr="00C32C45">
        <w:rPr>
          <w:bCs/>
        </w:rPr>
        <w:t>.</w:t>
      </w:r>
      <w:r w:rsidRPr="006955B8">
        <w:rPr>
          <w:bCs/>
          <w:vertAlign w:val="superscript"/>
        </w:rPr>
        <w:footnoteReference w:id="236"/>
      </w:r>
    </w:p>
    <w:p w:rsidR="00041DC6" w:rsidRDefault="00041DC6" w:rsidP="0090666C">
      <w:pPr>
        <w:spacing w:after="120" w:line="240" w:lineRule="auto"/>
        <w:jc w:val="both"/>
        <w:rPr>
          <w:rFonts w:ascii="Times New Roman" w:hAnsi="Times New Roman"/>
          <w:sz w:val="24"/>
          <w:szCs w:val="24"/>
        </w:rPr>
      </w:pPr>
      <w:r w:rsidRPr="00DB5A9E">
        <w:rPr>
          <w:rFonts w:ascii="Times New Roman" w:hAnsi="Times New Roman"/>
          <w:sz w:val="24"/>
        </w:rPr>
        <w:t xml:space="preserve">Positive </w:t>
      </w:r>
      <w:r w:rsidRPr="00DB5A9E">
        <w:rPr>
          <w:rFonts w:ascii="Times New Roman" w:hAnsi="Times New Roman"/>
          <w:sz w:val="24"/>
          <w:szCs w:val="24"/>
        </w:rPr>
        <w:t xml:space="preserve">contribution of this option to the objectives of EU's policy </w:t>
      </w:r>
      <w:r w:rsidRPr="00DB5A9E">
        <w:rPr>
          <w:rFonts w:ascii="Times New Roman" w:hAnsi="Times New Roman"/>
          <w:sz w:val="24"/>
        </w:rPr>
        <w:t>on digitisation and online accessibility of cultural heritage</w:t>
      </w:r>
      <w:r w:rsidRPr="00DB5A9E">
        <w:rPr>
          <w:rFonts w:ascii="Times New Roman" w:hAnsi="Times New Roman"/>
          <w:sz w:val="24"/>
          <w:szCs w:val="24"/>
        </w:rPr>
        <w:t>, as it in</w:t>
      </w:r>
      <w:r w:rsidR="00D15CCB">
        <w:rPr>
          <w:rFonts w:ascii="Times New Roman" w:hAnsi="Times New Roman"/>
          <w:sz w:val="24"/>
          <w:szCs w:val="24"/>
        </w:rPr>
        <w:t>creases the possibilities for Oo</w:t>
      </w:r>
      <w:r w:rsidRPr="00DB5A9E">
        <w:rPr>
          <w:rFonts w:ascii="Times New Roman" w:hAnsi="Times New Roman"/>
          <w:sz w:val="24"/>
          <w:szCs w:val="24"/>
        </w:rPr>
        <w:t>C works to become available for end-users. These benefits will mainly concern literary works in the short term, with a possible positive impact for other works but only in the longer term.</w:t>
      </w:r>
    </w:p>
    <w:p w:rsidR="00041DC6" w:rsidRPr="00C32C45" w:rsidRDefault="00041DC6" w:rsidP="00C03C08">
      <w:pPr>
        <w:pStyle w:val="Text1"/>
        <w:ind w:left="0"/>
        <w:rPr>
          <w:rFonts w:ascii="Times New Roman Bold" w:hAnsi="Times New Roman Bold"/>
          <w:smallCaps/>
          <w:szCs w:val="24"/>
        </w:rPr>
      </w:pPr>
      <w:r>
        <w:rPr>
          <w:rFonts w:ascii="Times New Roman Bold" w:hAnsi="Times New Roman Bold"/>
          <w:b/>
          <w:smallCaps/>
          <w:szCs w:val="24"/>
        </w:rPr>
        <w:t xml:space="preserve">Impacts on </w:t>
      </w:r>
      <w:r w:rsidRPr="00C32C45">
        <w:rPr>
          <w:rFonts w:ascii="Times New Roman Bold" w:hAnsi="Times New Roman Bold"/>
          <w:b/>
          <w:smallCaps/>
          <w:szCs w:val="24"/>
        </w:rPr>
        <w:t>Fundamental rights</w:t>
      </w:r>
    </w:p>
    <w:p w:rsidR="00041DC6" w:rsidRPr="009B30C0" w:rsidRDefault="00041DC6" w:rsidP="00C03C08">
      <w:pPr>
        <w:pStyle w:val="Default"/>
        <w:widowControl w:val="0"/>
        <w:spacing w:after="120"/>
        <w:jc w:val="both"/>
      </w:pPr>
      <w:r w:rsidRPr="004204A5">
        <w:t>There would be a limited impact on copyright as a property right</w:t>
      </w:r>
      <w:r w:rsidRPr="00022A04">
        <w:t>,</w:t>
      </w:r>
      <w:r w:rsidRPr="009B30C0">
        <w:t xml:space="preserve"> as recognised by Article 17(2) of the </w:t>
      </w:r>
      <w:r w:rsidR="00BE5314">
        <w:t>Charter</w:t>
      </w:r>
      <w:r w:rsidRPr="009B30C0">
        <w:t xml:space="preserve">. </w:t>
      </w:r>
      <w:r>
        <w:t xml:space="preserve">Possible </w:t>
      </w:r>
      <w:r w:rsidRPr="009B30C0">
        <w:t xml:space="preserve">positive impact on the arts and scientific research, relevant for the freedom of the arts and sciences (Article 13) and on education (right to education protected by Article 14), as more creative and learned material will be accessible. </w:t>
      </w:r>
    </w:p>
    <w:p w:rsidR="00041DC6" w:rsidRDefault="00041DC6" w:rsidP="00C03C08">
      <w:pPr>
        <w:pStyle w:val="Text1"/>
        <w:ind w:left="0"/>
        <w:rPr>
          <w:b/>
          <w:u w:val="single"/>
        </w:rPr>
      </w:pPr>
      <w:r w:rsidRPr="00ED79C5">
        <w:rPr>
          <w:b/>
          <w:u w:val="single"/>
        </w:rPr>
        <w:t xml:space="preserve">Option 2 – EU legislative intervention (i) requiring MS to put in place legal mechanisms to facilitate collective licensing agreements </w:t>
      </w:r>
      <w:r w:rsidR="00D15CCB">
        <w:rPr>
          <w:b/>
          <w:u w:val="single"/>
        </w:rPr>
        <w:t>for all types of Oo</w:t>
      </w:r>
      <w:r w:rsidRPr="00C03C08">
        <w:rPr>
          <w:b/>
          <w:u w:val="single"/>
        </w:rPr>
        <w:t>C works</w:t>
      </w:r>
      <w:r w:rsidRPr="00ED79C5">
        <w:rPr>
          <w:b/>
          <w:u w:val="single"/>
        </w:rPr>
        <w:t xml:space="preserve"> and to foster national stakeholder frameworks, and (ii) giving cross-border effect to such legal mechanisms.</w:t>
      </w:r>
    </w:p>
    <w:p w:rsidR="00041DC6" w:rsidRDefault="00041DC6" w:rsidP="00C03C08">
      <w:pPr>
        <w:pStyle w:val="Text1"/>
        <w:ind w:left="0"/>
        <w:rPr>
          <w:rFonts w:ascii="Times New Roman Bold" w:eastAsia="Arial Unicode MS" w:hAnsi="Times New Roman Bold" w:hint="eastAsia"/>
          <w:b/>
          <w:smallCaps/>
          <w:szCs w:val="24"/>
          <w:bdr w:val="none" w:sz="0" w:space="0" w:color="auto" w:frame="1"/>
        </w:rPr>
      </w:pPr>
      <w:r>
        <w:rPr>
          <w:rFonts w:ascii="Times New Roman Bold" w:eastAsia="Arial Unicode MS" w:hAnsi="Times New Roman Bold"/>
          <w:b/>
          <w:smallCaps/>
          <w:szCs w:val="24"/>
          <w:bdr w:val="none" w:sz="0" w:space="0" w:color="auto" w:frame="1"/>
        </w:rPr>
        <w:t xml:space="preserve">Impacts on </w:t>
      </w:r>
      <w:r w:rsidRPr="00C03C08">
        <w:rPr>
          <w:rFonts w:ascii="Times New Roman Bold" w:hAnsi="Times New Roman Bold"/>
          <w:b/>
          <w:smallCaps/>
          <w:szCs w:val="24"/>
        </w:rPr>
        <w:t>stakeholders</w:t>
      </w:r>
    </w:p>
    <w:p w:rsidR="00041DC6" w:rsidRPr="001A2242" w:rsidRDefault="00041DC6" w:rsidP="00C03C08">
      <w:pPr>
        <w:pStyle w:val="Text1"/>
        <w:ind w:left="0"/>
        <w:rPr>
          <w:b/>
        </w:rPr>
      </w:pPr>
      <w:r w:rsidRPr="001A2242">
        <w:rPr>
          <w:b/>
        </w:rPr>
        <w:t>CHIs</w:t>
      </w:r>
    </w:p>
    <w:p w:rsidR="00041DC6" w:rsidRDefault="00041DC6" w:rsidP="00C03C08">
      <w:pPr>
        <w:pStyle w:val="Default"/>
        <w:widowControl w:val="0"/>
        <w:spacing w:after="120"/>
        <w:jc w:val="both"/>
      </w:pPr>
      <w:r>
        <w:rPr>
          <w:u w:val="single"/>
        </w:rPr>
        <w:t>Transaction costs and cross-border uses</w:t>
      </w:r>
      <w:r>
        <w:t>: Under Option 2, the presence of legal frameworks everywhere in the EU that allow for licences issued by CMOs to also cover the rights of outsiders would give CHIs the possibility to see their related transaction costs diminish considerably everywhere in the EU for the digitisation and dissemination of works. This would apply to all types of works, like photographs, for which, for example, an available case study</w:t>
      </w:r>
      <w:r>
        <w:rPr>
          <w:rStyle w:val="FootnoteReference"/>
        </w:rPr>
        <w:footnoteReference w:id="237"/>
      </w:r>
      <w:r>
        <w:t xml:space="preserve"> calculated individual rights clearing costs to be incurred for a collection of about 27,800 items by a CHI at approximately </w:t>
      </w:r>
      <w:r w:rsidR="00273495">
        <w:t>€</w:t>
      </w:r>
      <w:r>
        <w:t>15,000</w:t>
      </w:r>
      <w:r w:rsidR="00B5326B">
        <w:t xml:space="preserve">. </w:t>
      </w:r>
      <w:r>
        <w:t xml:space="preserve">Under this option, it would be possible for the CHI to reduce that cost to the one of negotiating a single licence with a CMO. Licences concluded on the basis of such legal frameworks could have cross-border effect for all works too. </w:t>
      </w:r>
    </w:p>
    <w:p w:rsidR="00041DC6" w:rsidRPr="00493C61" w:rsidRDefault="00041DC6" w:rsidP="00C03C08">
      <w:pPr>
        <w:pStyle w:val="Default"/>
        <w:widowControl w:val="0"/>
        <w:spacing w:after="120"/>
        <w:jc w:val="both"/>
        <w:rPr>
          <w:bCs/>
        </w:rPr>
      </w:pPr>
      <w:r w:rsidRPr="00493C61">
        <w:t>The stakeholder processes that MS would have to put in place would have the same purpose as in Option 1, i.e. lay the ground for a conducive environment, in practical and organisational terms, for such legal mechanisms to be used in practice.  These would be particularly relevant in those MS and for those sectors where licensing structures are not widely available and collective management not widespread.</w:t>
      </w:r>
      <w:r w:rsidRPr="00493C61">
        <w:rPr>
          <w:bCs/>
        </w:rPr>
        <w:t xml:space="preserve"> In some sectors (e.g. audio-visual), without proper stakeholder engagement convened by public authorities, the practical effects of this option would not easily materialise, at least in the short term. It is expected that the presence in all MS and for all types of works of adapted legal frameworks would provide momentum for such stakeholder frameworks to produce results, especially when combined with the consultation with </w:t>
      </w:r>
      <w:r w:rsidR="003B07E4">
        <w:rPr>
          <w:bCs/>
        </w:rPr>
        <w:t>r</w:t>
      </w:r>
      <w:r w:rsidR="00007677">
        <w:rPr>
          <w:bCs/>
        </w:rPr>
        <w:t>ightholders</w:t>
      </w:r>
      <w:r w:rsidRPr="00493C61">
        <w:rPr>
          <w:bCs/>
        </w:rPr>
        <w:t xml:space="preserve"> and uses that MS would have to organise if they decide to introduce national-specific criteria for works to be eligible for the envisaged schemes. </w:t>
      </w:r>
    </w:p>
    <w:p w:rsidR="00041DC6" w:rsidRPr="001A2242" w:rsidRDefault="00007677" w:rsidP="00C03C08">
      <w:pPr>
        <w:pStyle w:val="Text1"/>
        <w:ind w:left="0"/>
        <w:rPr>
          <w:b/>
        </w:rPr>
      </w:pPr>
      <w:r>
        <w:rPr>
          <w:b/>
        </w:rPr>
        <w:t>Rightholders</w:t>
      </w:r>
    </w:p>
    <w:p w:rsidR="00041DC6" w:rsidRPr="004204A5" w:rsidRDefault="00041DC6" w:rsidP="00C03C08">
      <w:pPr>
        <w:pStyle w:val="Default"/>
        <w:widowControl w:val="0"/>
        <w:spacing w:after="120"/>
        <w:jc w:val="both"/>
        <w:rPr>
          <w:i/>
          <w:szCs w:val="20"/>
          <w:lang w:eastAsia="en-GB"/>
        </w:rPr>
      </w:pPr>
      <w:r w:rsidRPr="00D1507D">
        <w:t xml:space="preserve">Impacts on </w:t>
      </w:r>
      <w:r w:rsidR="003B07E4">
        <w:t>r</w:t>
      </w:r>
      <w:r w:rsidR="00007677">
        <w:t>ightholders</w:t>
      </w:r>
      <w:r w:rsidRPr="00D1507D">
        <w:t xml:space="preserve"> would be the same in nature as in </w:t>
      </w:r>
      <w:r w:rsidR="00996BBA" w:rsidRPr="00D1507D">
        <w:t>O</w:t>
      </w:r>
      <w:r w:rsidRPr="00D1507D">
        <w:t xml:space="preserve">ption 1, but would extend to a higher number of </w:t>
      </w:r>
      <w:r w:rsidR="003B07E4">
        <w:t>r</w:t>
      </w:r>
      <w:r w:rsidR="00007677">
        <w:t>ightholders</w:t>
      </w:r>
      <w:r w:rsidRPr="00D1507D">
        <w:t xml:space="preserve"> because all types of works would be covered in all MS</w:t>
      </w:r>
      <w:r w:rsidRPr="004204A5">
        <w:rPr>
          <w:i/>
          <w:szCs w:val="20"/>
          <w:lang w:eastAsia="en-GB"/>
        </w:rPr>
        <w:t>.</w:t>
      </w:r>
    </w:p>
    <w:p w:rsidR="00041DC6" w:rsidRPr="00F0573F" w:rsidRDefault="00041DC6" w:rsidP="00C03C08">
      <w:pPr>
        <w:pStyle w:val="Default"/>
        <w:widowControl w:val="0"/>
        <w:spacing w:after="120"/>
        <w:jc w:val="both"/>
        <w:rPr>
          <w:szCs w:val="20"/>
          <w:lang w:eastAsia="en-GB"/>
        </w:rPr>
      </w:pPr>
      <w:r>
        <w:rPr>
          <w:szCs w:val="20"/>
          <w:u w:val="single"/>
          <w:lang w:eastAsia="en-GB"/>
        </w:rPr>
        <w:t>Revenues</w:t>
      </w:r>
      <w:r>
        <w:rPr>
          <w:szCs w:val="20"/>
          <w:lang w:eastAsia="en-GB"/>
        </w:rPr>
        <w:t>: Opportunities are expected to arise concretely at different paces for different categories of works depending on the availability of suitable licensing structures as explained under "CHIs".</w:t>
      </w:r>
    </w:p>
    <w:p w:rsidR="00741673" w:rsidRPr="00972AD4" w:rsidRDefault="00741673" w:rsidP="00741673">
      <w:pPr>
        <w:pStyle w:val="Default"/>
        <w:widowControl w:val="0"/>
        <w:spacing w:after="120"/>
        <w:jc w:val="both"/>
        <w:rPr>
          <w:szCs w:val="20"/>
          <w:lang w:eastAsia="en-GB"/>
        </w:rPr>
      </w:pPr>
      <w:r>
        <w:rPr>
          <w:szCs w:val="20"/>
          <w:u w:val="single"/>
          <w:lang w:eastAsia="en-GB"/>
        </w:rPr>
        <w:t>Impact on the exercise of rights</w:t>
      </w:r>
      <w:r w:rsidRPr="00A11027">
        <w:rPr>
          <w:szCs w:val="20"/>
          <w:lang w:eastAsia="en-GB"/>
        </w:rPr>
        <w:t>:</w:t>
      </w:r>
      <w:r>
        <w:rPr>
          <w:szCs w:val="20"/>
          <w:lang w:eastAsia="en-GB"/>
        </w:rPr>
        <w:t xml:space="preserve"> The adaptations in rights management systems that this Option might entail will depend on the extent to which collective management is already a widespread practice in different sector.</w:t>
      </w:r>
      <w:r>
        <w:rPr>
          <w:rStyle w:val="FootnoteReference"/>
          <w:szCs w:val="20"/>
          <w:lang w:eastAsia="en-GB"/>
        </w:rPr>
        <w:footnoteReference w:id="238"/>
      </w:r>
      <w:r>
        <w:rPr>
          <w:szCs w:val="20"/>
          <w:lang w:eastAsia="en-GB"/>
        </w:rPr>
        <w:t xml:space="preserve"> The use of the mechanisms introduced by this Option would in any event remain voluntary. The safeguards for </w:t>
      </w:r>
      <w:r w:rsidR="003B07E4">
        <w:rPr>
          <w:szCs w:val="20"/>
          <w:lang w:eastAsia="en-GB"/>
        </w:rPr>
        <w:t>r</w:t>
      </w:r>
      <w:r w:rsidR="00007677">
        <w:rPr>
          <w:szCs w:val="20"/>
          <w:lang w:eastAsia="en-GB"/>
        </w:rPr>
        <w:t>ightholders</w:t>
      </w:r>
      <w:r>
        <w:rPr>
          <w:szCs w:val="20"/>
          <w:lang w:eastAsia="en-GB"/>
        </w:rPr>
        <w:t xml:space="preserve">, including from other MS and from outside of the EU, foreseen in Option 1 would also, </w:t>
      </w:r>
      <w:r>
        <w:rPr>
          <w:i/>
          <w:szCs w:val="20"/>
          <w:lang w:eastAsia="en-GB"/>
        </w:rPr>
        <w:t xml:space="preserve">mutatis mutandis, </w:t>
      </w:r>
      <w:r>
        <w:rPr>
          <w:szCs w:val="20"/>
          <w:lang w:eastAsia="en-GB"/>
        </w:rPr>
        <w:t xml:space="preserve">be present under this option, for works other than books and learned journals. </w:t>
      </w:r>
      <w:r w:rsidRPr="00F600AB">
        <w:rPr>
          <w:szCs w:val="20"/>
          <w:lang w:eastAsia="en-GB"/>
        </w:rPr>
        <w:t xml:space="preserve">The </w:t>
      </w:r>
      <w:r>
        <w:rPr>
          <w:szCs w:val="20"/>
          <w:lang w:eastAsia="en-GB"/>
        </w:rPr>
        <w:t xml:space="preserve">freedom to </w:t>
      </w:r>
      <w:r w:rsidRPr="00F600AB">
        <w:rPr>
          <w:szCs w:val="20"/>
          <w:lang w:eastAsia="en-GB"/>
        </w:rPr>
        <w:t xml:space="preserve">decide on the type of exploitation of works </w:t>
      </w:r>
      <w:r>
        <w:rPr>
          <w:szCs w:val="20"/>
          <w:lang w:eastAsia="en-GB"/>
        </w:rPr>
        <w:t xml:space="preserve">that may be held by CHIs </w:t>
      </w:r>
      <w:r w:rsidRPr="00F600AB">
        <w:rPr>
          <w:szCs w:val="20"/>
          <w:lang w:eastAsia="en-GB"/>
        </w:rPr>
        <w:t xml:space="preserve">is for example important in the </w:t>
      </w:r>
      <w:r>
        <w:rPr>
          <w:szCs w:val="20"/>
          <w:lang w:eastAsia="en-GB"/>
        </w:rPr>
        <w:t>cinema</w:t>
      </w:r>
      <w:r w:rsidRPr="00F600AB">
        <w:rPr>
          <w:szCs w:val="20"/>
          <w:lang w:eastAsia="en-GB"/>
        </w:rPr>
        <w:t xml:space="preserve"> sector</w:t>
      </w:r>
      <w:r>
        <w:rPr>
          <w:szCs w:val="20"/>
          <w:lang w:eastAsia="en-GB"/>
        </w:rPr>
        <w:t xml:space="preserve">, where old films considered part of cultural heritage can attract </w:t>
      </w:r>
      <w:r w:rsidRPr="00F600AB">
        <w:rPr>
          <w:szCs w:val="20"/>
          <w:lang w:eastAsia="en-GB"/>
        </w:rPr>
        <w:t>renewed commercial interest and new commercial exploitation.</w:t>
      </w:r>
      <w:r>
        <w:rPr>
          <w:rStyle w:val="FootnoteReference"/>
          <w:szCs w:val="20"/>
          <w:lang w:eastAsia="en-GB"/>
        </w:rPr>
        <w:footnoteReference w:id="239"/>
      </w:r>
      <w:r w:rsidRPr="00F600AB">
        <w:rPr>
          <w:szCs w:val="20"/>
          <w:lang w:eastAsia="en-GB"/>
        </w:rPr>
        <w:t xml:space="preserve"> The systems envisaged under this </w:t>
      </w:r>
      <w:r>
        <w:rPr>
          <w:szCs w:val="20"/>
          <w:lang w:eastAsia="en-GB"/>
        </w:rPr>
        <w:t>o</w:t>
      </w:r>
      <w:r w:rsidRPr="00F600AB">
        <w:rPr>
          <w:szCs w:val="20"/>
          <w:lang w:eastAsia="en-GB"/>
        </w:rPr>
        <w:t>ption would not affect those possibilities because of the opt-out and the fact that works re-entering commercial channels would not be eligible anymore</w:t>
      </w:r>
      <w:r w:rsidR="00D15CCB">
        <w:rPr>
          <w:szCs w:val="20"/>
          <w:lang w:eastAsia="en-GB"/>
        </w:rPr>
        <w:t xml:space="preserve"> (as not Oo</w:t>
      </w:r>
      <w:r>
        <w:rPr>
          <w:szCs w:val="20"/>
          <w:lang w:eastAsia="en-GB"/>
        </w:rPr>
        <w:t>C anymore)</w:t>
      </w:r>
      <w:r w:rsidRPr="00F600AB">
        <w:rPr>
          <w:szCs w:val="20"/>
          <w:lang w:eastAsia="en-GB"/>
        </w:rPr>
        <w:t>.</w:t>
      </w:r>
    </w:p>
    <w:p w:rsidR="00741673" w:rsidRDefault="00741673" w:rsidP="00741673">
      <w:pPr>
        <w:pStyle w:val="Default"/>
        <w:widowControl w:val="0"/>
        <w:spacing w:after="120"/>
        <w:jc w:val="both"/>
        <w:rPr>
          <w:szCs w:val="20"/>
          <w:lang w:eastAsia="en-GB"/>
        </w:rPr>
      </w:pPr>
      <w:r>
        <w:rPr>
          <w:szCs w:val="20"/>
          <w:u w:val="single"/>
          <w:lang w:eastAsia="en-GB"/>
        </w:rPr>
        <w:t xml:space="preserve">Possible </w:t>
      </w:r>
      <w:r w:rsidRPr="007D2E4F">
        <w:rPr>
          <w:szCs w:val="20"/>
          <w:u w:val="single"/>
          <w:lang w:eastAsia="en-GB"/>
        </w:rPr>
        <w:t>administrative burden</w:t>
      </w:r>
      <w:r>
        <w:rPr>
          <w:szCs w:val="20"/>
          <w:lang w:eastAsia="en-GB"/>
        </w:rPr>
        <w:t xml:space="preserve">: </w:t>
      </w:r>
      <w:r w:rsidR="00DF1EC8">
        <w:t>The use of the mechanisms introduced by Option 2 would require to rely on collective licensing structures, which would need to be developed or consolidated in certain sectors, e.g. the AV sector (see Annex 9F on collective management in different sectors). This would entail some one-off costs for rights holders and CMOs, but could result in the long term in more efficiency in the management of rights for the purpose of licensing</w:t>
      </w:r>
      <w:r w:rsidR="00D41F7E">
        <w:t xml:space="preserve"> </w:t>
      </w:r>
      <w:r w:rsidR="00D15CCB">
        <w:t>Oo</w:t>
      </w:r>
      <w:r w:rsidR="00D41F7E" w:rsidRPr="009C3F95">
        <w:t>C works</w:t>
      </w:r>
      <w:r w:rsidRPr="00623CE8">
        <w:rPr>
          <w:szCs w:val="20"/>
          <w:lang w:eastAsia="en-GB"/>
        </w:rPr>
        <w:t>.</w:t>
      </w:r>
      <w:r>
        <w:rPr>
          <w:szCs w:val="20"/>
          <w:lang w:eastAsia="en-GB"/>
        </w:rPr>
        <w:t xml:space="preserve"> The impact for individual </w:t>
      </w:r>
      <w:r w:rsidR="003B07E4">
        <w:rPr>
          <w:szCs w:val="20"/>
          <w:lang w:eastAsia="en-GB"/>
        </w:rPr>
        <w:t>r</w:t>
      </w:r>
      <w:r w:rsidR="00007677">
        <w:rPr>
          <w:szCs w:val="20"/>
          <w:lang w:eastAsia="en-GB"/>
        </w:rPr>
        <w:t>ightholders</w:t>
      </w:r>
      <w:r>
        <w:rPr>
          <w:szCs w:val="20"/>
          <w:lang w:eastAsia="en-GB"/>
        </w:rPr>
        <w:t xml:space="preserve"> and CMOs would be the same in nature as in Option 1, but apply to all types of works. </w:t>
      </w:r>
    </w:p>
    <w:p w:rsidR="00D41F7E" w:rsidRPr="00D1507D" w:rsidRDefault="00C22CCB" w:rsidP="00AD57F7">
      <w:pPr>
        <w:pStyle w:val="Default"/>
        <w:widowControl w:val="0"/>
        <w:spacing w:after="120"/>
        <w:jc w:val="both"/>
        <w:rPr>
          <w:rFonts w:asciiTheme="minorHAnsi" w:hAnsiTheme="minorHAnsi"/>
          <w:sz w:val="22"/>
        </w:rPr>
      </w:pPr>
      <w:r>
        <w:t xml:space="preserve">The costs described under Option 1 for the </w:t>
      </w:r>
      <w:r w:rsidRPr="00C03C08">
        <w:rPr>
          <w:szCs w:val="20"/>
          <w:lang w:eastAsia="en-GB"/>
        </w:rPr>
        <w:t>setting</w:t>
      </w:r>
      <w:r>
        <w:t xml:space="preserve"> up and management of the Europe</w:t>
      </w:r>
      <w:r w:rsidR="00D15CCB">
        <w:t>an transparency web portal of Oo</w:t>
      </w:r>
      <w:r>
        <w:t>C by the EUIPO would apply under this option too. The use of the portal for all types of works could also lead to efficiency gains in the long term.</w:t>
      </w:r>
      <w:r w:rsidDel="00646C83">
        <w:rPr>
          <w:szCs w:val="20"/>
          <w:lang w:eastAsia="en-GB"/>
        </w:rPr>
        <w:t xml:space="preserve"> </w:t>
      </w:r>
    </w:p>
    <w:p w:rsidR="00041DC6" w:rsidRPr="00C32C45" w:rsidRDefault="00041DC6" w:rsidP="00D1507D">
      <w:pPr>
        <w:pStyle w:val="Default"/>
        <w:widowControl w:val="0"/>
        <w:spacing w:after="120"/>
        <w:jc w:val="both"/>
        <w:rPr>
          <w:rFonts w:ascii="Times New Roman Bold" w:hAnsi="Times New Roman Bold"/>
          <w:smallCaps/>
        </w:rPr>
      </w:pPr>
      <w:r w:rsidRPr="00C32C45">
        <w:rPr>
          <w:rFonts w:ascii="Times New Roman Bold" w:hAnsi="Times New Roman Bold"/>
          <w:b/>
          <w:smallCaps/>
        </w:rPr>
        <w:t xml:space="preserve">Social </w:t>
      </w:r>
      <w:r w:rsidRPr="00C03C08">
        <w:rPr>
          <w:rFonts w:ascii="Times New Roman Bold" w:eastAsia="Arial Unicode MS" w:hAnsi="Times New Roman Bold"/>
          <w:b/>
          <w:smallCaps/>
          <w:bdr w:val="none" w:sz="0" w:space="0" w:color="auto" w:frame="1"/>
        </w:rPr>
        <w:t>impacts</w:t>
      </w:r>
    </w:p>
    <w:p w:rsidR="00041DC6" w:rsidRPr="00DB5A9E" w:rsidRDefault="00041DC6" w:rsidP="00C03C08">
      <w:pPr>
        <w:pStyle w:val="Default"/>
        <w:widowControl w:val="0"/>
        <w:spacing w:after="120"/>
        <w:jc w:val="both"/>
      </w:pPr>
      <w:r w:rsidRPr="008D37C1">
        <w:t xml:space="preserve">Positive impact on </w:t>
      </w:r>
      <w:r w:rsidRPr="00DB5A9E">
        <w:t>cultural diversity as it would faci</w:t>
      </w:r>
      <w:r w:rsidR="00D15CCB">
        <w:t>litate access to all types of Oo</w:t>
      </w:r>
      <w:r w:rsidRPr="00DB5A9E">
        <w:t>C works, while not substantially affecting incentives for authors to create new works.</w:t>
      </w:r>
    </w:p>
    <w:p w:rsidR="00041DC6" w:rsidRPr="00213F06" w:rsidRDefault="00041DC6" w:rsidP="00C03C08">
      <w:pPr>
        <w:pStyle w:val="Default"/>
        <w:widowControl w:val="0"/>
        <w:spacing w:after="120"/>
        <w:jc w:val="both"/>
      </w:pPr>
      <w:r w:rsidRPr="00213F06">
        <w:rPr>
          <w:bCs/>
        </w:rPr>
        <w:t>Opportunities for access to digitised cultural heritage</w:t>
      </w:r>
      <w:r w:rsidRPr="00C32C45">
        <w:rPr>
          <w:bCs/>
        </w:rPr>
        <w:t xml:space="preserve"> by end-users </w:t>
      </w:r>
      <w:r w:rsidRPr="00213F06">
        <w:rPr>
          <w:bCs/>
        </w:rPr>
        <w:t xml:space="preserve">would increase and extend to all types of works. </w:t>
      </w:r>
      <w:r w:rsidRPr="008D37C1">
        <w:rPr>
          <w:bCs/>
        </w:rPr>
        <w:t xml:space="preserve">This would, accordingly, have a broader influence on the social </w:t>
      </w:r>
      <w:r w:rsidRPr="00C32C45">
        <w:rPr>
          <w:bCs/>
        </w:rPr>
        <w:t>and economic benefits</w:t>
      </w:r>
      <w:r w:rsidRPr="00213F06">
        <w:rPr>
          <w:bCs/>
        </w:rPr>
        <w:t xml:space="preserve"> associated to the digitisation of cultural heritage.</w:t>
      </w:r>
      <w:r w:rsidRPr="00C32C45">
        <w:rPr>
          <w:rStyle w:val="FootnoteReference"/>
          <w:bCs/>
        </w:rPr>
        <w:footnoteReference w:id="240"/>
      </w:r>
    </w:p>
    <w:p w:rsidR="00041DC6" w:rsidRDefault="00041DC6" w:rsidP="00493C61">
      <w:pPr>
        <w:spacing w:after="120" w:line="240" w:lineRule="auto"/>
        <w:jc w:val="both"/>
        <w:rPr>
          <w:rFonts w:ascii="Times New Roman" w:hAnsi="Times New Roman"/>
          <w:sz w:val="24"/>
        </w:rPr>
      </w:pPr>
      <w:r w:rsidRPr="008D37C1">
        <w:rPr>
          <w:rFonts w:ascii="Times New Roman" w:hAnsi="Times New Roman"/>
          <w:sz w:val="24"/>
        </w:rPr>
        <w:t xml:space="preserve">Very positive </w:t>
      </w:r>
      <w:r w:rsidRPr="008D37C1">
        <w:rPr>
          <w:rFonts w:ascii="Times New Roman" w:hAnsi="Times New Roman"/>
          <w:sz w:val="24"/>
          <w:szCs w:val="24"/>
        </w:rPr>
        <w:t xml:space="preserve">contribution to the objectives of the </w:t>
      </w:r>
      <w:r w:rsidRPr="00C32C45">
        <w:rPr>
          <w:rFonts w:ascii="Times New Roman" w:hAnsi="Times New Roman"/>
          <w:sz w:val="24"/>
        </w:rPr>
        <w:t>EU's policy on digitisation and online accessibility of cultural heritage</w:t>
      </w:r>
      <w:r>
        <w:rPr>
          <w:rFonts w:ascii="Times New Roman" w:hAnsi="Times New Roman"/>
          <w:sz w:val="24"/>
        </w:rPr>
        <w:t>.</w:t>
      </w:r>
    </w:p>
    <w:p w:rsidR="00041DC6" w:rsidRPr="00C32C45" w:rsidRDefault="00041DC6" w:rsidP="00C03C08">
      <w:pPr>
        <w:pStyle w:val="Text1"/>
        <w:ind w:left="0"/>
        <w:rPr>
          <w:rFonts w:ascii="Times New Roman Bold" w:hAnsi="Times New Roman Bold"/>
          <w:b/>
          <w:smallCaps/>
          <w:szCs w:val="24"/>
        </w:rPr>
      </w:pPr>
      <w:r>
        <w:rPr>
          <w:rFonts w:ascii="Times New Roman Bold" w:hAnsi="Times New Roman Bold"/>
          <w:b/>
          <w:smallCaps/>
          <w:szCs w:val="24"/>
        </w:rPr>
        <w:t xml:space="preserve">Impacts on </w:t>
      </w:r>
      <w:r w:rsidRPr="00C03C08">
        <w:rPr>
          <w:rFonts w:ascii="Times New Roman Bold" w:eastAsia="Arial Unicode MS" w:hAnsi="Times New Roman Bold"/>
          <w:b/>
          <w:smallCaps/>
          <w:szCs w:val="24"/>
          <w:bdr w:val="none" w:sz="0" w:space="0" w:color="auto" w:frame="1"/>
        </w:rPr>
        <w:t>Fundamental</w:t>
      </w:r>
      <w:r w:rsidRPr="00C32C45">
        <w:rPr>
          <w:rFonts w:ascii="Times New Roman Bold" w:hAnsi="Times New Roman Bold"/>
          <w:b/>
          <w:smallCaps/>
          <w:szCs w:val="24"/>
        </w:rPr>
        <w:t xml:space="preserve"> rights</w:t>
      </w:r>
    </w:p>
    <w:p w:rsidR="00041DC6" w:rsidRPr="009B30C0" w:rsidRDefault="00041DC6" w:rsidP="00C03C08">
      <w:pPr>
        <w:pStyle w:val="Default"/>
        <w:widowControl w:val="0"/>
        <w:spacing w:after="120"/>
        <w:jc w:val="both"/>
      </w:pPr>
      <w:r>
        <w:t xml:space="preserve">The </w:t>
      </w:r>
      <w:r w:rsidRPr="00B820DD">
        <w:t xml:space="preserve">limited impact on copyright as </w:t>
      </w:r>
      <w:r>
        <w:t xml:space="preserve">a </w:t>
      </w:r>
      <w:r w:rsidRPr="00B820DD">
        <w:t xml:space="preserve">property right </w:t>
      </w:r>
      <w:r>
        <w:t xml:space="preserve">mentioned in </w:t>
      </w:r>
      <w:r w:rsidR="00FA4F47">
        <w:t>O</w:t>
      </w:r>
      <w:r>
        <w:t xml:space="preserve">ption 1 </w:t>
      </w:r>
      <w:r w:rsidRPr="00B820DD">
        <w:t xml:space="preserve">would affect more </w:t>
      </w:r>
      <w:r w:rsidR="003B07E4">
        <w:t>r</w:t>
      </w:r>
      <w:r w:rsidR="00007677">
        <w:t>ightholders</w:t>
      </w:r>
      <w:r w:rsidRPr="00B820DD">
        <w:t xml:space="preserve">. </w:t>
      </w:r>
      <w:r w:rsidRPr="00C03C08">
        <w:rPr>
          <w:bCs/>
        </w:rPr>
        <w:t>Impact</w:t>
      </w:r>
      <w:r w:rsidRPr="00B820DD">
        <w:t xml:space="preserve"> on the arts and scientific research, </w:t>
      </w:r>
      <w:r>
        <w:t>as well as</w:t>
      </w:r>
      <w:r w:rsidRPr="00B820DD">
        <w:t xml:space="preserve"> education</w:t>
      </w:r>
      <w:r>
        <w:t xml:space="preserve"> could be even more positive</w:t>
      </w:r>
      <w:r w:rsidRPr="00B820DD">
        <w:t xml:space="preserve"> as </w:t>
      </w:r>
      <w:r w:rsidR="00D15CCB">
        <w:t>all types of Oo</w:t>
      </w:r>
      <w:r>
        <w:t>C works could become available.</w:t>
      </w:r>
    </w:p>
    <w:p w:rsidR="00041DC6" w:rsidRDefault="00041DC6" w:rsidP="00CF38F1">
      <w:pPr>
        <w:pStyle w:val="Heading3"/>
      </w:pPr>
      <w:bookmarkStart w:id="48" w:name="_Toc461114718"/>
      <w:r w:rsidRPr="00ED79C5">
        <w:t>How do the options compare?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55"/>
        <w:gridCol w:w="1831"/>
        <w:gridCol w:w="1947"/>
        <w:gridCol w:w="1772"/>
      </w:tblGrid>
      <w:tr w:rsidR="00041DC6" w:rsidRPr="00B20738" w:rsidTr="00023ED9">
        <w:tc>
          <w:tcPr>
            <w:tcW w:w="1783"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Option</w:t>
            </w:r>
          </w:p>
        </w:tc>
        <w:tc>
          <w:tcPr>
            <w:tcW w:w="1955"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Effectiveness</w:t>
            </w:r>
          </w:p>
        </w:tc>
        <w:tc>
          <w:tcPr>
            <w:tcW w:w="1831"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Efficiency</w:t>
            </w:r>
          </w:p>
        </w:tc>
        <w:tc>
          <w:tcPr>
            <w:tcW w:w="1947"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Impact on stakeholders</w:t>
            </w:r>
          </w:p>
        </w:tc>
        <w:tc>
          <w:tcPr>
            <w:tcW w:w="1772" w:type="dxa"/>
            <w:shd w:val="clear" w:color="auto" w:fill="auto"/>
          </w:tcPr>
          <w:p w:rsidR="00041DC6" w:rsidRPr="00B20738" w:rsidRDefault="00041DC6" w:rsidP="00023ED9">
            <w:pPr>
              <w:spacing w:after="0" w:line="240" w:lineRule="auto"/>
              <w:rPr>
                <w:rFonts w:ascii="Times New Roman" w:hAnsi="Times New Roman"/>
                <w:b/>
                <w:sz w:val="20"/>
                <w:szCs w:val="20"/>
              </w:rPr>
            </w:pPr>
            <w:r>
              <w:rPr>
                <w:rFonts w:ascii="Times New Roman" w:hAnsi="Times New Roman"/>
                <w:b/>
                <w:sz w:val="20"/>
                <w:szCs w:val="20"/>
              </w:rPr>
              <w:t>Social impacts and fundamental rights</w:t>
            </w:r>
          </w:p>
        </w:tc>
      </w:tr>
      <w:tr w:rsidR="00041DC6" w:rsidRPr="00B20738" w:rsidTr="00023ED9">
        <w:tc>
          <w:tcPr>
            <w:tcW w:w="1783"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Baseline</w:t>
            </w:r>
          </w:p>
        </w:tc>
        <w:tc>
          <w:tcPr>
            <w:tcW w:w="1955"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 xml:space="preserve">(0) </w:t>
            </w:r>
            <w:r>
              <w:rPr>
                <w:rFonts w:ascii="Times New Roman" w:hAnsi="Times New Roman"/>
                <w:color w:val="000000"/>
                <w:sz w:val="20"/>
                <w:szCs w:val="20"/>
              </w:rPr>
              <w:t>relevant licensing opportunities only present in some MS and for books and literary works principally, with no multi-territorial applicability.</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tc>
        <w:tc>
          <w:tcPr>
            <w:tcW w:w="1831"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 xml:space="preserve">(0) </w:t>
            </w:r>
            <w:r>
              <w:rPr>
                <w:rFonts w:ascii="Times New Roman" w:hAnsi="Times New Roman"/>
                <w:color w:val="000000"/>
                <w:sz w:val="20"/>
                <w:szCs w:val="20"/>
              </w:rPr>
              <w:t>No direct costs.</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tc>
        <w:tc>
          <w:tcPr>
            <w:tcW w:w="1947"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(0)</w:t>
            </w:r>
            <w:r>
              <w:rPr>
                <w:rFonts w:ascii="Times New Roman" w:hAnsi="Times New Roman"/>
                <w:color w:val="000000"/>
                <w:sz w:val="20"/>
                <w:szCs w:val="20"/>
              </w:rPr>
              <w:t xml:space="preserve"> Impacts on stakeholders would depend on developments at national level but not address territoriality issues.</w:t>
            </w:r>
            <w:r w:rsidRPr="00B20738">
              <w:rPr>
                <w:rFonts w:ascii="Times New Roman" w:hAnsi="Times New Roman"/>
                <w:color w:val="000000"/>
                <w:sz w:val="20"/>
                <w:szCs w:val="20"/>
              </w:rPr>
              <w:t xml:space="preserve"> </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tc>
        <w:tc>
          <w:tcPr>
            <w:tcW w:w="1772"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 xml:space="preserve">(0) </w:t>
            </w:r>
            <w:r>
              <w:rPr>
                <w:rFonts w:ascii="Times New Roman" w:hAnsi="Times New Roman"/>
                <w:color w:val="000000"/>
                <w:sz w:val="20"/>
                <w:szCs w:val="20"/>
              </w:rPr>
              <w:t xml:space="preserve">No impact on cultural diversity. No substantial impact on the possibility to access cultural heritage by end-users. </w:t>
            </w:r>
            <w:r w:rsidRPr="00B20738">
              <w:rPr>
                <w:rFonts w:ascii="Times New Roman" w:hAnsi="Times New Roman"/>
                <w:color w:val="000000"/>
                <w:sz w:val="20"/>
                <w:szCs w:val="20"/>
              </w:rPr>
              <w:t xml:space="preserve">No contribution to EU policy objectives </w:t>
            </w:r>
            <w:r>
              <w:rPr>
                <w:rFonts w:ascii="Times New Roman" w:hAnsi="Times New Roman"/>
                <w:color w:val="000000"/>
                <w:sz w:val="20"/>
                <w:szCs w:val="20"/>
              </w:rPr>
              <w:t xml:space="preserve">on </w:t>
            </w:r>
            <w:r w:rsidRPr="008B7227">
              <w:rPr>
                <w:rFonts w:ascii="Times New Roman" w:hAnsi="Times New Roman"/>
                <w:color w:val="000000"/>
                <w:sz w:val="20"/>
                <w:szCs w:val="20"/>
              </w:rPr>
              <w:t>digitisation and online accessibility of cultural heritage</w:t>
            </w:r>
            <w:r>
              <w:rPr>
                <w:rFonts w:ascii="Times New Roman" w:hAnsi="Times New Roman"/>
                <w:color w:val="000000"/>
                <w:sz w:val="20"/>
                <w:szCs w:val="20"/>
              </w:rPr>
              <w:t xml:space="preserve">. </w:t>
            </w:r>
            <w:r w:rsidRPr="00B20738">
              <w:rPr>
                <w:rFonts w:ascii="Times New Roman" w:hAnsi="Times New Roman"/>
                <w:color w:val="000000"/>
                <w:sz w:val="20"/>
                <w:szCs w:val="20"/>
              </w:rPr>
              <w:t xml:space="preserve">No impact on fundamental rights. </w:t>
            </w:r>
          </w:p>
        </w:tc>
      </w:tr>
      <w:tr w:rsidR="00041DC6" w:rsidRPr="00B20738" w:rsidTr="00023ED9">
        <w:tc>
          <w:tcPr>
            <w:tcW w:w="1783"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 xml:space="preserve">Option 1 – </w:t>
            </w:r>
            <w:r>
              <w:rPr>
                <w:rFonts w:ascii="Times New Roman" w:hAnsi="Times New Roman"/>
                <w:b/>
                <w:sz w:val="20"/>
                <w:szCs w:val="20"/>
              </w:rPr>
              <w:t>M</w:t>
            </w:r>
            <w:r w:rsidRPr="00B20738">
              <w:rPr>
                <w:rFonts w:ascii="Times New Roman" w:hAnsi="Times New Roman"/>
                <w:b/>
                <w:sz w:val="20"/>
                <w:szCs w:val="20"/>
              </w:rPr>
              <w:t>echanisms to facilitate collec</w:t>
            </w:r>
            <w:r w:rsidR="00D15CCB">
              <w:rPr>
                <w:rFonts w:ascii="Times New Roman" w:hAnsi="Times New Roman"/>
                <w:b/>
                <w:sz w:val="20"/>
                <w:szCs w:val="20"/>
              </w:rPr>
              <w:t>tive licensing agreements for Oo</w:t>
            </w:r>
            <w:r w:rsidRPr="00B20738">
              <w:rPr>
                <w:rFonts w:ascii="Times New Roman" w:hAnsi="Times New Roman"/>
                <w:b/>
                <w:sz w:val="20"/>
                <w:szCs w:val="20"/>
              </w:rPr>
              <w:t>C books and learned journals</w:t>
            </w:r>
            <w:r>
              <w:rPr>
                <w:rFonts w:ascii="Times New Roman" w:hAnsi="Times New Roman"/>
                <w:b/>
                <w:sz w:val="20"/>
                <w:szCs w:val="20"/>
              </w:rPr>
              <w:t xml:space="preserve">; </w:t>
            </w:r>
            <w:r w:rsidRPr="00B20738">
              <w:rPr>
                <w:rFonts w:ascii="Times New Roman" w:hAnsi="Times New Roman"/>
                <w:b/>
                <w:sz w:val="20"/>
                <w:szCs w:val="20"/>
              </w:rPr>
              <w:t xml:space="preserve">cross-border effect of such mechanisms; </w:t>
            </w:r>
            <w:r>
              <w:rPr>
                <w:rFonts w:ascii="Times New Roman" w:hAnsi="Times New Roman"/>
                <w:b/>
                <w:sz w:val="20"/>
                <w:szCs w:val="20"/>
              </w:rPr>
              <w:t>stakeholder frameworks.</w:t>
            </w:r>
          </w:p>
          <w:p w:rsidR="00041DC6" w:rsidRPr="00B20738" w:rsidRDefault="00041DC6" w:rsidP="00023ED9">
            <w:pPr>
              <w:spacing w:after="0" w:line="240" w:lineRule="auto"/>
              <w:rPr>
                <w:rFonts w:ascii="Times New Roman" w:hAnsi="Times New Roman"/>
                <w:b/>
                <w:sz w:val="20"/>
                <w:szCs w:val="20"/>
              </w:rPr>
            </w:pPr>
          </w:p>
          <w:p w:rsidR="00041DC6" w:rsidRPr="00B20738" w:rsidRDefault="00041DC6" w:rsidP="00023ED9">
            <w:pPr>
              <w:spacing w:after="0" w:line="240" w:lineRule="auto"/>
              <w:rPr>
                <w:rFonts w:ascii="Times New Roman" w:hAnsi="Times New Roman"/>
                <w:b/>
                <w:sz w:val="20"/>
                <w:szCs w:val="20"/>
              </w:rPr>
            </w:pPr>
          </w:p>
        </w:tc>
        <w:tc>
          <w:tcPr>
            <w:tcW w:w="1955"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t>
            </w:r>
            <w:r w:rsidRPr="00B20738">
              <w:rPr>
                <w:rFonts w:ascii="Times New Roman" w:hAnsi="Times New Roman"/>
                <w:color w:val="000000"/>
                <w:sz w:val="20"/>
                <w:szCs w:val="20"/>
              </w:rPr>
              <w:t xml:space="preserve">+) </w:t>
            </w:r>
            <w:r>
              <w:rPr>
                <w:rFonts w:ascii="Times New Roman" w:hAnsi="Times New Roman"/>
                <w:color w:val="000000"/>
                <w:sz w:val="20"/>
                <w:szCs w:val="20"/>
              </w:rPr>
              <w:t>Relevant licensing mechanisms, with multi-territorial application, in place everywhere in the EU for books and learned journals (not for other works).</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tc>
        <w:tc>
          <w:tcPr>
            <w:tcW w:w="1831"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Costs related to the set-up and management of the European transparency web portal.</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 xml:space="preserve"> </w:t>
            </w:r>
          </w:p>
        </w:tc>
        <w:tc>
          <w:tcPr>
            <w:tcW w:w="1947" w:type="dxa"/>
            <w:shd w:val="clear" w:color="auto" w:fill="auto"/>
          </w:tcPr>
          <w:p w:rsidR="00041DC6"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t>
            </w:r>
            <w:r w:rsidRPr="00B20738">
              <w:rPr>
                <w:rFonts w:ascii="Times New Roman" w:hAnsi="Times New Roman"/>
                <w:color w:val="000000"/>
                <w:sz w:val="20"/>
                <w:szCs w:val="20"/>
              </w:rPr>
              <w:t xml:space="preserve">) </w:t>
            </w:r>
            <w:r>
              <w:rPr>
                <w:rFonts w:ascii="Times New Roman" w:hAnsi="Times New Roman"/>
                <w:color w:val="000000"/>
                <w:sz w:val="20"/>
                <w:szCs w:val="20"/>
              </w:rPr>
              <w:t>Opportunities for reduced transa</w:t>
            </w:r>
            <w:r w:rsidR="00D15CCB">
              <w:rPr>
                <w:rFonts w:ascii="Times New Roman" w:hAnsi="Times New Roman"/>
                <w:color w:val="000000"/>
                <w:sz w:val="20"/>
                <w:szCs w:val="20"/>
              </w:rPr>
              <w:t>ction costs for CHIs and more Oo</w:t>
            </w:r>
            <w:r>
              <w:rPr>
                <w:rFonts w:ascii="Times New Roman" w:hAnsi="Times New Roman"/>
                <w:color w:val="000000"/>
                <w:sz w:val="20"/>
                <w:szCs w:val="20"/>
              </w:rPr>
              <w:t>C books and learned journals becoming available to the public.</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(0/+) Potential revenue opportunities for </w:t>
            </w:r>
            <w:r w:rsidR="003B07E4">
              <w:rPr>
                <w:rFonts w:ascii="Times New Roman" w:hAnsi="Times New Roman"/>
                <w:color w:val="000000"/>
                <w:sz w:val="20"/>
                <w:szCs w:val="20"/>
              </w:rPr>
              <w:t>r</w:t>
            </w:r>
            <w:r w:rsidR="00007677">
              <w:rPr>
                <w:rFonts w:ascii="Times New Roman" w:hAnsi="Times New Roman"/>
                <w:color w:val="000000"/>
                <w:sz w:val="20"/>
                <w:szCs w:val="20"/>
              </w:rPr>
              <w:t>ightholders</w:t>
            </w:r>
            <w:r>
              <w:rPr>
                <w:rFonts w:ascii="Times New Roman" w:hAnsi="Times New Roman"/>
                <w:color w:val="000000"/>
                <w:sz w:val="20"/>
                <w:szCs w:val="20"/>
              </w:rPr>
              <w:t xml:space="preserve"> while retaining their freedom to exploit their works otherwise.</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(0/-</w:t>
            </w:r>
            <w:r w:rsidRPr="00B20738">
              <w:rPr>
                <w:rFonts w:ascii="Times New Roman" w:hAnsi="Times New Roman"/>
                <w:color w:val="000000"/>
                <w:sz w:val="20"/>
                <w:szCs w:val="20"/>
              </w:rPr>
              <w:t xml:space="preserve">) </w:t>
            </w:r>
            <w:r>
              <w:rPr>
                <w:rFonts w:ascii="Times New Roman" w:hAnsi="Times New Roman"/>
                <w:color w:val="000000"/>
                <w:sz w:val="20"/>
                <w:szCs w:val="20"/>
              </w:rPr>
              <w:t>Some costs related to the management of opt-out costs, expected to be limited.</w:t>
            </w:r>
          </w:p>
        </w:tc>
        <w:tc>
          <w:tcPr>
            <w:tcW w:w="1772" w:type="dxa"/>
            <w:shd w:val="clear" w:color="auto" w:fill="auto"/>
          </w:tcPr>
          <w:p w:rsidR="00041DC6"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t>
            </w:r>
            <w:r w:rsidRPr="00B20738">
              <w:rPr>
                <w:rFonts w:ascii="Times New Roman" w:hAnsi="Times New Roman"/>
                <w:color w:val="000000"/>
                <w:sz w:val="20"/>
                <w:szCs w:val="20"/>
              </w:rPr>
              <w:t xml:space="preserve">+) </w:t>
            </w:r>
            <w:r>
              <w:rPr>
                <w:rFonts w:ascii="Times New Roman" w:hAnsi="Times New Roman"/>
                <w:color w:val="000000"/>
                <w:sz w:val="20"/>
                <w:szCs w:val="20"/>
              </w:rPr>
              <w:t>Positive impact on cultural diversity and on the possibility for people to acc</w:t>
            </w:r>
            <w:r w:rsidR="00D15CCB">
              <w:rPr>
                <w:rFonts w:ascii="Times New Roman" w:hAnsi="Times New Roman"/>
                <w:color w:val="000000"/>
                <w:sz w:val="20"/>
                <w:szCs w:val="20"/>
              </w:rPr>
              <w:t>ess cultural heritage as more Oo</w:t>
            </w:r>
            <w:r>
              <w:rPr>
                <w:rFonts w:ascii="Times New Roman" w:hAnsi="Times New Roman"/>
                <w:color w:val="000000"/>
                <w:sz w:val="20"/>
                <w:szCs w:val="20"/>
              </w:rPr>
              <w:t xml:space="preserve">C books and learned journals can become available. Positive contribution to </w:t>
            </w:r>
            <w:r w:rsidRPr="00EF4741">
              <w:rPr>
                <w:rFonts w:ascii="Times New Roman" w:hAnsi="Times New Roman"/>
                <w:color w:val="000000"/>
                <w:sz w:val="20"/>
                <w:szCs w:val="20"/>
              </w:rPr>
              <w:t>EU policy objectives on digitisation and online accessibility of cultural heritage</w:t>
            </w:r>
            <w:r>
              <w:rPr>
                <w:rFonts w:ascii="Times New Roman" w:hAnsi="Times New Roman"/>
                <w:color w:val="000000"/>
                <w:sz w:val="20"/>
                <w:szCs w:val="20"/>
              </w:rPr>
              <w:t>.</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Limited negative impact on fundamental rights.</w:t>
            </w:r>
          </w:p>
        </w:tc>
      </w:tr>
      <w:tr w:rsidR="00041DC6" w:rsidRPr="00B20738" w:rsidTr="00023ED9">
        <w:trPr>
          <w:trHeight w:val="995"/>
        </w:trPr>
        <w:tc>
          <w:tcPr>
            <w:tcW w:w="1783" w:type="dxa"/>
            <w:shd w:val="clear" w:color="auto" w:fill="auto"/>
          </w:tcPr>
          <w:p w:rsidR="00041DC6" w:rsidRPr="00B20738" w:rsidRDefault="00041DC6" w:rsidP="00023ED9">
            <w:pPr>
              <w:spacing w:after="0" w:line="240" w:lineRule="auto"/>
              <w:rPr>
                <w:rFonts w:ascii="Times New Roman" w:hAnsi="Times New Roman"/>
                <w:b/>
                <w:sz w:val="20"/>
                <w:szCs w:val="20"/>
              </w:rPr>
            </w:pPr>
            <w:r w:rsidRPr="00B20738">
              <w:rPr>
                <w:rFonts w:ascii="Times New Roman" w:hAnsi="Times New Roman"/>
                <w:b/>
                <w:sz w:val="20"/>
                <w:szCs w:val="20"/>
              </w:rPr>
              <w:t xml:space="preserve">Option 2 – </w:t>
            </w:r>
            <w:r>
              <w:rPr>
                <w:rFonts w:ascii="Times New Roman" w:hAnsi="Times New Roman"/>
                <w:b/>
                <w:sz w:val="20"/>
                <w:szCs w:val="20"/>
              </w:rPr>
              <w:t>M</w:t>
            </w:r>
            <w:r w:rsidRPr="00B20738">
              <w:rPr>
                <w:rFonts w:ascii="Times New Roman" w:hAnsi="Times New Roman"/>
                <w:b/>
                <w:sz w:val="20"/>
                <w:szCs w:val="20"/>
              </w:rPr>
              <w:t xml:space="preserve">echanisms to facilitate collective licensing agreements for </w:t>
            </w:r>
            <w:r>
              <w:rPr>
                <w:rFonts w:ascii="Times New Roman" w:hAnsi="Times New Roman"/>
                <w:b/>
                <w:sz w:val="20"/>
                <w:szCs w:val="20"/>
              </w:rPr>
              <w:t xml:space="preserve">all </w:t>
            </w:r>
            <w:r w:rsidR="00D15CCB">
              <w:rPr>
                <w:rFonts w:ascii="Times New Roman" w:hAnsi="Times New Roman"/>
                <w:b/>
                <w:sz w:val="20"/>
                <w:szCs w:val="20"/>
              </w:rPr>
              <w:t>Oo</w:t>
            </w:r>
            <w:r w:rsidRPr="00B20738">
              <w:rPr>
                <w:rFonts w:ascii="Times New Roman" w:hAnsi="Times New Roman"/>
                <w:b/>
                <w:sz w:val="20"/>
                <w:szCs w:val="20"/>
              </w:rPr>
              <w:t>C</w:t>
            </w:r>
            <w:r>
              <w:rPr>
                <w:rFonts w:ascii="Times New Roman" w:hAnsi="Times New Roman"/>
                <w:b/>
                <w:sz w:val="20"/>
                <w:szCs w:val="20"/>
              </w:rPr>
              <w:t xml:space="preserve"> works; </w:t>
            </w:r>
            <w:r w:rsidRPr="00B20738">
              <w:rPr>
                <w:rFonts w:ascii="Times New Roman" w:hAnsi="Times New Roman"/>
                <w:b/>
                <w:sz w:val="20"/>
                <w:szCs w:val="20"/>
              </w:rPr>
              <w:t xml:space="preserve">cross-border effect of such mechanisms; </w:t>
            </w:r>
            <w:r>
              <w:rPr>
                <w:rFonts w:ascii="Times New Roman" w:hAnsi="Times New Roman"/>
                <w:b/>
                <w:sz w:val="20"/>
                <w:szCs w:val="20"/>
              </w:rPr>
              <w:t>stakeholder frameworks.</w:t>
            </w:r>
          </w:p>
        </w:tc>
        <w:tc>
          <w:tcPr>
            <w:tcW w:w="1955"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w:t>
            </w:r>
            <w:r>
              <w:rPr>
                <w:rFonts w:ascii="Times New Roman" w:hAnsi="Times New Roman"/>
                <w:color w:val="000000"/>
                <w:sz w:val="20"/>
                <w:szCs w:val="20"/>
              </w:rPr>
              <w:t xml:space="preserve"> Relevant licensing mechanisms, with multi-territorial application, in place everywhere in the EU for all types of works.</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p>
        </w:tc>
        <w:tc>
          <w:tcPr>
            <w:tcW w:w="1831"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8B7227">
              <w:rPr>
                <w:rFonts w:ascii="Times New Roman" w:hAnsi="Times New Roman"/>
                <w:color w:val="000000"/>
                <w:sz w:val="20"/>
                <w:szCs w:val="20"/>
              </w:rPr>
              <w:t xml:space="preserve">(-) Costs related to the set-up and management of the European </w:t>
            </w:r>
            <w:r>
              <w:rPr>
                <w:rFonts w:ascii="Times New Roman" w:hAnsi="Times New Roman"/>
                <w:color w:val="000000"/>
                <w:sz w:val="20"/>
                <w:szCs w:val="20"/>
              </w:rPr>
              <w:t>transparency web portal.</w:t>
            </w:r>
          </w:p>
        </w:tc>
        <w:tc>
          <w:tcPr>
            <w:tcW w:w="1947" w:type="dxa"/>
            <w:shd w:val="clear" w:color="auto" w:fill="auto"/>
          </w:tcPr>
          <w:p w:rsidR="00041DC6" w:rsidRPr="00EF4741" w:rsidRDefault="00041DC6" w:rsidP="00023ED9">
            <w:pPr>
              <w:autoSpaceDE w:val="0"/>
              <w:autoSpaceDN w:val="0"/>
              <w:adjustRightInd w:val="0"/>
              <w:spacing w:after="0" w:line="240" w:lineRule="auto"/>
              <w:rPr>
                <w:rFonts w:ascii="Times New Roman" w:hAnsi="Times New Roman"/>
                <w:color w:val="000000"/>
                <w:sz w:val="20"/>
                <w:szCs w:val="20"/>
              </w:rPr>
            </w:pPr>
            <w:r w:rsidRPr="00EF4741">
              <w:rPr>
                <w:rFonts w:ascii="Times New Roman" w:hAnsi="Times New Roman"/>
                <w:color w:val="000000"/>
                <w:sz w:val="20"/>
                <w:szCs w:val="20"/>
              </w:rPr>
              <w:t>(+</w:t>
            </w:r>
            <w:r>
              <w:rPr>
                <w:rFonts w:ascii="Times New Roman" w:hAnsi="Times New Roman"/>
                <w:color w:val="000000"/>
                <w:sz w:val="20"/>
                <w:szCs w:val="20"/>
              </w:rPr>
              <w:t>+</w:t>
            </w:r>
            <w:r w:rsidRPr="00EF4741">
              <w:rPr>
                <w:rFonts w:ascii="Times New Roman" w:hAnsi="Times New Roman"/>
                <w:color w:val="000000"/>
                <w:sz w:val="20"/>
                <w:szCs w:val="20"/>
              </w:rPr>
              <w:t xml:space="preserve">) Opportunities for reduced transaction costs for CHIs and more </w:t>
            </w:r>
            <w:r>
              <w:rPr>
                <w:rFonts w:ascii="Times New Roman" w:hAnsi="Times New Roman"/>
                <w:color w:val="000000"/>
                <w:sz w:val="20"/>
                <w:szCs w:val="20"/>
              </w:rPr>
              <w:t xml:space="preserve">works </w:t>
            </w:r>
            <w:r w:rsidRPr="00EF4741">
              <w:rPr>
                <w:rFonts w:ascii="Times New Roman" w:hAnsi="Times New Roman"/>
                <w:color w:val="000000"/>
                <w:sz w:val="20"/>
                <w:szCs w:val="20"/>
              </w:rPr>
              <w:t>becoming available to the public</w:t>
            </w:r>
            <w:r>
              <w:rPr>
                <w:rFonts w:ascii="Times New Roman" w:hAnsi="Times New Roman"/>
                <w:color w:val="000000"/>
                <w:sz w:val="20"/>
                <w:szCs w:val="20"/>
              </w:rPr>
              <w:t>.</w:t>
            </w:r>
          </w:p>
          <w:p w:rsidR="00041DC6" w:rsidRDefault="00041DC6" w:rsidP="00023ED9">
            <w:pPr>
              <w:autoSpaceDE w:val="0"/>
              <w:autoSpaceDN w:val="0"/>
              <w:adjustRightInd w:val="0"/>
              <w:spacing w:after="0" w:line="240" w:lineRule="auto"/>
              <w:rPr>
                <w:rFonts w:ascii="Times New Roman" w:hAnsi="Times New Roman"/>
                <w:color w:val="000000"/>
                <w:sz w:val="20"/>
                <w:szCs w:val="20"/>
              </w:rPr>
            </w:pPr>
            <w:r w:rsidRPr="00EF4741">
              <w:rPr>
                <w:rFonts w:ascii="Times New Roman" w:hAnsi="Times New Roman"/>
                <w:color w:val="000000"/>
                <w:sz w:val="20"/>
                <w:szCs w:val="20"/>
              </w:rPr>
              <w:t xml:space="preserve">(0/+) potential revenue opportunities for </w:t>
            </w:r>
            <w:r w:rsidR="00195F59">
              <w:rPr>
                <w:rFonts w:ascii="Times New Roman" w:hAnsi="Times New Roman"/>
                <w:color w:val="000000"/>
                <w:sz w:val="20"/>
                <w:szCs w:val="20"/>
              </w:rPr>
              <w:t>r</w:t>
            </w:r>
            <w:r w:rsidR="00007677">
              <w:rPr>
                <w:rFonts w:ascii="Times New Roman" w:hAnsi="Times New Roman"/>
                <w:color w:val="000000"/>
                <w:sz w:val="20"/>
                <w:szCs w:val="20"/>
              </w:rPr>
              <w:t>ightholders</w:t>
            </w:r>
            <w:r w:rsidRPr="00EF4741">
              <w:rPr>
                <w:rFonts w:ascii="Times New Roman" w:hAnsi="Times New Roman"/>
                <w:color w:val="000000"/>
                <w:sz w:val="20"/>
                <w:szCs w:val="20"/>
              </w:rPr>
              <w:t xml:space="preserve"> while retaining their freedom to exploit their works otherwise.</w:t>
            </w:r>
          </w:p>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8B7227">
              <w:rPr>
                <w:rFonts w:ascii="Times New Roman" w:hAnsi="Times New Roman"/>
                <w:color w:val="000000"/>
                <w:sz w:val="20"/>
                <w:szCs w:val="20"/>
              </w:rPr>
              <w:t>(0/-) Some costs related to the management of opt-out</w:t>
            </w:r>
            <w:r>
              <w:rPr>
                <w:rFonts w:ascii="Times New Roman" w:hAnsi="Times New Roman"/>
                <w:color w:val="000000"/>
                <w:sz w:val="20"/>
                <w:szCs w:val="20"/>
              </w:rPr>
              <w:t xml:space="preserve"> costs, expected to be limited.</w:t>
            </w:r>
          </w:p>
        </w:tc>
        <w:tc>
          <w:tcPr>
            <w:tcW w:w="1772" w:type="dxa"/>
            <w:shd w:val="clear" w:color="auto" w:fill="auto"/>
          </w:tcPr>
          <w:p w:rsidR="00041DC6" w:rsidRPr="00B20738"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w:t>
            </w:r>
            <w:r>
              <w:rPr>
                <w:rFonts w:ascii="Times New Roman" w:hAnsi="Times New Roman"/>
                <w:color w:val="000000"/>
                <w:sz w:val="20"/>
                <w:szCs w:val="20"/>
              </w:rPr>
              <w:t>+</w:t>
            </w:r>
            <w:r w:rsidRPr="00B20738">
              <w:rPr>
                <w:rFonts w:ascii="Times New Roman" w:hAnsi="Times New Roman"/>
                <w:color w:val="000000"/>
                <w:sz w:val="20"/>
                <w:szCs w:val="20"/>
              </w:rPr>
              <w:t xml:space="preserve">) Positive impact on cultural diversity as more works are likely to be </w:t>
            </w:r>
            <w:r>
              <w:rPr>
                <w:rFonts w:ascii="Times New Roman" w:hAnsi="Times New Roman"/>
                <w:color w:val="000000"/>
                <w:sz w:val="20"/>
                <w:szCs w:val="20"/>
              </w:rPr>
              <w:t>made accessible and therefore on the possibility for people to access cultural heritage.</w:t>
            </w:r>
          </w:p>
          <w:p w:rsidR="00041DC6" w:rsidRDefault="00041DC6" w:rsidP="00023ED9">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w:t>
            </w:r>
            <w:r>
              <w:rPr>
                <w:rFonts w:ascii="Times New Roman" w:hAnsi="Times New Roman"/>
                <w:color w:val="000000"/>
                <w:sz w:val="20"/>
                <w:szCs w:val="20"/>
              </w:rPr>
              <w:t>+) Very p</w:t>
            </w:r>
            <w:r w:rsidRPr="00B20738">
              <w:rPr>
                <w:rFonts w:ascii="Times New Roman" w:hAnsi="Times New Roman"/>
                <w:color w:val="000000"/>
                <w:sz w:val="20"/>
                <w:szCs w:val="20"/>
              </w:rPr>
              <w:t xml:space="preserve">ositive contribution to the EU policy objectives on </w:t>
            </w:r>
            <w:r w:rsidRPr="009E6A03">
              <w:rPr>
                <w:rFonts w:ascii="Times New Roman" w:hAnsi="Times New Roman"/>
                <w:color w:val="000000"/>
                <w:sz w:val="20"/>
                <w:szCs w:val="20"/>
              </w:rPr>
              <w:t xml:space="preserve">digitisation and online accessibility of </w:t>
            </w:r>
            <w:r w:rsidRPr="00B20738">
              <w:rPr>
                <w:rFonts w:ascii="Times New Roman" w:hAnsi="Times New Roman"/>
                <w:color w:val="000000"/>
                <w:sz w:val="20"/>
                <w:szCs w:val="20"/>
              </w:rPr>
              <w:t>cultural heritage</w:t>
            </w:r>
            <w:r>
              <w:rPr>
                <w:rFonts w:ascii="Times New Roman" w:hAnsi="Times New Roman"/>
                <w:color w:val="000000"/>
                <w:sz w:val="20"/>
                <w:szCs w:val="20"/>
              </w:rPr>
              <w:t>.</w:t>
            </w:r>
            <w:r w:rsidRPr="00B20738">
              <w:rPr>
                <w:rFonts w:ascii="Times New Roman" w:hAnsi="Times New Roman"/>
                <w:color w:val="000000"/>
                <w:sz w:val="20"/>
                <w:szCs w:val="20"/>
              </w:rPr>
              <w:t xml:space="preserve"> </w:t>
            </w:r>
          </w:p>
          <w:p w:rsidR="00041DC6" w:rsidRPr="00B20738" w:rsidRDefault="00041DC6" w:rsidP="00A77F7A">
            <w:pPr>
              <w:autoSpaceDE w:val="0"/>
              <w:autoSpaceDN w:val="0"/>
              <w:adjustRightInd w:val="0"/>
              <w:spacing w:after="0" w:line="240" w:lineRule="auto"/>
              <w:rPr>
                <w:rFonts w:ascii="Times New Roman" w:hAnsi="Times New Roman"/>
                <w:color w:val="000000"/>
                <w:sz w:val="20"/>
                <w:szCs w:val="20"/>
              </w:rPr>
            </w:pPr>
            <w:r w:rsidRPr="00B20738">
              <w:rPr>
                <w:rFonts w:ascii="Times New Roman" w:hAnsi="Times New Roman"/>
                <w:color w:val="000000"/>
                <w:sz w:val="20"/>
                <w:szCs w:val="20"/>
              </w:rPr>
              <w:t>(</w:t>
            </w:r>
            <w:r>
              <w:rPr>
                <w:rFonts w:ascii="Times New Roman" w:hAnsi="Times New Roman"/>
                <w:color w:val="000000"/>
                <w:sz w:val="20"/>
                <w:szCs w:val="20"/>
              </w:rPr>
              <w:t>-</w:t>
            </w:r>
            <w:r w:rsidRPr="00B20738">
              <w:rPr>
                <w:rFonts w:ascii="Times New Roman" w:hAnsi="Times New Roman"/>
                <w:color w:val="000000"/>
                <w:sz w:val="20"/>
                <w:szCs w:val="20"/>
              </w:rPr>
              <w:t xml:space="preserve">) </w:t>
            </w:r>
            <w:r>
              <w:rPr>
                <w:rFonts w:ascii="Times New Roman" w:hAnsi="Times New Roman"/>
                <w:color w:val="000000"/>
                <w:sz w:val="20"/>
                <w:szCs w:val="20"/>
              </w:rPr>
              <w:t>Limited</w:t>
            </w:r>
            <w:r w:rsidRPr="00B20738">
              <w:rPr>
                <w:rFonts w:ascii="Times New Roman" w:hAnsi="Times New Roman"/>
                <w:color w:val="000000"/>
                <w:sz w:val="20"/>
                <w:szCs w:val="20"/>
              </w:rPr>
              <w:t xml:space="preserve"> </w:t>
            </w:r>
            <w:r>
              <w:rPr>
                <w:rFonts w:ascii="Times New Roman" w:hAnsi="Times New Roman"/>
                <w:color w:val="000000"/>
                <w:sz w:val="20"/>
                <w:szCs w:val="20"/>
              </w:rPr>
              <w:t xml:space="preserve">negative </w:t>
            </w:r>
            <w:r w:rsidRPr="00B20738">
              <w:rPr>
                <w:rFonts w:ascii="Times New Roman" w:hAnsi="Times New Roman"/>
                <w:color w:val="000000"/>
                <w:sz w:val="20"/>
                <w:szCs w:val="20"/>
              </w:rPr>
              <w:t>impact on fundamental rights</w:t>
            </w:r>
            <w:r>
              <w:rPr>
                <w:rFonts w:ascii="Times New Roman" w:hAnsi="Times New Roman"/>
                <w:color w:val="000000"/>
                <w:sz w:val="20"/>
                <w:szCs w:val="20"/>
              </w:rPr>
              <w:t>.</w:t>
            </w:r>
          </w:p>
        </w:tc>
      </w:tr>
    </w:tbl>
    <w:p w:rsidR="00041DC6" w:rsidRPr="00B20738" w:rsidRDefault="00493C61" w:rsidP="00C03C08">
      <w:pPr>
        <w:spacing w:before="240" w:after="120" w:line="240" w:lineRule="auto"/>
        <w:jc w:val="both"/>
        <w:rPr>
          <w:rFonts w:ascii="Times New Roman" w:hAnsi="Times New Roman"/>
          <w:sz w:val="24"/>
          <w:szCs w:val="24"/>
        </w:rPr>
      </w:pPr>
      <w:r w:rsidRPr="009B08EE">
        <w:rPr>
          <w:rFonts w:ascii="Times New Roman" w:hAnsi="Times New Roman"/>
          <w:b/>
          <w:sz w:val="24"/>
          <w:szCs w:val="24"/>
        </w:rPr>
        <w:t>O</w:t>
      </w:r>
      <w:r w:rsidR="00041DC6" w:rsidRPr="009B08EE">
        <w:rPr>
          <w:rFonts w:ascii="Times New Roman" w:hAnsi="Times New Roman"/>
          <w:b/>
          <w:sz w:val="24"/>
          <w:szCs w:val="24"/>
        </w:rPr>
        <w:t xml:space="preserve">ption 2 </w:t>
      </w:r>
      <w:r w:rsidRPr="00D1507D">
        <w:rPr>
          <w:rFonts w:ascii="Times New Roman" w:hAnsi="Times New Roman"/>
          <w:b/>
          <w:sz w:val="24"/>
        </w:rPr>
        <w:t xml:space="preserve">is the preferred option is </w:t>
      </w:r>
      <w:r w:rsidR="00041DC6" w:rsidRPr="00D1507D">
        <w:rPr>
          <w:rFonts w:ascii="Times New Roman" w:hAnsi="Times New Roman"/>
          <w:b/>
          <w:sz w:val="24"/>
        </w:rPr>
        <w:t xml:space="preserve">as it would, on the one hand, put in place legal frameworks conducive to a reduction of transaction costs and make possible the specific licences required for the </w:t>
      </w:r>
      <w:r w:rsidR="00FB6F91" w:rsidRPr="00AD57F7">
        <w:rPr>
          <w:rFonts w:ascii="Times New Roman" w:hAnsi="Times New Roman"/>
          <w:b/>
          <w:sz w:val="24"/>
          <w:szCs w:val="24"/>
        </w:rPr>
        <w:t>digi</w:t>
      </w:r>
      <w:r w:rsidR="00D15CCB">
        <w:rPr>
          <w:rFonts w:ascii="Times New Roman" w:hAnsi="Times New Roman"/>
          <w:b/>
          <w:sz w:val="24"/>
          <w:szCs w:val="24"/>
        </w:rPr>
        <w:t>tisation and dissemination of Oo</w:t>
      </w:r>
      <w:r w:rsidR="00FB6F91" w:rsidRPr="00AD57F7">
        <w:rPr>
          <w:rFonts w:ascii="Times New Roman" w:hAnsi="Times New Roman"/>
          <w:b/>
          <w:sz w:val="24"/>
          <w:szCs w:val="24"/>
        </w:rPr>
        <w:t>C works</w:t>
      </w:r>
      <w:r w:rsidR="00041DC6" w:rsidRPr="00D1507D">
        <w:rPr>
          <w:rFonts w:ascii="Times New Roman" w:hAnsi="Times New Roman"/>
          <w:b/>
          <w:sz w:val="24"/>
        </w:rPr>
        <w:t xml:space="preserve">, for all </w:t>
      </w:r>
      <w:r w:rsidR="00FB6F91" w:rsidRPr="00AD57F7">
        <w:rPr>
          <w:rFonts w:ascii="Times New Roman" w:hAnsi="Times New Roman"/>
          <w:b/>
          <w:sz w:val="24"/>
          <w:szCs w:val="24"/>
        </w:rPr>
        <w:t xml:space="preserve">types of </w:t>
      </w:r>
      <w:r w:rsidR="00041DC6" w:rsidRPr="00D1507D">
        <w:rPr>
          <w:rFonts w:ascii="Times New Roman" w:hAnsi="Times New Roman"/>
          <w:b/>
          <w:sz w:val="24"/>
        </w:rPr>
        <w:t xml:space="preserve">works and in all MS, including across borders. On the other hand, it would not affect the interests of </w:t>
      </w:r>
      <w:r w:rsidR="003B07E4">
        <w:rPr>
          <w:rFonts w:ascii="Times New Roman" w:hAnsi="Times New Roman"/>
          <w:b/>
          <w:sz w:val="24"/>
        </w:rPr>
        <w:t>r</w:t>
      </w:r>
      <w:r w:rsidR="00007677">
        <w:rPr>
          <w:rFonts w:ascii="Times New Roman" w:hAnsi="Times New Roman"/>
          <w:b/>
          <w:sz w:val="24"/>
        </w:rPr>
        <w:t>ightholders</w:t>
      </w:r>
      <w:r w:rsidR="00041DC6" w:rsidRPr="00D1507D">
        <w:rPr>
          <w:rFonts w:ascii="Times New Roman" w:hAnsi="Times New Roman"/>
          <w:b/>
          <w:sz w:val="24"/>
        </w:rPr>
        <w:t xml:space="preserve"> to any tangible extent, or imply </w:t>
      </w:r>
      <w:r w:rsidR="00667B95" w:rsidRPr="00D1507D">
        <w:rPr>
          <w:rFonts w:ascii="Times New Roman" w:hAnsi="Times New Roman"/>
          <w:b/>
          <w:sz w:val="24"/>
        </w:rPr>
        <w:t xml:space="preserve">additional </w:t>
      </w:r>
      <w:r w:rsidR="00041DC6" w:rsidRPr="00D1507D">
        <w:rPr>
          <w:rFonts w:ascii="Times New Roman" w:hAnsi="Times New Roman"/>
          <w:b/>
          <w:sz w:val="24"/>
        </w:rPr>
        <w:t>costs for them, for example in terms of missed revenues or licensing opportunities (it creates on the contrary potential opportunities for new revenue and exposure).</w:t>
      </w:r>
      <w:r w:rsidR="00041DC6">
        <w:rPr>
          <w:rFonts w:ascii="Times New Roman" w:hAnsi="Times New Roman"/>
          <w:sz w:val="24"/>
          <w:szCs w:val="24"/>
        </w:rPr>
        <w:t xml:space="preserve"> The baseline option would not be effective and Option 1 would be effective only for certain types of works. </w:t>
      </w:r>
      <w:r w:rsidR="00041DC6" w:rsidRPr="00B20738">
        <w:rPr>
          <w:rFonts w:ascii="Times New Roman" w:hAnsi="Times New Roman"/>
          <w:sz w:val="24"/>
          <w:szCs w:val="24"/>
        </w:rPr>
        <w:t xml:space="preserve">As </w:t>
      </w:r>
      <w:r w:rsidR="00041DC6">
        <w:rPr>
          <w:rFonts w:ascii="Times New Roman" w:hAnsi="Times New Roman"/>
          <w:sz w:val="24"/>
          <w:szCs w:val="24"/>
        </w:rPr>
        <w:t>applying to all types of works,</w:t>
      </w:r>
      <w:r w:rsidR="00041DC6" w:rsidRPr="00B20738">
        <w:rPr>
          <w:rFonts w:ascii="Times New Roman" w:hAnsi="Times New Roman"/>
          <w:sz w:val="24"/>
          <w:szCs w:val="24"/>
        </w:rPr>
        <w:t xml:space="preserve"> </w:t>
      </w:r>
      <w:r w:rsidR="00041DC6">
        <w:rPr>
          <w:rFonts w:ascii="Times New Roman" w:hAnsi="Times New Roman"/>
          <w:sz w:val="24"/>
          <w:szCs w:val="24"/>
        </w:rPr>
        <w:t>O</w:t>
      </w:r>
      <w:r w:rsidR="00041DC6" w:rsidRPr="00B20738">
        <w:rPr>
          <w:rFonts w:ascii="Times New Roman" w:hAnsi="Times New Roman"/>
          <w:sz w:val="24"/>
          <w:szCs w:val="24"/>
        </w:rPr>
        <w:t>ption 2 is the most effective and efficient.</w:t>
      </w:r>
    </w:p>
    <w:p w:rsidR="00952EB0" w:rsidRPr="00D1507D" w:rsidRDefault="00FC0CF8" w:rsidP="001B084A">
      <w:pPr>
        <w:pStyle w:val="Default"/>
        <w:widowControl w:val="0"/>
        <w:spacing w:after="120"/>
        <w:jc w:val="both"/>
        <w:rPr>
          <w:b/>
        </w:rPr>
      </w:pPr>
      <w:r w:rsidRPr="00AD57F7">
        <w:rPr>
          <w:u w:val="single"/>
          <w:lang w:eastAsia="en-GB"/>
        </w:rPr>
        <w:t>Proportionality and impacts on MS</w:t>
      </w:r>
      <w:r>
        <w:rPr>
          <w:lang w:eastAsia="en-GB"/>
        </w:rPr>
        <w:t xml:space="preserve">: </w:t>
      </w:r>
      <w:r w:rsidR="00FB6F91" w:rsidRPr="00AD57F7">
        <w:rPr>
          <w:b/>
          <w:lang w:eastAsia="en-GB"/>
        </w:rPr>
        <w:t xml:space="preserve">Option 2 </w:t>
      </w:r>
      <w:r w:rsidR="00041DC6" w:rsidRPr="00AD57F7">
        <w:rPr>
          <w:b/>
          <w:lang w:eastAsia="en-GB"/>
        </w:rPr>
        <w:t>is</w:t>
      </w:r>
      <w:r w:rsidR="00041DC6" w:rsidRPr="00D1507D">
        <w:rPr>
          <w:b/>
        </w:rPr>
        <w:t xml:space="preserve"> proportionate, including its impacts on fundamental rights, in that it addresses the underlying problem without generating particular </w:t>
      </w:r>
      <w:r w:rsidR="009B08EE">
        <w:rPr>
          <w:b/>
          <w:lang w:eastAsia="en-GB"/>
        </w:rPr>
        <w:t xml:space="preserve">compliance </w:t>
      </w:r>
      <w:r w:rsidR="00041DC6" w:rsidRPr="00AD57F7">
        <w:rPr>
          <w:b/>
          <w:lang w:eastAsia="en-GB"/>
        </w:rPr>
        <w:t xml:space="preserve">costs </w:t>
      </w:r>
      <w:r w:rsidR="009B08EE" w:rsidRPr="00AD57F7">
        <w:rPr>
          <w:b/>
        </w:rPr>
        <w:t>(the mechanisms introduced would be an enabling element which remains subject to voluntary use)</w:t>
      </w:r>
      <w:r w:rsidR="009B08EE" w:rsidRPr="00D1507D">
        <w:rPr>
          <w:b/>
        </w:rPr>
        <w:t xml:space="preserve"> </w:t>
      </w:r>
      <w:r w:rsidR="00041DC6" w:rsidRPr="00D1507D">
        <w:rPr>
          <w:b/>
        </w:rPr>
        <w:t>or putting disproportionate obligations on stakeholders.</w:t>
      </w:r>
    </w:p>
    <w:p w:rsidR="00FB6F91" w:rsidRPr="00C03C08" w:rsidRDefault="009B08EE" w:rsidP="00FB6F91">
      <w:pPr>
        <w:pStyle w:val="Default"/>
        <w:widowControl w:val="0"/>
        <w:spacing w:after="120"/>
        <w:jc w:val="both"/>
        <w:rPr>
          <w:rFonts w:cstheme="minorBidi"/>
          <w:lang w:eastAsia="en-GB"/>
        </w:rPr>
      </w:pPr>
      <w:r>
        <w:t>Option 2 would require some adjustments in the</w:t>
      </w:r>
      <w:r w:rsidRPr="00734980">
        <w:t xml:space="preserve"> </w:t>
      </w:r>
      <w:r w:rsidR="00FB6F91" w:rsidRPr="00AF5E68">
        <w:rPr>
          <w:rFonts w:cstheme="minorBidi"/>
          <w:lang w:eastAsia="en-GB"/>
        </w:rPr>
        <w:t xml:space="preserve">MS </w:t>
      </w:r>
      <w:r w:rsidR="001620B3">
        <w:rPr>
          <w:rFonts w:cstheme="minorBidi"/>
          <w:lang w:eastAsia="en-GB"/>
        </w:rPr>
        <w:t xml:space="preserve">that </w:t>
      </w:r>
      <w:r w:rsidR="00FB6F91" w:rsidRPr="00AF5E68">
        <w:rPr>
          <w:rFonts w:cstheme="minorBidi"/>
          <w:lang w:eastAsia="en-GB"/>
        </w:rPr>
        <w:t xml:space="preserve">already have national legislation in place allowing for licences issued by CMOs to also apply to the rights of unrepresented </w:t>
      </w:r>
      <w:r w:rsidR="003B07E4">
        <w:rPr>
          <w:rFonts w:cstheme="minorBidi"/>
          <w:lang w:eastAsia="en-GB"/>
        </w:rPr>
        <w:t>r</w:t>
      </w:r>
      <w:r w:rsidR="00007677">
        <w:rPr>
          <w:rFonts w:cstheme="minorBidi"/>
          <w:lang w:eastAsia="en-GB"/>
        </w:rPr>
        <w:t>ightholders</w:t>
      </w:r>
      <w:r w:rsidR="00FB6F91" w:rsidRPr="00AF5E68">
        <w:rPr>
          <w:rFonts w:cstheme="minorBidi"/>
          <w:lang w:eastAsia="en-GB"/>
        </w:rPr>
        <w:t xml:space="preserve"> (a list of examples is available in Annex 9E)</w:t>
      </w:r>
      <w:r>
        <w:t xml:space="preserve">, notably as regards </w:t>
      </w:r>
      <w:r w:rsidR="00FB6F91" w:rsidRPr="00AF5E68">
        <w:rPr>
          <w:rFonts w:cstheme="minorBidi"/>
          <w:lang w:eastAsia="en-GB"/>
        </w:rPr>
        <w:t>the scope of their legislation  (for example, when it only cover</w:t>
      </w:r>
      <w:r w:rsidR="00D15CCB">
        <w:rPr>
          <w:rFonts w:cstheme="minorBidi"/>
          <w:lang w:eastAsia="en-GB"/>
        </w:rPr>
        <w:t>s certain types of Oo</w:t>
      </w:r>
      <w:r w:rsidR="00FB6F91" w:rsidRPr="00AF5E68">
        <w:rPr>
          <w:rFonts w:cstheme="minorBidi"/>
          <w:lang w:eastAsia="en-GB"/>
        </w:rPr>
        <w:t xml:space="preserve">C works). Where national legislation already covers a broader scope than what is foreseen by Option </w:t>
      </w:r>
      <w:r w:rsidR="00CE64C8">
        <w:rPr>
          <w:rFonts w:cstheme="minorBidi"/>
          <w:lang w:eastAsia="en-GB"/>
        </w:rPr>
        <w:t>2</w:t>
      </w:r>
      <w:r w:rsidR="00FB6F91" w:rsidRPr="00AF5E68">
        <w:rPr>
          <w:rFonts w:cstheme="minorBidi"/>
          <w:lang w:eastAsia="en-GB"/>
        </w:rPr>
        <w:t xml:space="preserve"> (for example in the cases of general ECL), the need for adjusting national legislation will be more limited. MS that do not already have national law supporting mechanisms like those foreseen by the preferred option will be required to introduce them. In all cases, however, MS will retain flexibility in the way they comply with the EU obligation introduced by Option </w:t>
      </w:r>
      <w:r w:rsidR="00CE64C8">
        <w:rPr>
          <w:rFonts w:cstheme="minorBidi"/>
          <w:lang w:eastAsia="en-GB"/>
        </w:rPr>
        <w:t>2</w:t>
      </w:r>
      <w:r w:rsidR="00FB6F91" w:rsidRPr="00AF5E68">
        <w:rPr>
          <w:rFonts w:cstheme="minorBidi"/>
          <w:lang w:eastAsia="en-GB"/>
        </w:rPr>
        <w:t xml:space="preserve"> in the choice of the kind of mechanism (for example ECL or presumption of representation) and by establishing additional national criteria for different categor</w:t>
      </w:r>
      <w:r w:rsidR="00D15CCB">
        <w:rPr>
          <w:rFonts w:cstheme="minorBidi"/>
          <w:lang w:eastAsia="en-GB"/>
        </w:rPr>
        <w:t>ies of works to be considered Oo</w:t>
      </w:r>
      <w:r w:rsidR="00FB6F91" w:rsidRPr="00AF5E68">
        <w:rPr>
          <w:rFonts w:cstheme="minorBidi"/>
          <w:lang w:eastAsia="en-GB"/>
        </w:rPr>
        <w:t xml:space="preserve">C for the purposes of the mechanisms. </w:t>
      </w:r>
    </w:p>
    <w:p w:rsidR="00FC0CF8" w:rsidRPr="00C03C08" w:rsidRDefault="00FC0CF8" w:rsidP="00AD57F7">
      <w:pPr>
        <w:spacing w:line="240" w:lineRule="auto"/>
        <w:jc w:val="both"/>
        <w:rPr>
          <w:lang w:eastAsia="en-GB"/>
        </w:rPr>
      </w:pPr>
    </w:p>
    <w:p w:rsidR="00241619" w:rsidRDefault="00241619">
      <w:pPr>
        <w:rPr>
          <w:rFonts w:ascii="Times New Roman Bold" w:eastAsia="Times New Roman" w:hAnsi="Times New Roman Bold" w:cs="Times New Roman"/>
          <w:b/>
          <w:bCs/>
          <w:caps/>
          <w:sz w:val="24"/>
          <w:szCs w:val="24"/>
          <w:lang w:eastAsia="en-GB"/>
        </w:rPr>
      </w:pPr>
      <w:r>
        <w:br w:type="page"/>
      </w:r>
    </w:p>
    <w:p w:rsidR="00952EB0" w:rsidRPr="009E1150" w:rsidRDefault="00952EB0" w:rsidP="00493C61">
      <w:pPr>
        <w:pStyle w:val="Heading1"/>
        <w:numPr>
          <w:ilvl w:val="0"/>
          <w:numId w:val="1"/>
        </w:numPr>
        <w:spacing w:before="240" w:after="240"/>
      </w:pPr>
      <w:bookmarkStart w:id="49" w:name="_Toc461114719"/>
      <w:r w:rsidRPr="009E1150">
        <w:t>Adapting exceptions to digital and cross-border environment</w:t>
      </w:r>
      <w:bookmarkEnd w:id="49"/>
    </w:p>
    <w:p w:rsidR="00952EB0" w:rsidRPr="009E1150" w:rsidRDefault="00952EB0" w:rsidP="00493C61">
      <w:pPr>
        <w:pStyle w:val="Heading2"/>
        <w:numPr>
          <w:ilvl w:val="1"/>
          <w:numId w:val="1"/>
        </w:numPr>
        <w:spacing w:before="0" w:after="240"/>
        <w:rPr>
          <w:rFonts w:ascii="Times New Roman Bold" w:hAnsi="Times New Roman Bold"/>
          <w:smallCaps/>
        </w:rPr>
      </w:pPr>
      <w:bookmarkStart w:id="50" w:name="_Toc461114720"/>
      <w:r w:rsidRPr="009E1150">
        <w:rPr>
          <w:rFonts w:ascii="Times New Roman Bold" w:hAnsi="Times New Roman Bold"/>
          <w:smallCaps/>
        </w:rPr>
        <w:t>Introduction</w:t>
      </w:r>
      <w:bookmarkEnd w:id="50"/>
    </w:p>
    <w:p w:rsidR="00952EB0" w:rsidRPr="00493C61" w:rsidRDefault="00493C61" w:rsidP="00CF38F1">
      <w:pPr>
        <w:pStyle w:val="Heading3"/>
        <w:rPr>
          <w:vanish/>
        </w:rPr>
      </w:pPr>
      <w:bookmarkStart w:id="51" w:name="_Toc454351306"/>
      <w:bookmarkStart w:id="52" w:name="_Toc461114721"/>
      <w:bookmarkEnd w:id="51"/>
      <w:r w:rsidRPr="00251316">
        <w:t>Background</w:t>
      </w:r>
      <w:bookmarkStart w:id="53" w:name="_Toc454351307"/>
      <w:bookmarkEnd w:id="52"/>
      <w:bookmarkEnd w:id="53"/>
    </w:p>
    <w:p w:rsidR="00952EB0" w:rsidRPr="009E1150" w:rsidRDefault="00952EB0" w:rsidP="001B084A">
      <w:pPr>
        <w:pStyle w:val="Default"/>
        <w:widowControl w:val="0"/>
        <w:spacing w:after="120"/>
        <w:jc w:val="both"/>
      </w:pPr>
      <w:r w:rsidRPr="009E1150">
        <w:rPr>
          <w:lang w:eastAsia="en-GB"/>
        </w:rPr>
        <w:t>The EU copyright legal framework</w:t>
      </w:r>
      <w:r w:rsidRPr="009E1150">
        <w:rPr>
          <w:rStyle w:val="FootnoteReference"/>
        </w:rPr>
        <w:t xml:space="preserve"> </w:t>
      </w:r>
      <w:r w:rsidRPr="009E1150">
        <w:rPr>
          <w:lang w:eastAsia="en-GB"/>
        </w:rPr>
        <w:t xml:space="preserve">harmonises rights of authors and neighbouring </w:t>
      </w:r>
      <w:r w:rsidR="003B07E4">
        <w:rPr>
          <w:lang w:eastAsia="en-GB"/>
        </w:rPr>
        <w:t>r</w:t>
      </w:r>
      <w:r w:rsidR="00007677">
        <w:rPr>
          <w:lang w:eastAsia="en-GB"/>
        </w:rPr>
        <w:t>ightholders</w:t>
      </w:r>
      <w:r w:rsidRPr="009E1150">
        <w:rPr>
          <w:lang w:eastAsia="en-GB"/>
        </w:rPr>
        <w:t xml:space="preserve"> and</w:t>
      </w:r>
      <w:r w:rsidRPr="009E1150">
        <w:rPr>
          <w:bCs/>
          <w:noProof/>
          <w:lang w:eastAsia="en-GB"/>
        </w:rPr>
        <w:t xml:space="preserve"> seeks to harmonise “exceptions and limitations”</w:t>
      </w:r>
      <w:r w:rsidRPr="004C24F7">
        <w:rPr>
          <w:rStyle w:val="FootnoteReference"/>
          <w:bCs/>
          <w:noProof/>
          <w:lang w:eastAsia="en-GB"/>
        </w:rPr>
        <w:t xml:space="preserve"> </w:t>
      </w:r>
      <w:r w:rsidRPr="009E1150">
        <w:rPr>
          <w:rStyle w:val="FootnoteReference"/>
          <w:bCs/>
          <w:noProof/>
          <w:lang w:eastAsia="en-GB"/>
        </w:rPr>
        <w:footnoteReference w:id="241"/>
      </w:r>
      <w:r w:rsidRPr="009E1150">
        <w:rPr>
          <w:bCs/>
          <w:noProof/>
          <w:lang w:eastAsia="en-GB"/>
        </w:rPr>
        <w:t xml:space="preserve"> to these rights, although most of th</w:t>
      </w:r>
      <w:r>
        <w:rPr>
          <w:bCs/>
          <w:noProof/>
          <w:lang w:eastAsia="en-GB"/>
        </w:rPr>
        <w:t>em</w:t>
      </w:r>
      <w:r w:rsidRPr="009E1150">
        <w:rPr>
          <w:bCs/>
          <w:noProof/>
          <w:lang w:eastAsia="en-GB"/>
        </w:rPr>
        <w:t xml:space="preserve"> are optional</w:t>
      </w:r>
      <w:r>
        <w:rPr>
          <w:bCs/>
          <w:noProof/>
          <w:lang w:eastAsia="en-GB"/>
        </w:rPr>
        <w:t xml:space="preserve"> for the MS</w:t>
      </w:r>
      <w:r w:rsidRPr="009E1150">
        <w:rPr>
          <w:bCs/>
          <w:noProof/>
          <w:lang w:eastAsia="en-GB"/>
        </w:rPr>
        <w:t xml:space="preserve"> to implement</w:t>
      </w:r>
      <w:r w:rsidRPr="009E1150">
        <w:rPr>
          <w:lang w:eastAsia="en-GB"/>
        </w:rPr>
        <w:t xml:space="preserve">. </w:t>
      </w:r>
      <w:r w:rsidRPr="009E1150">
        <w:rPr>
          <w:bCs/>
          <w:noProof/>
          <w:lang w:eastAsia="en-GB"/>
        </w:rPr>
        <w:t>An “exception”</w:t>
      </w:r>
      <w:r w:rsidRPr="009E1150">
        <w:rPr>
          <w:rStyle w:val="FootnoteReference"/>
          <w:bCs/>
          <w:noProof/>
          <w:lang w:eastAsia="en-GB"/>
        </w:rPr>
        <w:footnoteReference w:id="242"/>
      </w:r>
      <w:r w:rsidRPr="009E1150">
        <w:rPr>
          <w:bCs/>
          <w:noProof/>
          <w:lang w:eastAsia="en-GB"/>
        </w:rPr>
        <w:t xml:space="preserve"> to an exclusive right means that a right</w:t>
      </w:r>
      <w:r>
        <w:rPr>
          <w:bCs/>
          <w:noProof/>
          <w:lang w:eastAsia="en-GB"/>
        </w:rPr>
        <w:t xml:space="preserve"> </w:t>
      </w:r>
      <w:r w:rsidRPr="009E1150">
        <w:rPr>
          <w:bCs/>
          <w:noProof/>
          <w:lang w:eastAsia="en-GB"/>
        </w:rPr>
        <w:t>holder is no longer in a position to authorise or prohibit the use of a work</w:t>
      </w:r>
      <w:r>
        <w:rPr>
          <w:bCs/>
          <w:noProof/>
          <w:lang w:eastAsia="en-GB"/>
        </w:rPr>
        <w:t xml:space="preserve"> or other protected subject matter</w:t>
      </w:r>
      <w:r>
        <w:rPr>
          <w:rStyle w:val="FootnoteReference"/>
          <w:bCs/>
          <w:noProof/>
          <w:lang w:eastAsia="en-GB"/>
        </w:rPr>
        <w:footnoteReference w:id="243"/>
      </w:r>
      <w:r w:rsidRPr="009E1150">
        <w:rPr>
          <w:bCs/>
          <w:noProof/>
          <w:lang w:eastAsia="en-GB"/>
        </w:rPr>
        <w:t xml:space="preserve">: the beneficiary of the exception is already authorised by law to </w:t>
      </w:r>
      <w:r>
        <w:rPr>
          <w:bCs/>
          <w:noProof/>
          <w:lang w:eastAsia="en-GB"/>
        </w:rPr>
        <w:t>do so</w:t>
      </w:r>
      <w:r w:rsidRPr="009E1150">
        <w:rPr>
          <w:bCs/>
          <w:noProof/>
          <w:lang w:eastAsia="en-GB"/>
        </w:rPr>
        <w:t xml:space="preserve">. </w:t>
      </w:r>
      <w:r w:rsidRPr="001B084A">
        <w:rPr>
          <w:lang w:eastAsia="en-GB"/>
        </w:rPr>
        <w:t>Exceptions</w:t>
      </w:r>
      <w:r w:rsidRPr="009E1150">
        <w:rPr>
          <w:bCs/>
          <w:noProof/>
          <w:lang w:eastAsia="en-GB"/>
        </w:rPr>
        <w:t xml:space="preserve"> </w:t>
      </w:r>
      <w:r>
        <w:rPr>
          <w:bCs/>
          <w:noProof/>
          <w:lang w:eastAsia="en-GB"/>
        </w:rPr>
        <w:t>are</w:t>
      </w:r>
      <w:r w:rsidRPr="009E1150">
        <w:rPr>
          <w:bCs/>
          <w:noProof/>
          <w:lang w:eastAsia="en-GB"/>
        </w:rPr>
        <w:t xml:space="preserve"> provided for in order to facilitate the use of protected content in specific circumstances</w:t>
      </w:r>
      <w:r>
        <w:rPr>
          <w:bCs/>
          <w:noProof/>
          <w:lang w:eastAsia="en-GB"/>
        </w:rPr>
        <w:t xml:space="preserve"> (</w:t>
      </w:r>
      <w:r w:rsidRPr="009E1150">
        <w:rPr>
          <w:bCs/>
          <w:noProof/>
          <w:lang w:eastAsia="en-GB"/>
        </w:rPr>
        <w:t>for example where the transaction costs involved in acquiring authorisation outweigh the economic benefits of doing so</w:t>
      </w:r>
      <w:r>
        <w:rPr>
          <w:bCs/>
          <w:noProof/>
          <w:lang w:eastAsia="en-GB"/>
        </w:rPr>
        <w:t>)</w:t>
      </w:r>
      <w:r w:rsidRPr="009E1150">
        <w:rPr>
          <w:bCs/>
          <w:noProof/>
          <w:lang w:eastAsia="en-GB"/>
        </w:rPr>
        <w:t xml:space="preserve"> and/or to facilitate the achievement of specific public policy objectives such as education and research. Beneficiaries of the exceptions may be individuals or institutions.  </w:t>
      </w:r>
    </w:p>
    <w:p w:rsidR="00952EB0" w:rsidRDefault="00952EB0" w:rsidP="00952EB0">
      <w:pPr>
        <w:spacing w:after="120" w:line="240" w:lineRule="auto"/>
        <w:jc w:val="both"/>
        <w:rPr>
          <w:rFonts w:ascii="Times New Roman" w:hAnsi="Times New Roman" w:cs="Times New Roman"/>
          <w:bCs/>
          <w:noProof/>
          <w:sz w:val="24"/>
          <w:szCs w:val="24"/>
          <w:lang w:eastAsia="en-GB"/>
        </w:rPr>
      </w:pPr>
      <w:r w:rsidRPr="00CD0F0E">
        <w:rPr>
          <w:rFonts w:ascii="Times New Roman" w:hAnsi="Times New Roman" w:cs="Times New Roman"/>
          <w:bCs/>
          <w:noProof/>
          <w:sz w:val="24"/>
          <w:szCs w:val="24"/>
          <w:lang w:eastAsia="en-GB"/>
        </w:rPr>
        <w:t>This section of the IA focuses on exceptions that play a central role to achieve imp</w:t>
      </w:r>
      <w:r w:rsidRPr="001B084A">
        <w:rPr>
          <w:rFonts w:ascii="Times New Roman" w:hAnsi="Times New Roman" w:cs="Times New Roman"/>
          <w:color w:val="000000"/>
          <w:sz w:val="24"/>
          <w:szCs w:val="24"/>
          <w:lang w:eastAsia="en-GB"/>
        </w:rPr>
        <w:t>o</w:t>
      </w:r>
      <w:r w:rsidRPr="00CD0F0E">
        <w:rPr>
          <w:rFonts w:ascii="Times New Roman" w:hAnsi="Times New Roman" w:cs="Times New Roman"/>
          <w:bCs/>
          <w:noProof/>
          <w:sz w:val="24"/>
          <w:szCs w:val="24"/>
          <w:lang w:eastAsia="en-GB"/>
        </w:rPr>
        <w:t xml:space="preserve">rtant public policy objectives at EU level but that at the same time are not fully adapted to the current digital and cross-border environment. </w:t>
      </w:r>
      <w:r>
        <w:rPr>
          <w:rFonts w:ascii="Times New Roman" w:hAnsi="Times New Roman" w:cs="Times New Roman"/>
          <w:bCs/>
          <w:noProof/>
          <w:sz w:val="24"/>
          <w:szCs w:val="24"/>
          <w:lang w:eastAsia="en-GB"/>
        </w:rPr>
        <w:t xml:space="preserve">While no formal evaluation of the EU legal framework for copyright exceptions has been conducted, the review process carried out between </w:t>
      </w:r>
      <w:r w:rsidR="00602659">
        <w:rPr>
          <w:rFonts w:ascii="Times New Roman" w:hAnsi="Times New Roman" w:cs="Times New Roman"/>
          <w:bCs/>
          <w:noProof/>
          <w:sz w:val="24"/>
          <w:szCs w:val="24"/>
          <w:lang w:eastAsia="en-GB"/>
        </w:rPr>
        <w:t xml:space="preserve">2013 </w:t>
      </w:r>
      <w:r>
        <w:rPr>
          <w:rFonts w:ascii="Times New Roman" w:hAnsi="Times New Roman" w:cs="Times New Roman"/>
          <w:bCs/>
          <w:noProof/>
          <w:sz w:val="24"/>
          <w:szCs w:val="24"/>
          <w:lang w:eastAsia="en-GB"/>
        </w:rPr>
        <w:t>and 2016 allowed to gather information and evidence on the implementation of exceptions in MS and their functioning in the digital environment.</w:t>
      </w:r>
      <w:r w:rsidRPr="00810D63">
        <w:rPr>
          <w:rFonts w:ascii="Times New Roman" w:hAnsi="Times New Roman" w:cs="Times New Roman"/>
          <w:noProof/>
          <w:sz w:val="24"/>
          <w:vertAlign w:val="superscript"/>
        </w:rPr>
        <w:footnoteReference w:id="244"/>
      </w:r>
    </w:p>
    <w:p w:rsidR="00952EB0" w:rsidRPr="009E1150" w:rsidRDefault="00952EB0" w:rsidP="00952EB0">
      <w:pPr>
        <w:spacing w:after="120" w:line="240" w:lineRule="auto"/>
        <w:jc w:val="both"/>
      </w:pPr>
      <w:r w:rsidRPr="00CD0F0E">
        <w:rPr>
          <w:rFonts w:ascii="Times New Roman" w:hAnsi="Times New Roman" w:cs="Times New Roman"/>
          <w:bCs/>
          <w:noProof/>
          <w:sz w:val="24"/>
          <w:szCs w:val="24"/>
          <w:lang w:eastAsia="en-GB"/>
        </w:rPr>
        <w:t>The need to facilitate use of copyright-protected material for specific purposes in this context has been acknowledged in the Digital Single Market Strategy.</w:t>
      </w:r>
      <w:r w:rsidRPr="00810D63">
        <w:rPr>
          <w:rFonts w:ascii="Times New Roman" w:hAnsi="Times New Roman" w:cs="Times New Roman"/>
          <w:noProof/>
          <w:sz w:val="24"/>
          <w:vertAlign w:val="superscript"/>
        </w:rPr>
        <w:footnoteReference w:id="245"/>
      </w:r>
      <w:r w:rsidRPr="00CD0F0E">
        <w:rPr>
          <w:rFonts w:ascii="Times New Roman" w:hAnsi="Times New Roman" w:cs="Times New Roman"/>
          <w:bCs/>
          <w:noProof/>
          <w:sz w:val="24"/>
          <w:szCs w:val="24"/>
          <w:lang w:eastAsia="en-GB"/>
        </w:rPr>
        <w:t xml:space="preserve"> Further to the review process  and the Communication "Towards a modern, more European copyright framework" of December 2015</w:t>
      </w:r>
      <w:r w:rsidRPr="00810D63">
        <w:rPr>
          <w:rFonts w:ascii="Times New Roman" w:hAnsi="Times New Roman" w:cs="Times New Roman"/>
          <w:noProof/>
          <w:sz w:val="24"/>
          <w:vertAlign w:val="superscript"/>
        </w:rPr>
        <w:footnoteReference w:id="246"/>
      </w:r>
      <w:r w:rsidRPr="00CD0F0E">
        <w:rPr>
          <w:rFonts w:ascii="Times New Roman" w:hAnsi="Times New Roman" w:cs="Times New Roman"/>
          <w:bCs/>
          <w:noProof/>
          <w:sz w:val="24"/>
          <w:szCs w:val="24"/>
          <w:lang w:eastAsia="en-GB"/>
        </w:rPr>
        <w:t xml:space="preserve">, three possible areas of intervention have been identified:  education, research and preservation of cultural heritage. Specific copyright exceptions, optional for MS, exist in  EU </w:t>
      </w:r>
      <w:r>
        <w:rPr>
          <w:rFonts w:ascii="Times New Roman" w:hAnsi="Times New Roman" w:cs="Times New Roman"/>
          <w:bCs/>
          <w:noProof/>
          <w:sz w:val="24"/>
          <w:szCs w:val="24"/>
          <w:lang w:eastAsia="en-GB"/>
        </w:rPr>
        <w:t>law</w:t>
      </w:r>
      <w:r w:rsidRPr="00CD0F0E">
        <w:rPr>
          <w:rFonts w:ascii="Times New Roman" w:hAnsi="Times New Roman" w:cs="Times New Roman"/>
          <w:bCs/>
          <w:noProof/>
          <w:sz w:val="24"/>
          <w:szCs w:val="24"/>
          <w:lang w:eastAsia="en-GB"/>
        </w:rPr>
        <w:t xml:space="preserve"> for "specific acts of reproduction"</w:t>
      </w:r>
      <w:r w:rsidRPr="00810D63">
        <w:rPr>
          <w:rFonts w:ascii="Times New Roman" w:hAnsi="Times New Roman" w:cs="Times New Roman"/>
          <w:noProof/>
          <w:sz w:val="24"/>
          <w:vertAlign w:val="superscript"/>
        </w:rPr>
        <w:footnoteReference w:id="247"/>
      </w:r>
      <w:r w:rsidRPr="00CD0F0E">
        <w:rPr>
          <w:rFonts w:ascii="Times New Roman" w:hAnsi="Times New Roman" w:cs="Times New Roman"/>
          <w:bCs/>
          <w:noProof/>
          <w:sz w:val="24"/>
          <w:szCs w:val="24"/>
          <w:lang w:eastAsia="en-GB"/>
        </w:rPr>
        <w:t xml:space="preserve"> (often used for preservation) and "illustration for teaching or scientific research".</w:t>
      </w:r>
      <w:r w:rsidRPr="00810D63">
        <w:rPr>
          <w:rFonts w:ascii="Times New Roman" w:hAnsi="Times New Roman" w:cs="Times New Roman"/>
          <w:noProof/>
          <w:sz w:val="24"/>
          <w:vertAlign w:val="superscript"/>
        </w:rPr>
        <w:footnoteReference w:id="248"/>
      </w:r>
      <w:r w:rsidRPr="00CD0F0E">
        <w:rPr>
          <w:rFonts w:ascii="Times New Roman" w:hAnsi="Times New Roman" w:cs="Times New Roman"/>
          <w:bCs/>
          <w:noProof/>
          <w:sz w:val="24"/>
          <w:szCs w:val="24"/>
          <w:lang w:eastAsia="en-GB"/>
        </w:rPr>
        <w:t xml:space="preserve"> In these areas, digital technologies have allowed to explore new types of uses (e.g. digital preservation, digital and online educational </w:t>
      </w:r>
      <w:r w:rsidR="00FA25AA">
        <w:rPr>
          <w:rFonts w:ascii="Times New Roman" w:hAnsi="Times New Roman" w:cs="Times New Roman"/>
          <w:bCs/>
          <w:noProof/>
          <w:sz w:val="24"/>
          <w:szCs w:val="24"/>
          <w:lang w:eastAsia="en-GB"/>
        </w:rPr>
        <w:t>activities</w:t>
      </w:r>
      <w:r w:rsidRPr="00CD0F0E">
        <w:rPr>
          <w:rFonts w:ascii="Times New Roman" w:hAnsi="Times New Roman" w:cs="Times New Roman"/>
          <w:bCs/>
          <w:noProof/>
          <w:sz w:val="24"/>
          <w:szCs w:val="24"/>
          <w:lang w:eastAsia="en-GB"/>
        </w:rPr>
        <w:t>, text and data mining (TDM)) which are not always clearly allowed under the</w:t>
      </w:r>
      <w:r w:rsidR="00750BFB">
        <w:rPr>
          <w:rFonts w:ascii="Times New Roman" w:hAnsi="Times New Roman" w:cs="Times New Roman"/>
          <w:bCs/>
          <w:noProof/>
          <w:sz w:val="24"/>
          <w:szCs w:val="24"/>
          <w:lang w:eastAsia="en-GB"/>
        </w:rPr>
        <w:t xml:space="preserve"> current copyright rules. This </w:t>
      </w:r>
      <w:r w:rsidRPr="00CD0F0E">
        <w:rPr>
          <w:rFonts w:ascii="Times New Roman" w:hAnsi="Times New Roman" w:cs="Times New Roman"/>
          <w:bCs/>
          <w:noProof/>
          <w:sz w:val="24"/>
          <w:szCs w:val="24"/>
          <w:lang w:eastAsia="en-GB"/>
        </w:rPr>
        <w:t>legal uncertainty negatively affects the functioning of these exceptions in the digital environment and the way in which users can benefit from the potential of these technologies. Furthermore, wh</w:t>
      </w:r>
      <w:r w:rsidR="00750BFB">
        <w:rPr>
          <w:rFonts w:ascii="Times New Roman" w:hAnsi="Times New Roman" w:cs="Times New Roman"/>
          <w:bCs/>
          <w:noProof/>
          <w:sz w:val="24"/>
          <w:szCs w:val="24"/>
          <w:lang w:eastAsia="en-GB"/>
        </w:rPr>
        <w:t>ile cross-border activities are</w:t>
      </w:r>
      <w:r w:rsidRPr="00CD0F0E">
        <w:rPr>
          <w:rFonts w:ascii="Times New Roman" w:hAnsi="Times New Roman" w:cs="Times New Roman"/>
          <w:bCs/>
          <w:noProof/>
          <w:sz w:val="24"/>
          <w:szCs w:val="24"/>
          <w:lang w:eastAsia="en-GB"/>
        </w:rPr>
        <w:t xml:space="preserve"> increasingly important for the activities of libraries, education establishments and research institutions, the current EU legal framework does not allow users to benefit from the exceptions on a cross-border basis.</w:t>
      </w:r>
      <w:r w:rsidRPr="009E1150">
        <w:t xml:space="preserve"> </w:t>
      </w:r>
      <w:r w:rsidR="00A14FE5" w:rsidRPr="00A14FE5">
        <w:rPr>
          <w:rFonts w:ascii="Times New Roman" w:hAnsi="Times New Roman" w:cs="Times New Roman"/>
          <w:sz w:val="24"/>
        </w:rPr>
        <w:t xml:space="preserve">In the Communication of December 2015, the Commission also highlighted the exception authorising libraries and other institutions to allow on-screen consultation of works for research and private study on their premises and the need to assess its functioning in the digital environment. This assessment would need to take into account the outcome </w:t>
      </w:r>
      <w:r w:rsidR="00A14FE5">
        <w:rPr>
          <w:rFonts w:ascii="Times New Roman" w:hAnsi="Times New Roman" w:cs="Times New Roman"/>
          <w:sz w:val="24"/>
        </w:rPr>
        <w:t>o</w:t>
      </w:r>
      <w:r w:rsidR="00A14FE5" w:rsidRPr="00A14FE5">
        <w:rPr>
          <w:rFonts w:ascii="Times New Roman" w:hAnsi="Times New Roman" w:cs="Times New Roman"/>
          <w:sz w:val="24"/>
        </w:rPr>
        <w:t>f a CJEU case on the closely inter-twined issue of electronic lending by librar</w:t>
      </w:r>
      <w:r w:rsidR="00564856">
        <w:rPr>
          <w:rFonts w:ascii="Times New Roman" w:hAnsi="Times New Roman" w:cs="Times New Roman"/>
          <w:sz w:val="24"/>
        </w:rPr>
        <w:t xml:space="preserve">ies </w:t>
      </w:r>
      <w:r w:rsidR="00A14FE5">
        <w:rPr>
          <w:rFonts w:ascii="Times New Roman" w:hAnsi="Times New Roman" w:cs="Times New Roman"/>
          <w:sz w:val="24"/>
        </w:rPr>
        <w:t>which is currently pending</w:t>
      </w:r>
      <w:r w:rsidR="00564856">
        <w:rPr>
          <w:rFonts w:ascii="Times New Roman" w:hAnsi="Times New Roman" w:cs="Times New Roman"/>
          <w:sz w:val="24"/>
        </w:rPr>
        <w:t>;</w:t>
      </w:r>
      <w:r w:rsidR="00A14FE5" w:rsidRPr="00A14FE5">
        <w:rPr>
          <w:rStyle w:val="FootnoteReference"/>
          <w:rFonts w:ascii="Times New Roman" w:hAnsi="Times New Roman" w:cs="Times New Roman"/>
          <w:sz w:val="24"/>
        </w:rPr>
        <w:footnoteReference w:id="249"/>
      </w:r>
      <w:r w:rsidR="00A14FE5" w:rsidRPr="00A14FE5">
        <w:rPr>
          <w:sz w:val="24"/>
        </w:rPr>
        <w:t xml:space="preserve"> </w:t>
      </w:r>
      <w:r w:rsidR="00A14FE5" w:rsidRPr="00BF58A6">
        <w:rPr>
          <w:rFonts w:ascii="Times New Roman" w:hAnsi="Times New Roman" w:cs="Times New Roman"/>
          <w:sz w:val="24"/>
        </w:rPr>
        <w:t>it is therefore not part of this IA.</w:t>
      </w:r>
    </w:p>
    <w:p w:rsidR="00952EB0" w:rsidRPr="0056758B" w:rsidRDefault="00952EB0" w:rsidP="00CF38F1">
      <w:pPr>
        <w:pStyle w:val="Heading3"/>
      </w:pPr>
      <w:bookmarkStart w:id="54" w:name="_Toc461114722"/>
      <w:r w:rsidRPr="009E1150">
        <w:t>Why should the EU act?</w:t>
      </w:r>
      <w:bookmarkEnd w:id="54"/>
      <w:r w:rsidRPr="009E1150">
        <w:t xml:space="preserve"> </w:t>
      </w:r>
    </w:p>
    <w:p w:rsidR="00952EB0" w:rsidRPr="001B084A" w:rsidRDefault="00952EB0" w:rsidP="001B084A">
      <w:pPr>
        <w:pStyle w:val="Text1"/>
        <w:ind w:left="0"/>
        <w:rPr>
          <w:b/>
        </w:rPr>
      </w:pPr>
      <w:bookmarkStart w:id="55" w:name="_Toc454561728"/>
      <w:r w:rsidRPr="001B084A">
        <w:rPr>
          <w:b/>
        </w:rPr>
        <w:t>Legal basis</w:t>
      </w:r>
      <w:bookmarkEnd w:id="55"/>
    </w:p>
    <w:p w:rsidR="00952EB0" w:rsidRPr="009E1150" w:rsidRDefault="00952EB0" w:rsidP="001B084A">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The EU's right to act follows from Article 114 of the</w:t>
      </w:r>
      <w:r w:rsidR="00AC0F96">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TFEU, which confers on the EU the power to adopt measures for the establishment and functioning of the internal market and has provided legal basis for a wide range of EU instruments in the area of copyright. </w:t>
      </w:r>
    </w:p>
    <w:p w:rsidR="00952EB0" w:rsidRPr="009E1150" w:rsidRDefault="00952EB0" w:rsidP="001B084A">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In </w:t>
      </w:r>
      <w:r>
        <w:rPr>
          <w:rFonts w:ascii="Times New Roman" w:hAnsi="Times New Roman" w:cs="Times New Roman"/>
          <w:sz w:val="24"/>
          <w:szCs w:val="24"/>
          <w:lang w:eastAsia="en-GB"/>
        </w:rPr>
        <w:t xml:space="preserve">the </w:t>
      </w:r>
      <w:r w:rsidRPr="009E1150">
        <w:rPr>
          <w:rFonts w:ascii="Times New Roman" w:hAnsi="Times New Roman" w:cs="Times New Roman"/>
          <w:sz w:val="24"/>
          <w:szCs w:val="24"/>
          <w:lang w:eastAsia="en-GB"/>
        </w:rPr>
        <w:t>InfoSoc Directive, the EU exercised its competence as regards the rights which are relevant for online dissemination (notably the reproduction and making available rights) and the</w:t>
      </w:r>
      <w:r w:rsidRPr="009E1150">
        <w:rPr>
          <w:rFonts w:ascii="Times New Roman" w:hAnsi="Times New Roman" w:cs="Times New Roman"/>
          <w:i/>
          <w:sz w:val="24"/>
          <w:szCs w:val="24"/>
          <w:lang w:eastAsia="en-GB"/>
        </w:rPr>
        <w:t xml:space="preserve"> </w:t>
      </w:r>
      <w:r w:rsidRPr="009E1150">
        <w:rPr>
          <w:rFonts w:ascii="Times New Roman" w:hAnsi="Times New Roman" w:cs="Times New Roman"/>
          <w:sz w:val="24"/>
          <w:szCs w:val="24"/>
          <w:lang w:eastAsia="en-GB"/>
        </w:rPr>
        <w:t>exceptions applicable to such rights. Article 5 provide</w:t>
      </w:r>
      <w:r>
        <w:rPr>
          <w:rFonts w:ascii="Times New Roman" w:hAnsi="Times New Roman" w:cs="Times New Roman"/>
          <w:sz w:val="24"/>
          <w:szCs w:val="24"/>
          <w:lang w:eastAsia="en-GB"/>
        </w:rPr>
        <w:t>d</w:t>
      </w:r>
      <w:r w:rsidRPr="009E1150">
        <w:rPr>
          <w:rFonts w:ascii="Times New Roman" w:hAnsi="Times New Roman" w:cs="Times New Roman"/>
          <w:sz w:val="24"/>
          <w:szCs w:val="24"/>
          <w:lang w:eastAsia="en-GB"/>
        </w:rPr>
        <w:t xml:space="preserve"> for an exhaustive list of exceptions, including the exception for preservation, teaching and research mentioned above.</w:t>
      </w:r>
      <w:r>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Any change in the harmonised framework concerning the scope of exceptions or the introduction of </w:t>
      </w:r>
      <w:r>
        <w:rPr>
          <w:rFonts w:ascii="Times New Roman" w:hAnsi="Times New Roman" w:cs="Times New Roman"/>
          <w:sz w:val="24"/>
          <w:szCs w:val="24"/>
          <w:lang w:eastAsia="en-GB"/>
        </w:rPr>
        <w:t>their cross-border effect</w:t>
      </w:r>
      <w:r w:rsidRPr="009E1150">
        <w:rPr>
          <w:rFonts w:ascii="Times New Roman" w:hAnsi="Times New Roman" w:cs="Times New Roman"/>
          <w:sz w:val="24"/>
          <w:szCs w:val="24"/>
          <w:lang w:eastAsia="en-GB"/>
        </w:rPr>
        <w:t xml:space="preserve"> would need to rely on the same legal bases. </w:t>
      </w:r>
    </w:p>
    <w:p w:rsidR="00952EB0" w:rsidRPr="009E1150" w:rsidRDefault="00952EB0" w:rsidP="001B084A">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Finally, Article 167(4) TFEU provides that the EU shall take cultural aspects into account in its action under other provisions of the Treaties, in particular in order to respect and to promote the diversity of its</w:t>
      </w:r>
      <w:r>
        <w:rPr>
          <w:rFonts w:ascii="Times New Roman" w:hAnsi="Times New Roman" w:cs="Times New Roman"/>
          <w:sz w:val="24"/>
          <w:szCs w:val="24"/>
          <w:lang w:eastAsia="en-GB"/>
        </w:rPr>
        <w:t xml:space="preserve"> cultures. All proposed options</w:t>
      </w:r>
      <w:r w:rsidRPr="009E1150">
        <w:rPr>
          <w:rFonts w:ascii="Times New Roman" w:hAnsi="Times New Roman" w:cs="Times New Roman"/>
          <w:sz w:val="24"/>
          <w:szCs w:val="24"/>
          <w:lang w:eastAsia="en-GB"/>
        </w:rPr>
        <w:t xml:space="preserve"> take into account the implications of EU action for cultural diversity. </w:t>
      </w:r>
    </w:p>
    <w:p w:rsidR="00952EB0" w:rsidRPr="001B084A" w:rsidRDefault="00952EB0" w:rsidP="001B084A">
      <w:pPr>
        <w:pStyle w:val="Text1"/>
        <w:ind w:left="0"/>
        <w:rPr>
          <w:b/>
        </w:rPr>
      </w:pPr>
      <w:bookmarkStart w:id="56" w:name="_Toc454351311"/>
      <w:bookmarkStart w:id="57" w:name="_Toc454561729"/>
      <w:r w:rsidRPr="001B084A">
        <w:rPr>
          <w:b/>
        </w:rPr>
        <w:t>Subsidiarity and added value</w:t>
      </w:r>
      <w:bookmarkEnd w:id="56"/>
      <w:bookmarkEnd w:id="57"/>
    </w:p>
    <w:p w:rsidR="00952EB0" w:rsidRDefault="00952EB0" w:rsidP="001B084A">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The existing </w:t>
      </w:r>
      <w:r>
        <w:rPr>
          <w:rFonts w:ascii="Times New Roman" w:hAnsi="Times New Roman" w:cs="Times New Roman"/>
          <w:sz w:val="24"/>
          <w:szCs w:val="24"/>
          <w:lang w:eastAsia="en-GB"/>
        </w:rPr>
        <w:t xml:space="preserve">level of </w:t>
      </w:r>
      <w:r w:rsidRPr="009E1150">
        <w:rPr>
          <w:rFonts w:ascii="Times New Roman" w:hAnsi="Times New Roman" w:cs="Times New Roman"/>
          <w:sz w:val="24"/>
          <w:szCs w:val="24"/>
          <w:lang w:eastAsia="en-GB"/>
        </w:rPr>
        <w:t>harmonisation</w:t>
      </w:r>
      <w:r>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limits the possibility for MS to act </w:t>
      </w:r>
      <w:r>
        <w:rPr>
          <w:rFonts w:ascii="Times New Roman" w:hAnsi="Times New Roman" w:cs="Times New Roman"/>
          <w:sz w:val="24"/>
          <w:szCs w:val="24"/>
          <w:lang w:eastAsia="en-GB"/>
        </w:rPr>
        <w:t xml:space="preserve">in the area of copyright </w:t>
      </w:r>
      <w:r w:rsidRPr="009E1150">
        <w:rPr>
          <w:rFonts w:ascii="Times New Roman" w:hAnsi="Times New Roman" w:cs="Times New Roman"/>
          <w:sz w:val="24"/>
          <w:szCs w:val="24"/>
          <w:lang w:eastAsia="en-GB"/>
        </w:rPr>
        <w:t>as they cannot unilaterally alter the scope of the harmonised rights and exceptions. The</w:t>
      </w:r>
      <w:r>
        <w:rPr>
          <w:rFonts w:ascii="Times New Roman" w:hAnsi="Times New Roman" w:cs="Times New Roman"/>
          <w:sz w:val="24"/>
          <w:szCs w:val="24"/>
          <w:lang w:eastAsia="en-GB"/>
        </w:rPr>
        <w:t>refore, the</w:t>
      </w:r>
      <w:r w:rsidRPr="009E1150">
        <w:rPr>
          <w:rFonts w:ascii="Times New Roman" w:hAnsi="Times New Roman" w:cs="Times New Roman"/>
          <w:sz w:val="24"/>
          <w:szCs w:val="24"/>
          <w:lang w:eastAsia="en-GB"/>
        </w:rPr>
        <w:t xml:space="preserve"> need to update some of the existing exceptions or to introduce new exceptions, in particular to reflect new </w:t>
      </w:r>
      <w:r>
        <w:rPr>
          <w:rFonts w:ascii="Times New Roman" w:hAnsi="Times New Roman" w:cs="Times New Roman"/>
          <w:sz w:val="24"/>
          <w:szCs w:val="24"/>
          <w:lang w:eastAsia="en-GB"/>
        </w:rPr>
        <w:t xml:space="preserve">digital </w:t>
      </w:r>
      <w:r w:rsidRPr="009E1150">
        <w:rPr>
          <w:rFonts w:ascii="Times New Roman" w:hAnsi="Times New Roman" w:cs="Times New Roman"/>
          <w:sz w:val="24"/>
          <w:szCs w:val="24"/>
          <w:lang w:eastAsia="en-GB"/>
        </w:rPr>
        <w:t xml:space="preserve">uses, makes the amendment of EU legislation inevitable. </w:t>
      </w:r>
    </w:p>
    <w:p w:rsidR="00952EB0" w:rsidRPr="00CD0F0E" w:rsidRDefault="00952EB0" w:rsidP="00952EB0">
      <w:pPr>
        <w:spacing w:after="120" w:line="240" w:lineRule="auto"/>
        <w:jc w:val="both"/>
        <w:rPr>
          <w:lang w:eastAsia="en-GB"/>
        </w:rPr>
      </w:pPr>
      <w:r>
        <w:rPr>
          <w:rFonts w:ascii="Times New Roman" w:hAnsi="Times New Roman" w:cs="Times New Roman"/>
          <w:sz w:val="24"/>
          <w:szCs w:val="24"/>
          <w:lang w:eastAsia="en-GB"/>
        </w:rPr>
        <w:t>Moreover, EU intervention is indispensable to achieve one key objective of the copyright modernisation, which is to guarantee legal certainty in cross</w:t>
      </w:r>
      <w:r w:rsidR="00507AC2">
        <w:rPr>
          <w:rFonts w:ascii="Times New Roman" w:hAnsi="Times New Roman" w:cs="Times New Roman"/>
          <w:sz w:val="24"/>
          <w:szCs w:val="24"/>
          <w:lang w:eastAsia="en-GB"/>
        </w:rPr>
        <w:t>-</w:t>
      </w:r>
      <w:r>
        <w:rPr>
          <w:rFonts w:ascii="Times New Roman" w:hAnsi="Times New Roman" w:cs="Times New Roman"/>
          <w:sz w:val="24"/>
          <w:szCs w:val="24"/>
          <w:lang w:eastAsia="en-GB"/>
        </w:rPr>
        <w:t>border situations. This can only be achieved by making the relevant exceptions mandatory for MS to implement, increasing their level of harmonisation, and, when relevant, recognising their cross</w:t>
      </w:r>
      <w:r w:rsidR="00507AC2">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border effect. None of this can be achieved by MS legislation. Without intervention in EU law, </w:t>
      </w:r>
      <w:r w:rsidRPr="00CD0F0E">
        <w:rPr>
          <w:rFonts w:ascii="Times New Roman" w:hAnsi="Times New Roman" w:cs="Times New Roman"/>
          <w:sz w:val="24"/>
          <w:szCs w:val="24"/>
          <w:lang w:eastAsia="en-GB"/>
        </w:rPr>
        <w:t>beneficiaries of the exception would face legal uncertainty</w:t>
      </w:r>
      <w:r>
        <w:rPr>
          <w:rFonts w:ascii="Times New Roman" w:hAnsi="Times New Roman" w:cs="Times New Roman"/>
          <w:sz w:val="24"/>
          <w:szCs w:val="24"/>
          <w:lang w:eastAsia="en-GB"/>
        </w:rPr>
        <w:t xml:space="preserve"> and</w:t>
      </w:r>
      <w:r w:rsidRPr="00CD0F0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may not be able to rely on the exception</w:t>
      </w:r>
      <w:r w:rsidRPr="00BF09B0">
        <w:rPr>
          <w:rFonts w:ascii="Times New Roman" w:hAnsi="Times New Roman" w:cs="Times New Roman"/>
          <w:sz w:val="24"/>
          <w:szCs w:val="24"/>
          <w:lang w:eastAsia="en-GB"/>
        </w:rPr>
        <w:t xml:space="preserve"> </w:t>
      </w:r>
      <w:r w:rsidRPr="00CD0F0E">
        <w:rPr>
          <w:rFonts w:ascii="Times New Roman" w:hAnsi="Times New Roman" w:cs="Times New Roman"/>
          <w:sz w:val="24"/>
          <w:szCs w:val="24"/>
          <w:lang w:eastAsia="en-GB"/>
        </w:rPr>
        <w:t xml:space="preserve">in cross-border </w:t>
      </w:r>
      <w:r>
        <w:rPr>
          <w:rFonts w:ascii="Times New Roman" w:hAnsi="Times New Roman" w:cs="Times New Roman"/>
          <w:sz w:val="24"/>
          <w:szCs w:val="24"/>
          <w:lang w:eastAsia="en-GB"/>
        </w:rPr>
        <w:t xml:space="preserve">situations </w:t>
      </w:r>
      <w:r w:rsidRPr="00CD0F0E">
        <w:rPr>
          <w:rFonts w:ascii="Times New Roman" w:hAnsi="Times New Roman" w:cs="Times New Roman"/>
          <w:sz w:val="24"/>
          <w:szCs w:val="24"/>
          <w:lang w:eastAsia="en-GB"/>
        </w:rPr>
        <w:t>(for example teachers in distance learning programmes making content available under the teaching exception in one MS would need to verify whether the same acts are allowed under the exceptions in MS where the students are located</w:t>
      </w:r>
      <w:r>
        <w:rPr>
          <w:rFonts w:ascii="Times New Roman" w:hAnsi="Times New Roman" w:cs="Times New Roman"/>
          <w:sz w:val="24"/>
          <w:szCs w:val="24"/>
          <w:lang w:eastAsia="en-GB"/>
        </w:rPr>
        <w:t xml:space="preserve">, and if not, may have to obtain authorisation from </w:t>
      </w:r>
      <w:r w:rsidR="003B07E4">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Pr>
          <w:rFonts w:ascii="Times New Roman" w:hAnsi="Times New Roman" w:cs="Times New Roman"/>
          <w:sz w:val="24"/>
          <w:szCs w:val="24"/>
          <w:lang w:eastAsia="en-GB"/>
        </w:rPr>
        <w:t>)</w:t>
      </w:r>
      <w:r w:rsidRPr="00CD0F0E">
        <w:rPr>
          <w:rFonts w:ascii="Times New Roman" w:hAnsi="Times New Roman" w:cs="Times New Roman"/>
          <w:sz w:val="24"/>
          <w:szCs w:val="24"/>
          <w:lang w:eastAsia="en-GB"/>
        </w:rPr>
        <w:t xml:space="preserve">. Therefore, MS acting alone could not sufficiently address these problems and the objectives can be only achieved by EU action. </w:t>
      </w:r>
    </w:p>
    <w:p w:rsidR="00952EB0" w:rsidRDefault="00952EB0" w:rsidP="00CF38F1">
      <w:pPr>
        <w:pStyle w:val="Heading3"/>
      </w:pPr>
      <w:bookmarkStart w:id="58" w:name="_Toc461114723"/>
      <w:r w:rsidRPr="009E1150">
        <w:t>What should be achieved?</w:t>
      </w:r>
      <w:bookmarkEnd w:id="58"/>
      <w:r w:rsidRPr="009E1150">
        <w:t xml:space="preserve"> </w:t>
      </w:r>
    </w:p>
    <w:p w:rsidR="00952EB0" w:rsidRDefault="00952EB0" w:rsidP="001B084A">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The general objective of EU intervention</w:t>
      </w:r>
      <w:r>
        <w:rPr>
          <w:rFonts w:ascii="Times New Roman" w:hAnsi="Times New Roman" w:cs="Times New Roman"/>
          <w:sz w:val="24"/>
          <w:szCs w:val="24"/>
          <w:lang w:eastAsia="en-GB"/>
        </w:rPr>
        <w:t xml:space="preserve"> is to facilitate digital uses of protected content for education, research and preservation in the Single Market. Through this objective, EU intervention should contribute to promote digital innovation in education and research, foster </w:t>
      </w:r>
      <w:r w:rsidRPr="00FF2C2A">
        <w:rPr>
          <w:rFonts w:ascii="Times New Roman" w:hAnsi="Times New Roman" w:cs="Times New Roman"/>
          <w:sz w:val="24"/>
          <w:szCs w:val="24"/>
          <w:lang w:eastAsia="en-GB"/>
        </w:rPr>
        <w:t>the international competitiveness o</w:t>
      </w:r>
      <w:r>
        <w:rPr>
          <w:rFonts w:ascii="Times New Roman" w:hAnsi="Times New Roman" w:cs="Times New Roman"/>
          <w:sz w:val="24"/>
          <w:szCs w:val="24"/>
          <w:lang w:eastAsia="en-GB"/>
        </w:rPr>
        <w:t>f European research and encourage the preservation of cultural heritage.</w:t>
      </w:r>
    </w:p>
    <w:p w:rsidR="00952EB0" w:rsidRDefault="00952EB0" w:rsidP="001B084A">
      <w:pPr>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Achieving this general objective</w:t>
      </w:r>
      <w:r w:rsidRPr="009E1150">
        <w:rPr>
          <w:rFonts w:ascii="Times New Roman" w:hAnsi="Times New Roman" w:cs="Times New Roman"/>
          <w:sz w:val="24"/>
          <w:szCs w:val="24"/>
          <w:lang w:eastAsia="en-GB"/>
        </w:rPr>
        <w:t xml:space="preserve"> requires adapting the relevant copyright exceptions to enable digital and cross-border uses, </w:t>
      </w:r>
      <w:r>
        <w:rPr>
          <w:rFonts w:ascii="Times New Roman" w:hAnsi="Times New Roman" w:cs="Times New Roman"/>
          <w:sz w:val="24"/>
          <w:szCs w:val="24"/>
          <w:lang w:eastAsia="en-GB"/>
        </w:rPr>
        <w:t xml:space="preserve">while maintaining a high level of protection of rights. Changes to existing rules should aim at </w:t>
      </w:r>
      <w:r w:rsidRPr="009E1150">
        <w:rPr>
          <w:rFonts w:ascii="Times New Roman" w:hAnsi="Times New Roman" w:cs="Times New Roman"/>
          <w:sz w:val="24"/>
          <w:szCs w:val="24"/>
          <w:lang w:eastAsia="en-GB"/>
        </w:rPr>
        <w:t>provid</w:t>
      </w:r>
      <w:r>
        <w:rPr>
          <w:rFonts w:ascii="Times New Roman" w:hAnsi="Times New Roman" w:cs="Times New Roman"/>
          <w:sz w:val="24"/>
          <w:szCs w:val="24"/>
          <w:lang w:eastAsia="en-GB"/>
        </w:rPr>
        <w:t>ing</w:t>
      </w:r>
      <w:r w:rsidRPr="009E1150">
        <w:rPr>
          <w:rFonts w:ascii="Times New Roman" w:hAnsi="Times New Roman" w:cs="Times New Roman"/>
          <w:sz w:val="24"/>
          <w:szCs w:val="24"/>
          <w:lang w:eastAsia="en-GB"/>
        </w:rPr>
        <w:t xml:space="preserve"> legal certainty for the use of protected content in </w:t>
      </w:r>
      <w:r>
        <w:rPr>
          <w:rFonts w:ascii="Times New Roman" w:hAnsi="Times New Roman" w:cs="Times New Roman"/>
          <w:sz w:val="24"/>
          <w:szCs w:val="24"/>
          <w:lang w:eastAsia="en-GB"/>
        </w:rPr>
        <w:t xml:space="preserve">digitally-supported </w:t>
      </w:r>
      <w:r w:rsidRPr="009E1150">
        <w:rPr>
          <w:rFonts w:ascii="Times New Roman" w:hAnsi="Times New Roman" w:cs="Times New Roman"/>
          <w:sz w:val="24"/>
          <w:szCs w:val="24"/>
          <w:lang w:eastAsia="en-GB"/>
        </w:rPr>
        <w:t xml:space="preserve">teaching activities, for text and data mining </w:t>
      </w:r>
      <w:r>
        <w:rPr>
          <w:rFonts w:ascii="Times New Roman" w:hAnsi="Times New Roman" w:cs="Times New Roman"/>
          <w:sz w:val="24"/>
          <w:szCs w:val="24"/>
          <w:lang w:eastAsia="en-GB"/>
        </w:rPr>
        <w:t>in the context of scientific</w:t>
      </w:r>
      <w:r w:rsidRPr="009E1150">
        <w:rPr>
          <w:rFonts w:ascii="Times New Roman" w:hAnsi="Times New Roman" w:cs="Times New Roman"/>
          <w:sz w:val="24"/>
          <w:szCs w:val="24"/>
          <w:lang w:eastAsia="en-GB"/>
        </w:rPr>
        <w:t xml:space="preserve"> research</w:t>
      </w:r>
      <w:r>
        <w:rPr>
          <w:rFonts w:ascii="Times New Roman" w:hAnsi="Times New Roman" w:cs="Times New Roman"/>
          <w:sz w:val="24"/>
          <w:szCs w:val="24"/>
          <w:lang w:eastAsia="en-GB"/>
        </w:rPr>
        <w:t xml:space="preserve"> and </w:t>
      </w:r>
      <w:r w:rsidRPr="009E1150">
        <w:rPr>
          <w:rFonts w:ascii="Times New Roman" w:hAnsi="Times New Roman" w:cs="Times New Roman"/>
          <w:sz w:val="24"/>
          <w:szCs w:val="24"/>
          <w:lang w:eastAsia="en-GB"/>
        </w:rPr>
        <w:t xml:space="preserve">for </w:t>
      </w:r>
      <w:r>
        <w:rPr>
          <w:rFonts w:ascii="Times New Roman" w:hAnsi="Times New Roman" w:cs="Times New Roman"/>
          <w:sz w:val="24"/>
          <w:szCs w:val="24"/>
          <w:lang w:eastAsia="en-GB"/>
        </w:rPr>
        <w:t xml:space="preserve">digital </w:t>
      </w:r>
      <w:r w:rsidRPr="009E1150">
        <w:rPr>
          <w:rFonts w:ascii="Times New Roman" w:hAnsi="Times New Roman" w:cs="Times New Roman"/>
          <w:sz w:val="24"/>
          <w:szCs w:val="24"/>
          <w:lang w:eastAsia="en-GB"/>
        </w:rPr>
        <w:t xml:space="preserve">preservation by cultural heritage institutions. </w:t>
      </w:r>
    </w:p>
    <w:p w:rsidR="00952EB0" w:rsidRPr="009E1150" w:rsidRDefault="00952EB0" w:rsidP="00952EB0">
      <w:pPr>
        <w:spacing w:line="240" w:lineRule="auto"/>
        <w:jc w:val="both"/>
        <w:rPr>
          <w:rFonts w:ascii="Times New Roman" w:hAnsi="Times New Roman" w:cs="Times New Roman"/>
          <w:sz w:val="24"/>
          <w:szCs w:val="24"/>
          <w:lang w:eastAsia="en-GB"/>
        </w:rPr>
      </w:pPr>
      <w:r w:rsidRPr="00755697">
        <w:rPr>
          <w:noProof/>
          <w:lang w:eastAsia="en-GB"/>
        </w:rPr>
        <w:drawing>
          <wp:inline distT="0" distB="0" distL="0" distR="0" wp14:anchorId="4614BEA3" wp14:editId="24E2542D">
            <wp:extent cx="5759450" cy="32997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3299774"/>
                    </a:xfrm>
                    <a:prstGeom prst="rect">
                      <a:avLst/>
                    </a:prstGeom>
                  </pic:spPr>
                </pic:pic>
              </a:graphicData>
            </a:graphic>
          </wp:inline>
        </w:drawing>
      </w:r>
    </w:p>
    <w:p w:rsidR="00952EB0" w:rsidRPr="0056758B" w:rsidRDefault="00952EB0" w:rsidP="00CF38F1">
      <w:pPr>
        <w:pStyle w:val="Heading3"/>
      </w:pPr>
      <w:bookmarkStart w:id="59" w:name="_Toc461114724"/>
      <w:r w:rsidRPr="009E1150">
        <w:t>Methodology</w:t>
      </w:r>
      <w:bookmarkEnd w:id="59"/>
    </w:p>
    <w:p w:rsidR="00952EB0" w:rsidRPr="001B084A" w:rsidRDefault="00952EB0" w:rsidP="001B084A">
      <w:pPr>
        <w:pStyle w:val="Text1"/>
        <w:ind w:left="0"/>
        <w:rPr>
          <w:b/>
        </w:rPr>
      </w:pPr>
      <w:bookmarkStart w:id="60" w:name="_Toc454351314"/>
      <w:bookmarkStart w:id="61" w:name="_Toc454561732"/>
      <w:r w:rsidRPr="001B084A">
        <w:rPr>
          <w:b/>
        </w:rPr>
        <w:t>Problem definition</w:t>
      </w:r>
      <w:bookmarkEnd w:id="60"/>
      <w:bookmarkEnd w:id="61"/>
    </w:p>
    <w:p w:rsidR="00952EB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The problems described in this section of the IA are closely linked to the specificities of the EU legal framework for exceptions described above. </w:t>
      </w:r>
      <w:r>
        <w:rPr>
          <w:rFonts w:ascii="Times New Roman" w:hAnsi="Times New Roman" w:cs="Times New Roman"/>
          <w:sz w:val="24"/>
          <w:szCs w:val="24"/>
          <w:lang w:eastAsia="en-GB"/>
        </w:rPr>
        <w:t>As illustrated in the problem tree below, l</w:t>
      </w:r>
      <w:r w:rsidRPr="009E1150">
        <w:rPr>
          <w:rFonts w:ascii="Times New Roman" w:hAnsi="Times New Roman" w:cs="Times New Roman"/>
          <w:sz w:val="24"/>
          <w:szCs w:val="24"/>
          <w:lang w:eastAsia="en-GB"/>
        </w:rPr>
        <w:t xml:space="preserve">egal uncertainty on the acts allowed under the existing copyright exceptions, in particular in relation to digital and cross-border uses, has been identified as a major issue in several areas. </w:t>
      </w:r>
    </w:p>
    <w:p w:rsidR="00952EB0" w:rsidRPr="009E1150" w:rsidRDefault="00952EB0" w:rsidP="00952EB0">
      <w:pPr>
        <w:spacing w:after="120" w:line="240" w:lineRule="auto"/>
        <w:jc w:val="both"/>
        <w:rPr>
          <w:rFonts w:ascii="Times New Roman" w:hAnsi="Times New Roman" w:cs="Times New Roman"/>
          <w:sz w:val="24"/>
          <w:szCs w:val="24"/>
          <w:lang w:eastAsia="en-GB"/>
        </w:rPr>
      </w:pPr>
      <w:r w:rsidRPr="000F62A7">
        <w:rPr>
          <w:noProof/>
          <w:lang w:eastAsia="en-GB"/>
        </w:rPr>
        <w:drawing>
          <wp:inline distT="0" distB="0" distL="0" distR="0" wp14:anchorId="19C3F779" wp14:editId="0DF9AE7B">
            <wp:extent cx="5759450" cy="361021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9450" cy="3610219"/>
                    </a:xfrm>
                    <a:prstGeom prst="rect">
                      <a:avLst/>
                    </a:prstGeom>
                  </pic:spPr>
                </pic:pic>
              </a:graphicData>
            </a:graphic>
          </wp:inline>
        </w:drawing>
      </w:r>
    </w:p>
    <w:p w:rsidR="002750A8" w:rsidRPr="00D1507D" w:rsidRDefault="002750A8" w:rsidP="00D1507D">
      <w:pPr>
        <w:pStyle w:val="Text1"/>
        <w:ind w:left="0"/>
        <w:rPr>
          <w:rFonts w:ascii="TimesNewRoman" w:hAnsi="TimesNewRoman"/>
        </w:rPr>
      </w:pPr>
      <w:bookmarkStart w:id="62" w:name="_Toc454351315"/>
      <w:bookmarkStart w:id="63" w:name="_Toc454561733"/>
      <w:r w:rsidRPr="00087898">
        <w:t>This legal uncertainty is often the result of a restrictive implementation of copyright exceptions for "specific acts of repro</w:t>
      </w:r>
      <w:r w:rsidRPr="00531146">
        <w:t>duction" and "illustration for teaching and research" in certain MS and/or of the fragmentation of copyright rules and licensing conditions. It can re</w:t>
      </w:r>
      <w:r w:rsidRPr="00D92142">
        <w:t xml:space="preserve">sult in a suboptimal use of protected content in the digital environment. </w:t>
      </w:r>
      <w:r>
        <w:rPr>
          <w:szCs w:val="24"/>
        </w:rPr>
        <w:t xml:space="preserve">The table below illustrates the main differences </w:t>
      </w:r>
      <w:r>
        <w:rPr>
          <w:rFonts w:ascii="TimesNewRoman" w:hAnsi="TimesNewRoman" w:cs="TimesNewRoman"/>
          <w:szCs w:val="24"/>
        </w:rPr>
        <w:t>in the implementation of the exceptions in MS.</w:t>
      </w:r>
      <w:r>
        <w:rPr>
          <w:rStyle w:val="FootnoteReference"/>
          <w:rFonts w:ascii="TimesNewRoman" w:hAnsi="TimesNewRoman" w:cs="TimesNewRoman"/>
          <w:szCs w:val="24"/>
        </w:rPr>
        <w:footnoteReference w:id="250"/>
      </w:r>
      <w:r>
        <w:rPr>
          <w:rFonts w:ascii="TimesNewRoman" w:hAnsi="TimesNewRoman" w:cs="TimesNew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661"/>
        <w:gridCol w:w="4077"/>
      </w:tblGrid>
      <w:tr w:rsidR="002750A8" w:rsidTr="002750A8">
        <w:trPr>
          <w:trHeight w:val="567"/>
        </w:trPr>
        <w:tc>
          <w:tcPr>
            <w:tcW w:w="1550" w:type="dxa"/>
            <w:tcBorders>
              <w:top w:val="single" w:sz="4" w:space="0" w:color="auto"/>
              <w:left w:val="single" w:sz="4" w:space="0" w:color="auto"/>
              <w:bottom w:val="single" w:sz="4" w:space="0" w:color="auto"/>
              <w:right w:val="single" w:sz="4" w:space="0" w:color="auto"/>
            </w:tcBorders>
            <w:shd w:val="clear" w:color="auto" w:fill="F2F2F2"/>
            <w:hideMark/>
          </w:tcPr>
          <w:p w:rsidR="002750A8" w:rsidRPr="002750A8" w:rsidRDefault="002750A8">
            <w:pPr>
              <w:jc w:val="center"/>
              <w:rPr>
                <w:rFonts w:ascii="Times New Roman" w:eastAsia="Calibri" w:hAnsi="Times New Roman" w:cs="Times New Roman"/>
                <w:b/>
                <w:sz w:val="20"/>
                <w:szCs w:val="20"/>
                <w:lang w:val="it-IT"/>
              </w:rPr>
            </w:pPr>
            <w:r w:rsidRPr="002750A8">
              <w:rPr>
                <w:rFonts w:ascii="Times New Roman" w:hAnsi="Times New Roman"/>
                <w:b/>
                <w:sz w:val="20"/>
                <w:szCs w:val="20"/>
                <w:lang w:val="it-IT"/>
              </w:rPr>
              <w:t>Exception</w:t>
            </w:r>
          </w:p>
        </w:tc>
        <w:tc>
          <w:tcPr>
            <w:tcW w:w="3661" w:type="dxa"/>
            <w:tcBorders>
              <w:top w:val="single" w:sz="4" w:space="0" w:color="auto"/>
              <w:left w:val="single" w:sz="4" w:space="0" w:color="auto"/>
              <w:bottom w:val="single" w:sz="4" w:space="0" w:color="auto"/>
              <w:right w:val="single" w:sz="4" w:space="0" w:color="auto"/>
            </w:tcBorders>
            <w:shd w:val="clear" w:color="auto" w:fill="F2F2F2"/>
            <w:hideMark/>
          </w:tcPr>
          <w:p w:rsidR="002750A8" w:rsidRPr="002750A8" w:rsidRDefault="002750A8">
            <w:pPr>
              <w:spacing w:after="0"/>
              <w:jc w:val="center"/>
              <w:rPr>
                <w:rFonts w:ascii="Times New Roman" w:eastAsia="Calibri" w:hAnsi="Times New Roman" w:cs="Times New Roman"/>
                <w:b/>
                <w:sz w:val="20"/>
                <w:szCs w:val="20"/>
              </w:rPr>
            </w:pPr>
            <w:r w:rsidRPr="002750A8">
              <w:rPr>
                <w:rFonts w:ascii="Times New Roman" w:hAnsi="Times New Roman"/>
                <w:b/>
                <w:sz w:val="20"/>
                <w:szCs w:val="20"/>
              </w:rPr>
              <w:t xml:space="preserve">Implementation in </w:t>
            </w:r>
            <w:r w:rsidRPr="002750A8">
              <w:rPr>
                <w:rFonts w:ascii="Times New Roman" w:hAnsi="Times New Roman"/>
                <w:b/>
                <w:sz w:val="20"/>
                <w:szCs w:val="20"/>
              </w:rPr>
              <w:br/>
              <w:t>Member States</w:t>
            </w:r>
          </w:p>
        </w:tc>
        <w:tc>
          <w:tcPr>
            <w:tcW w:w="4077" w:type="dxa"/>
            <w:tcBorders>
              <w:top w:val="single" w:sz="4" w:space="0" w:color="auto"/>
              <w:left w:val="single" w:sz="4" w:space="0" w:color="auto"/>
              <w:bottom w:val="single" w:sz="4" w:space="0" w:color="auto"/>
              <w:right w:val="single" w:sz="4" w:space="0" w:color="auto"/>
            </w:tcBorders>
            <w:shd w:val="clear" w:color="auto" w:fill="F2F2F2"/>
            <w:hideMark/>
          </w:tcPr>
          <w:p w:rsidR="002750A8" w:rsidRPr="002750A8" w:rsidRDefault="002750A8">
            <w:pPr>
              <w:spacing w:after="0"/>
              <w:jc w:val="center"/>
              <w:rPr>
                <w:rFonts w:ascii="Times New Roman" w:eastAsia="Calibri" w:hAnsi="Times New Roman" w:cs="Times New Roman"/>
                <w:b/>
                <w:sz w:val="20"/>
                <w:szCs w:val="20"/>
              </w:rPr>
            </w:pPr>
            <w:r w:rsidRPr="002750A8">
              <w:rPr>
                <w:rFonts w:ascii="Times New Roman" w:hAnsi="Times New Roman"/>
                <w:b/>
                <w:sz w:val="20"/>
                <w:szCs w:val="20"/>
              </w:rPr>
              <w:t>Main differences in the implementation in Member States</w:t>
            </w:r>
          </w:p>
        </w:tc>
      </w:tr>
      <w:tr w:rsidR="002750A8" w:rsidTr="002750A8">
        <w:tc>
          <w:tcPr>
            <w:tcW w:w="1550" w:type="dxa"/>
            <w:tcBorders>
              <w:top w:val="single" w:sz="4" w:space="0" w:color="auto"/>
              <w:left w:val="single" w:sz="4" w:space="0" w:color="auto"/>
              <w:bottom w:val="single" w:sz="4" w:space="0" w:color="auto"/>
              <w:right w:val="single" w:sz="4" w:space="0" w:color="auto"/>
            </w:tcBorders>
            <w:shd w:val="clear" w:color="auto" w:fill="F2F2F2"/>
            <w:hideMark/>
          </w:tcPr>
          <w:p w:rsidR="002750A8" w:rsidRPr="002750A8" w:rsidRDefault="002750A8">
            <w:pPr>
              <w:spacing w:after="0" w:line="240" w:lineRule="auto"/>
              <w:rPr>
                <w:rFonts w:ascii="Times New Roman" w:eastAsia="Calibri" w:hAnsi="Times New Roman" w:cs="Times New Roman"/>
                <w:b/>
                <w:sz w:val="20"/>
                <w:szCs w:val="20"/>
              </w:rPr>
            </w:pPr>
            <w:r w:rsidRPr="002750A8">
              <w:rPr>
                <w:rFonts w:ascii="Times New Roman" w:hAnsi="Times New Roman"/>
                <w:b/>
                <w:sz w:val="20"/>
                <w:szCs w:val="20"/>
              </w:rPr>
              <w:t>Teaching</w:t>
            </w:r>
          </w:p>
        </w:tc>
        <w:tc>
          <w:tcPr>
            <w:tcW w:w="3661" w:type="dxa"/>
            <w:tcBorders>
              <w:top w:val="single" w:sz="4" w:space="0" w:color="auto"/>
              <w:left w:val="single" w:sz="4" w:space="0" w:color="auto"/>
              <w:bottom w:val="single" w:sz="4" w:space="0" w:color="auto"/>
              <w:right w:val="single" w:sz="4" w:space="0" w:color="auto"/>
            </w:tcBorders>
            <w:hideMark/>
          </w:tcPr>
          <w:p w:rsidR="002750A8" w:rsidRPr="002750A8" w:rsidRDefault="002750A8" w:rsidP="00510415">
            <w:pPr>
              <w:numPr>
                <w:ilvl w:val="0"/>
                <w:numId w:val="45"/>
              </w:numPr>
              <w:spacing w:after="0" w:line="240" w:lineRule="auto"/>
              <w:rPr>
                <w:rFonts w:ascii="Times New Roman" w:eastAsia="Calibri" w:hAnsi="Times New Roman"/>
                <w:sz w:val="20"/>
                <w:szCs w:val="20"/>
              </w:rPr>
            </w:pPr>
            <w:r w:rsidRPr="002750A8">
              <w:rPr>
                <w:rFonts w:ascii="Times New Roman" w:hAnsi="Times New Roman"/>
                <w:sz w:val="20"/>
                <w:szCs w:val="20"/>
              </w:rPr>
              <w:t xml:space="preserve">Exception implemented  in all MS </w:t>
            </w:r>
          </w:p>
          <w:p w:rsidR="002750A8" w:rsidRPr="002750A8" w:rsidRDefault="002750A8" w:rsidP="00510415">
            <w:pPr>
              <w:numPr>
                <w:ilvl w:val="0"/>
                <w:numId w:val="45"/>
              </w:numPr>
              <w:spacing w:after="0" w:line="240" w:lineRule="auto"/>
              <w:rPr>
                <w:rFonts w:ascii="Times New Roman" w:hAnsi="Times New Roman"/>
                <w:sz w:val="20"/>
                <w:szCs w:val="20"/>
              </w:rPr>
            </w:pPr>
            <w:r w:rsidRPr="002750A8">
              <w:rPr>
                <w:rFonts w:ascii="Times New Roman" w:hAnsi="Times New Roman"/>
                <w:sz w:val="20"/>
                <w:szCs w:val="20"/>
              </w:rPr>
              <w:t>Implemented through extended collective licensing in DK, FI, SE</w:t>
            </w:r>
          </w:p>
          <w:p w:rsidR="002750A8" w:rsidRPr="002750A8" w:rsidRDefault="002750A8" w:rsidP="00510415">
            <w:pPr>
              <w:numPr>
                <w:ilvl w:val="0"/>
                <w:numId w:val="45"/>
              </w:numPr>
              <w:spacing w:after="0" w:line="240" w:lineRule="auto"/>
              <w:rPr>
                <w:rFonts w:ascii="Times New Roman" w:eastAsia="Calibri" w:hAnsi="Times New Roman" w:cs="Times New Roman"/>
                <w:sz w:val="20"/>
                <w:szCs w:val="20"/>
              </w:rPr>
            </w:pPr>
            <w:r w:rsidRPr="002750A8">
              <w:rPr>
                <w:rFonts w:ascii="Times New Roman" w:hAnsi="Times New Roman"/>
                <w:sz w:val="20"/>
                <w:szCs w:val="20"/>
              </w:rPr>
              <w:t>Exception subject to the availability of licences in UK, IE</w:t>
            </w:r>
          </w:p>
        </w:tc>
        <w:tc>
          <w:tcPr>
            <w:tcW w:w="4077" w:type="dxa"/>
            <w:tcBorders>
              <w:top w:val="single" w:sz="4" w:space="0" w:color="auto"/>
              <w:left w:val="single" w:sz="4" w:space="0" w:color="auto"/>
              <w:bottom w:val="single" w:sz="4" w:space="0" w:color="auto"/>
              <w:right w:val="single" w:sz="4" w:space="0" w:color="auto"/>
            </w:tcBorders>
            <w:hideMark/>
          </w:tcPr>
          <w:p w:rsidR="002750A8" w:rsidRPr="000603AA" w:rsidRDefault="002750A8" w:rsidP="00510415">
            <w:pPr>
              <w:numPr>
                <w:ilvl w:val="0"/>
                <w:numId w:val="45"/>
              </w:numPr>
              <w:spacing w:after="0" w:line="240" w:lineRule="auto"/>
              <w:rPr>
                <w:rFonts w:ascii="Times New Roman" w:eastAsia="Calibri" w:hAnsi="Times New Roman"/>
                <w:sz w:val="20"/>
                <w:szCs w:val="20"/>
              </w:rPr>
            </w:pPr>
            <w:r w:rsidRPr="00A22BA8">
              <w:rPr>
                <w:rFonts w:ascii="Times New Roman" w:hAnsi="Times New Roman"/>
                <w:sz w:val="20"/>
                <w:szCs w:val="20"/>
              </w:rPr>
              <w:t>Application of the exception to digital uses</w:t>
            </w:r>
          </w:p>
          <w:p w:rsidR="002750A8" w:rsidRPr="008C4000" w:rsidRDefault="002750A8" w:rsidP="00510415">
            <w:pPr>
              <w:numPr>
                <w:ilvl w:val="0"/>
                <w:numId w:val="45"/>
              </w:numPr>
              <w:spacing w:after="0" w:line="240" w:lineRule="auto"/>
              <w:rPr>
                <w:rFonts w:ascii="Times New Roman" w:hAnsi="Times New Roman"/>
                <w:sz w:val="20"/>
                <w:szCs w:val="20"/>
              </w:rPr>
            </w:pPr>
            <w:r w:rsidRPr="000603AA">
              <w:rPr>
                <w:rFonts w:ascii="Times New Roman" w:hAnsi="Times New Roman"/>
                <w:sz w:val="20"/>
                <w:szCs w:val="20"/>
              </w:rPr>
              <w:t>Categories of beneficiaries (public or private education bodies, teachers and students, etc</w:t>
            </w:r>
            <w:r w:rsidR="00D2156D">
              <w:rPr>
                <w:rFonts w:ascii="Times New Roman" w:hAnsi="Times New Roman"/>
                <w:sz w:val="20"/>
                <w:szCs w:val="20"/>
              </w:rPr>
              <w:t>.</w:t>
            </w:r>
            <w:r w:rsidRPr="000603AA">
              <w:rPr>
                <w:rFonts w:ascii="Times New Roman" w:hAnsi="Times New Roman"/>
                <w:sz w:val="20"/>
                <w:szCs w:val="20"/>
              </w:rPr>
              <w:t>)</w:t>
            </w:r>
          </w:p>
          <w:p w:rsidR="002750A8" w:rsidRPr="008C4000" w:rsidRDefault="002750A8" w:rsidP="00510415">
            <w:pPr>
              <w:numPr>
                <w:ilvl w:val="0"/>
                <w:numId w:val="45"/>
              </w:numPr>
              <w:spacing w:after="0" w:line="240" w:lineRule="auto"/>
              <w:rPr>
                <w:rFonts w:ascii="Times New Roman" w:hAnsi="Times New Roman"/>
                <w:sz w:val="20"/>
                <w:szCs w:val="20"/>
              </w:rPr>
            </w:pPr>
            <w:r w:rsidRPr="008C4000">
              <w:rPr>
                <w:rFonts w:ascii="Times New Roman" w:hAnsi="Times New Roman"/>
                <w:sz w:val="20"/>
                <w:szCs w:val="20"/>
              </w:rPr>
              <w:t>Exclusion of certain types of works (e.g. sheet music or cinematographic works)</w:t>
            </w:r>
          </w:p>
          <w:p w:rsidR="002750A8" w:rsidRPr="008C4000" w:rsidRDefault="002750A8" w:rsidP="00510415">
            <w:pPr>
              <w:numPr>
                <w:ilvl w:val="0"/>
                <w:numId w:val="45"/>
              </w:numPr>
              <w:spacing w:after="0" w:line="240" w:lineRule="auto"/>
              <w:rPr>
                <w:rFonts w:ascii="Times New Roman" w:hAnsi="Times New Roman"/>
                <w:sz w:val="20"/>
                <w:szCs w:val="20"/>
              </w:rPr>
            </w:pPr>
            <w:r w:rsidRPr="008C4000">
              <w:rPr>
                <w:rFonts w:ascii="Times New Roman" w:hAnsi="Times New Roman"/>
                <w:sz w:val="20"/>
                <w:szCs w:val="20"/>
              </w:rPr>
              <w:t xml:space="preserve">Exclusion of textbooks or other works made explicitly for educational purposes </w:t>
            </w:r>
          </w:p>
          <w:p w:rsidR="002750A8" w:rsidRPr="00236159" w:rsidRDefault="002750A8" w:rsidP="00510415">
            <w:pPr>
              <w:numPr>
                <w:ilvl w:val="0"/>
                <w:numId w:val="45"/>
              </w:numPr>
              <w:spacing w:after="0" w:line="240" w:lineRule="auto"/>
              <w:rPr>
                <w:rFonts w:ascii="Times New Roman" w:hAnsi="Times New Roman"/>
                <w:sz w:val="20"/>
                <w:szCs w:val="20"/>
              </w:rPr>
            </w:pPr>
            <w:r w:rsidRPr="00236159">
              <w:rPr>
                <w:rFonts w:ascii="Times New Roman" w:hAnsi="Times New Roman"/>
                <w:sz w:val="20"/>
                <w:szCs w:val="20"/>
              </w:rPr>
              <w:t>Extent of works that can be used under the exception (fragments, extracts, specific limitation, etc</w:t>
            </w:r>
            <w:r w:rsidR="00D2156D">
              <w:rPr>
                <w:rFonts w:ascii="Times New Roman" w:hAnsi="Times New Roman"/>
                <w:sz w:val="20"/>
                <w:szCs w:val="20"/>
              </w:rPr>
              <w:t>.</w:t>
            </w:r>
            <w:r w:rsidRPr="00236159">
              <w:rPr>
                <w:rFonts w:ascii="Times New Roman" w:hAnsi="Times New Roman"/>
                <w:sz w:val="20"/>
                <w:szCs w:val="20"/>
              </w:rPr>
              <w:t>)</w:t>
            </w:r>
          </w:p>
          <w:p w:rsidR="002750A8" w:rsidRPr="00DE6320" w:rsidRDefault="002750A8" w:rsidP="00510415">
            <w:pPr>
              <w:numPr>
                <w:ilvl w:val="0"/>
                <w:numId w:val="45"/>
              </w:numPr>
              <w:spacing w:after="0" w:line="240" w:lineRule="auto"/>
              <w:rPr>
                <w:rFonts w:ascii="Times New Roman" w:eastAsia="Calibri" w:hAnsi="Times New Roman" w:cs="Times New Roman"/>
                <w:sz w:val="20"/>
                <w:szCs w:val="20"/>
              </w:rPr>
            </w:pPr>
            <w:r w:rsidRPr="00DE6320">
              <w:rPr>
                <w:rFonts w:ascii="Times New Roman" w:hAnsi="Times New Roman"/>
                <w:sz w:val="20"/>
                <w:szCs w:val="20"/>
              </w:rPr>
              <w:t>Payment of a compensation or remuneration under ECL/licence (required – at least partially – in 16 MS)</w:t>
            </w:r>
          </w:p>
        </w:tc>
      </w:tr>
      <w:tr w:rsidR="002750A8" w:rsidTr="002750A8">
        <w:tc>
          <w:tcPr>
            <w:tcW w:w="1550" w:type="dxa"/>
            <w:tcBorders>
              <w:top w:val="single" w:sz="4" w:space="0" w:color="auto"/>
              <w:left w:val="single" w:sz="4" w:space="0" w:color="auto"/>
              <w:bottom w:val="single" w:sz="4" w:space="0" w:color="auto"/>
              <w:right w:val="single" w:sz="4" w:space="0" w:color="auto"/>
            </w:tcBorders>
            <w:shd w:val="clear" w:color="auto" w:fill="F2F2F2"/>
            <w:hideMark/>
          </w:tcPr>
          <w:p w:rsidR="002750A8" w:rsidRPr="002750A8" w:rsidRDefault="002750A8">
            <w:pPr>
              <w:spacing w:after="0" w:line="240" w:lineRule="auto"/>
              <w:rPr>
                <w:rFonts w:ascii="Times New Roman" w:eastAsia="Calibri" w:hAnsi="Times New Roman" w:cs="Times New Roman"/>
                <w:b/>
                <w:sz w:val="20"/>
                <w:szCs w:val="20"/>
              </w:rPr>
            </w:pPr>
            <w:r w:rsidRPr="002750A8">
              <w:rPr>
                <w:rFonts w:ascii="Times New Roman" w:hAnsi="Times New Roman"/>
                <w:b/>
                <w:sz w:val="20"/>
                <w:szCs w:val="20"/>
              </w:rPr>
              <w:t>TDM</w:t>
            </w:r>
          </w:p>
        </w:tc>
        <w:tc>
          <w:tcPr>
            <w:tcW w:w="3661" w:type="dxa"/>
            <w:tcBorders>
              <w:top w:val="single" w:sz="4" w:space="0" w:color="auto"/>
              <w:left w:val="single" w:sz="4" w:space="0" w:color="auto"/>
              <w:bottom w:val="single" w:sz="4" w:space="0" w:color="auto"/>
              <w:right w:val="single" w:sz="4" w:space="0" w:color="auto"/>
            </w:tcBorders>
            <w:hideMark/>
          </w:tcPr>
          <w:p w:rsidR="002750A8" w:rsidRPr="00AD57F7" w:rsidRDefault="00D72668" w:rsidP="00510415">
            <w:pPr>
              <w:numPr>
                <w:ilvl w:val="0"/>
                <w:numId w:val="46"/>
              </w:numPr>
              <w:spacing w:after="0" w:line="240" w:lineRule="auto"/>
              <w:rPr>
                <w:rFonts w:ascii="Times New Roman" w:eastAsia="Calibri" w:hAnsi="Times New Roman" w:cs="Times New Roman"/>
                <w:sz w:val="20"/>
                <w:szCs w:val="20"/>
              </w:rPr>
            </w:pPr>
            <w:r w:rsidRPr="00AD57F7">
              <w:rPr>
                <w:rFonts w:ascii="Times New Roman" w:hAnsi="Times New Roman"/>
                <w:sz w:val="20"/>
                <w:szCs w:val="20"/>
              </w:rPr>
              <w:t>A specific TDM exception only in the UK (FR has a legislative draft at advance stage)</w:t>
            </w:r>
          </w:p>
          <w:p w:rsidR="00D72668" w:rsidRPr="002750A8" w:rsidRDefault="00D72668" w:rsidP="00510415">
            <w:pPr>
              <w:numPr>
                <w:ilvl w:val="0"/>
                <w:numId w:val="46"/>
              </w:numPr>
              <w:spacing w:after="0" w:line="240" w:lineRule="auto"/>
              <w:rPr>
                <w:rFonts w:ascii="Times New Roman" w:eastAsia="Calibri" w:hAnsi="Times New Roman" w:cs="Times New Roman"/>
                <w:sz w:val="20"/>
                <w:szCs w:val="20"/>
              </w:rPr>
            </w:pPr>
            <w:r>
              <w:rPr>
                <w:rFonts w:ascii="Times New Roman" w:hAnsi="Times New Roman"/>
                <w:sz w:val="20"/>
                <w:szCs w:val="20"/>
              </w:rPr>
              <w:t xml:space="preserve">Research exception implemented in most but not all MS (notably not in ES, NL). </w:t>
            </w:r>
          </w:p>
        </w:tc>
        <w:tc>
          <w:tcPr>
            <w:tcW w:w="4077" w:type="dxa"/>
            <w:tcBorders>
              <w:top w:val="single" w:sz="4" w:space="0" w:color="auto"/>
              <w:left w:val="single" w:sz="4" w:space="0" w:color="auto"/>
              <w:bottom w:val="single" w:sz="4" w:space="0" w:color="auto"/>
              <w:right w:val="single" w:sz="4" w:space="0" w:color="auto"/>
            </w:tcBorders>
          </w:tcPr>
          <w:p w:rsidR="002750A8" w:rsidRPr="00AD57F7" w:rsidRDefault="00D72668" w:rsidP="00510415">
            <w:pPr>
              <w:pStyle w:val="ListParagraph"/>
              <w:numPr>
                <w:ilvl w:val="0"/>
                <w:numId w:val="46"/>
              </w:numPr>
              <w:spacing w:after="0" w:line="240" w:lineRule="auto"/>
              <w:rPr>
                <w:rFonts w:ascii="Times New Roman" w:hAnsi="Times New Roman"/>
                <w:sz w:val="20"/>
                <w:lang w:val="en-GB" w:eastAsia="en-US"/>
              </w:rPr>
            </w:pPr>
            <w:r>
              <w:rPr>
                <w:rFonts w:ascii="Times New Roman" w:hAnsi="Times New Roman"/>
                <w:sz w:val="20"/>
                <w:lang w:val="en-GB" w:eastAsia="en-US"/>
              </w:rPr>
              <w:t xml:space="preserve">The national implementations of the research exceptions across MS do not specifically take into account/mention TDM. </w:t>
            </w:r>
          </w:p>
        </w:tc>
      </w:tr>
      <w:tr w:rsidR="00A24665" w:rsidTr="00AD57F7">
        <w:tc>
          <w:tcPr>
            <w:tcW w:w="1550" w:type="dxa"/>
            <w:tcBorders>
              <w:top w:val="single" w:sz="4" w:space="0" w:color="auto"/>
              <w:left w:val="single" w:sz="4" w:space="0" w:color="auto"/>
              <w:bottom w:val="single" w:sz="4" w:space="0" w:color="auto"/>
              <w:right w:val="single" w:sz="4" w:space="0" w:color="auto"/>
            </w:tcBorders>
            <w:shd w:val="clear" w:color="auto" w:fill="F2F2F2"/>
            <w:hideMark/>
          </w:tcPr>
          <w:p w:rsidR="00A24665" w:rsidRPr="002750A8" w:rsidRDefault="00A24665">
            <w:pPr>
              <w:spacing w:after="0" w:line="240" w:lineRule="auto"/>
              <w:rPr>
                <w:rFonts w:ascii="Times New Roman" w:eastAsia="Calibri" w:hAnsi="Times New Roman" w:cs="Times New Roman"/>
                <w:b/>
                <w:sz w:val="20"/>
                <w:szCs w:val="20"/>
              </w:rPr>
            </w:pPr>
            <w:r w:rsidRPr="009E2E81">
              <w:rPr>
                <w:rFonts w:ascii="Times New Roman" w:hAnsi="Times New Roman"/>
                <w:b/>
                <w:sz w:val="20"/>
              </w:rPr>
              <w:t xml:space="preserve">Specific acts of reproduction </w:t>
            </w:r>
            <w:r>
              <w:rPr>
                <w:rFonts w:ascii="Times New Roman" w:hAnsi="Times New Roman"/>
                <w:b/>
                <w:sz w:val="20"/>
              </w:rPr>
              <w:t xml:space="preserve">by libraries and similar institutions </w:t>
            </w:r>
            <w:r w:rsidRPr="009E2E81">
              <w:rPr>
                <w:rFonts w:ascii="Times New Roman" w:hAnsi="Times New Roman"/>
                <w:b/>
                <w:sz w:val="20"/>
              </w:rPr>
              <w:t>(preservation)</w:t>
            </w:r>
          </w:p>
        </w:tc>
        <w:tc>
          <w:tcPr>
            <w:tcW w:w="3661" w:type="dxa"/>
            <w:tcBorders>
              <w:top w:val="single" w:sz="4" w:space="0" w:color="auto"/>
              <w:left w:val="single" w:sz="4" w:space="0" w:color="auto"/>
              <w:bottom w:val="single" w:sz="4" w:space="0" w:color="auto"/>
              <w:right w:val="single" w:sz="4" w:space="0" w:color="auto"/>
            </w:tcBorders>
          </w:tcPr>
          <w:p w:rsidR="00A24665" w:rsidRPr="002750A8" w:rsidRDefault="00A24665" w:rsidP="00510415">
            <w:pPr>
              <w:numPr>
                <w:ilvl w:val="0"/>
                <w:numId w:val="47"/>
              </w:numPr>
              <w:spacing w:after="0" w:line="240" w:lineRule="auto"/>
              <w:rPr>
                <w:rFonts w:ascii="Times New Roman" w:eastAsia="Calibri" w:hAnsi="Times New Roman" w:cs="Times New Roman"/>
                <w:sz w:val="20"/>
                <w:szCs w:val="20"/>
              </w:rPr>
            </w:pPr>
            <w:r>
              <w:rPr>
                <w:rFonts w:ascii="Times New Roman" w:hAnsi="Times New Roman"/>
                <w:sz w:val="20"/>
              </w:rPr>
              <w:t>Exception i</w:t>
            </w:r>
            <w:r w:rsidRPr="009E2E81">
              <w:rPr>
                <w:rFonts w:ascii="Times New Roman" w:hAnsi="Times New Roman"/>
                <w:sz w:val="20"/>
              </w:rPr>
              <w:t>mplemented in all MS</w:t>
            </w:r>
          </w:p>
        </w:tc>
        <w:tc>
          <w:tcPr>
            <w:tcW w:w="4077" w:type="dxa"/>
            <w:tcBorders>
              <w:top w:val="single" w:sz="4" w:space="0" w:color="auto"/>
              <w:left w:val="single" w:sz="4" w:space="0" w:color="auto"/>
              <w:bottom w:val="single" w:sz="4" w:space="0" w:color="auto"/>
              <w:right w:val="single" w:sz="4" w:space="0" w:color="auto"/>
            </w:tcBorders>
          </w:tcPr>
          <w:p w:rsidR="00A24665" w:rsidRDefault="00A24665" w:rsidP="00510415">
            <w:pPr>
              <w:numPr>
                <w:ilvl w:val="0"/>
                <w:numId w:val="47"/>
              </w:numPr>
              <w:spacing w:after="0" w:line="240" w:lineRule="auto"/>
              <w:rPr>
                <w:rFonts w:ascii="Times New Roman" w:hAnsi="Times New Roman"/>
                <w:sz w:val="20"/>
              </w:rPr>
            </w:pPr>
            <w:r w:rsidRPr="009E2E81">
              <w:rPr>
                <w:rFonts w:ascii="Times New Roman" w:hAnsi="Times New Roman"/>
                <w:sz w:val="20"/>
              </w:rPr>
              <w:t xml:space="preserve">Purpose of the exception (preservation, conservation, archiving, </w:t>
            </w:r>
            <w:r>
              <w:rPr>
                <w:rFonts w:ascii="Times New Roman" w:hAnsi="Times New Roman"/>
                <w:sz w:val="20"/>
              </w:rPr>
              <w:t xml:space="preserve">other non-preservation related </w:t>
            </w:r>
            <w:r w:rsidRPr="009E2E81">
              <w:rPr>
                <w:rFonts w:ascii="Times New Roman" w:hAnsi="Times New Roman"/>
                <w:sz w:val="20"/>
              </w:rPr>
              <w:t>etc</w:t>
            </w:r>
            <w:r>
              <w:rPr>
                <w:rFonts w:ascii="Times New Roman" w:hAnsi="Times New Roman"/>
                <w:sz w:val="20"/>
              </w:rPr>
              <w:t>.</w:t>
            </w:r>
            <w:r w:rsidRPr="009E2E81">
              <w:rPr>
                <w:rFonts w:ascii="Times New Roman" w:hAnsi="Times New Roman"/>
                <w:sz w:val="20"/>
              </w:rPr>
              <w:t>)</w:t>
            </w:r>
          </w:p>
          <w:p w:rsidR="00A24665" w:rsidRPr="009E2E81" w:rsidRDefault="00A24665" w:rsidP="00510415">
            <w:pPr>
              <w:numPr>
                <w:ilvl w:val="0"/>
                <w:numId w:val="47"/>
              </w:numPr>
              <w:spacing w:after="0" w:line="240" w:lineRule="auto"/>
              <w:rPr>
                <w:rFonts w:ascii="Times New Roman" w:hAnsi="Times New Roman"/>
                <w:sz w:val="20"/>
              </w:rPr>
            </w:pPr>
            <w:r>
              <w:rPr>
                <w:rFonts w:ascii="Times New Roman" w:hAnsi="Times New Roman"/>
                <w:sz w:val="20"/>
              </w:rPr>
              <w:t>Exclusion of certain beneficiary institutions (e.g. archives only)</w:t>
            </w:r>
          </w:p>
          <w:p w:rsidR="00A24665" w:rsidRPr="009E2E81" w:rsidRDefault="00A24665" w:rsidP="00510415">
            <w:pPr>
              <w:numPr>
                <w:ilvl w:val="0"/>
                <w:numId w:val="47"/>
              </w:numPr>
              <w:spacing w:after="0" w:line="240" w:lineRule="auto"/>
              <w:rPr>
                <w:rFonts w:ascii="Times New Roman" w:hAnsi="Times New Roman"/>
                <w:sz w:val="20"/>
              </w:rPr>
            </w:pPr>
            <w:r>
              <w:rPr>
                <w:rFonts w:ascii="Times New Roman" w:hAnsi="Times New Roman"/>
                <w:sz w:val="20"/>
              </w:rPr>
              <w:t>Exclusion of certain t</w:t>
            </w:r>
            <w:r w:rsidRPr="009E2E81">
              <w:rPr>
                <w:rFonts w:ascii="Times New Roman" w:hAnsi="Times New Roman"/>
                <w:sz w:val="20"/>
              </w:rPr>
              <w:t>ypes of works</w:t>
            </w:r>
            <w:r>
              <w:rPr>
                <w:rFonts w:ascii="Times New Roman" w:hAnsi="Times New Roman"/>
                <w:sz w:val="20"/>
              </w:rPr>
              <w:t xml:space="preserve"> </w:t>
            </w:r>
            <w:r w:rsidRPr="009E2E81">
              <w:rPr>
                <w:rFonts w:ascii="Times New Roman" w:hAnsi="Times New Roman"/>
                <w:sz w:val="20"/>
              </w:rPr>
              <w:t>(</w:t>
            </w:r>
            <w:r>
              <w:rPr>
                <w:rFonts w:ascii="Times New Roman" w:hAnsi="Times New Roman"/>
                <w:sz w:val="20"/>
              </w:rPr>
              <w:t xml:space="preserve">e.g. </w:t>
            </w:r>
            <w:r w:rsidRPr="009E2E81">
              <w:rPr>
                <w:rFonts w:ascii="Times New Roman" w:hAnsi="Times New Roman"/>
                <w:sz w:val="20"/>
              </w:rPr>
              <w:t>print</w:t>
            </w:r>
            <w:r>
              <w:rPr>
                <w:rFonts w:ascii="Times New Roman" w:hAnsi="Times New Roman"/>
                <w:sz w:val="20"/>
              </w:rPr>
              <w:t xml:space="preserve"> works, videograms or phonograms </w:t>
            </w:r>
            <w:r w:rsidRPr="009E2E81">
              <w:rPr>
                <w:rFonts w:ascii="Times New Roman" w:hAnsi="Times New Roman"/>
                <w:sz w:val="20"/>
              </w:rPr>
              <w:t xml:space="preserve"> etc</w:t>
            </w:r>
            <w:r>
              <w:rPr>
                <w:rFonts w:ascii="Times New Roman" w:hAnsi="Times New Roman"/>
                <w:sz w:val="20"/>
              </w:rPr>
              <w:t>.</w:t>
            </w:r>
            <w:r w:rsidRPr="009E2E81">
              <w:rPr>
                <w:rFonts w:ascii="Times New Roman" w:hAnsi="Times New Roman"/>
                <w:sz w:val="20"/>
              </w:rPr>
              <w:t>)</w:t>
            </w:r>
          </w:p>
          <w:p w:rsidR="00A24665" w:rsidRPr="009E2E81" w:rsidRDefault="00A24665" w:rsidP="00510415">
            <w:pPr>
              <w:numPr>
                <w:ilvl w:val="0"/>
                <w:numId w:val="47"/>
              </w:numPr>
              <w:spacing w:after="0" w:line="240" w:lineRule="auto"/>
              <w:rPr>
                <w:rFonts w:ascii="Times New Roman" w:hAnsi="Times New Roman"/>
                <w:sz w:val="20"/>
              </w:rPr>
            </w:pPr>
            <w:r>
              <w:rPr>
                <w:rFonts w:ascii="Times New Roman" w:hAnsi="Times New Roman"/>
                <w:sz w:val="20"/>
              </w:rPr>
              <w:t>Limits to the n</w:t>
            </w:r>
            <w:r w:rsidRPr="009E2E81">
              <w:rPr>
                <w:rFonts w:ascii="Times New Roman" w:hAnsi="Times New Roman"/>
                <w:sz w:val="20"/>
              </w:rPr>
              <w:t>umber of copies allowed</w:t>
            </w:r>
          </w:p>
          <w:p w:rsidR="00A24665" w:rsidRDefault="00A24665" w:rsidP="00510415">
            <w:pPr>
              <w:numPr>
                <w:ilvl w:val="0"/>
                <w:numId w:val="47"/>
              </w:numPr>
              <w:spacing w:after="0" w:line="240" w:lineRule="auto"/>
              <w:rPr>
                <w:rFonts w:ascii="Times New Roman" w:hAnsi="Times New Roman"/>
                <w:sz w:val="20"/>
              </w:rPr>
            </w:pPr>
            <w:r>
              <w:rPr>
                <w:rFonts w:ascii="Times New Roman" w:hAnsi="Times New Roman"/>
                <w:sz w:val="20"/>
              </w:rPr>
              <w:t>Exclusion or unclear status of certain types of acts</w:t>
            </w:r>
            <w:r w:rsidRPr="009E2E81">
              <w:rPr>
                <w:rFonts w:ascii="Times New Roman" w:hAnsi="Times New Roman"/>
                <w:sz w:val="20"/>
              </w:rPr>
              <w:t xml:space="preserve"> (</w:t>
            </w:r>
            <w:r>
              <w:rPr>
                <w:rFonts w:ascii="Times New Roman" w:hAnsi="Times New Roman"/>
                <w:sz w:val="20"/>
              </w:rPr>
              <w:t xml:space="preserve">e.g. </w:t>
            </w:r>
            <w:r w:rsidRPr="009E2E81">
              <w:rPr>
                <w:rFonts w:ascii="Times New Roman" w:hAnsi="Times New Roman"/>
                <w:sz w:val="20"/>
              </w:rPr>
              <w:t>format shifting</w:t>
            </w:r>
            <w:r>
              <w:rPr>
                <w:rFonts w:ascii="Times New Roman" w:hAnsi="Times New Roman"/>
                <w:sz w:val="20"/>
              </w:rPr>
              <w:t>,</w:t>
            </w:r>
            <w:r w:rsidRPr="009E2E81">
              <w:rPr>
                <w:rFonts w:ascii="Times New Roman" w:hAnsi="Times New Roman"/>
                <w:sz w:val="20"/>
              </w:rPr>
              <w:t xml:space="preserve"> digital cop</w:t>
            </w:r>
            <w:r>
              <w:rPr>
                <w:rFonts w:ascii="Times New Roman" w:hAnsi="Times New Roman"/>
                <w:sz w:val="20"/>
              </w:rPr>
              <w:t>ies</w:t>
            </w:r>
            <w:r w:rsidRPr="009E2E81">
              <w:rPr>
                <w:rFonts w:ascii="Times New Roman" w:hAnsi="Times New Roman"/>
                <w:sz w:val="20"/>
              </w:rPr>
              <w:t>)</w:t>
            </w:r>
          </w:p>
          <w:p w:rsidR="00A24665" w:rsidRPr="008C4000" w:rsidRDefault="00A24665" w:rsidP="00510415">
            <w:pPr>
              <w:numPr>
                <w:ilvl w:val="0"/>
                <w:numId w:val="47"/>
              </w:numPr>
              <w:spacing w:after="0" w:line="240" w:lineRule="auto"/>
              <w:rPr>
                <w:rFonts w:ascii="Times New Roman" w:eastAsia="Calibri" w:hAnsi="Times New Roman" w:cs="Times New Roman"/>
                <w:sz w:val="20"/>
                <w:szCs w:val="20"/>
              </w:rPr>
            </w:pPr>
            <w:r>
              <w:rPr>
                <w:rFonts w:ascii="Times New Roman" w:hAnsi="Times New Roman"/>
                <w:sz w:val="20"/>
              </w:rPr>
              <w:t>Conditions (e.g. restoration or repairing damage only).</w:t>
            </w:r>
          </w:p>
        </w:tc>
      </w:tr>
    </w:tbl>
    <w:p w:rsidR="002750A8" w:rsidRPr="00087898" w:rsidRDefault="002750A8" w:rsidP="00D1507D">
      <w:pPr>
        <w:pStyle w:val="Text1"/>
        <w:ind w:left="0"/>
      </w:pPr>
    </w:p>
    <w:p w:rsidR="00952EB0" w:rsidRPr="001B084A" w:rsidRDefault="00952EB0" w:rsidP="001B084A">
      <w:pPr>
        <w:pStyle w:val="Text1"/>
        <w:ind w:left="0"/>
        <w:rPr>
          <w:b/>
        </w:rPr>
      </w:pPr>
      <w:r w:rsidRPr="001B084A">
        <w:rPr>
          <w:b/>
        </w:rPr>
        <w:t>Identification of policy options</w:t>
      </w:r>
      <w:bookmarkEnd w:id="62"/>
      <w:bookmarkEnd w:id="63"/>
    </w:p>
    <w:p w:rsidR="00952EB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The policy options examined in </w:t>
      </w:r>
      <w:r>
        <w:rPr>
          <w:rFonts w:ascii="Times New Roman" w:hAnsi="Times New Roman" w:cs="Times New Roman"/>
          <w:sz w:val="24"/>
          <w:szCs w:val="24"/>
          <w:lang w:eastAsia="en-GB"/>
        </w:rPr>
        <w:t xml:space="preserve">each of </w:t>
      </w:r>
      <w:r w:rsidRPr="009E1150">
        <w:rPr>
          <w:rFonts w:ascii="Times New Roman" w:hAnsi="Times New Roman" w:cs="Times New Roman"/>
          <w:sz w:val="24"/>
          <w:szCs w:val="24"/>
          <w:lang w:eastAsia="en-GB"/>
        </w:rPr>
        <w:t xml:space="preserve">the </w:t>
      </w:r>
      <w:r>
        <w:rPr>
          <w:rFonts w:ascii="Times New Roman" w:hAnsi="Times New Roman" w:cs="Times New Roman"/>
          <w:sz w:val="24"/>
          <w:szCs w:val="24"/>
          <w:lang w:eastAsia="en-GB"/>
        </w:rPr>
        <w:t xml:space="preserve">three </w:t>
      </w:r>
      <w:r w:rsidRPr="009E1150">
        <w:rPr>
          <w:rFonts w:ascii="Times New Roman" w:hAnsi="Times New Roman" w:cs="Times New Roman"/>
          <w:sz w:val="24"/>
          <w:szCs w:val="24"/>
          <w:lang w:eastAsia="en-GB"/>
        </w:rPr>
        <w:t>area</w:t>
      </w:r>
      <w:r>
        <w:rPr>
          <w:rFonts w:ascii="Times New Roman" w:hAnsi="Times New Roman" w:cs="Times New Roman"/>
          <w:sz w:val="24"/>
          <w:szCs w:val="24"/>
          <w:lang w:eastAsia="en-GB"/>
        </w:rPr>
        <w:t xml:space="preserve">s </w:t>
      </w:r>
      <w:r w:rsidRPr="009E1150">
        <w:rPr>
          <w:rFonts w:ascii="Times New Roman" w:hAnsi="Times New Roman" w:cs="Times New Roman"/>
          <w:sz w:val="24"/>
          <w:szCs w:val="24"/>
          <w:lang w:eastAsia="en-GB"/>
        </w:rPr>
        <w:t>include the baseline option, a non-legislative option (in the form of Commission's guidance, peer review mechanism and/or stakeholders’ dialogue) and one or several legislative options. Non-legislative options have been developed taking into account the specificities of each exception (implementation in MS, relation with licences, stakeholders concerned). Legislative options are designed to complement the existing exceptions (in the case of preservation and teaching), or to introduce a new exception (in the case of TDM</w:t>
      </w:r>
      <w:r>
        <w:rPr>
          <w:rFonts w:ascii="Times New Roman" w:hAnsi="Times New Roman" w:cs="Times New Roman"/>
          <w:sz w:val="24"/>
          <w:szCs w:val="24"/>
          <w:lang w:eastAsia="en-GB"/>
        </w:rPr>
        <w:t>, supplementing the existing research exception</w:t>
      </w:r>
      <w:r w:rsidRPr="009E1150">
        <w:rPr>
          <w:rFonts w:ascii="Times New Roman" w:hAnsi="Times New Roman" w:cs="Times New Roman"/>
          <w:sz w:val="24"/>
          <w:szCs w:val="24"/>
          <w:lang w:eastAsia="en-GB"/>
        </w:rPr>
        <w:t>).</w:t>
      </w:r>
    </w:p>
    <w:p w:rsidR="00C63638" w:rsidRDefault="00C63638" w:rsidP="00C63638">
      <w:pPr>
        <w:autoSpaceDE w:val="0"/>
        <w:autoSpaceDN w:val="0"/>
        <w:adjustRightInd w:val="0"/>
        <w:spacing w:after="120" w:line="240" w:lineRule="auto"/>
        <w:jc w:val="both"/>
        <w:rPr>
          <w:rFonts w:ascii="Times New Roman" w:hAnsi="Times New Roman" w:cs="Times New Roman"/>
          <w:i/>
          <w:sz w:val="24"/>
          <w:szCs w:val="24"/>
          <w:lang w:eastAsia="en-GB"/>
        </w:rPr>
      </w:pPr>
      <w:r w:rsidRPr="00A0311A">
        <w:rPr>
          <w:rFonts w:ascii="Times New Roman" w:hAnsi="Times New Roman" w:cs="Times New Roman"/>
          <w:i/>
          <w:sz w:val="24"/>
          <w:szCs w:val="24"/>
          <w:lang w:eastAsia="en-GB"/>
        </w:rPr>
        <w:t>Views from stakeholders</w:t>
      </w:r>
      <w:r>
        <w:rPr>
          <w:rFonts w:ascii="Times New Roman" w:hAnsi="Times New Roman" w:cs="Times New Roman"/>
          <w:i/>
          <w:sz w:val="24"/>
          <w:szCs w:val="24"/>
          <w:lang w:eastAsia="en-GB"/>
        </w:rPr>
        <w:t xml:space="preserve">, </w:t>
      </w:r>
      <w:r w:rsidRPr="00A0311A">
        <w:rPr>
          <w:rFonts w:ascii="Times New Roman" w:hAnsi="Times New Roman" w:cs="Times New Roman"/>
          <w:i/>
          <w:sz w:val="24"/>
          <w:szCs w:val="24"/>
          <w:lang w:eastAsia="en-GB"/>
        </w:rPr>
        <w:t>European Parliament</w:t>
      </w:r>
      <w:r>
        <w:rPr>
          <w:rFonts w:ascii="Times New Roman" w:hAnsi="Times New Roman" w:cs="Times New Roman"/>
          <w:i/>
          <w:sz w:val="24"/>
          <w:szCs w:val="24"/>
          <w:lang w:eastAsia="en-GB"/>
        </w:rPr>
        <w:t xml:space="preserve"> and</w:t>
      </w:r>
      <w:r w:rsidRPr="00A91DA7">
        <w:rPr>
          <w:rFonts w:ascii="Times New Roman" w:hAnsi="Times New Roman" w:cs="Times New Roman"/>
          <w:i/>
          <w:sz w:val="24"/>
          <w:szCs w:val="24"/>
          <w:lang w:eastAsia="en-GB"/>
        </w:rPr>
        <w:t xml:space="preserve"> Member States </w:t>
      </w:r>
    </w:p>
    <w:p w:rsidR="00C63638" w:rsidRDefault="00C63638" w:rsidP="00C63638">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views from the different stakeholders are reported after the description of each policy option.</w:t>
      </w:r>
    </w:p>
    <w:p w:rsidR="00683F23" w:rsidRDefault="00C63638" w:rsidP="00AD57F7">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In its resolution of 9 July 2015</w:t>
      </w:r>
      <w:r w:rsidR="001746F4">
        <w:rPr>
          <w:rFonts w:ascii="Times New Roman" w:hAnsi="Times New Roman" w:cs="Times New Roman"/>
          <w:sz w:val="24"/>
          <w:szCs w:val="24"/>
          <w:lang w:eastAsia="en-GB"/>
        </w:rPr>
        <w:t>,</w:t>
      </w:r>
      <w:r>
        <w:rPr>
          <w:rStyle w:val="FootnoteReference"/>
          <w:rFonts w:ascii="Times New Roman" w:hAnsi="Times New Roman" w:cs="Times New Roman"/>
          <w:sz w:val="24"/>
          <w:szCs w:val="24"/>
          <w:lang w:eastAsia="en-GB"/>
        </w:rPr>
        <w:footnoteReference w:id="251"/>
      </w:r>
      <w:r w:rsidR="00B5326B">
        <w:rPr>
          <w:rFonts w:ascii="Times New Roman" w:hAnsi="Times New Roman" w:cs="Times New Roman"/>
          <w:sz w:val="24"/>
          <w:szCs w:val="24"/>
          <w:lang w:eastAsia="en-GB"/>
        </w:rPr>
        <w:t xml:space="preserve"> </w:t>
      </w:r>
      <w:r w:rsidR="00D624CA">
        <w:rPr>
          <w:rFonts w:ascii="Times New Roman" w:hAnsi="Times New Roman" w:cs="Times New Roman"/>
          <w:sz w:val="24"/>
          <w:szCs w:val="24"/>
          <w:lang w:eastAsia="en-GB"/>
        </w:rPr>
        <w:t>the EP</w:t>
      </w:r>
      <w:r w:rsidR="001746F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called </w:t>
      </w:r>
      <w:r w:rsidR="00794836">
        <w:rPr>
          <w:rFonts w:ascii="Times New Roman" w:hAnsi="Times New Roman" w:cs="Times New Roman"/>
          <w:sz w:val="24"/>
          <w:szCs w:val="24"/>
          <w:lang w:eastAsia="en-GB"/>
        </w:rPr>
        <w:t xml:space="preserve">on the Commission "to </w:t>
      </w:r>
      <w:r>
        <w:rPr>
          <w:rFonts w:ascii="Times New Roman" w:hAnsi="Times New Roman" w:cs="Times New Roman"/>
          <w:sz w:val="24"/>
          <w:szCs w:val="24"/>
          <w:lang w:eastAsia="en-GB"/>
        </w:rPr>
        <w:t>examin</w:t>
      </w:r>
      <w:r w:rsidR="00794836">
        <w:rPr>
          <w:rFonts w:ascii="Times New Roman" w:hAnsi="Times New Roman" w:cs="Times New Roman"/>
          <w:sz w:val="24"/>
          <w:szCs w:val="24"/>
          <w:lang w:eastAsia="en-GB"/>
        </w:rPr>
        <w:t>e</w:t>
      </w:r>
      <w:r>
        <w:rPr>
          <w:rFonts w:ascii="Times New Roman" w:hAnsi="Times New Roman" w:cs="Times New Roman"/>
          <w:sz w:val="24"/>
          <w:szCs w:val="24"/>
          <w:lang w:eastAsia="en-GB"/>
        </w:rPr>
        <w:t xml:space="preserve"> the possibility of reviewing a number of the existing exceptions and limitations in order to better adapt them</w:t>
      </w:r>
      <w:r w:rsidR="00794836">
        <w:rPr>
          <w:rFonts w:ascii="Times New Roman" w:hAnsi="Times New Roman" w:cs="Times New Roman"/>
          <w:sz w:val="24"/>
          <w:szCs w:val="24"/>
          <w:lang w:eastAsia="en-GB"/>
        </w:rPr>
        <w:t xml:space="preserve"> to the digital environment”. In particular, the EP favours an exception for research and education purposes, </w:t>
      </w:r>
      <w:r>
        <w:rPr>
          <w:rFonts w:ascii="Times New Roman" w:hAnsi="Times New Roman" w:cs="Times New Roman"/>
          <w:sz w:val="24"/>
          <w:szCs w:val="24"/>
          <w:lang w:eastAsia="en-GB"/>
        </w:rPr>
        <w:t>co</w:t>
      </w:r>
      <w:r w:rsidR="00794836">
        <w:rPr>
          <w:rFonts w:ascii="Times New Roman" w:hAnsi="Times New Roman" w:cs="Times New Roman"/>
          <w:sz w:val="24"/>
          <w:szCs w:val="24"/>
          <w:lang w:eastAsia="en-GB"/>
        </w:rPr>
        <w:t>vering online and cross-border activities</w:t>
      </w:r>
      <w:r w:rsidR="00D624CA">
        <w:rPr>
          <w:rFonts w:ascii="Times New Roman" w:hAnsi="Times New Roman" w:cs="Times New Roman"/>
          <w:sz w:val="24"/>
          <w:szCs w:val="24"/>
          <w:lang w:eastAsia="en-GB"/>
        </w:rPr>
        <w:t xml:space="preserve">, provided that a fair balance between the different categories of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D624CA">
        <w:rPr>
          <w:rFonts w:ascii="Times New Roman" w:hAnsi="Times New Roman" w:cs="Times New Roman"/>
          <w:sz w:val="24"/>
          <w:szCs w:val="24"/>
          <w:lang w:eastAsia="en-GB"/>
        </w:rPr>
        <w:t xml:space="preserve"> and users of protected content is </w:t>
      </w:r>
      <w:r w:rsidR="00AE0978">
        <w:rPr>
          <w:rFonts w:ascii="Times New Roman" w:hAnsi="Times New Roman" w:cs="Times New Roman"/>
          <w:sz w:val="24"/>
          <w:szCs w:val="24"/>
          <w:lang w:eastAsia="en-GB"/>
        </w:rPr>
        <w:t>maintained</w:t>
      </w:r>
      <w:r w:rsidR="002F46F7">
        <w:rPr>
          <w:rFonts w:ascii="Times New Roman" w:hAnsi="Times New Roman" w:cs="Times New Roman"/>
          <w:sz w:val="24"/>
          <w:szCs w:val="24"/>
          <w:lang w:eastAsia="en-GB"/>
        </w:rPr>
        <w:t xml:space="preserve"> </w:t>
      </w:r>
      <w:r w:rsidR="00794836">
        <w:rPr>
          <w:rFonts w:ascii="Times New Roman" w:hAnsi="Times New Roman" w:cs="Times New Roman"/>
          <w:sz w:val="24"/>
          <w:szCs w:val="24"/>
          <w:lang w:eastAsia="en-GB"/>
        </w:rPr>
        <w:t xml:space="preserve">The recommendation also stressed the need to </w:t>
      </w:r>
      <w:r w:rsidR="002F46F7">
        <w:rPr>
          <w:rFonts w:ascii="Times New Roman" w:hAnsi="Times New Roman" w:cs="Times New Roman"/>
          <w:sz w:val="24"/>
          <w:szCs w:val="24"/>
          <w:lang w:eastAsia="en-GB"/>
        </w:rPr>
        <w:t>"</w:t>
      </w:r>
      <w:r w:rsidR="00794836">
        <w:rPr>
          <w:rFonts w:ascii="Times New Roman" w:hAnsi="Times New Roman" w:cs="Times New Roman"/>
          <w:sz w:val="24"/>
          <w:szCs w:val="24"/>
          <w:lang w:eastAsia="en-GB"/>
        </w:rPr>
        <w:t xml:space="preserve">assess the enablement of </w:t>
      </w:r>
      <w:r w:rsidR="002F46F7">
        <w:rPr>
          <w:rFonts w:ascii="Times New Roman" w:hAnsi="Times New Roman" w:cs="Times New Roman"/>
          <w:sz w:val="24"/>
          <w:szCs w:val="24"/>
          <w:lang w:eastAsia="en-GB"/>
        </w:rPr>
        <w:t xml:space="preserve">(…) </w:t>
      </w:r>
      <w:r w:rsidR="00794836">
        <w:rPr>
          <w:rFonts w:ascii="Times New Roman" w:hAnsi="Times New Roman" w:cs="Times New Roman"/>
          <w:sz w:val="24"/>
          <w:szCs w:val="24"/>
          <w:lang w:eastAsia="en-GB"/>
        </w:rPr>
        <w:t>text and data mining techniques for research purposes</w:t>
      </w:r>
      <w:r w:rsidR="002F46F7">
        <w:rPr>
          <w:rFonts w:ascii="Times New Roman" w:hAnsi="Times New Roman" w:cs="Times New Roman"/>
          <w:sz w:val="24"/>
          <w:szCs w:val="24"/>
          <w:lang w:eastAsia="en-GB"/>
        </w:rPr>
        <w:t>, provided that permission to read the work has been acquired". Finally,</w:t>
      </w:r>
      <w:r w:rsidR="00683F23">
        <w:rPr>
          <w:rFonts w:ascii="Times New Roman" w:hAnsi="Times New Roman" w:cs="Times New Roman"/>
          <w:sz w:val="24"/>
          <w:szCs w:val="24"/>
          <w:lang w:eastAsia="en-GB"/>
        </w:rPr>
        <w:t xml:space="preserve"> it asked the Commission to "</w:t>
      </w:r>
      <w:r w:rsidR="002F46F7" w:rsidRPr="00AD57F7">
        <w:rPr>
          <w:rFonts w:ascii="Times New Roman" w:hAnsi="Times New Roman" w:cs="Times New Roman"/>
          <w:sz w:val="24"/>
          <w:szCs w:val="24"/>
          <w:lang w:eastAsia="en-GB"/>
        </w:rPr>
        <w:t>assess the adoption of an exception allowing libraries to digitalise content for the purposes of consulta</w:t>
      </w:r>
      <w:r w:rsidR="00683F23" w:rsidRPr="00AD57F7">
        <w:rPr>
          <w:rFonts w:ascii="Times New Roman" w:hAnsi="Times New Roman" w:cs="Times New Roman"/>
          <w:sz w:val="24"/>
          <w:szCs w:val="24"/>
          <w:lang w:eastAsia="en-GB"/>
        </w:rPr>
        <w:t xml:space="preserve">tion, cataloguing and archiving" and indicated that the exceptions for </w:t>
      </w:r>
      <w:r w:rsidR="00683F23">
        <w:rPr>
          <w:rFonts w:ascii="Times New Roman" w:hAnsi="Times New Roman" w:cs="Times New Roman"/>
          <w:sz w:val="24"/>
          <w:szCs w:val="24"/>
          <w:lang w:eastAsia="en-GB"/>
        </w:rPr>
        <w:t xml:space="preserve">the benefit of </w:t>
      </w:r>
      <w:r w:rsidR="00683F23" w:rsidRPr="00AD57F7">
        <w:rPr>
          <w:rFonts w:ascii="Times New Roman" w:hAnsi="Times New Roman" w:cs="Times New Roman"/>
          <w:sz w:val="24"/>
          <w:szCs w:val="24"/>
          <w:lang w:eastAsia="en-GB"/>
        </w:rPr>
        <w:t>libraries, museums and archives should be strengthened in order to facilitate access to cultural heritage.</w:t>
      </w:r>
    </w:p>
    <w:p w:rsidR="00C90C9C" w:rsidRDefault="000F5D06" w:rsidP="00AD57F7">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MS </w:t>
      </w:r>
      <w:r w:rsidR="00C90C9C">
        <w:rPr>
          <w:rFonts w:ascii="Times New Roman" w:hAnsi="Times New Roman" w:cs="Times New Roman"/>
          <w:sz w:val="24"/>
          <w:szCs w:val="24"/>
          <w:lang w:eastAsia="en-GB"/>
        </w:rPr>
        <w:t>are generally in favour of adapting exceptions in order to</w:t>
      </w:r>
      <w:r>
        <w:rPr>
          <w:rFonts w:ascii="Times New Roman" w:hAnsi="Times New Roman" w:cs="Times New Roman"/>
          <w:sz w:val="24"/>
          <w:szCs w:val="24"/>
          <w:lang w:eastAsia="en-GB"/>
        </w:rPr>
        <w:t xml:space="preserve"> facilitat</w:t>
      </w:r>
      <w:r w:rsidR="00C90C9C">
        <w:rPr>
          <w:rFonts w:ascii="Times New Roman" w:hAnsi="Times New Roman" w:cs="Times New Roman"/>
          <w:sz w:val="24"/>
          <w:szCs w:val="24"/>
          <w:lang w:eastAsia="en-GB"/>
        </w:rPr>
        <w:t>e</w:t>
      </w:r>
      <w:r>
        <w:rPr>
          <w:rFonts w:ascii="Times New Roman" w:hAnsi="Times New Roman" w:cs="Times New Roman"/>
          <w:sz w:val="24"/>
          <w:szCs w:val="24"/>
          <w:lang w:eastAsia="en-GB"/>
        </w:rPr>
        <w:t xml:space="preserve"> digital and cross-border uses of protected content for the purposes of education, research and preservation</w:t>
      </w:r>
      <w:r w:rsidR="00C90C9C">
        <w:rPr>
          <w:rFonts w:ascii="Times New Roman" w:hAnsi="Times New Roman" w:cs="Times New Roman"/>
          <w:sz w:val="24"/>
          <w:szCs w:val="24"/>
          <w:lang w:eastAsia="en-GB"/>
        </w:rPr>
        <w:t>. They would support further harmonisation of existing exceptions where the uses have a clear cross-border dimension, but are likely to require some flexibility for implementation at national level.</w:t>
      </w:r>
      <w:r w:rsidR="00EA499E">
        <w:rPr>
          <w:rFonts w:ascii="Times New Roman" w:hAnsi="Times New Roman" w:cs="Times New Roman"/>
          <w:sz w:val="24"/>
          <w:szCs w:val="24"/>
          <w:lang w:eastAsia="en-GB"/>
        </w:rPr>
        <w:t xml:space="preserve"> Their support to the different policy options will also depend on the balance ensured between the interests of users and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EA499E">
        <w:rPr>
          <w:rFonts w:ascii="Times New Roman" w:hAnsi="Times New Roman" w:cs="Times New Roman"/>
          <w:sz w:val="24"/>
          <w:szCs w:val="24"/>
          <w:lang w:eastAsia="en-GB"/>
        </w:rPr>
        <w:t>.</w:t>
      </w:r>
      <w:r w:rsidR="00C90C9C">
        <w:rPr>
          <w:rStyle w:val="FootnoteReference"/>
          <w:rFonts w:ascii="Times New Roman" w:hAnsi="Times New Roman" w:cs="Times New Roman"/>
          <w:sz w:val="24"/>
          <w:szCs w:val="24"/>
          <w:lang w:eastAsia="en-GB"/>
        </w:rPr>
        <w:footnoteReference w:id="252"/>
      </w:r>
    </w:p>
    <w:p w:rsidR="009F28D2" w:rsidRPr="00AD57F7" w:rsidRDefault="009F28D2" w:rsidP="00AD57F7">
      <w:pPr>
        <w:autoSpaceDE w:val="0"/>
        <w:autoSpaceDN w:val="0"/>
        <w:adjustRightInd w:val="0"/>
        <w:spacing w:after="120" w:line="240" w:lineRule="auto"/>
        <w:jc w:val="both"/>
      </w:pPr>
      <w:r>
        <w:rPr>
          <w:rFonts w:ascii="Times New Roman" w:hAnsi="Times New Roman" w:cs="Times New Roman"/>
          <w:sz w:val="24"/>
          <w:szCs w:val="24"/>
          <w:lang w:eastAsia="en-GB"/>
        </w:rPr>
        <w:t>In the 201</w:t>
      </w:r>
      <w:r w:rsidR="001308D1">
        <w:rPr>
          <w:rFonts w:ascii="Times New Roman" w:hAnsi="Times New Roman" w:cs="Times New Roman"/>
          <w:sz w:val="24"/>
          <w:szCs w:val="24"/>
          <w:lang w:eastAsia="en-GB"/>
        </w:rPr>
        <w:t>4</w:t>
      </w:r>
      <w:r>
        <w:rPr>
          <w:rFonts w:ascii="Times New Roman" w:hAnsi="Times New Roman" w:cs="Times New Roman"/>
          <w:sz w:val="24"/>
          <w:szCs w:val="24"/>
          <w:lang w:eastAsia="en-GB"/>
        </w:rPr>
        <w:t xml:space="preserve"> public consultation on the review of EU copyright rules,</w:t>
      </w:r>
      <w:r w:rsidR="000F5D06">
        <w:rPr>
          <w:rStyle w:val="FootnoteReference"/>
          <w:rFonts w:ascii="Times New Roman" w:hAnsi="Times New Roman"/>
          <w:sz w:val="20"/>
          <w:szCs w:val="20"/>
        </w:rPr>
        <w:footnoteReference w:id="253"/>
      </w:r>
      <w:r w:rsidR="000F5D0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several MS</w:t>
      </w:r>
      <w:r w:rsidR="001308D1">
        <w:rPr>
          <w:rFonts w:ascii="Times New Roman" w:hAnsi="Times New Roman" w:cs="Times New Roman"/>
          <w:sz w:val="24"/>
          <w:szCs w:val="24"/>
          <w:lang w:eastAsia="en-GB"/>
        </w:rPr>
        <w:t xml:space="preserve"> suggested to</w:t>
      </w:r>
      <w:r>
        <w:rPr>
          <w:rFonts w:ascii="Times New Roman" w:hAnsi="Times New Roman" w:cs="Times New Roman"/>
          <w:sz w:val="24"/>
          <w:szCs w:val="24"/>
          <w:lang w:eastAsia="en-GB"/>
        </w:rPr>
        <w:t xml:space="preserve"> clarify the scope of the teaching exception, in particular in relation to online uses</w:t>
      </w:r>
      <w:r w:rsidR="001308D1">
        <w:rPr>
          <w:rFonts w:ascii="Times New Roman" w:hAnsi="Times New Roman" w:cs="Times New Roman"/>
          <w:sz w:val="24"/>
          <w:szCs w:val="24"/>
          <w:lang w:eastAsia="en-GB"/>
        </w:rPr>
        <w:t>, and some other MS favoured a greater harmonisation which would require making the teaching exception mandatory across the EU. Certain MS however indicated that there is no need to further harmonise or extend the scope of the existing teaching exception.</w:t>
      </w:r>
    </w:p>
    <w:p w:rsidR="00D41F7E" w:rsidRDefault="000C16DF" w:rsidP="00952EB0">
      <w:pPr>
        <w:spacing w:after="120" w:line="240" w:lineRule="auto"/>
        <w:jc w:val="both"/>
        <w:rPr>
          <w:rFonts w:ascii="Times New Roman" w:hAnsi="Times New Roman" w:cs="Times New Roman"/>
          <w:sz w:val="24"/>
          <w:szCs w:val="24"/>
          <w:lang w:eastAsia="en-GB"/>
        </w:rPr>
      </w:pPr>
      <w:r w:rsidRPr="00AD57F7">
        <w:rPr>
          <w:rFonts w:ascii="Times New Roman" w:hAnsi="Times New Roman" w:cs="Times New Roman"/>
          <w:sz w:val="24"/>
          <w:szCs w:val="24"/>
          <w:lang w:eastAsia="en-GB"/>
        </w:rPr>
        <w:t xml:space="preserve">On TDM, MS are expected to be overall supportive of an intervention at EU level, as some of them have tried to address this issue at national level but can only do it within the boundaries of the current research exception. </w:t>
      </w:r>
    </w:p>
    <w:p w:rsidR="000C16DF" w:rsidRPr="00AD57F7" w:rsidRDefault="000F5D06" w:rsidP="00952EB0">
      <w:pPr>
        <w:spacing w:after="120" w:line="240" w:lineRule="auto"/>
        <w:jc w:val="both"/>
        <w:rPr>
          <w:rFonts w:ascii="Times New Roman" w:hAnsi="Times New Roman" w:cs="Times New Roman"/>
          <w:sz w:val="32"/>
          <w:szCs w:val="24"/>
          <w:lang w:eastAsia="en-GB"/>
        </w:rPr>
      </w:pPr>
      <w:r w:rsidRPr="00AD57F7">
        <w:rPr>
          <w:rFonts w:ascii="Times New Roman" w:eastAsia="Calibri" w:hAnsi="Times New Roman" w:cs="Times New Roman"/>
          <w:sz w:val="24"/>
          <w:szCs w:val="20"/>
        </w:rPr>
        <w:t>In relation to preservation, some MS explained in the 2014 public consultation that there is no need to al</w:t>
      </w:r>
      <w:r w:rsidR="00C90C9C" w:rsidRPr="00C90C9C">
        <w:rPr>
          <w:rFonts w:ascii="Times New Roman" w:eastAsia="Calibri" w:hAnsi="Times New Roman" w:cs="Times New Roman"/>
          <w:sz w:val="24"/>
          <w:szCs w:val="20"/>
        </w:rPr>
        <w:t>ter the current legal framework</w:t>
      </w:r>
      <w:r w:rsidRPr="00AD57F7">
        <w:rPr>
          <w:rFonts w:ascii="Times New Roman" w:eastAsia="Calibri" w:hAnsi="Times New Roman" w:cs="Times New Roman"/>
          <w:sz w:val="24"/>
          <w:szCs w:val="20"/>
        </w:rPr>
        <w:t>, while others did not express themselves against changing the status quo, with some emphasising the need to consider technological neutrality as regards the exception.</w:t>
      </w:r>
    </w:p>
    <w:p w:rsidR="00952EB0" w:rsidRPr="001B084A" w:rsidRDefault="00952EB0" w:rsidP="001B084A">
      <w:pPr>
        <w:pStyle w:val="Text1"/>
        <w:ind w:left="0"/>
        <w:rPr>
          <w:b/>
        </w:rPr>
      </w:pPr>
      <w:bookmarkStart w:id="64" w:name="_Toc454351316"/>
      <w:bookmarkStart w:id="65" w:name="_Toc454561734"/>
      <w:r w:rsidRPr="001B084A">
        <w:rPr>
          <w:b/>
        </w:rPr>
        <w:t>Impacts of policy options</w:t>
      </w:r>
      <w:bookmarkEnd w:id="64"/>
      <w:bookmarkEnd w:id="65"/>
    </w:p>
    <w:p w:rsidR="00952EB0" w:rsidRPr="009E115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The revision of existing exceptions or the introduction of new exceptions need to be assessed in relation to, one the one hand, how they facilitate the access to and use of protected works by certain specific categories of users (educational establishments, research institutions</w:t>
      </w:r>
      <w:r>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cultural heritage institutions); on the other hand, how they affect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 revenue</w:t>
      </w:r>
      <w:r w:rsidR="00F86A04">
        <w:rPr>
          <w:rFonts w:ascii="Times New Roman" w:hAnsi="Times New Roman" w:cs="Times New Roman"/>
          <w:sz w:val="24"/>
          <w:szCs w:val="24"/>
          <w:lang w:eastAsia="en-GB"/>
        </w:rPr>
        <w:t>s</w:t>
      </w:r>
      <w:r w:rsidRPr="009E1150">
        <w:rPr>
          <w:rFonts w:ascii="Times New Roman" w:hAnsi="Times New Roman" w:cs="Times New Roman"/>
          <w:sz w:val="24"/>
          <w:szCs w:val="24"/>
          <w:lang w:eastAsia="en-GB"/>
        </w:rPr>
        <w:t xml:space="preserve"> and incentives to create or to invest in the creation of new works. More generally, it is important to </w:t>
      </w:r>
      <w:r w:rsidR="00F86A04">
        <w:rPr>
          <w:rFonts w:ascii="Times New Roman" w:hAnsi="Times New Roman" w:cs="Times New Roman"/>
          <w:sz w:val="24"/>
          <w:szCs w:val="24"/>
          <w:lang w:eastAsia="en-GB"/>
        </w:rPr>
        <w:t>highlight</w:t>
      </w:r>
      <w:r w:rsidR="00F86A04" w:rsidRPr="009E1150">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that exceptions need to comply with the 'three-step test', enshrined in the main international treaties on copyright,</w:t>
      </w:r>
      <w:r w:rsidRPr="009E1150">
        <w:rPr>
          <w:rFonts w:ascii="Times New Roman" w:hAnsi="Times New Roman" w:cs="Times New Roman"/>
          <w:noProof/>
          <w:sz w:val="24"/>
          <w:szCs w:val="24"/>
          <w:vertAlign w:val="superscript"/>
        </w:rPr>
        <w:footnoteReference w:id="254"/>
      </w:r>
      <w:r w:rsidRPr="009E1150">
        <w:rPr>
          <w:rFonts w:ascii="Times New Roman" w:hAnsi="Times New Roman" w:cs="Times New Roman"/>
          <w:sz w:val="24"/>
          <w:szCs w:val="24"/>
          <w:lang w:eastAsia="en-GB"/>
        </w:rPr>
        <w:t xml:space="preserve"> which provides that exceptions may only be applied </w:t>
      </w:r>
      <w:r>
        <w:rPr>
          <w:rFonts w:ascii="Times New Roman" w:hAnsi="Times New Roman" w:cs="Times New Roman"/>
          <w:sz w:val="24"/>
          <w:szCs w:val="24"/>
          <w:lang w:eastAsia="en-GB"/>
        </w:rPr>
        <w:t xml:space="preserve">(i) </w:t>
      </w:r>
      <w:r w:rsidRPr="009E1150">
        <w:rPr>
          <w:rFonts w:ascii="Times New Roman" w:hAnsi="Times New Roman" w:cs="Times New Roman"/>
          <w:sz w:val="24"/>
          <w:szCs w:val="24"/>
          <w:lang w:eastAsia="en-GB"/>
        </w:rPr>
        <w:t>in certain special cases</w:t>
      </w:r>
      <w:r>
        <w:rPr>
          <w:rFonts w:ascii="Times New Roman" w:hAnsi="Times New Roman" w:cs="Times New Roman"/>
          <w:sz w:val="24"/>
          <w:szCs w:val="24"/>
          <w:lang w:eastAsia="en-GB"/>
        </w:rPr>
        <w:t>,</w:t>
      </w:r>
      <w:r w:rsidRPr="009E115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(ii) </w:t>
      </w:r>
      <w:r w:rsidRPr="009E1150">
        <w:rPr>
          <w:rFonts w:ascii="Times New Roman" w:hAnsi="Times New Roman" w:cs="Times New Roman"/>
          <w:sz w:val="24"/>
          <w:szCs w:val="24"/>
          <w:lang w:eastAsia="en-GB"/>
        </w:rPr>
        <w:t>which do not conflict with a normal exploitation of a work or other subject matter</w:t>
      </w:r>
      <w:r>
        <w:rPr>
          <w:rFonts w:ascii="Times New Roman" w:hAnsi="Times New Roman" w:cs="Times New Roman"/>
          <w:sz w:val="24"/>
          <w:szCs w:val="24"/>
          <w:lang w:eastAsia="en-GB"/>
        </w:rPr>
        <w:t>,</w:t>
      </w:r>
      <w:r w:rsidRPr="009E1150">
        <w:rPr>
          <w:rFonts w:ascii="Times New Roman" w:hAnsi="Times New Roman" w:cs="Times New Roman"/>
          <w:sz w:val="24"/>
          <w:szCs w:val="24"/>
          <w:lang w:eastAsia="en-GB"/>
        </w:rPr>
        <w:t xml:space="preserve"> and</w:t>
      </w:r>
      <w:r>
        <w:rPr>
          <w:rFonts w:ascii="Times New Roman" w:hAnsi="Times New Roman" w:cs="Times New Roman"/>
          <w:sz w:val="24"/>
          <w:szCs w:val="24"/>
          <w:lang w:eastAsia="en-GB"/>
        </w:rPr>
        <w:t xml:space="preserve"> (iii)</w:t>
      </w:r>
      <w:r w:rsidRPr="009E1150">
        <w:rPr>
          <w:rFonts w:ascii="Times New Roman" w:hAnsi="Times New Roman" w:cs="Times New Roman"/>
          <w:sz w:val="24"/>
          <w:szCs w:val="24"/>
          <w:lang w:eastAsia="en-GB"/>
        </w:rPr>
        <w:t xml:space="preserve"> do not unreasonably prejudice the legitimate interests of the right holder.</w:t>
      </w:r>
      <w:r>
        <w:rPr>
          <w:rFonts w:ascii="Times New Roman" w:hAnsi="Times New Roman" w:cs="Times New Roman"/>
          <w:sz w:val="24"/>
          <w:szCs w:val="24"/>
          <w:lang w:eastAsia="en-GB"/>
        </w:rPr>
        <w:t xml:space="preserve"> The three-step test is also established in Article 5(5) of the InfoSoc Directive. </w:t>
      </w:r>
    </w:p>
    <w:p w:rsidR="00952EB0" w:rsidRPr="009E115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Pr</w:t>
      </w:r>
      <w:r w:rsidR="007C2D97">
        <w:rPr>
          <w:rFonts w:ascii="Times New Roman" w:hAnsi="Times New Roman" w:cs="Times New Roman"/>
          <w:sz w:val="24"/>
          <w:szCs w:val="24"/>
          <w:lang w:eastAsia="en-GB"/>
        </w:rPr>
        <w:t xml:space="preserve">eferred options would be those </w:t>
      </w:r>
      <w:r w:rsidRPr="009E1150">
        <w:rPr>
          <w:rFonts w:ascii="Times New Roman" w:hAnsi="Times New Roman" w:cs="Times New Roman"/>
          <w:sz w:val="24"/>
          <w:szCs w:val="24"/>
          <w:lang w:eastAsia="en-GB"/>
        </w:rPr>
        <w:t xml:space="preserve">bringing social gains without reducing incentives to create. A thorough understanding of the licensing market and a precise definition of the scope and conditions of application of the exceptions is necessary to achieve this balance. </w:t>
      </w:r>
    </w:p>
    <w:p w:rsidR="00952EB0" w:rsidRPr="009E1150" w:rsidRDefault="00952EB0" w:rsidP="00952EB0">
      <w:pPr>
        <w:spacing w:after="120" w:line="240" w:lineRule="auto"/>
        <w:jc w:val="both"/>
        <w:rPr>
          <w:rFonts w:ascii="Times New Roman" w:hAnsi="Times New Roman" w:cs="Times New Roman"/>
          <w:i/>
          <w:sz w:val="24"/>
          <w:szCs w:val="24"/>
          <w:lang w:eastAsia="en-GB"/>
        </w:rPr>
      </w:pPr>
      <w:r w:rsidRPr="009E1150">
        <w:rPr>
          <w:rFonts w:ascii="Times New Roman" w:hAnsi="Times New Roman" w:cs="Times New Roman"/>
          <w:i/>
          <w:sz w:val="24"/>
          <w:szCs w:val="24"/>
          <w:lang w:eastAsia="en-GB"/>
        </w:rPr>
        <w:t>Stakeholders affected</w:t>
      </w:r>
    </w:p>
    <w:p w:rsidR="00474767" w:rsidRDefault="00952EB0" w:rsidP="00474767">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The main stakeholders affected by the different policy options are </w:t>
      </w:r>
      <w:r>
        <w:rPr>
          <w:rFonts w:ascii="Times New Roman" w:hAnsi="Times New Roman" w:cs="Times New Roman"/>
          <w:sz w:val="24"/>
          <w:szCs w:val="24"/>
          <w:lang w:eastAsia="en-GB"/>
        </w:rPr>
        <w:t xml:space="preserve">certain </w:t>
      </w:r>
      <w:r w:rsidRPr="009E1150">
        <w:rPr>
          <w:rFonts w:ascii="Times New Roman" w:hAnsi="Times New Roman" w:cs="Times New Roman"/>
          <w:sz w:val="24"/>
          <w:szCs w:val="24"/>
          <w:lang w:eastAsia="en-GB"/>
        </w:rPr>
        <w:t>users and institutional users (teachers, researchers, educational establishments, research institutions</w:t>
      </w:r>
      <w:r>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cultural heritage institutions) and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 xml:space="preserve">. The analysis presented in this IA focuses mainly on the impact on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 xml:space="preserve"> in the print sector (authors and publishers), as text documents (books, newspapers, scientific journals) and images are the type of documents mostly used in education and research and are an essential part of the collections of cultural heritage institutions. Impacts on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 xml:space="preserve"> in other sectors (music, AV)</w:t>
      </w:r>
      <w:r>
        <w:rPr>
          <w:rFonts w:ascii="Times New Roman" w:hAnsi="Times New Roman" w:cs="Times New Roman"/>
          <w:sz w:val="24"/>
          <w:szCs w:val="24"/>
          <w:lang w:eastAsia="en-GB"/>
        </w:rPr>
        <w:t xml:space="preserve"> are mentioned where relevant. </w:t>
      </w:r>
    </w:p>
    <w:p w:rsidR="00952EB0" w:rsidRDefault="00474767" w:rsidP="001B084A">
      <w:pPr>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Impacts on MS, notably in terms of obligations deriving from the preferred policy options and related costs, are presented in Annex 3. </w:t>
      </w:r>
    </w:p>
    <w:p w:rsidR="00952EB0" w:rsidRPr="009E1150" w:rsidRDefault="00952EB0" w:rsidP="00952EB0">
      <w:pPr>
        <w:spacing w:after="120" w:line="240" w:lineRule="auto"/>
        <w:jc w:val="both"/>
        <w:rPr>
          <w:rFonts w:ascii="Times New Roman" w:hAnsi="Times New Roman" w:cs="Times New Roman"/>
          <w:i/>
          <w:sz w:val="24"/>
          <w:szCs w:val="24"/>
          <w:lang w:eastAsia="en-GB"/>
        </w:rPr>
      </w:pPr>
      <w:r w:rsidRPr="009E1150">
        <w:rPr>
          <w:rFonts w:ascii="Times New Roman" w:hAnsi="Times New Roman" w:cs="Times New Roman"/>
          <w:i/>
          <w:sz w:val="24"/>
          <w:szCs w:val="24"/>
          <w:lang w:eastAsia="en-GB"/>
        </w:rPr>
        <w:t>Type of impacts and availability of data</w:t>
      </w:r>
    </w:p>
    <w:p w:rsidR="00952EB0" w:rsidRDefault="00952EB0" w:rsidP="00952EB0">
      <w:pPr>
        <w:spacing w:after="120" w:line="240" w:lineRule="auto"/>
        <w:jc w:val="both"/>
        <w:rPr>
          <w:rFonts w:ascii="Times New Roman" w:eastAsia="Calibri" w:hAnsi="Times New Roman" w:cs="Times New Roman"/>
          <w:sz w:val="24"/>
          <w:lang w:eastAsia="en-GB"/>
        </w:rPr>
      </w:pPr>
      <w:r w:rsidRPr="008652EE">
        <w:rPr>
          <w:rFonts w:ascii="Times New Roman" w:eastAsia="Calibri" w:hAnsi="Times New Roman" w:cs="Times New Roman"/>
          <w:sz w:val="24"/>
          <w:lang w:eastAsia="en-GB"/>
        </w:rPr>
        <w:t xml:space="preserve">Only the most significant and likely impacts are reported in this IA. </w:t>
      </w:r>
      <w:r>
        <w:rPr>
          <w:rFonts w:ascii="Times New Roman" w:eastAsia="Calibri" w:hAnsi="Times New Roman" w:cs="Times New Roman"/>
          <w:sz w:val="24"/>
          <w:lang w:eastAsia="en-GB"/>
        </w:rPr>
        <w:t xml:space="preserve">The impacts are assessed by group of stakeholders </w:t>
      </w:r>
      <w:r w:rsidRPr="009E1150">
        <w:rPr>
          <w:rFonts w:ascii="Times New Roman" w:hAnsi="Times New Roman" w:cs="Times New Roman"/>
          <w:sz w:val="24"/>
          <w:szCs w:val="24"/>
          <w:lang w:eastAsia="en-GB"/>
        </w:rPr>
        <w:t xml:space="preserve">(users and </w:t>
      </w:r>
      <w:r w:rsidR="00215EAC">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In addition, broad social impacts (impacts on </w:t>
      </w:r>
      <w:r>
        <w:rPr>
          <w:rFonts w:ascii="Times New Roman" w:hAnsi="Times New Roman"/>
          <w:sz w:val="24"/>
          <w:szCs w:val="24"/>
        </w:rPr>
        <w:t xml:space="preserve">education, research, </w:t>
      </w:r>
      <w:r w:rsidRPr="009E1150">
        <w:rPr>
          <w:rFonts w:ascii="Times New Roman" w:hAnsi="Times New Roman"/>
          <w:sz w:val="24"/>
          <w:szCs w:val="24"/>
        </w:rPr>
        <w:t>preservation of cultural heritage</w:t>
      </w:r>
      <w:r>
        <w:rPr>
          <w:rFonts w:ascii="Times New Roman" w:hAnsi="Times New Roman"/>
          <w:sz w:val="24"/>
          <w:szCs w:val="24"/>
        </w:rPr>
        <w:t xml:space="preserve"> </w:t>
      </w:r>
      <w:r w:rsidRPr="009E1150">
        <w:rPr>
          <w:rFonts w:ascii="Times New Roman" w:hAnsi="Times New Roman"/>
          <w:sz w:val="24"/>
          <w:szCs w:val="24"/>
        </w:rPr>
        <w:t>and cultural diversity</w:t>
      </w:r>
      <w:r>
        <w:rPr>
          <w:rFonts w:ascii="Times New Roman" w:hAnsi="Times New Roman"/>
          <w:sz w:val="24"/>
          <w:szCs w:val="24"/>
        </w:rPr>
        <w:t xml:space="preserve">; no significant impacts on employment have been identified) and impacts on fundamental rights are assessed separately. </w:t>
      </w:r>
    </w:p>
    <w:p w:rsidR="00952EB0" w:rsidRPr="00C32C45" w:rsidRDefault="00952EB0" w:rsidP="00C32C45">
      <w:pPr>
        <w:spacing w:after="120" w:line="240" w:lineRule="auto"/>
        <w:jc w:val="both"/>
        <w:rPr>
          <w:rFonts w:ascii="Times New Roman" w:hAnsi="Times New Roman"/>
          <w:sz w:val="24"/>
          <w:szCs w:val="24"/>
        </w:rPr>
      </w:pPr>
      <w:r>
        <w:rPr>
          <w:rFonts w:ascii="Times New Roman" w:hAnsi="Times New Roman" w:cs="Times New Roman"/>
          <w:sz w:val="24"/>
          <w:szCs w:val="24"/>
          <w:lang w:eastAsia="en-GB"/>
        </w:rPr>
        <w:t>Economic impacts are examined f</w:t>
      </w:r>
      <w:r w:rsidRPr="009E1150">
        <w:rPr>
          <w:rFonts w:ascii="Times New Roman" w:hAnsi="Times New Roman" w:cs="Times New Roman"/>
          <w:sz w:val="24"/>
          <w:szCs w:val="24"/>
          <w:lang w:eastAsia="en-GB"/>
        </w:rPr>
        <w:t xml:space="preserve">or each group </w:t>
      </w:r>
      <w:r>
        <w:rPr>
          <w:rFonts w:ascii="Times New Roman" w:hAnsi="Times New Roman" w:cs="Times New Roman"/>
          <w:sz w:val="24"/>
          <w:szCs w:val="24"/>
          <w:lang w:eastAsia="en-GB"/>
        </w:rPr>
        <w:t>of stakeholders, i</w:t>
      </w:r>
      <w:r w:rsidRPr="00C32C45">
        <w:rPr>
          <w:rFonts w:ascii="Times New Roman" w:hAnsi="Times New Roman"/>
          <w:sz w:val="24"/>
          <w:szCs w:val="24"/>
        </w:rPr>
        <w:t>nclud</w:t>
      </w:r>
      <w:r>
        <w:rPr>
          <w:rFonts w:ascii="Times New Roman" w:hAnsi="Times New Roman"/>
          <w:sz w:val="24"/>
          <w:szCs w:val="24"/>
        </w:rPr>
        <w:t>ing</w:t>
      </w:r>
      <w:r w:rsidRPr="00C32C45">
        <w:rPr>
          <w:rFonts w:ascii="Times New Roman" w:hAnsi="Times New Roman"/>
          <w:sz w:val="24"/>
          <w:szCs w:val="24"/>
        </w:rPr>
        <w:t xml:space="preserve"> impacts on transaction costs, in particular costs related to the clearance of rights where a given use requires the authorisation of </w:t>
      </w:r>
      <w:r w:rsidR="0035787D">
        <w:rPr>
          <w:rFonts w:ascii="Times New Roman" w:hAnsi="Times New Roman"/>
          <w:sz w:val="24"/>
          <w:szCs w:val="24"/>
        </w:rPr>
        <w:t>r</w:t>
      </w:r>
      <w:r w:rsidR="00007677">
        <w:rPr>
          <w:rFonts w:ascii="Times New Roman" w:hAnsi="Times New Roman"/>
          <w:sz w:val="24"/>
          <w:szCs w:val="24"/>
        </w:rPr>
        <w:t>ightholders</w:t>
      </w:r>
      <w:r w:rsidRPr="00C32C45">
        <w:rPr>
          <w:rFonts w:ascii="Times New Roman" w:hAnsi="Times New Roman"/>
          <w:sz w:val="24"/>
          <w:szCs w:val="24"/>
        </w:rPr>
        <w:t xml:space="preserve">; as well as impacts on licences' costs (for users) and on licensing revenues or licensing opportunities (for </w:t>
      </w:r>
      <w:r w:rsidR="0035787D">
        <w:rPr>
          <w:rFonts w:ascii="Times New Roman" w:hAnsi="Times New Roman"/>
          <w:sz w:val="24"/>
          <w:szCs w:val="24"/>
        </w:rPr>
        <w:t>r</w:t>
      </w:r>
      <w:r w:rsidR="00007677">
        <w:rPr>
          <w:rFonts w:ascii="Times New Roman" w:hAnsi="Times New Roman"/>
          <w:sz w:val="24"/>
          <w:szCs w:val="24"/>
        </w:rPr>
        <w:t>ightholders</w:t>
      </w:r>
      <w:r w:rsidRPr="00C32C45">
        <w:rPr>
          <w:rFonts w:ascii="Times New Roman" w:hAnsi="Times New Roman"/>
          <w:sz w:val="24"/>
          <w:szCs w:val="24"/>
        </w:rPr>
        <w:t xml:space="preserve">). In this regard, it is important to note that the policy options developed in the area of exceptions </w:t>
      </w:r>
      <w:r w:rsidR="00F86A04">
        <w:rPr>
          <w:rFonts w:ascii="Times New Roman" w:hAnsi="Times New Roman"/>
          <w:sz w:val="24"/>
          <w:szCs w:val="24"/>
        </w:rPr>
        <w:t>should</w:t>
      </w:r>
      <w:r w:rsidR="00F86A04" w:rsidRPr="00C32C45">
        <w:rPr>
          <w:rFonts w:ascii="Times New Roman" w:hAnsi="Times New Roman"/>
          <w:sz w:val="24"/>
          <w:szCs w:val="24"/>
        </w:rPr>
        <w:t xml:space="preserve"> </w:t>
      </w:r>
      <w:r w:rsidRPr="00C32C45">
        <w:rPr>
          <w:rFonts w:ascii="Times New Roman" w:hAnsi="Times New Roman"/>
          <w:sz w:val="24"/>
          <w:szCs w:val="24"/>
        </w:rPr>
        <w:t xml:space="preserve">not have a direct impact on </w:t>
      </w:r>
      <w:r w:rsidR="0035787D">
        <w:rPr>
          <w:rFonts w:ascii="Times New Roman" w:hAnsi="Times New Roman"/>
          <w:sz w:val="24"/>
          <w:szCs w:val="24"/>
        </w:rPr>
        <w:t>r</w:t>
      </w:r>
      <w:r w:rsidR="00007677">
        <w:rPr>
          <w:rFonts w:ascii="Times New Roman" w:hAnsi="Times New Roman"/>
          <w:sz w:val="24"/>
          <w:szCs w:val="24"/>
        </w:rPr>
        <w:t>ightholders</w:t>
      </w:r>
      <w:r w:rsidRPr="00C32C45">
        <w:rPr>
          <w:rFonts w:ascii="Times New Roman" w:hAnsi="Times New Roman"/>
          <w:sz w:val="24"/>
          <w:szCs w:val="24"/>
        </w:rPr>
        <w:t xml:space="preserve">' primary market (e.g. acquisition of books by educational establishments or libraries, subscriptions to scientific journals), but on the licensing of further uses of their content for specific purposes (e.g. digital copying for preservation, scanning, text and data mining). Therefore, the analysis focuses mainly on assessing the impacts on this type of licensing. Possible indirect impacts on </w:t>
      </w:r>
      <w:r w:rsidR="0035787D">
        <w:rPr>
          <w:rFonts w:ascii="Times New Roman" w:hAnsi="Times New Roman"/>
          <w:sz w:val="24"/>
          <w:szCs w:val="24"/>
        </w:rPr>
        <w:t>r</w:t>
      </w:r>
      <w:r w:rsidR="00007677">
        <w:rPr>
          <w:rFonts w:ascii="Times New Roman" w:hAnsi="Times New Roman"/>
          <w:sz w:val="24"/>
          <w:szCs w:val="24"/>
        </w:rPr>
        <w:t>ightholders</w:t>
      </w:r>
      <w:r w:rsidRPr="00C32C45">
        <w:rPr>
          <w:rFonts w:ascii="Times New Roman" w:hAnsi="Times New Roman"/>
          <w:sz w:val="24"/>
          <w:szCs w:val="24"/>
        </w:rPr>
        <w:t>' primary market are mentioned where relevant.</w:t>
      </w:r>
    </w:p>
    <w:p w:rsidR="00952EB0" w:rsidRPr="009E1150" w:rsidRDefault="00952EB0" w:rsidP="00952EB0">
      <w:pPr>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w:t>
      </w:r>
      <w:r w:rsidRPr="009E1150">
        <w:rPr>
          <w:rFonts w:ascii="Times New Roman" w:hAnsi="Times New Roman" w:cs="Times New Roman"/>
          <w:sz w:val="24"/>
          <w:szCs w:val="24"/>
          <w:lang w:eastAsia="en-GB"/>
        </w:rPr>
        <w:t>he data available on transaction costs linked to right clearance is limited, since education</w:t>
      </w:r>
      <w:r>
        <w:rPr>
          <w:rFonts w:ascii="Times New Roman" w:hAnsi="Times New Roman" w:cs="Times New Roman"/>
          <w:sz w:val="24"/>
          <w:szCs w:val="24"/>
          <w:lang w:eastAsia="en-GB"/>
        </w:rPr>
        <w:t>,</w:t>
      </w:r>
      <w:r w:rsidRPr="009E1150">
        <w:rPr>
          <w:rFonts w:ascii="Times New Roman" w:hAnsi="Times New Roman" w:cs="Times New Roman"/>
          <w:sz w:val="24"/>
          <w:szCs w:val="24"/>
          <w:lang w:eastAsia="en-GB"/>
        </w:rPr>
        <w:t xml:space="preserve"> research</w:t>
      </w:r>
      <w:r>
        <w:rPr>
          <w:rFonts w:ascii="Times New Roman" w:hAnsi="Times New Roman" w:cs="Times New Roman"/>
          <w:sz w:val="24"/>
          <w:szCs w:val="24"/>
          <w:lang w:eastAsia="en-GB"/>
        </w:rPr>
        <w:t xml:space="preserve"> and</w:t>
      </w:r>
      <w:r w:rsidRPr="009E1150">
        <w:rPr>
          <w:rFonts w:ascii="Times New Roman" w:hAnsi="Times New Roman" w:cs="Times New Roman"/>
          <w:sz w:val="24"/>
          <w:szCs w:val="24"/>
          <w:lang w:eastAsia="en-GB"/>
        </w:rPr>
        <w:t xml:space="preserve"> cultural heritage</w:t>
      </w:r>
      <w:r>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institutions generally do not engage in a systematic evaluation of these costs in relation to their uses of copyright protected content. In addition, these costs are highly variable depending on the type and number of works and the MS concerned. </w:t>
      </w:r>
    </w:p>
    <w:p w:rsidR="00952EB0" w:rsidRPr="009E115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Data on licen</w:t>
      </w:r>
      <w:r w:rsidR="00ED1297">
        <w:rPr>
          <w:rFonts w:ascii="Times New Roman" w:hAnsi="Times New Roman" w:cs="Times New Roman"/>
          <w:sz w:val="24"/>
          <w:szCs w:val="24"/>
          <w:lang w:eastAsia="en-GB"/>
        </w:rPr>
        <w:t>c</w:t>
      </w:r>
      <w:r w:rsidRPr="009E1150">
        <w:rPr>
          <w:rFonts w:ascii="Times New Roman" w:hAnsi="Times New Roman" w:cs="Times New Roman"/>
          <w:sz w:val="24"/>
          <w:szCs w:val="24"/>
          <w:lang w:eastAsia="en-GB"/>
        </w:rPr>
        <w:t xml:space="preserve">es' costs and licensing revenues are provided where available. This type of data is generally not publicly available but has been provided by stakeholders (notably </w:t>
      </w:r>
      <w:r w:rsidR="0035787D">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 xml:space="preserve">) for the purpose of this IA, sometimes on a confidential basis. </w:t>
      </w:r>
      <w:r>
        <w:rPr>
          <w:rFonts w:ascii="Times New Roman" w:hAnsi="Times New Roman" w:cs="Times New Roman"/>
          <w:sz w:val="24"/>
          <w:szCs w:val="24"/>
          <w:lang w:eastAsia="en-GB"/>
        </w:rPr>
        <w:t>T</w:t>
      </w:r>
      <w:r w:rsidRPr="009E1150">
        <w:rPr>
          <w:rFonts w:ascii="Times New Roman" w:hAnsi="Times New Roman" w:cs="Times New Roman"/>
          <w:sz w:val="24"/>
          <w:szCs w:val="24"/>
          <w:lang w:eastAsia="en-GB"/>
        </w:rPr>
        <w:t xml:space="preserve">he available data does not always exactly correspond to the uses contemplated in this IA. </w:t>
      </w:r>
      <w:r>
        <w:rPr>
          <w:rFonts w:ascii="Times New Roman" w:hAnsi="Times New Roman" w:cs="Times New Roman"/>
          <w:sz w:val="24"/>
          <w:szCs w:val="24"/>
          <w:lang w:eastAsia="en-GB"/>
        </w:rPr>
        <w:t>For instance, d</w:t>
      </w:r>
      <w:r w:rsidRPr="009E1150">
        <w:rPr>
          <w:rFonts w:ascii="Times New Roman" w:hAnsi="Times New Roman" w:cs="Times New Roman"/>
          <w:sz w:val="24"/>
          <w:szCs w:val="24"/>
          <w:lang w:eastAsia="en-GB"/>
        </w:rPr>
        <w:t xml:space="preserve">igital uses for illustrating teaching or text and data mining are generally part of wider licences acquired by education or research institutions. It </w:t>
      </w:r>
      <w:r>
        <w:rPr>
          <w:rFonts w:ascii="Times New Roman" w:hAnsi="Times New Roman" w:cs="Times New Roman"/>
          <w:sz w:val="24"/>
          <w:szCs w:val="24"/>
          <w:lang w:eastAsia="en-GB"/>
        </w:rPr>
        <w:t>can</w:t>
      </w:r>
      <w:r w:rsidRPr="009E1150">
        <w:rPr>
          <w:rFonts w:ascii="Times New Roman" w:hAnsi="Times New Roman" w:cs="Times New Roman"/>
          <w:sz w:val="24"/>
          <w:szCs w:val="24"/>
          <w:lang w:eastAsia="en-GB"/>
        </w:rPr>
        <w:t xml:space="preserve"> therefore</w:t>
      </w:r>
      <w:r>
        <w:rPr>
          <w:rFonts w:ascii="Times New Roman" w:hAnsi="Times New Roman" w:cs="Times New Roman"/>
          <w:sz w:val="24"/>
          <w:szCs w:val="24"/>
          <w:lang w:eastAsia="en-GB"/>
        </w:rPr>
        <w:t xml:space="preserve"> be</w:t>
      </w:r>
      <w:r w:rsidRPr="009E1150">
        <w:rPr>
          <w:rFonts w:ascii="Times New Roman" w:hAnsi="Times New Roman" w:cs="Times New Roman"/>
          <w:sz w:val="24"/>
          <w:szCs w:val="24"/>
          <w:lang w:eastAsia="en-GB"/>
        </w:rPr>
        <w:t xml:space="preserve"> very difficult to assess the costs related to these specific uses and the corresponding revenues for the </w:t>
      </w:r>
      <w:r w:rsidR="0035787D">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9E1150">
        <w:rPr>
          <w:rFonts w:ascii="Times New Roman" w:hAnsi="Times New Roman" w:cs="Times New Roman"/>
          <w:sz w:val="24"/>
          <w:szCs w:val="24"/>
          <w:lang w:eastAsia="en-GB"/>
        </w:rPr>
        <w:t>.</w:t>
      </w:r>
    </w:p>
    <w:p w:rsidR="00952EB0" w:rsidRPr="009E115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The social and economic impacts of the different policy options strongly depend on the scope and conditions of application of the exceptions. In this context, one important element is the relation between exceptions and licen</w:t>
      </w:r>
      <w:r w:rsidR="00ED1297">
        <w:rPr>
          <w:rFonts w:ascii="Times New Roman" w:hAnsi="Times New Roman" w:cs="Times New Roman"/>
          <w:sz w:val="24"/>
          <w:szCs w:val="24"/>
          <w:lang w:eastAsia="en-GB"/>
        </w:rPr>
        <w:t>c</w:t>
      </w:r>
      <w:r w:rsidRPr="009E1150">
        <w:rPr>
          <w:rFonts w:ascii="Times New Roman" w:hAnsi="Times New Roman" w:cs="Times New Roman"/>
          <w:sz w:val="24"/>
          <w:szCs w:val="24"/>
          <w:lang w:eastAsia="en-GB"/>
        </w:rPr>
        <w:t>es. In certain cases, it may be necessary to prevent contractual override of the exception in order to achieve the desired social objectives. In other cases, making an exception subject to the availability of licen</w:t>
      </w:r>
      <w:r w:rsidR="00ED1297">
        <w:rPr>
          <w:rFonts w:ascii="Times New Roman" w:hAnsi="Times New Roman" w:cs="Times New Roman"/>
          <w:sz w:val="24"/>
          <w:szCs w:val="24"/>
          <w:lang w:eastAsia="en-GB"/>
        </w:rPr>
        <w:t>c</w:t>
      </w:r>
      <w:r w:rsidRPr="009E1150">
        <w:rPr>
          <w:rFonts w:ascii="Times New Roman" w:hAnsi="Times New Roman" w:cs="Times New Roman"/>
          <w:sz w:val="24"/>
          <w:szCs w:val="24"/>
          <w:lang w:eastAsia="en-GB"/>
        </w:rPr>
        <w:t xml:space="preserve">es may be required to mitigate the economic impact of an exception or to avoid eroding well-functioning national systems. </w:t>
      </w:r>
    </w:p>
    <w:p w:rsidR="00952EB0" w:rsidRPr="009E1150" w:rsidRDefault="00952EB0" w:rsidP="00952EB0">
      <w:pPr>
        <w:spacing w:after="120" w:line="240" w:lineRule="auto"/>
        <w:jc w:val="both"/>
        <w:rPr>
          <w:rFonts w:ascii="Times New Roman" w:hAnsi="Times New Roman" w:cs="Times New Roman"/>
          <w:sz w:val="24"/>
          <w:szCs w:val="24"/>
          <w:lang w:eastAsia="en-GB"/>
        </w:rPr>
      </w:pPr>
      <w:r w:rsidRPr="009E1150">
        <w:rPr>
          <w:rFonts w:ascii="Times New Roman" w:hAnsi="Times New Roman" w:cs="Times New Roman"/>
          <w:sz w:val="24"/>
          <w:szCs w:val="24"/>
          <w:lang w:eastAsia="en-GB"/>
        </w:rPr>
        <w:t xml:space="preserve">All policy options considered in the area of exceptions may have an impact on fundamental rights, in particular on copyright as a property right (Article 17(2) </w:t>
      </w:r>
      <w:r w:rsidR="00BE5314">
        <w:rPr>
          <w:rFonts w:ascii="Times New Roman" w:hAnsi="Times New Roman" w:cs="Times New Roman"/>
          <w:sz w:val="24"/>
          <w:szCs w:val="24"/>
          <w:lang w:eastAsia="en-GB"/>
        </w:rPr>
        <w:t>of the</w:t>
      </w:r>
      <w:r w:rsidRPr="009E1150">
        <w:rPr>
          <w:rFonts w:ascii="Times New Roman" w:hAnsi="Times New Roman" w:cs="Times New Roman"/>
          <w:sz w:val="24"/>
          <w:szCs w:val="24"/>
          <w:lang w:eastAsia="en-GB"/>
        </w:rPr>
        <w:t xml:space="preserve"> Charter). In addition, impacts on scientific research and academic freedom (Article 13) and on the right to education (Article 14) are considered where appropriate.</w:t>
      </w:r>
      <w:r>
        <w:rPr>
          <w:rFonts w:ascii="Times New Roman" w:hAnsi="Times New Roman" w:cs="Times New Roman"/>
          <w:sz w:val="24"/>
          <w:szCs w:val="24"/>
          <w:lang w:eastAsia="en-GB"/>
        </w:rPr>
        <w:t xml:space="preserve"> Impacts on other fundamental rights are not mentioned as there is either no or insignificant impact on them.</w:t>
      </w:r>
    </w:p>
    <w:p w:rsidR="00952EB0" w:rsidRPr="008652EE" w:rsidRDefault="00952EB0" w:rsidP="00952EB0">
      <w:pPr>
        <w:pStyle w:val="Text1"/>
        <w:spacing w:before="0"/>
        <w:ind w:left="0"/>
        <w:rPr>
          <w:szCs w:val="24"/>
        </w:rPr>
      </w:pPr>
      <w:r w:rsidRPr="00871CDA">
        <w:t>Impacts on third countries or on the environment are not elaborated upon as the</w:t>
      </w:r>
      <w:r>
        <w:t xml:space="preserve"> policy</w:t>
      </w:r>
      <w:r w:rsidRPr="00871CDA">
        <w:t xml:space="preserve"> options presented </w:t>
      </w:r>
      <w:r>
        <w:t xml:space="preserve">in this section of the IA </w:t>
      </w:r>
      <w:r w:rsidRPr="00871CDA">
        <w:t>are considered not to have any substantial impact on them.</w:t>
      </w:r>
    </w:p>
    <w:p w:rsidR="00952EB0" w:rsidRPr="009E1150" w:rsidRDefault="00952EB0" w:rsidP="00952EB0">
      <w:pPr>
        <w:spacing w:after="120" w:line="240" w:lineRule="auto"/>
        <w:rPr>
          <w:rFonts w:ascii="Times New Roman" w:eastAsia="Times New Roman" w:hAnsi="Times New Roman" w:cs="Times New Roman"/>
          <w:bCs/>
          <w:i/>
          <w:sz w:val="24"/>
          <w:szCs w:val="24"/>
          <w:lang w:eastAsia="en-GB"/>
        </w:rPr>
      </w:pPr>
      <w:r w:rsidRPr="009E1150">
        <w:rPr>
          <w:rFonts w:ascii="Times New Roman" w:eastAsia="Times New Roman" w:hAnsi="Times New Roman" w:cs="Times New Roman"/>
          <w:bCs/>
          <w:i/>
          <w:sz w:val="24"/>
          <w:szCs w:val="24"/>
          <w:lang w:eastAsia="en-GB"/>
        </w:rPr>
        <w:t>Impacts on SMEs</w:t>
      </w:r>
    </w:p>
    <w:p w:rsidR="00952EB0" w:rsidRPr="009E1150" w:rsidRDefault="00E74BF2" w:rsidP="00952EB0">
      <w:pPr>
        <w:spacing w:after="120" w:line="240" w:lineRule="auto"/>
        <w:jc w:val="both"/>
        <w:rPr>
          <w:rFonts w:ascii="Times New Roman" w:hAnsi="Times New Roman" w:cs="Times New Roman"/>
          <w:sz w:val="24"/>
          <w:szCs w:val="24"/>
          <w:lang w:eastAsia="en-GB"/>
        </w:rPr>
      </w:pPr>
      <w:r w:rsidRPr="00E74BF2">
        <w:rPr>
          <w:rFonts w:ascii="Times New Roman" w:hAnsi="Times New Roman" w:cs="Times New Roman"/>
          <w:sz w:val="24"/>
          <w:szCs w:val="24"/>
          <w:lang w:eastAsia="en-GB"/>
        </w:rPr>
        <w:t>SMEs are the backbone of Europe's economy. They represent 99</w:t>
      </w:r>
      <w:r w:rsidR="00ED1297">
        <w:rPr>
          <w:rFonts w:ascii="Times New Roman" w:hAnsi="Times New Roman" w:cs="Times New Roman"/>
          <w:sz w:val="24"/>
          <w:szCs w:val="24"/>
          <w:lang w:eastAsia="en-GB"/>
        </w:rPr>
        <w:t xml:space="preserve"> </w:t>
      </w:r>
      <w:r w:rsidRPr="00E74BF2">
        <w:rPr>
          <w:rFonts w:ascii="Times New Roman" w:hAnsi="Times New Roman" w:cs="Times New Roman"/>
          <w:sz w:val="24"/>
          <w:szCs w:val="24"/>
          <w:lang w:eastAsia="en-GB"/>
        </w:rPr>
        <w:t>% of all business in the EU. In the past five years they have created around 85</w:t>
      </w:r>
      <w:r w:rsidR="00ED1297">
        <w:rPr>
          <w:rFonts w:ascii="Times New Roman" w:hAnsi="Times New Roman" w:cs="Times New Roman"/>
          <w:sz w:val="24"/>
          <w:szCs w:val="24"/>
          <w:lang w:eastAsia="en-GB"/>
        </w:rPr>
        <w:t xml:space="preserve"> </w:t>
      </w:r>
      <w:r w:rsidRPr="00E74BF2">
        <w:rPr>
          <w:rFonts w:ascii="Times New Roman" w:hAnsi="Times New Roman" w:cs="Times New Roman"/>
          <w:sz w:val="24"/>
          <w:szCs w:val="24"/>
          <w:lang w:eastAsia="en-GB"/>
        </w:rPr>
        <w:t>% of new jobs and provided two-third of the total private sector employment in the EU.</w:t>
      </w:r>
      <w:r>
        <w:rPr>
          <w:rFonts w:ascii="Times New Roman" w:hAnsi="Times New Roman" w:cs="Times New Roman"/>
          <w:sz w:val="24"/>
          <w:szCs w:val="24"/>
          <w:lang w:eastAsia="en-GB"/>
        </w:rPr>
        <w:t xml:space="preserve"> </w:t>
      </w:r>
      <w:r w:rsidR="00952EB0" w:rsidRPr="009E1150">
        <w:rPr>
          <w:rFonts w:ascii="Times New Roman" w:hAnsi="Times New Roman" w:cs="Times New Roman"/>
          <w:sz w:val="24"/>
          <w:szCs w:val="24"/>
          <w:lang w:eastAsia="en-GB"/>
        </w:rPr>
        <w:t>The exceptions analysed in this section of the IA are exceptions to the rights hold by natural persons or legal entities, including SMEs and micro-enterprises.</w:t>
      </w:r>
      <w:r w:rsidR="00952EB0">
        <w:rPr>
          <w:rFonts w:ascii="Times New Roman" w:hAnsi="Times New Roman" w:cs="Times New Roman"/>
          <w:sz w:val="24"/>
          <w:szCs w:val="24"/>
          <w:lang w:eastAsia="en-GB"/>
        </w:rPr>
        <w:t xml:space="preserve"> </w:t>
      </w:r>
      <w:r w:rsidR="00952EB0" w:rsidRPr="009E1150">
        <w:rPr>
          <w:rFonts w:ascii="Times New Roman" w:hAnsi="Times New Roman" w:cs="Times New Roman"/>
          <w:sz w:val="24"/>
          <w:szCs w:val="24"/>
          <w:lang w:eastAsia="en-GB"/>
        </w:rPr>
        <w:t xml:space="preserve">The policy options considered </w:t>
      </w:r>
      <w:r w:rsidR="00952EB0">
        <w:rPr>
          <w:rFonts w:ascii="Times New Roman" w:hAnsi="Times New Roman" w:cs="Times New Roman"/>
          <w:sz w:val="24"/>
          <w:szCs w:val="24"/>
          <w:lang w:eastAsia="en-GB"/>
        </w:rPr>
        <w:t xml:space="preserve">in this IA </w:t>
      </w:r>
      <w:r w:rsidR="00952EB0" w:rsidRPr="009E1150">
        <w:rPr>
          <w:rFonts w:ascii="Times New Roman" w:hAnsi="Times New Roman" w:cs="Times New Roman"/>
          <w:sz w:val="24"/>
          <w:szCs w:val="24"/>
          <w:lang w:eastAsia="en-GB"/>
        </w:rPr>
        <w:t xml:space="preserve">do not target these entities but </w:t>
      </w:r>
      <w:r>
        <w:rPr>
          <w:rFonts w:ascii="Times New Roman" w:hAnsi="Times New Roman" w:cs="Times New Roman"/>
          <w:sz w:val="24"/>
          <w:szCs w:val="24"/>
          <w:lang w:eastAsia="en-GB"/>
        </w:rPr>
        <w:t>may have an impact on them,</w:t>
      </w:r>
      <w:r w:rsidRPr="00E74BF2">
        <w:rPr>
          <w:rFonts w:ascii="Times New Roman" w:hAnsi="Times New Roman" w:cs="Times New Roman"/>
          <w:sz w:val="24"/>
          <w:szCs w:val="24"/>
          <w:lang w:eastAsia="en-GB"/>
        </w:rPr>
        <w:t xml:space="preserve"> notably</w:t>
      </w:r>
      <w:r>
        <w:rPr>
          <w:rFonts w:ascii="Times New Roman" w:hAnsi="Times New Roman" w:cs="Times New Roman"/>
          <w:sz w:val="24"/>
          <w:szCs w:val="24"/>
          <w:lang w:eastAsia="en-GB"/>
        </w:rPr>
        <w:t xml:space="preserve"> </w:t>
      </w:r>
      <w:r w:rsidR="00952EB0">
        <w:rPr>
          <w:rFonts w:ascii="Times New Roman" w:hAnsi="Times New Roman" w:cs="Times New Roman"/>
          <w:sz w:val="24"/>
          <w:szCs w:val="24"/>
          <w:lang w:eastAsia="en-GB"/>
        </w:rPr>
        <w:t xml:space="preserve">as the large majority of </w:t>
      </w:r>
      <w:r w:rsidR="0035787D">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952EB0">
        <w:rPr>
          <w:rFonts w:ascii="Times New Roman" w:hAnsi="Times New Roman" w:cs="Times New Roman"/>
          <w:sz w:val="24"/>
          <w:szCs w:val="24"/>
          <w:lang w:eastAsia="en-GB"/>
        </w:rPr>
        <w:t xml:space="preserve"> affected by the exceptions are SMEs</w:t>
      </w:r>
      <w:r w:rsidR="00952EB0" w:rsidRPr="009E1150">
        <w:rPr>
          <w:rFonts w:ascii="Times New Roman" w:hAnsi="Times New Roman" w:cs="Times New Roman"/>
          <w:sz w:val="24"/>
          <w:szCs w:val="24"/>
          <w:lang w:eastAsia="en-GB"/>
        </w:rPr>
        <w:t xml:space="preserve">. </w:t>
      </w:r>
    </w:p>
    <w:p w:rsidR="00952EB0" w:rsidRDefault="00952EB0" w:rsidP="00952EB0">
      <w:pPr>
        <w:spacing w:after="120" w:line="240" w:lineRule="auto"/>
        <w:jc w:val="both"/>
        <w:rPr>
          <w:rFonts w:ascii="Times New Roman" w:hAnsi="Times New Roman" w:cs="Times New Roman"/>
          <w:sz w:val="24"/>
          <w:szCs w:val="24"/>
        </w:rPr>
      </w:pPr>
      <w:r w:rsidRPr="009E1150">
        <w:rPr>
          <w:rFonts w:ascii="Times New Roman" w:hAnsi="Times New Roman" w:cs="Times New Roman"/>
          <w:sz w:val="24"/>
          <w:szCs w:val="24"/>
          <w:lang w:eastAsia="en-GB"/>
        </w:rPr>
        <w:t xml:space="preserve">99.4% of European companies active in the book publishing sector (books, newspapers, journals) are SMEs, </w:t>
      </w:r>
      <w:r>
        <w:rPr>
          <w:rFonts w:ascii="Times New Roman" w:hAnsi="Times New Roman" w:cs="Times New Roman"/>
          <w:sz w:val="24"/>
          <w:szCs w:val="24"/>
          <w:lang w:eastAsia="en-GB"/>
        </w:rPr>
        <w:t>of which</w:t>
      </w:r>
      <w:r w:rsidRPr="009E1150">
        <w:rPr>
          <w:rFonts w:ascii="Times New Roman" w:hAnsi="Times New Roman" w:cs="Times New Roman"/>
          <w:sz w:val="24"/>
          <w:szCs w:val="24"/>
          <w:lang w:eastAsia="en-GB"/>
        </w:rPr>
        <w:t xml:space="preserve"> 90</w:t>
      </w:r>
      <w:r w:rsidR="00ED1297">
        <w:rPr>
          <w:rFonts w:ascii="Times New Roman" w:hAnsi="Times New Roman" w:cs="Times New Roman"/>
          <w:sz w:val="24"/>
          <w:szCs w:val="24"/>
          <w:lang w:eastAsia="en-GB"/>
        </w:rPr>
        <w:t xml:space="preserve"> </w:t>
      </w:r>
      <w:r w:rsidRPr="009E115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are</w:t>
      </w:r>
      <w:r w:rsidRPr="009E1150">
        <w:rPr>
          <w:rFonts w:ascii="Times New Roman" w:hAnsi="Times New Roman" w:cs="Times New Roman"/>
          <w:sz w:val="24"/>
          <w:szCs w:val="24"/>
          <w:lang w:eastAsia="en-GB"/>
        </w:rPr>
        <w:t xml:space="preserve"> micro-companies (0-9 employees). SMEs generate 49% of the value added of the sector (including 10% from micro-companies).</w:t>
      </w:r>
      <w:r w:rsidRPr="003A3447">
        <w:rPr>
          <w:rFonts w:ascii="Times New Roman" w:hAnsi="Times New Roman" w:cs="Times New Roman"/>
          <w:sz w:val="24"/>
          <w:szCs w:val="24"/>
          <w:vertAlign w:val="superscript"/>
          <w:lang w:eastAsia="en-GB"/>
        </w:rPr>
        <w:footnoteReference w:id="255"/>
      </w:r>
      <w:r w:rsidRPr="009E1150">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In the sector of film and music production, 99.9</w:t>
      </w:r>
      <w:r w:rsidR="00ED1297">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 of companies are SMEs (96</w:t>
      </w:r>
      <w:r w:rsidR="00C20A59">
        <w:rPr>
          <w:rFonts w:ascii="Times New Roman" w:hAnsi="Times New Roman" w:cs="Times New Roman"/>
          <w:sz w:val="24"/>
          <w:szCs w:val="24"/>
          <w:lang w:eastAsia="en-GB"/>
        </w:rPr>
        <w:t xml:space="preserve"> </w:t>
      </w:r>
      <w:r w:rsidRPr="000319C4">
        <w:rPr>
          <w:rFonts w:ascii="Times New Roman" w:hAnsi="Times New Roman" w:cs="Times New Roman"/>
          <w:sz w:val="24"/>
          <w:szCs w:val="24"/>
          <w:lang w:eastAsia="en-GB"/>
        </w:rPr>
        <w:t>% micro-companies) generating 85% of the value added of the s</w:t>
      </w:r>
      <w:r>
        <w:rPr>
          <w:rFonts w:ascii="Times New Roman" w:hAnsi="Times New Roman" w:cs="Times New Roman"/>
          <w:sz w:val="24"/>
          <w:szCs w:val="24"/>
          <w:lang w:eastAsia="en-GB"/>
        </w:rPr>
        <w:t>ector (32</w:t>
      </w:r>
      <w:r w:rsidR="00ED129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by micro-companies)</w:t>
      </w:r>
      <w:r w:rsidRPr="00CD0F0E">
        <w:rPr>
          <w:rFonts w:ascii="Times New Roman" w:hAnsi="Times New Roman" w:cs="Times New Roman"/>
          <w:sz w:val="24"/>
          <w:szCs w:val="24"/>
          <w:lang w:eastAsia="en-GB"/>
        </w:rPr>
        <w:t>.</w:t>
      </w:r>
      <w:r w:rsidRPr="008F24A7">
        <w:rPr>
          <w:rStyle w:val="FootnoteReference"/>
          <w:rFonts w:ascii="Times New Roman" w:hAnsi="Times New Roman" w:cs="Times New Roman"/>
          <w:sz w:val="24"/>
          <w:szCs w:val="24"/>
          <w:lang w:eastAsia="en-GB"/>
        </w:rPr>
        <w:footnoteReference w:id="256"/>
      </w:r>
      <w:r w:rsidRPr="009E1150">
        <w:rPr>
          <w:rFonts w:ascii="Times New Roman" w:hAnsi="Times New Roman" w:cs="Times New Roman"/>
          <w:sz w:val="24"/>
          <w:szCs w:val="24"/>
        </w:rPr>
        <w:t xml:space="preserve"> </w:t>
      </w:r>
    </w:p>
    <w:p w:rsidR="00952EB0" w:rsidRPr="009E1150" w:rsidRDefault="00952EB0" w:rsidP="00952EB0">
      <w:pPr>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rPr>
        <w:t xml:space="preserve">Therefore, the impacts of the different policy options on </w:t>
      </w:r>
      <w:r w:rsidR="0035787D">
        <w:rPr>
          <w:rFonts w:ascii="Times New Roman" w:hAnsi="Times New Roman" w:cs="Times New Roman"/>
          <w:sz w:val="24"/>
          <w:szCs w:val="24"/>
        </w:rPr>
        <w:t>r</w:t>
      </w:r>
      <w:r w:rsidR="00007677">
        <w:rPr>
          <w:rFonts w:ascii="Times New Roman" w:hAnsi="Times New Roman" w:cs="Times New Roman"/>
          <w:sz w:val="24"/>
          <w:szCs w:val="24"/>
        </w:rPr>
        <w:t>ightholders</w:t>
      </w:r>
      <w:r>
        <w:rPr>
          <w:rFonts w:ascii="Times New Roman" w:hAnsi="Times New Roman" w:cs="Times New Roman"/>
          <w:sz w:val="24"/>
          <w:szCs w:val="24"/>
        </w:rPr>
        <w:t xml:space="preserve"> are assessed taking account of the high number of SMEs. The impacts on the licensing market and on licensing revenues are for example key criteria when comparing the options. </w:t>
      </w:r>
      <w:r w:rsidRPr="00CD0F0E">
        <w:rPr>
          <w:rFonts w:ascii="Times New Roman" w:hAnsi="Times New Roman" w:cs="Times New Roman"/>
          <w:sz w:val="24"/>
          <w:szCs w:val="24"/>
        </w:rPr>
        <w:t>Micro, small and medium-sized companies may be proportionately more strongly affected by a reduction of licensing revenue than large companies with a more varied range of products.</w:t>
      </w:r>
      <w:r w:rsidRPr="009E1150">
        <w:rPr>
          <w:szCs w:val="24"/>
        </w:rPr>
        <w:t xml:space="preserve"> </w:t>
      </w:r>
    </w:p>
    <w:p w:rsidR="00952EB0" w:rsidRDefault="00952EB0" w:rsidP="00952EB0">
      <w:pPr>
        <w:pStyle w:val="Text1"/>
        <w:spacing w:before="0"/>
        <w:ind w:left="0"/>
      </w:pPr>
      <w:r>
        <w:rPr>
          <w:szCs w:val="24"/>
        </w:rPr>
        <w:t xml:space="preserve">Excluding micro-companies would not be appropriate, considering the purpose of the initiative. By defining the scope of copyright exceptions, the legislative options in this initiative would contribute to define the scope of copyright as a property right, which cannot vary according to the size of the entity holding this right. </w:t>
      </w:r>
      <w:r>
        <w:t xml:space="preserve">None of the existing exceptions in the EU legal framework differentiates its scope of application according to this criterion. In addition, </w:t>
      </w:r>
      <w:r>
        <w:rPr>
          <w:szCs w:val="24"/>
        </w:rPr>
        <w:t xml:space="preserve">excluding micro-companies would make it impossible to achieve the objectives defined in section 4.1.3, since the exceptions considered in this IA would </w:t>
      </w:r>
      <w:r w:rsidRPr="006C2FAD">
        <w:t>not apply to all relevant content but only to the fraction which is not held by micro-enterprises.</w:t>
      </w:r>
      <w:r>
        <w:t xml:space="preserve"> This would create major legal uncertainty for users and would not allow ensuring a consistent implementation of rights and exceptions, regardless of the type of works and/or </w:t>
      </w:r>
      <w:r w:rsidR="0035787D">
        <w:t>r</w:t>
      </w:r>
      <w:r w:rsidR="00007677">
        <w:t>ightholders</w:t>
      </w:r>
      <w:r>
        <w:t xml:space="preserve">. </w:t>
      </w:r>
    </w:p>
    <w:p w:rsidR="00952EB0" w:rsidRPr="00BD183F" w:rsidRDefault="00952EB0" w:rsidP="00952EB0">
      <w:pPr>
        <w:pStyle w:val="Text1"/>
        <w:spacing w:before="0"/>
        <w:ind w:left="0"/>
        <w:rPr>
          <w:szCs w:val="24"/>
        </w:rPr>
      </w:pPr>
      <w:r>
        <w:rPr>
          <w:szCs w:val="24"/>
        </w:rPr>
        <w:t>Since none of the policy options would result in administrative obligations for SME, m</w:t>
      </w:r>
      <w:r>
        <w:t xml:space="preserve">itigating measures for SMEs have not been proposed. Certain options </w:t>
      </w:r>
      <w:r>
        <w:rPr>
          <w:szCs w:val="24"/>
        </w:rPr>
        <w:t xml:space="preserve">may generate </w:t>
      </w:r>
      <w:r w:rsidRPr="009E1150">
        <w:rPr>
          <w:szCs w:val="24"/>
        </w:rPr>
        <w:t>one-off compliance costs related to the need to adapt existing licen</w:t>
      </w:r>
      <w:r w:rsidR="00ED1297">
        <w:rPr>
          <w:szCs w:val="24"/>
        </w:rPr>
        <w:t>c</w:t>
      </w:r>
      <w:r w:rsidRPr="009E1150">
        <w:rPr>
          <w:szCs w:val="24"/>
        </w:rPr>
        <w:t>es</w:t>
      </w:r>
      <w:r>
        <w:rPr>
          <w:szCs w:val="24"/>
        </w:rPr>
        <w:t xml:space="preserve">, however these costs are expected to be marginal. </w:t>
      </w:r>
    </w:p>
    <w:p w:rsidR="00952EB0" w:rsidRPr="00492863" w:rsidRDefault="00952EB0" w:rsidP="00952EB0">
      <w:pPr>
        <w:pStyle w:val="Text1"/>
        <w:spacing w:before="0"/>
        <w:ind w:left="0"/>
        <w:rPr>
          <w:b/>
          <w:szCs w:val="24"/>
        </w:rPr>
      </w:pPr>
      <w:r w:rsidRPr="00492863">
        <w:rPr>
          <w:b/>
          <w:szCs w:val="24"/>
        </w:rPr>
        <w:t>Comparison of policy options</w:t>
      </w:r>
    </w:p>
    <w:p w:rsidR="00952EB0" w:rsidRDefault="00952EB0" w:rsidP="00952EB0">
      <w:pPr>
        <w:pStyle w:val="Text1"/>
        <w:spacing w:before="0"/>
        <w:ind w:left="0"/>
        <w:rPr>
          <w:color w:val="000000"/>
        </w:rPr>
      </w:pPr>
      <w:r w:rsidRPr="003C7D47">
        <w:rPr>
          <w:color w:val="000000"/>
        </w:rPr>
        <w:t xml:space="preserve">The policy options are compared against the criteria of </w:t>
      </w:r>
      <w:r w:rsidRPr="009E58C4">
        <w:rPr>
          <w:color w:val="000000"/>
          <w:u w:val="single"/>
        </w:rPr>
        <w:t>effectiveness</w:t>
      </w:r>
      <w:r w:rsidRPr="003C7D47">
        <w:rPr>
          <w:color w:val="000000"/>
        </w:rPr>
        <w:t xml:space="preserve"> (i.e. to what extent they fulfil the specific objective), </w:t>
      </w:r>
      <w:r w:rsidRPr="009E58C4">
        <w:rPr>
          <w:color w:val="000000"/>
          <w:u w:val="single"/>
        </w:rPr>
        <w:t>efficiency</w:t>
      </w:r>
      <w:r w:rsidRPr="003C7D47">
        <w:rPr>
          <w:color w:val="000000"/>
        </w:rPr>
        <w:t xml:space="preserve"> (i.e. at what cost they do so), </w:t>
      </w:r>
      <w:r w:rsidRPr="009E58C4">
        <w:rPr>
          <w:color w:val="000000"/>
          <w:u w:val="single"/>
        </w:rPr>
        <w:t>impact on the different groups of stakeholders</w:t>
      </w:r>
      <w:r>
        <w:rPr>
          <w:color w:val="000000"/>
        </w:rPr>
        <w:t xml:space="preserve"> (</w:t>
      </w:r>
      <w:r w:rsidRPr="003C7D47">
        <w:rPr>
          <w:color w:val="000000"/>
        </w:rPr>
        <w:t xml:space="preserve">users and </w:t>
      </w:r>
      <w:r w:rsidR="00D2156D">
        <w:rPr>
          <w:color w:val="000000"/>
        </w:rPr>
        <w:t>r</w:t>
      </w:r>
      <w:r w:rsidR="00007677">
        <w:rPr>
          <w:color w:val="000000"/>
        </w:rPr>
        <w:t>ightholders</w:t>
      </w:r>
      <w:r w:rsidRPr="003C7D47">
        <w:rPr>
          <w:color w:val="000000"/>
        </w:rPr>
        <w:t xml:space="preserve">) and </w:t>
      </w:r>
      <w:r w:rsidRPr="009E58C4">
        <w:rPr>
          <w:color w:val="000000"/>
          <w:u w:val="single"/>
        </w:rPr>
        <w:t>coherence</w:t>
      </w:r>
      <w:r w:rsidRPr="003C7D47">
        <w:rPr>
          <w:color w:val="000000"/>
        </w:rPr>
        <w:t xml:space="preserve"> with r</w:t>
      </w:r>
      <w:r>
        <w:rPr>
          <w:color w:val="000000"/>
        </w:rPr>
        <w:t xml:space="preserve">egard to cultural diversity, </w:t>
      </w:r>
      <w:r w:rsidRPr="003C7D47">
        <w:rPr>
          <w:color w:val="000000"/>
        </w:rPr>
        <w:t>fundamental rights</w:t>
      </w:r>
      <w:r>
        <w:rPr>
          <w:color w:val="000000"/>
        </w:rPr>
        <w:t xml:space="preserve"> and/or other EU policies</w:t>
      </w:r>
      <w:r w:rsidRPr="003C7D47">
        <w:rPr>
          <w:color w:val="000000"/>
        </w:rPr>
        <w:t xml:space="preserve">.  Each option is rated between "--" (very negative), </w:t>
      </w:r>
      <w:r>
        <w:rPr>
          <w:color w:val="000000"/>
        </w:rPr>
        <w:t xml:space="preserve">"-" (negative), </w:t>
      </w:r>
      <w:r w:rsidRPr="003C7D47">
        <w:rPr>
          <w:color w:val="000000"/>
        </w:rPr>
        <w:t>0 (neutral)</w:t>
      </w:r>
      <w:r>
        <w:rPr>
          <w:color w:val="000000"/>
        </w:rPr>
        <w:t>, "+" (positive)</w:t>
      </w:r>
      <w:r w:rsidRPr="003C7D47">
        <w:rPr>
          <w:color w:val="000000"/>
        </w:rPr>
        <w:t xml:space="preserve"> and "++" (very positive). </w:t>
      </w:r>
    </w:p>
    <w:p w:rsidR="006955B8" w:rsidRPr="0044353F" w:rsidRDefault="006955B8" w:rsidP="00952EB0">
      <w:pPr>
        <w:pStyle w:val="Text1"/>
        <w:spacing w:before="0"/>
        <w:ind w:left="0"/>
        <w:rPr>
          <w:color w:val="000000"/>
        </w:rPr>
      </w:pPr>
    </w:p>
    <w:p w:rsidR="00952EB0" w:rsidRPr="0052347B" w:rsidRDefault="00952EB0" w:rsidP="007C2D97">
      <w:pPr>
        <w:pStyle w:val="Heading2"/>
        <w:numPr>
          <w:ilvl w:val="1"/>
          <w:numId w:val="1"/>
        </w:numPr>
        <w:spacing w:before="0" w:after="240"/>
        <w:rPr>
          <w:rFonts w:ascii="Times New Roman Bold" w:hAnsi="Times New Roman Bold"/>
          <w:smallCaps/>
        </w:rPr>
      </w:pPr>
      <w:bookmarkStart w:id="66" w:name="_Toc461114725"/>
      <w:r>
        <w:rPr>
          <w:rFonts w:ascii="Times New Roman Bold" w:hAnsi="Times New Roman Bold"/>
          <w:smallCaps/>
        </w:rPr>
        <w:t>Use of protected content in digital and cross-border teaching activities</w:t>
      </w:r>
      <w:bookmarkEnd w:id="66"/>
    </w:p>
    <w:p w:rsidR="00BF756D" w:rsidRPr="001F7EDA" w:rsidRDefault="00952EB0" w:rsidP="00CF38F1">
      <w:pPr>
        <w:pStyle w:val="Heading3"/>
      </w:pPr>
      <w:bookmarkStart w:id="67" w:name="_Toc454351318"/>
      <w:bookmarkStart w:id="68" w:name="_Toc461114726"/>
      <w:bookmarkEnd w:id="67"/>
      <w:r w:rsidRPr="00260FAB">
        <w:t>What is the problem and why is it a problem?</w:t>
      </w:r>
      <w:bookmarkEnd w:id="68"/>
    </w:p>
    <w:p w:rsidR="00952EB0" w:rsidRPr="003D1FA8" w:rsidRDefault="00952EB0" w:rsidP="003D1FA8">
      <w:pPr>
        <w:pBdr>
          <w:top w:val="nil"/>
          <w:left w:val="nil"/>
          <w:bottom w:val="nil"/>
          <w:right w:val="nil"/>
          <w:between w:val="nil"/>
          <w:bar w:val="nil"/>
        </w:pBdr>
        <w:spacing w:after="120" w:line="240" w:lineRule="auto"/>
        <w:jc w:val="both"/>
        <w:rPr>
          <w:rFonts w:ascii="Times New Roman" w:hAnsi="Times New Roman" w:cs="Times New Roman"/>
          <w:i/>
          <w:sz w:val="24"/>
          <w:szCs w:val="24"/>
        </w:rPr>
      </w:pPr>
      <w:bookmarkStart w:id="69" w:name="_Toc414456580"/>
      <w:bookmarkStart w:id="70" w:name="_Toc425327299"/>
      <w:r w:rsidRPr="003D1FA8">
        <w:rPr>
          <w:rFonts w:ascii="Times New Roman" w:eastAsia="Arial Unicode MS" w:hAnsi="Times New Roman" w:cs="Times New Roman"/>
          <w:b/>
          <w:i/>
          <w:sz w:val="24"/>
          <w:szCs w:val="24"/>
        </w:rPr>
        <w:t>Problem:</w:t>
      </w:r>
      <w:r w:rsidRPr="003D1FA8">
        <w:rPr>
          <w:rFonts w:ascii="Times New Roman" w:eastAsia="Arial Unicode MS" w:hAnsi="Times New Roman" w:cs="Times New Roman"/>
          <w:i/>
          <w:sz w:val="24"/>
          <w:szCs w:val="24"/>
        </w:rPr>
        <w:t xml:space="preserve"> </w:t>
      </w:r>
      <w:bookmarkEnd w:id="69"/>
      <w:bookmarkEnd w:id="70"/>
      <w:r w:rsidRPr="003D1FA8">
        <w:rPr>
          <w:rFonts w:ascii="Times New Roman" w:hAnsi="Times New Roman" w:cs="Times New Roman"/>
          <w:i/>
          <w:sz w:val="24"/>
          <w:szCs w:val="24"/>
        </w:rPr>
        <w:t xml:space="preserve">Teachers and students face legal uncertainty when using content in digitally-supported teaching practices, in particular across borders </w:t>
      </w:r>
    </w:p>
    <w:p w:rsidR="00F86A04" w:rsidRDefault="00952EB0" w:rsidP="003D1FA8">
      <w:pPr>
        <w:pStyle w:val="Default"/>
        <w:widowControl w:val="0"/>
        <w:spacing w:after="120"/>
        <w:jc w:val="both"/>
        <w:rPr>
          <w:rFonts w:eastAsia="Calibri"/>
        </w:rPr>
      </w:pPr>
      <w:r w:rsidRPr="00C32C45">
        <w:rPr>
          <w:szCs w:val="20"/>
          <w:u w:val="single"/>
          <w:lang w:eastAsia="en-GB"/>
        </w:rPr>
        <w:t>Description of the problem:</w:t>
      </w:r>
      <w:r>
        <w:rPr>
          <w:szCs w:val="20"/>
          <w:lang w:eastAsia="en-GB"/>
        </w:rPr>
        <w:t xml:space="preserve"> A huge variety of content (</w:t>
      </w:r>
      <w:r w:rsidRPr="00094A44">
        <w:rPr>
          <w:szCs w:val="20"/>
          <w:lang w:eastAsia="en-GB"/>
        </w:rPr>
        <w:t>text, images, music</w:t>
      </w:r>
      <w:r>
        <w:rPr>
          <w:szCs w:val="20"/>
          <w:lang w:eastAsia="en-GB"/>
        </w:rPr>
        <w:t xml:space="preserve">, </w:t>
      </w:r>
      <w:r w:rsidRPr="00094A44">
        <w:rPr>
          <w:szCs w:val="20"/>
          <w:lang w:eastAsia="en-GB"/>
        </w:rPr>
        <w:t>video</w:t>
      </w:r>
      <w:r>
        <w:rPr>
          <w:szCs w:val="20"/>
          <w:lang w:eastAsia="en-GB"/>
        </w:rPr>
        <w:t xml:space="preserve">), often protected by copyright, is used in teaching activities. While reference textbooks or academic books are usually bought by educational establishments or directly by students, other materials used to illustrate or complement teaching are generally shown in the classroom by teachers, copied or distributed to students. </w:t>
      </w:r>
      <w:r w:rsidRPr="00094A44">
        <w:rPr>
          <w:szCs w:val="20"/>
          <w:lang w:eastAsia="en-GB"/>
        </w:rPr>
        <w:t xml:space="preserve">Digital technologies are offering new opportunities to use </w:t>
      </w:r>
      <w:r>
        <w:rPr>
          <w:szCs w:val="20"/>
          <w:lang w:eastAsia="en-GB"/>
        </w:rPr>
        <w:t xml:space="preserve">a wide range of media and content </w:t>
      </w:r>
      <w:r w:rsidRPr="00094A44">
        <w:rPr>
          <w:szCs w:val="20"/>
          <w:lang w:eastAsia="en-GB"/>
        </w:rPr>
        <w:t>in</w:t>
      </w:r>
      <w:r>
        <w:rPr>
          <w:szCs w:val="20"/>
          <w:lang w:eastAsia="en-GB"/>
        </w:rPr>
        <w:t xml:space="preserve"> order to enrich </w:t>
      </w:r>
      <w:r w:rsidRPr="00094A44">
        <w:rPr>
          <w:szCs w:val="20"/>
          <w:lang w:eastAsia="en-GB"/>
        </w:rPr>
        <w:t>teaching activities</w:t>
      </w:r>
      <w:r>
        <w:rPr>
          <w:szCs w:val="20"/>
          <w:lang w:eastAsia="en-GB"/>
        </w:rPr>
        <w:t xml:space="preserve">. </w:t>
      </w:r>
      <w:r w:rsidRPr="00094A44">
        <w:rPr>
          <w:szCs w:val="20"/>
          <w:lang w:eastAsia="en-GB"/>
        </w:rPr>
        <w:t xml:space="preserve">However, many users in the education </w:t>
      </w:r>
      <w:r>
        <w:rPr>
          <w:szCs w:val="20"/>
          <w:lang w:eastAsia="en-GB"/>
        </w:rPr>
        <w:t>field</w:t>
      </w:r>
      <w:r w:rsidRPr="00094A44">
        <w:rPr>
          <w:szCs w:val="20"/>
          <w:lang w:eastAsia="en-GB"/>
        </w:rPr>
        <w:t xml:space="preserve"> consider that the conditions for using protected content in digital </w:t>
      </w:r>
      <w:r>
        <w:rPr>
          <w:szCs w:val="20"/>
          <w:lang w:eastAsia="en-GB"/>
        </w:rPr>
        <w:t>or online teaching activities</w:t>
      </w:r>
      <w:r w:rsidRPr="00094A44">
        <w:rPr>
          <w:szCs w:val="20"/>
          <w:lang w:eastAsia="en-GB"/>
        </w:rPr>
        <w:t xml:space="preserve"> are unclear. </w:t>
      </w:r>
      <w:r w:rsidRPr="00C71AD0">
        <w:rPr>
          <w:szCs w:val="20"/>
          <w:lang w:eastAsia="en-GB"/>
        </w:rPr>
        <w:t xml:space="preserve">According to </w:t>
      </w:r>
      <w:r>
        <w:rPr>
          <w:szCs w:val="20"/>
          <w:lang w:eastAsia="en-GB"/>
        </w:rPr>
        <w:t xml:space="preserve">a recent survey, </w:t>
      </w:r>
      <w:r w:rsidRPr="00C71AD0">
        <w:rPr>
          <w:szCs w:val="20"/>
          <w:lang w:eastAsia="en-GB"/>
        </w:rPr>
        <w:t>only 3</w:t>
      </w:r>
      <w:r>
        <w:rPr>
          <w:szCs w:val="20"/>
          <w:lang w:eastAsia="en-GB"/>
        </w:rPr>
        <w:t>4</w:t>
      </w:r>
      <w:r w:rsidR="00D2156D">
        <w:rPr>
          <w:szCs w:val="20"/>
          <w:lang w:eastAsia="en-GB"/>
        </w:rPr>
        <w:t xml:space="preserve"> </w:t>
      </w:r>
      <w:r w:rsidRPr="00C71AD0">
        <w:rPr>
          <w:szCs w:val="20"/>
          <w:lang w:eastAsia="en-GB"/>
        </w:rPr>
        <w:t>% of educators and 2</w:t>
      </w:r>
      <w:r>
        <w:rPr>
          <w:szCs w:val="20"/>
          <w:lang w:eastAsia="en-GB"/>
        </w:rPr>
        <w:t>6</w:t>
      </w:r>
      <w:r w:rsidR="00D2156D">
        <w:rPr>
          <w:szCs w:val="20"/>
          <w:lang w:eastAsia="en-GB"/>
        </w:rPr>
        <w:t xml:space="preserve"> </w:t>
      </w:r>
      <w:r w:rsidRPr="00C71AD0">
        <w:rPr>
          <w:szCs w:val="20"/>
          <w:lang w:eastAsia="en-GB"/>
        </w:rPr>
        <w:t>% of learners</w:t>
      </w:r>
      <w:r>
        <w:rPr>
          <w:szCs w:val="20"/>
          <w:lang w:eastAsia="en-GB"/>
        </w:rPr>
        <w:t xml:space="preserve"> declared that</w:t>
      </w:r>
      <w:r w:rsidRPr="00C71AD0">
        <w:rPr>
          <w:szCs w:val="20"/>
          <w:lang w:eastAsia="en-GB"/>
        </w:rPr>
        <w:t xml:space="preserve"> the conditions under which copyrighted works can be used for learning/teaching purposes are very clear</w:t>
      </w:r>
      <w:r>
        <w:rPr>
          <w:szCs w:val="20"/>
          <w:lang w:eastAsia="en-GB"/>
        </w:rPr>
        <w:t xml:space="preserve"> to them. Furthermore, 24</w:t>
      </w:r>
      <w:r w:rsidR="00D2156D">
        <w:rPr>
          <w:szCs w:val="20"/>
          <w:lang w:eastAsia="en-GB"/>
        </w:rPr>
        <w:t xml:space="preserve"> </w:t>
      </w:r>
      <w:r>
        <w:rPr>
          <w:szCs w:val="20"/>
          <w:lang w:eastAsia="en-GB"/>
        </w:rPr>
        <w:t>% of</w:t>
      </w:r>
      <w:r w:rsidRPr="00EB0F30">
        <w:rPr>
          <w:szCs w:val="20"/>
          <w:lang w:eastAsia="en-GB"/>
        </w:rPr>
        <w:t xml:space="preserve"> educators </w:t>
      </w:r>
      <w:r>
        <w:rPr>
          <w:szCs w:val="20"/>
          <w:lang w:eastAsia="en-GB"/>
        </w:rPr>
        <w:t>indicated they</w:t>
      </w:r>
      <w:r w:rsidRPr="00EB0F30">
        <w:rPr>
          <w:szCs w:val="20"/>
          <w:lang w:eastAsia="en-GB"/>
        </w:rPr>
        <w:t xml:space="preserve"> come across copyright-related restrictions </w:t>
      </w:r>
      <w:r>
        <w:rPr>
          <w:szCs w:val="20"/>
          <w:lang w:eastAsia="en-GB"/>
        </w:rPr>
        <w:t xml:space="preserve">in their digital teaching activities </w:t>
      </w:r>
      <w:r w:rsidRPr="00EB0F30">
        <w:rPr>
          <w:szCs w:val="20"/>
          <w:lang w:eastAsia="en-GB"/>
        </w:rPr>
        <w:t>at least once a week.</w:t>
      </w:r>
      <w:r>
        <w:rPr>
          <w:rStyle w:val="FootnoteReference"/>
          <w:szCs w:val="20"/>
          <w:lang w:eastAsia="en-GB"/>
        </w:rPr>
        <w:footnoteReference w:id="257"/>
      </w:r>
      <w:r>
        <w:rPr>
          <w:szCs w:val="20"/>
          <w:lang w:eastAsia="en-GB"/>
        </w:rPr>
        <w:t xml:space="preserve"> </w:t>
      </w:r>
      <w:r>
        <w:rPr>
          <w:rFonts w:eastAsia="Times New Roman"/>
          <w:szCs w:val="20"/>
          <w:lang w:eastAsia="en-GB"/>
        </w:rPr>
        <w:t xml:space="preserve">Teachers and students facing legal uncertainty or specific restrictions frequently refrain from using protected content, in particular when this content </w:t>
      </w:r>
      <w:r w:rsidRPr="00094A44">
        <w:rPr>
          <w:szCs w:val="20"/>
          <w:lang w:eastAsia="en-GB"/>
        </w:rPr>
        <w:t>has to be accessed</w:t>
      </w:r>
      <w:r>
        <w:rPr>
          <w:szCs w:val="20"/>
          <w:lang w:eastAsia="en-GB"/>
        </w:rPr>
        <w:t xml:space="preserve"> by students</w:t>
      </w:r>
      <w:r w:rsidRPr="00094A44">
        <w:rPr>
          <w:szCs w:val="20"/>
          <w:lang w:eastAsia="en-GB"/>
        </w:rPr>
        <w:t xml:space="preserve"> </w:t>
      </w:r>
      <w:r>
        <w:rPr>
          <w:szCs w:val="20"/>
          <w:lang w:eastAsia="en-GB"/>
        </w:rPr>
        <w:t>through online means and from different MS.</w:t>
      </w:r>
      <w:r>
        <w:rPr>
          <w:rStyle w:val="FootnoteReference"/>
          <w:rFonts w:eastAsia="Times New Roman"/>
          <w:szCs w:val="20"/>
          <w:lang w:eastAsia="en-GB"/>
        </w:rPr>
        <w:footnoteReference w:id="258"/>
      </w:r>
      <w:r>
        <w:rPr>
          <w:szCs w:val="20"/>
          <w:lang w:eastAsia="en-GB"/>
        </w:rPr>
        <w:t xml:space="preserve"> </w:t>
      </w:r>
      <w:r w:rsidR="00F86A04">
        <w:rPr>
          <w:szCs w:val="20"/>
          <w:lang w:eastAsia="en-GB"/>
        </w:rPr>
        <w:t>I</w:t>
      </w:r>
      <w:r>
        <w:rPr>
          <w:szCs w:val="20"/>
          <w:lang w:eastAsia="en-GB"/>
        </w:rPr>
        <w:t xml:space="preserve">n some cases legal uncertainty may result in unauthorised uses. </w:t>
      </w:r>
      <w:r>
        <w:rPr>
          <w:rFonts w:eastAsia="Calibri"/>
        </w:rPr>
        <w:t>Many respondents</w:t>
      </w:r>
      <w:r w:rsidRPr="00DE5D6F">
        <w:rPr>
          <w:rFonts w:eastAsia="Calibri"/>
        </w:rPr>
        <w:t xml:space="preserve"> to the 2013-2014 public consultation</w:t>
      </w:r>
      <w:r>
        <w:rPr>
          <w:rFonts w:eastAsia="Calibri"/>
        </w:rPr>
        <w:t xml:space="preserve"> brought forward difficultie</w:t>
      </w:r>
      <w:r w:rsidRPr="000D1A13">
        <w:rPr>
          <w:rFonts w:eastAsia="Calibri"/>
        </w:rPr>
        <w:t xml:space="preserve">s </w:t>
      </w:r>
      <w:r>
        <w:rPr>
          <w:rFonts w:eastAsia="Calibri"/>
        </w:rPr>
        <w:t>in</w:t>
      </w:r>
      <w:r w:rsidRPr="00023E39">
        <w:rPr>
          <w:rFonts w:eastAsia="Calibri"/>
        </w:rPr>
        <w:t xml:space="preserve"> cross-</w:t>
      </w:r>
      <w:r w:rsidRPr="003D1FA8">
        <w:t>border</w:t>
      </w:r>
      <w:r w:rsidRPr="00023E39">
        <w:rPr>
          <w:rFonts w:eastAsia="Calibri"/>
        </w:rPr>
        <w:t xml:space="preserve"> uses</w:t>
      </w:r>
      <w:r>
        <w:rPr>
          <w:rFonts w:eastAsia="Calibri"/>
        </w:rPr>
        <w:t>.</w:t>
      </w:r>
      <w:r>
        <w:rPr>
          <w:rStyle w:val="FootnoteReference"/>
          <w:rFonts w:eastAsia="Calibri"/>
        </w:rPr>
        <w:footnoteReference w:id="259"/>
      </w:r>
    </w:p>
    <w:p w:rsidR="00952EB0" w:rsidRDefault="00952EB0" w:rsidP="003D1FA8">
      <w:pPr>
        <w:pStyle w:val="Default"/>
        <w:widowControl w:val="0"/>
        <w:spacing w:after="120"/>
        <w:jc w:val="both"/>
        <w:rPr>
          <w:szCs w:val="20"/>
          <w:lang w:eastAsia="en-GB"/>
        </w:rPr>
      </w:pPr>
      <w:r w:rsidRPr="00C32C45">
        <w:rPr>
          <w:szCs w:val="20"/>
          <w:u w:val="single"/>
          <w:lang w:eastAsia="en-GB"/>
        </w:rPr>
        <w:t>Drivers:</w:t>
      </w:r>
      <w:r>
        <w:rPr>
          <w:szCs w:val="20"/>
          <w:lang w:eastAsia="en-GB"/>
        </w:rPr>
        <w:t xml:space="preserve"> [</w:t>
      </w:r>
      <w:r w:rsidR="003D58F8">
        <w:rPr>
          <w:i/>
          <w:szCs w:val="20"/>
          <w:lang w:eastAsia="en-GB"/>
        </w:rPr>
        <w:t>R</w:t>
      </w:r>
      <w:r w:rsidRPr="00C32C45">
        <w:rPr>
          <w:i/>
          <w:szCs w:val="20"/>
          <w:lang w:eastAsia="en-GB"/>
        </w:rPr>
        <w:t>estrictive implementation of the exception</w:t>
      </w:r>
      <w:r>
        <w:rPr>
          <w:szCs w:val="20"/>
          <w:lang w:eastAsia="en-GB"/>
        </w:rPr>
        <w:t xml:space="preserve">] </w:t>
      </w:r>
      <w:r w:rsidRPr="00AC473D">
        <w:rPr>
          <w:szCs w:val="20"/>
          <w:lang w:eastAsia="en-GB"/>
        </w:rPr>
        <w:t xml:space="preserve">The use of </w:t>
      </w:r>
      <w:r>
        <w:rPr>
          <w:szCs w:val="20"/>
          <w:lang w:eastAsia="en-GB"/>
        </w:rPr>
        <w:t>protected</w:t>
      </w:r>
      <w:r w:rsidRPr="00AC473D">
        <w:rPr>
          <w:szCs w:val="20"/>
          <w:lang w:eastAsia="en-GB"/>
        </w:rPr>
        <w:t xml:space="preserve"> works for the purpose of illustration for teaching is covered by exception</w:t>
      </w:r>
      <w:r>
        <w:rPr>
          <w:szCs w:val="20"/>
          <w:lang w:eastAsia="en-GB"/>
        </w:rPr>
        <w:t>s</w:t>
      </w:r>
      <w:r w:rsidRPr="00AC473D">
        <w:rPr>
          <w:szCs w:val="20"/>
          <w:lang w:eastAsia="en-GB"/>
        </w:rPr>
        <w:t xml:space="preserve"> in the InfoSoc Directive</w:t>
      </w:r>
      <w:r w:rsidR="0057664F">
        <w:rPr>
          <w:rStyle w:val="FootnoteReference"/>
          <w:szCs w:val="20"/>
          <w:lang w:eastAsia="en-GB"/>
        </w:rPr>
        <w:footnoteReference w:id="260"/>
      </w:r>
      <w:r w:rsidRPr="00AC473D">
        <w:rPr>
          <w:szCs w:val="20"/>
          <w:lang w:eastAsia="en-GB"/>
        </w:rPr>
        <w:t xml:space="preserve"> and the </w:t>
      </w:r>
      <w:r w:rsidR="0057664F" w:rsidRPr="00496A96">
        <w:t>Directive 96/9/EC</w:t>
      </w:r>
      <w:r w:rsidR="0057664F">
        <w:rPr>
          <w:rStyle w:val="FootnoteReference"/>
          <w:szCs w:val="20"/>
          <w:lang w:eastAsia="en-GB"/>
        </w:rPr>
        <w:footnoteReference w:id="261"/>
      </w:r>
      <w:r w:rsidR="00ED1297">
        <w:t xml:space="preserve"> </w:t>
      </w:r>
      <w:r w:rsidR="0057664F">
        <w:t xml:space="preserve">(the </w:t>
      </w:r>
      <w:r w:rsidR="00DC10CC">
        <w:t>"</w:t>
      </w:r>
      <w:r w:rsidRPr="00DC10CC">
        <w:rPr>
          <w:b/>
          <w:szCs w:val="20"/>
          <w:lang w:eastAsia="en-GB"/>
        </w:rPr>
        <w:t>Database Directive</w:t>
      </w:r>
      <w:r w:rsidR="00DC10CC">
        <w:rPr>
          <w:szCs w:val="20"/>
          <w:lang w:eastAsia="en-GB"/>
        </w:rPr>
        <w:t>"</w:t>
      </w:r>
      <w:r w:rsidR="0057664F">
        <w:rPr>
          <w:szCs w:val="20"/>
          <w:lang w:eastAsia="en-GB"/>
        </w:rPr>
        <w:t>)</w:t>
      </w:r>
      <w:r>
        <w:rPr>
          <w:szCs w:val="20"/>
          <w:lang w:eastAsia="en-GB"/>
        </w:rPr>
        <w:t xml:space="preserve">. </w:t>
      </w:r>
      <w:r w:rsidRPr="008E61FA">
        <w:rPr>
          <w:szCs w:val="20"/>
          <w:lang w:eastAsia="en-GB"/>
        </w:rPr>
        <w:t>The notion of "illustration for teaching" can be understood as allowing a teacher to use a work to give example</w:t>
      </w:r>
      <w:r>
        <w:rPr>
          <w:szCs w:val="20"/>
          <w:lang w:eastAsia="en-GB"/>
        </w:rPr>
        <w:t>s</w:t>
      </w:r>
      <w:r w:rsidRPr="008E61FA">
        <w:rPr>
          <w:szCs w:val="20"/>
          <w:lang w:eastAsia="en-GB"/>
        </w:rPr>
        <w:t>, to exp</w:t>
      </w:r>
      <w:r>
        <w:rPr>
          <w:szCs w:val="20"/>
          <w:lang w:eastAsia="en-GB"/>
        </w:rPr>
        <w:t>lain or support his/her course.</w:t>
      </w:r>
      <w:r>
        <w:rPr>
          <w:rStyle w:val="FootnoteReference"/>
          <w:szCs w:val="20"/>
          <w:lang w:eastAsia="en-GB"/>
        </w:rPr>
        <w:footnoteReference w:id="262"/>
      </w:r>
      <w:r>
        <w:rPr>
          <w:szCs w:val="20"/>
          <w:lang w:eastAsia="en-GB"/>
        </w:rPr>
        <w:t xml:space="preserve"> The illustration for teaching exception ("the teaching </w:t>
      </w:r>
      <w:r w:rsidRPr="003D1FA8">
        <w:t>exception</w:t>
      </w:r>
      <w:r>
        <w:rPr>
          <w:szCs w:val="20"/>
          <w:lang w:eastAsia="en-GB"/>
        </w:rPr>
        <w:t>") has been implemented in all MS, with significant differences as to the type of works covered and the type of educational uses allowed.</w:t>
      </w:r>
      <w:r>
        <w:rPr>
          <w:rStyle w:val="FootnoteReference"/>
          <w:szCs w:val="20"/>
          <w:lang w:eastAsia="en-GB"/>
        </w:rPr>
        <w:footnoteReference w:id="263"/>
      </w:r>
      <w:r>
        <w:rPr>
          <w:szCs w:val="20"/>
          <w:lang w:eastAsia="en-GB"/>
        </w:rPr>
        <w:t xml:space="preserve"> </w:t>
      </w:r>
      <w:r w:rsidRPr="00094A44">
        <w:rPr>
          <w:szCs w:val="20"/>
          <w:lang w:eastAsia="en-GB"/>
        </w:rPr>
        <w:t>Th</w:t>
      </w:r>
      <w:r>
        <w:rPr>
          <w:szCs w:val="20"/>
          <w:lang w:eastAsia="en-GB"/>
        </w:rPr>
        <w:t>e</w:t>
      </w:r>
      <w:r w:rsidRPr="00094A44">
        <w:rPr>
          <w:szCs w:val="20"/>
          <w:lang w:eastAsia="en-GB"/>
        </w:rPr>
        <w:t xml:space="preserve"> legal uncertainty </w:t>
      </w:r>
      <w:r>
        <w:rPr>
          <w:szCs w:val="20"/>
          <w:lang w:eastAsia="en-GB"/>
        </w:rPr>
        <w:t xml:space="preserve">faced by teachers in the digital environment </w:t>
      </w:r>
      <w:r w:rsidRPr="00094A44">
        <w:rPr>
          <w:szCs w:val="20"/>
          <w:lang w:eastAsia="en-GB"/>
        </w:rPr>
        <w:t>may arise from the</w:t>
      </w:r>
      <w:r>
        <w:rPr>
          <w:szCs w:val="20"/>
          <w:lang w:eastAsia="en-GB"/>
        </w:rPr>
        <w:t xml:space="preserve"> </w:t>
      </w:r>
      <w:r w:rsidRPr="00111829">
        <w:rPr>
          <w:szCs w:val="20"/>
          <w:lang w:eastAsia="en-GB"/>
        </w:rPr>
        <w:t>restrictive implementation of the teaching exception in certain MS</w:t>
      </w:r>
      <w:r>
        <w:rPr>
          <w:szCs w:val="20"/>
          <w:lang w:eastAsia="en-GB"/>
        </w:rPr>
        <w:t>, where the exception does not clearly allow digital uses (e.g. by allowing only reproduction on paper or distribution of physical copies</w:t>
      </w:r>
      <w:r>
        <w:rPr>
          <w:rStyle w:val="FootnoteReference"/>
          <w:szCs w:val="20"/>
          <w:lang w:eastAsia="en-GB"/>
        </w:rPr>
        <w:footnoteReference w:id="264"/>
      </w:r>
      <w:r>
        <w:rPr>
          <w:szCs w:val="20"/>
          <w:lang w:eastAsia="en-GB"/>
        </w:rPr>
        <w:t>) or where strict conditions apply to these uses (e.g. imposing a low resolution for the making available of images</w:t>
      </w:r>
      <w:r>
        <w:rPr>
          <w:rStyle w:val="FootnoteReference"/>
          <w:szCs w:val="20"/>
          <w:lang w:eastAsia="en-GB"/>
        </w:rPr>
        <w:footnoteReference w:id="265"/>
      </w:r>
      <w:r>
        <w:rPr>
          <w:szCs w:val="20"/>
          <w:lang w:eastAsia="en-GB"/>
        </w:rPr>
        <w:t>).</w:t>
      </w:r>
      <w:r>
        <w:rPr>
          <w:rStyle w:val="FootnoteReference"/>
          <w:szCs w:val="20"/>
          <w:lang w:eastAsia="en-GB"/>
        </w:rPr>
        <w:footnoteReference w:id="266"/>
      </w:r>
      <w:r>
        <w:rPr>
          <w:szCs w:val="20"/>
          <w:lang w:eastAsia="en-GB"/>
        </w:rPr>
        <w:t xml:space="preserve"> Feedback from educational users also highlights the concrete obstacles faced in certain MS in digital education practices.</w:t>
      </w:r>
      <w:r>
        <w:rPr>
          <w:rStyle w:val="FootnoteReference"/>
          <w:szCs w:val="20"/>
          <w:lang w:eastAsia="en-GB"/>
        </w:rPr>
        <w:footnoteReference w:id="267"/>
      </w:r>
      <w:r>
        <w:rPr>
          <w:szCs w:val="20"/>
          <w:lang w:eastAsia="en-GB"/>
        </w:rPr>
        <w:t xml:space="preserve"> </w:t>
      </w:r>
    </w:p>
    <w:p w:rsidR="00952EB0" w:rsidRDefault="00952EB0" w:rsidP="003D1FA8">
      <w:pPr>
        <w:pStyle w:val="Default"/>
        <w:widowControl w:val="0"/>
        <w:spacing w:after="120"/>
        <w:jc w:val="both"/>
        <w:rPr>
          <w:szCs w:val="20"/>
          <w:lang w:eastAsia="en-GB"/>
        </w:rPr>
      </w:pPr>
      <w:r>
        <w:rPr>
          <w:szCs w:val="20"/>
          <w:lang w:eastAsia="en-GB"/>
        </w:rPr>
        <w:t>[</w:t>
      </w:r>
      <w:r w:rsidR="003D58F8">
        <w:rPr>
          <w:i/>
          <w:szCs w:val="20"/>
          <w:lang w:eastAsia="en-GB"/>
        </w:rPr>
        <w:t>H</w:t>
      </w:r>
      <w:r w:rsidRPr="00111829">
        <w:rPr>
          <w:i/>
          <w:szCs w:val="20"/>
          <w:lang w:eastAsia="en-GB"/>
        </w:rPr>
        <w:t>eterogeneous</w:t>
      </w:r>
      <w:r w:rsidRPr="00C32C45">
        <w:rPr>
          <w:i/>
          <w:szCs w:val="20"/>
          <w:lang w:eastAsia="en-GB"/>
        </w:rPr>
        <w:t xml:space="preserve"> implementation and lack of cross-border effect</w:t>
      </w:r>
      <w:r>
        <w:rPr>
          <w:szCs w:val="20"/>
          <w:lang w:eastAsia="en-GB"/>
        </w:rPr>
        <w:t xml:space="preserve">] </w:t>
      </w:r>
      <w:r w:rsidRPr="00094A44">
        <w:rPr>
          <w:szCs w:val="20"/>
          <w:lang w:eastAsia="en-GB"/>
        </w:rPr>
        <w:t xml:space="preserve">The uncertainty is reinforced in a cross-border context by </w:t>
      </w:r>
      <w:r w:rsidRPr="00111829">
        <w:rPr>
          <w:szCs w:val="20"/>
          <w:lang w:eastAsia="en-GB"/>
        </w:rPr>
        <w:t>the diversity of the conditions established in national laws combined with the lack of cross-border effect of the exception</w:t>
      </w:r>
      <w:r w:rsidRPr="00094A44">
        <w:rPr>
          <w:szCs w:val="20"/>
          <w:lang w:eastAsia="en-GB"/>
        </w:rPr>
        <w:t xml:space="preserve">. Teachers who use protected materials for the purpose of </w:t>
      </w:r>
      <w:r w:rsidRPr="003D1FA8">
        <w:t>illustration</w:t>
      </w:r>
      <w:r w:rsidRPr="00094A44">
        <w:rPr>
          <w:szCs w:val="20"/>
          <w:lang w:eastAsia="en-GB"/>
        </w:rPr>
        <w:t xml:space="preserve"> under the terms of an exception in one M</w:t>
      </w:r>
      <w:r>
        <w:rPr>
          <w:szCs w:val="20"/>
          <w:lang w:eastAsia="en-GB"/>
        </w:rPr>
        <w:t>S</w:t>
      </w:r>
      <w:r w:rsidRPr="00094A44">
        <w:rPr>
          <w:szCs w:val="20"/>
          <w:lang w:eastAsia="en-GB"/>
        </w:rPr>
        <w:t xml:space="preserve"> may run the risk of infringing copyright in another M</w:t>
      </w:r>
      <w:r>
        <w:rPr>
          <w:szCs w:val="20"/>
          <w:lang w:eastAsia="en-GB"/>
        </w:rPr>
        <w:t>S</w:t>
      </w:r>
      <w:r w:rsidRPr="00094A44">
        <w:rPr>
          <w:szCs w:val="20"/>
          <w:lang w:eastAsia="en-GB"/>
        </w:rPr>
        <w:t xml:space="preserve"> when they make material available to students </w:t>
      </w:r>
      <w:r>
        <w:rPr>
          <w:szCs w:val="20"/>
          <w:lang w:eastAsia="en-GB"/>
        </w:rPr>
        <w:t>across borders</w:t>
      </w:r>
      <w:r w:rsidRPr="00094A44">
        <w:rPr>
          <w:szCs w:val="20"/>
          <w:lang w:eastAsia="en-GB"/>
        </w:rPr>
        <w:t xml:space="preserve">. </w:t>
      </w:r>
      <w:r>
        <w:rPr>
          <w:szCs w:val="20"/>
          <w:lang w:eastAsia="en-GB"/>
        </w:rPr>
        <w:t>When asked about the type of copyright-related problems encountered in cross-border education, educators point out the lack of information on copyright rules in other MS, the differences in the application of the exception and the national scope of the licen</w:t>
      </w:r>
      <w:r w:rsidR="00ED1297">
        <w:rPr>
          <w:szCs w:val="20"/>
          <w:lang w:eastAsia="en-GB"/>
        </w:rPr>
        <w:t>c</w:t>
      </w:r>
      <w:r>
        <w:rPr>
          <w:szCs w:val="20"/>
          <w:lang w:eastAsia="en-GB"/>
        </w:rPr>
        <w:t>es.</w:t>
      </w:r>
      <w:r>
        <w:rPr>
          <w:rStyle w:val="FootnoteReference"/>
          <w:szCs w:val="20"/>
          <w:lang w:eastAsia="en-GB"/>
        </w:rPr>
        <w:footnoteReference w:id="268"/>
      </w:r>
      <w:r>
        <w:rPr>
          <w:szCs w:val="20"/>
          <w:lang w:eastAsia="en-GB"/>
        </w:rPr>
        <w:t xml:space="preserve"> </w:t>
      </w:r>
    </w:p>
    <w:p w:rsidR="00952EB0" w:rsidRDefault="00952EB0" w:rsidP="003D1FA8">
      <w:pPr>
        <w:pStyle w:val="Default"/>
        <w:widowControl w:val="0"/>
        <w:spacing w:after="120"/>
        <w:jc w:val="both"/>
        <w:rPr>
          <w:lang w:eastAsia="en-GB"/>
        </w:rPr>
      </w:pPr>
      <w:r>
        <w:rPr>
          <w:lang w:eastAsia="en-GB"/>
        </w:rPr>
        <w:t>The practical implementation of the teaching exception differs from a country to another.</w:t>
      </w:r>
      <w:r>
        <w:rPr>
          <w:rStyle w:val="FootnoteReference"/>
          <w:lang w:eastAsia="en-GB"/>
        </w:rPr>
        <w:footnoteReference w:id="269"/>
      </w:r>
      <w:r>
        <w:rPr>
          <w:lang w:eastAsia="en-GB"/>
        </w:rPr>
        <w:t xml:space="preserve"> In certain MS (notably FR, DE, ES, NL), collective agreements are in place to organise the compensation of </w:t>
      </w:r>
      <w:r w:rsidR="00ED1297">
        <w:rPr>
          <w:lang w:eastAsia="en-GB"/>
        </w:rPr>
        <w:t>r</w:t>
      </w:r>
      <w:r w:rsidR="00007677">
        <w:rPr>
          <w:lang w:eastAsia="en-GB"/>
        </w:rPr>
        <w:t>ightholders</w:t>
      </w:r>
      <w:r>
        <w:rPr>
          <w:lang w:eastAsia="en-GB"/>
        </w:rPr>
        <w:t xml:space="preserve"> that may be required in national laws for uses under the teaching exception. In other MS (UK, IE), licensing schemes for uses of protected content in teaching activities prevail over the exception. Finally, educational uses are allowed under extended collective licensing (ECL) in DK, FI and SE.</w:t>
      </w:r>
      <w:r>
        <w:rPr>
          <w:rStyle w:val="FootnoteReference"/>
          <w:lang w:eastAsia="en-GB"/>
        </w:rPr>
        <w:footnoteReference w:id="270"/>
      </w:r>
      <w:r>
        <w:rPr>
          <w:lang w:eastAsia="en-GB"/>
        </w:rPr>
        <w:t xml:space="preserve"> </w:t>
      </w:r>
    </w:p>
    <w:p w:rsidR="00952EB0" w:rsidRPr="00187617" w:rsidRDefault="00952EB0" w:rsidP="003D1FA8">
      <w:pPr>
        <w:pStyle w:val="Default"/>
        <w:widowControl w:val="0"/>
        <w:spacing w:after="120"/>
        <w:jc w:val="both"/>
        <w:rPr>
          <w:szCs w:val="20"/>
          <w:lang w:eastAsia="en-GB"/>
        </w:rPr>
      </w:pPr>
      <w:r>
        <w:rPr>
          <w:lang w:eastAsia="en-GB"/>
        </w:rPr>
        <w:t>[</w:t>
      </w:r>
      <w:r w:rsidR="003D58F8">
        <w:rPr>
          <w:i/>
          <w:lang w:eastAsia="en-GB"/>
        </w:rPr>
        <w:t>I</w:t>
      </w:r>
      <w:r w:rsidRPr="00111829">
        <w:rPr>
          <w:i/>
          <w:lang w:eastAsia="en-GB"/>
        </w:rPr>
        <w:t>nsufficient</w:t>
      </w:r>
      <w:r w:rsidRPr="00C32C45">
        <w:rPr>
          <w:i/>
          <w:lang w:eastAsia="en-GB"/>
        </w:rPr>
        <w:t xml:space="preserve"> licensing mechanisms</w:t>
      </w:r>
      <w:r>
        <w:rPr>
          <w:lang w:eastAsia="en-GB"/>
        </w:rPr>
        <w:t>] These different types of licensing schemes are very common in the print sector</w:t>
      </w:r>
      <w:r>
        <w:rPr>
          <w:rStyle w:val="FootnoteReference"/>
        </w:rPr>
        <w:footnoteReference w:id="271"/>
      </w:r>
      <w:r>
        <w:rPr>
          <w:lang w:eastAsia="en-GB"/>
        </w:rPr>
        <w:t xml:space="preserve"> and usually define authorised uses precisely; </w:t>
      </w:r>
      <w:r>
        <w:rPr>
          <w:szCs w:val="20"/>
          <w:lang w:eastAsia="en-GB"/>
        </w:rPr>
        <w:t>however, the type of digital uses covered may vary</w:t>
      </w:r>
      <w:r w:rsidRPr="00C2707F">
        <w:rPr>
          <w:vertAlign w:val="superscript"/>
          <w:lang w:eastAsia="en-GB"/>
        </w:rPr>
        <w:footnoteReference w:id="272"/>
      </w:r>
      <w:r w:rsidRPr="00094A44">
        <w:rPr>
          <w:szCs w:val="20"/>
          <w:lang w:eastAsia="en-GB"/>
        </w:rPr>
        <w:t xml:space="preserve"> </w:t>
      </w:r>
      <w:r>
        <w:rPr>
          <w:szCs w:val="20"/>
          <w:lang w:eastAsia="en-GB"/>
        </w:rPr>
        <w:t xml:space="preserve">and cross-border </w:t>
      </w:r>
      <w:r w:rsidRPr="00094A44">
        <w:rPr>
          <w:szCs w:val="20"/>
          <w:lang w:eastAsia="en-GB"/>
        </w:rPr>
        <w:t>uses</w:t>
      </w:r>
      <w:r>
        <w:rPr>
          <w:szCs w:val="20"/>
          <w:lang w:eastAsia="en-GB"/>
        </w:rPr>
        <w:t xml:space="preserve"> are not always allowed.</w:t>
      </w:r>
      <w:r w:rsidRPr="00C2707F">
        <w:rPr>
          <w:vertAlign w:val="superscript"/>
          <w:lang w:eastAsia="en-GB"/>
        </w:rPr>
        <w:footnoteReference w:id="273"/>
      </w:r>
      <w:r>
        <w:rPr>
          <w:szCs w:val="20"/>
          <w:lang w:eastAsia="en-GB"/>
        </w:rPr>
        <w:t xml:space="preserve"> Collective licensing schemes for educational uses are less widespread in other sectors (e.g. </w:t>
      </w:r>
      <w:r w:rsidR="00F506EA">
        <w:rPr>
          <w:szCs w:val="20"/>
          <w:lang w:eastAsia="en-GB"/>
        </w:rPr>
        <w:t>AV</w:t>
      </w:r>
      <w:r>
        <w:rPr>
          <w:szCs w:val="20"/>
          <w:lang w:eastAsia="en-GB"/>
        </w:rPr>
        <w:t xml:space="preserve">) or for certain types of works (e.g. digital educational resources). In such cases, educational establishments need to negotiate and obtain a licence directly with the </w:t>
      </w:r>
      <w:r w:rsidR="00ED1297">
        <w:rPr>
          <w:szCs w:val="20"/>
          <w:lang w:eastAsia="en-GB"/>
        </w:rPr>
        <w:t>r</w:t>
      </w:r>
      <w:r w:rsidR="00007677">
        <w:rPr>
          <w:szCs w:val="20"/>
          <w:lang w:eastAsia="en-GB"/>
        </w:rPr>
        <w:t>ightholders</w:t>
      </w:r>
      <w:r>
        <w:rPr>
          <w:szCs w:val="20"/>
          <w:lang w:eastAsia="en-GB"/>
        </w:rPr>
        <w:t xml:space="preserve">, generating significant </w:t>
      </w:r>
      <w:r w:rsidRPr="00C32C45">
        <w:rPr>
          <w:szCs w:val="20"/>
          <w:lang w:eastAsia="en-GB"/>
        </w:rPr>
        <w:t>transaction costs.</w:t>
      </w:r>
      <w:r>
        <w:rPr>
          <w:szCs w:val="20"/>
          <w:lang w:eastAsia="en-GB"/>
        </w:rPr>
        <w:t xml:space="preserve"> </w:t>
      </w:r>
    </w:p>
    <w:p w:rsidR="00952EB0" w:rsidRPr="00290762" w:rsidRDefault="00952EB0" w:rsidP="003D1FA8">
      <w:pPr>
        <w:pStyle w:val="Default"/>
        <w:widowControl w:val="0"/>
        <w:spacing w:after="120"/>
        <w:jc w:val="both"/>
        <w:rPr>
          <w:rFonts w:eastAsia="Times New Roman"/>
          <w:szCs w:val="20"/>
          <w:lang w:eastAsia="en-GB"/>
        </w:rPr>
      </w:pPr>
      <w:r>
        <w:rPr>
          <w:szCs w:val="20"/>
          <w:u w:val="single"/>
          <w:lang w:eastAsia="en-GB"/>
        </w:rPr>
        <w:t>Consequences</w:t>
      </w:r>
      <w:r w:rsidRPr="00C32C45">
        <w:rPr>
          <w:szCs w:val="20"/>
          <w:u w:val="single"/>
          <w:lang w:eastAsia="en-GB"/>
        </w:rPr>
        <w:t>:</w:t>
      </w:r>
      <w:r>
        <w:rPr>
          <w:szCs w:val="20"/>
          <w:lang w:eastAsia="en-GB"/>
        </w:rPr>
        <w:t xml:space="preserve"> The legal uncertainty on digital uses of protected content in teaching activities may, on the one hand, negatively impact </w:t>
      </w:r>
      <w:r>
        <w:rPr>
          <w:rFonts w:eastAsia="Times New Roman"/>
          <w:szCs w:val="20"/>
          <w:lang w:eastAsia="en-GB"/>
        </w:rPr>
        <w:t xml:space="preserve">the further development of </w:t>
      </w:r>
      <w:r w:rsidRPr="00094A44">
        <w:rPr>
          <w:szCs w:val="20"/>
          <w:lang w:eastAsia="en-GB"/>
        </w:rPr>
        <w:t>digitally-supported educational practices</w:t>
      </w:r>
      <w:r>
        <w:rPr>
          <w:szCs w:val="20"/>
          <w:lang w:eastAsia="en-GB"/>
        </w:rPr>
        <w:t xml:space="preserve"> in </w:t>
      </w:r>
      <w:r w:rsidRPr="001A2425">
        <w:rPr>
          <w:szCs w:val="20"/>
          <w:lang w:eastAsia="en-GB"/>
        </w:rPr>
        <w:t>primary and secondary education, where digital resources are mainly used to complement face-to-face teaching.</w:t>
      </w:r>
      <w:r w:rsidRPr="001A2425">
        <w:rPr>
          <w:rStyle w:val="FootnoteReference"/>
          <w:rFonts w:eastAsia="Times New Roman"/>
          <w:szCs w:val="20"/>
          <w:lang w:eastAsia="en-GB"/>
        </w:rPr>
        <w:footnoteReference w:id="274"/>
      </w:r>
      <w:r w:rsidRPr="001A2425">
        <w:rPr>
          <w:szCs w:val="20"/>
          <w:lang w:eastAsia="en-GB"/>
        </w:rPr>
        <w:t xml:space="preserve"> On the other hand, it is likely to affect </w:t>
      </w:r>
      <w:r w:rsidRPr="001A2425">
        <w:rPr>
          <w:rFonts w:eastAsia="Times New Roman"/>
          <w:szCs w:val="20"/>
          <w:lang w:eastAsia="en-GB"/>
        </w:rPr>
        <w:t>higher education institutions</w:t>
      </w:r>
      <w:r>
        <w:rPr>
          <w:rFonts w:eastAsia="Times New Roman"/>
          <w:szCs w:val="20"/>
          <w:lang w:eastAsia="en-GB"/>
        </w:rPr>
        <w:t xml:space="preserve"> more strongly</w:t>
      </w:r>
      <w:r w:rsidRPr="00094A44">
        <w:rPr>
          <w:rFonts w:eastAsia="Times New Roman"/>
          <w:szCs w:val="20"/>
          <w:lang w:eastAsia="en-GB"/>
        </w:rPr>
        <w:t xml:space="preserve">, </w:t>
      </w:r>
      <w:r>
        <w:rPr>
          <w:rFonts w:eastAsia="Times New Roman"/>
          <w:szCs w:val="20"/>
          <w:lang w:eastAsia="en-GB"/>
        </w:rPr>
        <w:t>due to a more pervasive use of digital resources in this context</w:t>
      </w:r>
      <w:r>
        <w:rPr>
          <w:rStyle w:val="FootnoteReference"/>
          <w:rFonts w:eastAsia="Times New Roman"/>
          <w:szCs w:val="20"/>
          <w:lang w:eastAsia="en-GB"/>
        </w:rPr>
        <w:footnoteReference w:id="275"/>
      </w:r>
      <w:r>
        <w:rPr>
          <w:rFonts w:eastAsia="Times New Roman"/>
          <w:szCs w:val="20"/>
          <w:lang w:eastAsia="en-GB"/>
        </w:rPr>
        <w:t xml:space="preserve"> </w:t>
      </w:r>
      <w:r w:rsidRPr="00094A44">
        <w:rPr>
          <w:rFonts w:eastAsia="Times New Roman"/>
          <w:szCs w:val="20"/>
          <w:lang w:eastAsia="en-GB"/>
        </w:rPr>
        <w:t>(e.g. use of digital course packs, access to resources through the university's intranet, etc</w:t>
      </w:r>
      <w:r>
        <w:rPr>
          <w:rFonts w:eastAsia="Times New Roman"/>
          <w:szCs w:val="20"/>
          <w:lang w:eastAsia="en-GB"/>
        </w:rPr>
        <w:t>.</w:t>
      </w:r>
      <w:r w:rsidRPr="00094A44">
        <w:rPr>
          <w:rFonts w:eastAsia="Times New Roman"/>
          <w:szCs w:val="20"/>
          <w:lang w:eastAsia="en-GB"/>
        </w:rPr>
        <w:t>)</w:t>
      </w:r>
      <w:r>
        <w:rPr>
          <w:rFonts w:eastAsia="Times New Roman"/>
          <w:szCs w:val="20"/>
          <w:lang w:eastAsia="en-GB"/>
        </w:rPr>
        <w:t xml:space="preserve"> and to the rapid </w:t>
      </w:r>
      <w:r w:rsidRPr="003D1FA8">
        <w:rPr>
          <w:lang w:eastAsia="en-GB"/>
        </w:rPr>
        <w:t>development</w:t>
      </w:r>
      <w:r>
        <w:rPr>
          <w:rFonts w:eastAsia="Times New Roman"/>
          <w:szCs w:val="20"/>
          <w:lang w:eastAsia="en-GB"/>
        </w:rPr>
        <w:t xml:space="preserve"> of cross-border and online education</w:t>
      </w:r>
      <w:r w:rsidRPr="00094A44">
        <w:rPr>
          <w:rFonts w:eastAsia="Times New Roman"/>
          <w:szCs w:val="20"/>
          <w:lang w:eastAsia="en-GB"/>
        </w:rPr>
        <w:t>.</w:t>
      </w:r>
      <w:r>
        <w:rPr>
          <w:rFonts w:eastAsia="Times New Roman"/>
          <w:szCs w:val="20"/>
          <w:lang w:eastAsia="en-GB"/>
        </w:rPr>
        <w:t xml:space="preserve"> </w:t>
      </w:r>
      <w:r w:rsidRPr="00094A44">
        <w:rPr>
          <w:rFonts w:eastAsia="Times New Roman"/>
          <w:szCs w:val="20"/>
          <w:lang w:eastAsia="en-GB"/>
        </w:rPr>
        <w:t>An increasing number of universities are proposing distance learning modules</w:t>
      </w:r>
      <w:r>
        <w:rPr>
          <w:rFonts w:eastAsia="Times New Roman"/>
          <w:szCs w:val="20"/>
          <w:lang w:eastAsia="en-GB"/>
        </w:rPr>
        <w:t xml:space="preserve"> online </w:t>
      </w:r>
      <w:r w:rsidRPr="00094A44">
        <w:rPr>
          <w:rFonts w:eastAsia="Times New Roman"/>
          <w:szCs w:val="20"/>
          <w:lang w:eastAsia="en-GB"/>
        </w:rPr>
        <w:t xml:space="preserve">or </w:t>
      </w:r>
      <w:r>
        <w:rPr>
          <w:rFonts w:eastAsia="Times New Roman"/>
          <w:szCs w:val="20"/>
          <w:lang w:eastAsia="en-GB"/>
        </w:rPr>
        <w:t>delivering Joint Degrees</w:t>
      </w:r>
      <w:r w:rsidRPr="00FB6D46">
        <w:rPr>
          <w:rFonts w:eastAsia="Times New Roman"/>
          <w:szCs w:val="20"/>
          <w:lang w:eastAsia="en-GB"/>
        </w:rPr>
        <w:t>, while many others collaborate on developing shared curricula using online content</w:t>
      </w:r>
      <w:r>
        <w:rPr>
          <w:rFonts w:eastAsia="Times New Roman"/>
          <w:szCs w:val="20"/>
          <w:lang w:eastAsia="en-GB"/>
        </w:rPr>
        <w:t>.</w:t>
      </w:r>
      <w:r w:rsidRPr="00094A44">
        <w:rPr>
          <w:rFonts w:eastAsia="Times New Roman"/>
          <w:szCs w:val="20"/>
          <w:lang w:eastAsia="en-GB"/>
        </w:rPr>
        <w:t xml:space="preserve"> The number of individuals taking online courses has doubled between 2007 and 2013, reaching more than 10</w:t>
      </w:r>
      <w:r w:rsidR="00DA4A18">
        <w:rPr>
          <w:rFonts w:eastAsia="Times New Roman"/>
          <w:szCs w:val="20"/>
          <w:lang w:eastAsia="en-GB"/>
        </w:rPr>
        <w:t xml:space="preserve"> </w:t>
      </w:r>
      <w:r w:rsidRPr="00094A44">
        <w:rPr>
          <w:rFonts w:eastAsia="Times New Roman"/>
          <w:szCs w:val="20"/>
          <w:lang w:eastAsia="en-GB"/>
        </w:rPr>
        <w:t xml:space="preserve">% in certain </w:t>
      </w:r>
      <w:r>
        <w:rPr>
          <w:rFonts w:eastAsia="Times New Roman"/>
          <w:szCs w:val="20"/>
          <w:lang w:eastAsia="en-GB"/>
        </w:rPr>
        <w:t>MS.</w:t>
      </w:r>
      <w:r w:rsidRPr="00094A44">
        <w:rPr>
          <w:rFonts w:eastAsia="Times New Roman"/>
          <w:szCs w:val="20"/>
          <w:vertAlign w:val="superscript"/>
          <w:lang w:eastAsia="en-GB"/>
        </w:rPr>
        <w:footnoteReference w:id="276"/>
      </w:r>
      <w:r>
        <w:rPr>
          <w:rFonts w:eastAsia="Times New Roman"/>
          <w:szCs w:val="20"/>
          <w:lang w:eastAsia="en-GB"/>
        </w:rPr>
        <w:t xml:space="preserve"> </w:t>
      </w:r>
      <w:r w:rsidRPr="00682681">
        <w:rPr>
          <w:rFonts w:eastAsia="Times New Roman"/>
          <w:szCs w:val="20"/>
          <w:lang w:eastAsia="en-GB"/>
        </w:rPr>
        <w:t xml:space="preserve">The ability for teachers and students to </w:t>
      </w:r>
      <w:r>
        <w:rPr>
          <w:rFonts w:eastAsia="Times New Roman"/>
          <w:szCs w:val="20"/>
          <w:lang w:eastAsia="en-GB"/>
        </w:rPr>
        <w:t>use</w:t>
      </w:r>
      <w:r w:rsidRPr="00682681">
        <w:rPr>
          <w:rFonts w:eastAsia="Times New Roman"/>
          <w:szCs w:val="20"/>
          <w:lang w:eastAsia="en-GB"/>
        </w:rPr>
        <w:t xml:space="preserve"> and access material online from any </w:t>
      </w:r>
      <w:r>
        <w:rPr>
          <w:rFonts w:eastAsia="Times New Roman"/>
          <w:szCs w:val="20"/>
          <w:lang w:eastAsia="en-GB"/>
        </w:rPr>
        <w:t>MS</w:t>
      </w:r>
      <w:r w:rsidRPr="00682681">
        <w:rPr>
          <w:rFonts w:eastAsia="Times New Roman"/>
          <w:szCs w:val="20"/>
          <w:lang w:eastAsia="en-GB"/>
        </w:rPr>
        <w:t xml:space="preserve"> – through the university's intranet or virtual learning environment – is essential in this context</w:t>
      </w:r>
      <w:r>
        <w:rPr>
          <w:rFonts w:eastAsia="Times New Roman"/>
          <w:szCs w:val="20"/>
          <w:lang w:eastAsia="en-GB"/>
        </w:rPr>
        <w:t xml:space="preserve">. </w:t>
      </w:r>
    </w:p>
    <w:p w:rsidR="00952EB0" w:rsidRPr="00C61C56" w:rsidRDefault="00952EB0" w:rsidP="003D1FA8">
      <w:pPr>
        <w:pStyle w:val="Default"/>
        <w:widowControl w:val="0"/>
        <w:spacing w:after="120"/>
        <w:jc w:val="both"/>
        <w:rPr>
          <w:szCs w:val="20"/>
          <w:lang w:eastAsia="en-GB"/>
        </w:rPr>
      </w:pPr>
      <w:r>
        <w:rPr>
          <w:szCs w:val="20"/>
          <w:u w:val="single"/>
          <w:lang w:eastAsia="en-GB"/>
        </w:rPr>
        <w:t>How the</w:t>
      </w:r>
      <w:r w:rsidRPr="00C32C45">
        <w:rPr>
          <w:szCs w:val="20"/>
          <w:u w:val="single"/>
          <w:lang w:eastAsia="en-GB"/>
        </w:rPr>
        <w:t xml:space="preserve"> problem</w:t>
      </w:r>
      <w:r>
        <w:rPr>
          <w:szCs w:val="20"/>
          <w:u w:val="single"/>
          <w:lang w:eastAsia="en-GB"/>
        </w:rPr>
        <w:t xml:space="preserve"> would evolve</w:t>
      </w:r>
      <w:r w:rsidRPr="00C32C45">
        <w:rPr>
          <w:szCs w:val="20"/>
          <w:u w:val="single"/>
          <w:lang w:eastAsia="en-GB"/>
        </w:rPr>
        <w:t>:</w:t>
      </w:r>
      <w:r>
        <w:rPr>
          <w:szCs w:val="20"/>
          <w:lang w:eastAsia="en-GB"/>
        </w:rPr>
        <w:t xml:space="preserve"> Without intervention at EU level, educational establishments and teachers in a number of MS would continue to face legal uncertainty when using protected content to support digital teaching and learning activities, unless these MS unilaterally decide to amend their </w:t>
      </w:r>
      <w:r w:rsidRPr="003D1FA8">
        <w:rPr>
          <w:lang w:eastAsia="en-GB"/>
        </w:rPr>
        <w:t>legislation</w:t>
      </w:r>
      <w:r>
        <w:rPr>
          <w:szCs w:val="20"/>
          <w:lang w:eastAsia="en-GB"/>
        </w:rPr>
        <w:t xml:space="preserve"> to allow such uses. The scope of existing collective licences may be widened in order to cover digital uses. However, obstacles to cross-border uses of content are likely to remain, and distance and online students would continue to be </w:t>
      </w:r>
      <w:r w:rsidRPr="001B6460">
        <w:rPr>
          <w:szCs w:val="20"/>
          <w:lang w:eastAsia="en-GB"/>
        </w:rPr>
        <w:t xml:space="preserve">disadvantaged as regards the access to </w:t>
      </w:r>
      <w:r w:rsidRPr="00960E94">
        <w:rPr>
          <w:lang w:eastAsia="en-GB"/>
        </w:rPr>
        <w:t>teaching</w:t>
      </w:r>
      <w:r w:rsidRPr="001B6460">
        <w:rPr>
          <w:szCs w:val="20"/>
          <w:lang w:eastAsia="en-GB"/>
        </w:rPr>
        <w:t xml:space="preserve"> materials</w:t>
      </w:r>
      <w:r>
        <w:rPr>
          <w:szCs w:val="20"/>
          <w:lang w:eastAsia="en-GB"/>
        </w:rPr>
        <w:t>.</w:t>
      </w:r>
    </w:p>
    <w:p w:rsidR="00952EB0" w:rsidRPr="009041EB" w:rsidRDefault="00952EB0" w:rsidP="00CF38F1">
      <w:pPr>
        <w:pStyle w:val="Heading3"/>
      </w:pPr>
      <w:bookmarkStart w:id="71" w:name="_Toc461114727"/>
      <w:r w:rsidRPr="009041EB">
        <w:t>What are the various options to achieve the objectives?</w:t>
      </w:r>
      <w:bookmarkEnd w:id="71"/>
    </w:p>
    <w:p w:rsidR="00952EB0" w:rsidRDefault="00952EB0" w:rsidP="003D1FA8">
      <w:pPr>
        <w:pStyle w:val="Default"/>
        <w:widowControl w:val="0"/>
        <w:spacing w:after="120"/>
        <w:jc w:val="both"/>
        <w:rPr>
          <w:szCs w:val="20"/>
          <w:lang w:eastAsia="en-GB"/>
        </w:rPr>
      </w:pPr>
      <w:r w:rsidRPr="00492863">
        <w:rPr>
          <w:szCs w:val="20"/>
          <w:lang w:eastAsia="en-GB"/>
        </w:rPr>
        <w:t>The general and specific objectives are described in section</w:t>
      </w:r>
      <w:r>
        <w:rPr>
          <w:szCs w:val="20"/>
          <w:lang w:eastAsia="en-GB"/>
        </w:rPr>
        <w:t xml:space="preserve"> 4</w:t>
      </w:r>
      <w:r w:rsidRPr="00492863">
        <w:rPr>
          <w:szCs w:val="20"/>
          <w:lang w:eastAsia="en-GB"/>
        </w:rPr>
        <w:t>.1.3.</w:t>
      </w:r>
    </w:p>
    <w:p w:rsidR="00952EB0" w:rsidRPr="00492863" w:rsidRDefault="00952EB0" w:rsidP="003D1FA8">
      <w:pPr>
        <w:pStyle w:val="Text1"/>
        <w:spacing w:before="0"/>
        <w:ind w:left="0"/>
        <w:rPr>
          <w:rFonts w:eastAsia="Arial Unicode MS"/>
          <w:b/>
          <w:szCs w:val="24"/>
          <w:bdr w:val="nil"/>
        </w:rPr>
      </w:pPr>
      <w:r w:rsidRPr="003D1FA8">
        <w:rPr>
          <w:b/>
          <w:szCs w:val="24"/>
        </w:rPr>
        <w:t>Baseline</w:t>
      </w:r>
    </w:p>
    <w:p w:rsidR="00952EB0" w:rsidRDefault="00952EB0" w:rsidP="003D1FA8">
      <w:pPr>
        <w:pStyle w:val="Default"/>
        <w:widowControl w:val="0"/>
        <w:spacing w:after="120"/>
        <w:jc w:val="both"/>
        <w:rPr>
          <w:szCs w:val="20"/>
          <w:lang w:eastAsia="en-GB"/>
        </w:rPr>
      </w:pPr>
      <w:r>
        <w:rPr>
          <w:szCs w:val="20"/>
          <w:lang w:eastAsia="en-GB"/>
        </w:rPr>
        <w:t>No policy intervention. In MS where digital uses are not clearly allowed under the national teaching exception, this option would consist in relying on market developments (e.g. further development of collective licensing schemes, publishers' digital offers) to offer solutions that allow teachers and students to use protected content in teaching activities supported by digital tools or taking place online. At the same time, certain MS could decide to amend their national exceptions – based on the optional teaching exception in Article 5(3)a of the InfoSoc Directive, which allows digital uses– to clarify the extent to which certain digital uses are covered in their MS.</w:t>
      </w:r>
      <w:r w:rsidRPr="00BD7EEA">
        <w:rPr>
          <w:szCs w:val="20"/>
          <w:lang w:eastAsia="en-GB"/>
        </w:rPr>
        <w:t xml:space="preserve"> </w:t>
      </w:r>
    </w:p>
    <w:tbl>
      <w:tblPr>
        <w:tblStyle w:val="TableGrid"/>
        <w:tblW w:w="0" w:type="auto"/>
        <w:tblLook w:val="04A0" w:firstRow="1" w:lastRow="0" w:firstColumn="1" w:lastColumn="0" w:noHBand="0" w:noVBand="1"/>
      </w:tblPr>
      <w:tblGrid>
        <w:gridCol w:w="9288"/>
      </w:tblGrid>
      <w:tr w:rsidR="00952EB0" w:rsidTr="00952EB0">
        <w:tc>
          <w:tcPr>
            <w:tcW w:w="9288" w:type="dxa"/>
            <w:shd w:val="clear" w:color="auto" w:fill="D9D9D9" w:themeFill="background1" w:themeFillShade="D9"/>
          </w:tcPr>
          <w:p w:rsidR="00952EB0" w:rsidRPr="003D1FA8" w:rsidRDefault="00952EB0" w:rsidP="00952EB0">
            <w:pPr>
              <w:rPr>
                <w:rFonts w:ascii="Times New Roman" w:eastAsia="Arial Unicode MS" w:hAnsi="Times New Roman" w:cs="Times New Roman"/>
                <w:i/>
                <w:sz w:val="20"/>
                <w:szCs w:val="20"/>
                <w:bdr w:val="nil"/>
              </w:rPr>
            </w:pPr>
            <w:r w:rsidRPr="003D1FA8">
              <w:rPr>
                <w:rFonts w:ascii="Times New Roman" w:eastAsia="Arial Unicode MS" w:hAnsi="Times New Roman" w:cs="Times New Roman"/>
                <w:i/>
                <w:sz w:val="20"/>
                <w:szCs w:val="20"/>
                <w:bdr w:val="nil"/>
              </w:rPr>
              <w:t>Stakeholders' views</w:t>
            </w:r>
          </w:p>
          <w:p w:rsidR="00A77F7A" w:rsidRDefault="00007677" w:rsidP="00A77F7A">
            <w:pPr>
              <w:jc w:val="both"/>
              <w:rPr>
                <w:rFonts w:ascii="Times New Roman" w:hAnsi="Times New Roman"/>
                <w:sz w:val="24"/>
                <w:szCs w:val="20"/>
                <w:lang w:eastAsia="en-GB"/>
              </w:rPr>
            </w:pPr>
            <w:r>
              <w:rPr>
                <w:rFonts w:ascii="Times New Roman" w:hAnsi="Times New Roman"/>
                <w:sz w:val="20"/>
                <w:szCs w:val="20"/>
                <w:lang w:eastAsia="en-GB"/>
              </w:rPr>
              <w:t>Rightholders</w:t>
            </w:r>
            <w:r w:rsidR="00952EB0" w:rsidRPr="003D1FA8">
              <w:rPr>
                <w:rFonts w:ascii="Times New Roman" w:hAnsi="Times New Roman"/>
                <w:sz w:val="20"/>
                <w:szCs w:val="20"/>
                <w:lang w:eastAsia="en-GB"/>
              </w:rPr>
              <w:t xml:space="preserve"> are likely to support the baseline option. Institutional users in the education area (educational establishments, teachers) would consider that this option cannot solve the identified problems.</w:t>
            </w:r>
          </w:p>
        </w:tc>
      </w:tr>
    </w:tbl>
    <w:p w:rsidR="00952EB0" w:rsidRPr="003D1FA8" w:rsidRDefault="00952EB0" w:rsidP="003D1FA8">
      <w:pPr>
        <w:pStyle w:val="Text1"/>
        <w:ind w:left="0"/>
        <w:rPr>
          <w:b/>
          <w:szCs w:val="24"/>
        </w:rPr>
      </w:pPr>
      <w:r w:rsidRPr="003D1FA8">
        <w:rPr>
          <w:b/>
          <w:szCs w:val="24"/>
        </w:rPr>
        <w:t>Option 1 – Guidance to MS and stakeholders' dialogue on raising awareness in the education community on the use of protected works for teaching purposes</w:t>
      </w:r>
    </w:p>
    <w:p w:rsidR="00952EB0" w:rsidRPr="00260FAB" w:rsidRDefault="00952EB0" w:rsidP="007D6CF3">
      <w:pPr>
        <w:pStyle w:val="Text1"/>
        <w:numPr>
          <w:ilvl w:val="0"/>
          <w:numId w:val="37"/>
        </w:numPr>
        <w:ind w:left="426" w:hanging="426"/>
      </w:pPr>
      <w:r w:rsidRPr="00260FAB">
        <w:t xml:space="preserve">Under this option, the Commission would issue guidance to MS as to the extent to which protected content can be used in the digital environment under the existing teaching exception, in line </w:t>
      </w:r>
      <w:r w:rsidRPr="00BB18FC">
        <w:rPr>
          <w:szCs w:val="24"/>
        </w:rPr>
        <w:t>with</w:t>
      </w:r>
      <w:r w:rsidRPr="00260FAB">
        <w:t xml:space="preserve"> the three-step test. Such guidance would encourage MS to make sure</w:t>
      </w:r>
      <w:r>
        <w:t>, when required,</w:t>
      </w:r>
      <w:r w:rsidRPr="00260FAB">
        <w:t xml:space="preserve"> that their national exception applies to digital resources used for teaching purposes and to online activities undertaken by educational establishments or teachers. </w:t>
      </w:r>
    </w:p>
    <w:p w:rsidR="00952EB0" w:rsidRPr="00260FAB" w:rsidRDefault="00952EB0" w:rsidP="007D6CF3">
      <w:pPr>
        <w:pStyle w:val="Text1"/>
        <w:numPr>
          <w:ilvl w:val="0"/>
          <w:numId w:val="37"/>
        </w:numPr>
        <w:ind w:left="426" w:hanging="426"/>
      </w:pPr>
      <w:r w:rsidRPr="00260FAB">
        <w:t xml:space="preserve">In addition, </w:t>
      </w:r>
      <w:r w:rsidRPr="00BB18FC">
        <w:rPr>
          <w:szCs w:val="24"/>
        </w:rPr>
        <w:t>the</w:t>
      </w:r>
      <w:r w:rsidRPr="00260FAB">
        <w:t xml:space="preserve"> Commission would encourage discussions between </w:t>
      </w:r>
      <w:r w:rsidR="00FA58EB">
        <w:t>r</w:t>
      </w:r>
      <w:r w:rsidR="00007677">
        <w:t>ightholders</w:t>
      </w:r>
      <w:r w:rsidRPr="00260FAB">
        <w:t xml:space="preserve"> and educational establishments to explore ways to raise awareness in the education community on the uses allowed under the exception or under specific licences.  </w:t>
      </w:r>
    </w:p>
    <w:tbl>
      <w:tblPr>
        <w:tblStyle w:val="TableGrid"/>
        <w:tblW w:w="0" w:type="auto"/>
        <w:tblLook w:val="04A0" w:firstRow="1" w:lastRow="0" w:firstColumn="1" w:lastColumn="0" w:noHBand="0" w:noVBand="1"/>
      </w:tblPr>
      <w:tblGrid>
        <w:gridCol w:w="9288"/>
      </w:tblGrid>
      <w:tr w:rsidR="00952EB0" w:rsidTr="00D1507D">
        <w:trPr>
          <w:trHeight w:val="1744"/>
        </w:trPr>
        <w:tc>
          <w:tcPr>
            <w:tcW w:w="9288" w:type="dxa"/>
            <w:shd w:val="clear" w:color="auto" w:fill="D9D9D9" w:themeFill="background1" w:themeFillShade="D9"/>
          </w:tcPr>
          <w:p w:rsidR="00952EB0" w:rsidRPr="00BB18FC" w:rsidRDefault="00952EB0" w:rsidP="00952EB0">
            <w:pPr>
              <w:rPr>
                <w:rFonts w:ascii="Times New Roman" w:eastAsia="Arial Unicode MS" w:hAnsi="Times New Roman" w:cs="Times New Roman"/>
                <w:i/>
                <w:sz w:val="20"/>
                <w:szCs w:val="20"/>
                <w:bdr w:val="nil"/>
              </w:rPr>
            </w:pPr>
            <w:r w:rsidRPr="00BB18FC">
              <w:rPr>
                <w:rFonts w:ascii="Times New Roman" w:eastAsia="Arial Unicode MS" w:hAnsi="Times New Roman" w:cs="Times New Roman"/>
                <w:i/>
                <w:sz w:val="20"/>
                <w:szCs w:val="20"/>
                <w:bdr w:val="nil"/>
              </w:rPr>
              <w:t>Stakeholders' views</w:t>
            </w:r>
          </w:p>
          <w:p w:rsidR="00952EB0" w:rsidRPr="00BB18FC" w:rsidRDefault="00007677" w:rsidP="00683F23">
            <w:pPr>
              <w:jc w:val="both"/>
              <w:rPr>
                <w:rFonts w:ascii="Times New Roman" w:hAnsi="Times New Roman"/>
                <w:sz w:val="20"/>
                <w:szCs w:val="20"/>
              </w:rPr>
            </w:pPr>
            <w:r>
              <w:rPr>
                <w:rFonts w:ascii="Times New Roman" w:hAnsi="Times New Roman"/>
                <w:sz w:val="20"/>
                <w:szCs w:val="20"/>
              </w:rPr>
              <w:t>Rightholders</w:t>
            </w:r>
            <w:r w:rsidR="00952EB0" w:rsidRPr="00BB18FC">
              <w:rPr>
                <w:rFonts w:ascii="Times New Roman" w:hAnsi="Times New Roman"/>
                <w:sz w:val="20"/>
                <w:szCs w:val="20"/>
              </w:rPr>
              <w:t xml:space="preserve"> are expected to be rather supportive of this option, as it would not imply any further harmonisation of the existing teaching exception; would leave sufficient space for licensing mechanisms and could contribute to a better understanding of copyright rules among teachers and students.</w:t>
            </w:r>
            <w:r w:rsidR="00952EB0" w:rsidRPr="00BB18FC">
              <w:rPr>
                <w:rStyle w:val="FootnoteReference"/>
                <w:rFonts w:ascii="Times New Roman" w:hAnsi="Times New Roman"/>
                <w:sz w:val="20"/>
                <w:szCs w:val="20"/>
              </w:rPr>
              <w:footnoteReference w:id="277"/>
            </w:r>
            <w:r w:rsidR="00952EB0" w:rsidRPr="00BB18FC">
              <w:rPr>
                <w:rFonts w:ascii="Times New Roman" w:hAnsi="Times New Roman"/>
                <w:sz w:val="20"/>
                <w:szCs w:val="20"/>
              </w:rPr>
              <w:t xml:space="preserve"> While certain institutional users may support Option 1 as an intermediate solution,</w:t>
            </w:r>
            <w:r w:rsidR="00952EB0" w:rsidRPr="00BB18FC">
              <w:rPr>
                <w:rStyle w:val="FootnoteReference"/>
                <w:rFonts w:ascii="Times New Roman" w:hAnsi="Times New Roman"/>
                <w:sz w:val="20"/>
                <w:szCs w:val="20"/>
              </w:rPr>
              <w:footnoteReference w:id="278"/>
            </w:r>
            <w:r w:rsidR="00952EB0" w:rsidRPr="00BB18FC">
              <w:rPr>
                <w:rFonts w:ascii="Times New Roman" w:hAnsi="Times New Roman"/>
                <w:sz w:val="20"/>
                <w:szCs w:val="20"/>
              </w:rPr>
              <w:t xml:space="preserve"> most of them would consider that it does not sufficiently address the practical problems encountered when using protected works in distance or cross-border education.</w:t>
            </w:r>
            <w:r w:rsidR="000A0F51">
              <w:rPr>
                <w:rFonts w:ascii="Times New Roman" w:hAnsi="Times New Roman"/>
                <w:sz w:val="20"/>
                <w:szCs w:val="20"/>
              </w:rPr>
              <w:t xml:space="preserve"> </w:t>
            </w:r>
          </w:p>
        </w:tc>
      </w:tr>
    </w:tbl>
    <w:p w:rsidR="00952EB0" w:rsidRPr="00BB18FC" w:rsidRDefault="00952EB0" w:rsidP="00BB18FC">
      <w:pPr>
        <w:pStyle w:val="Text1"/>
        <w:ind w:left="0"/>
        <w:rPr>
          <w:b/>
          <w:szCs w:val="24"/>
        </w:rPr>
      </w:pPr>
      <w:bookmarkStart w:id="72" w:name="_Toc414456606"/>
      <w:bookmarkStart w:id="73" w:name="_Toc418669594"/>
      <w:bookmarkStart w:id="74" w:name="_Toc427309286"/>
      <w:r w:rsidRPr="00BB18FC">
        <w:rPr>
          <w:b/>
          <w:szCs w:val="24"/>
        </w:rPr>
        <w:t xml:space="preserve">Option 2 – </w:t>
      </w:r>
      <w:bookmarkEnd w:id="72"/>
      <w:bookmarkEnd w:id="73"/>
      <w:bookmarkEnd w:id="74"/>
      <w:r w:rsidRPr="00BB18FC">
        <w:rPr>
          <w:b/>
          <w:szCs w:val="24"/>
        </w:rPr>
        <w:t>Mandatory exception with a cross-border effect covering digital uses in the context of illustration for teaching</w:t>
      </w:r>
    </w:p>
    <w:p w:rsidR="00952EB0" w:rsidRPr="00BB18FC" w:rsidRDefault="00952EB0" w:rsidP="00BB18FC">
      <w:pPr>
        <w:pStyle w:val="Default"/>
        <w:widowControl w:val="0"/>
        <w:spacing w:after="120"/>
        <w:jc w:val="both"/>
        <w:rPr>
          <w:szCs w:val="20"/>
          <w:lang w:eastAsia="en-GB"/>
        </w:rPr>
      </w:pPr>
      <w:r w:rsidRPr="00BB18FC">
        <w:rPr>
          <w:szCs w:val="20"/>
          <w:lang w:eastAsia="en-GB"/>
        </w:rPr>
        <w:t>This option would make mandatory for MS the implementation of an exception to the rights of reproduction and making available to the public, with the following elements:</w:t>
      </w:r>
    </w:p>
    <w:p w:rsidR="00952EB0" w:rsidRPr="00BB18FC" w:rsidRDefault="00952EB0" w:rsidP="007D6CF3">
      <w:pPr>
        <w:pStyle w:val="Text1"/>
        <w:numPr>
          <w:ilvl w:val="0"/>
          <w:numId w:val="37"/>
        </w:numPr>
        <w:ind w:left="426" w:hanging="426"/>
        <w:rPr>
          <w:szCs w:val="24"/>
        </w:rPr>
      </w:pPr>
      <w:r w:rsidRPr="00BB18FC">
        <w:rPr>
          <w:szCs w:val="24"/>
        </w:rPr>
        <w:t>Beneficiaries: educational establishments</w:t>
      </w:r>
      <w:r w:rsidR="001E637F">
        <w:rPr>
          <w:szCs w:val="24"/>
        </w:rPr>
        <w:t>.</w:t>
      </w:r>
    </w:p>
    <w:p w:rsidR="00952EB0" w:rsidRPr="00BB18FC" w:rsidRDefault="00952EB0" w:rsidP="007D6CF3">
      <w:pPr>
        <w:pStyle w:val="Text1"/>
        <w:numPr>
          <w:ilvl w:val="0"/>
          <w:numId w:val="37"/>
        </w:numPr>
        <w:ind w:left="426" w:hanging="426"/>
        <w:rPr>
          <w:szCs w:val="24"/>
        </w:rPr>
      </w:pPr>
      <w:r w:rsidRPr="00BB18FC">
        <w:rPr>
          <w:szCs w:val="24"/>
        </w:rPr>
        <w:t>Subject-matter covered: all types of works or other protected subject-matter, including resources produced specifically for education (e.g. textbooks, academic books, educational documentaries)</w:t>
      </w:r>
      <w:r w:rsidR="001E637F">
        <w:rPr>
          <w:szCs w:val="24"/>
        </w:rPr>
        <w:t>.</w:t>
      </w:r>
    </w:p>
    <w:p w:rsidR="00952EB0" w:rsidRPr="00260FAB" w:rsidRDefault="00CF72BD" w:rsidP="007D6CF3">
      <w:pPr>
        <w:pStyle w:val="Text1"/>
        <w:numPr>
          <w:ilvl w:val="0"/>
          <w:numId w:val="37"/>
        </w:numPr>
        <w:ind w:left="426" w:hanging="426"/>
      </w:pPr>
      <w:r>
        <w:rPr>
          <w:szCs w:val="24"/>
        </w:rPr>
        <w:t xml:space="preserve">Permitted uses: </w:t>
      </w:r>
      <w:r w:rsidR="00952EB0" w:rsidRPr="00BB18FC">
        <w:rPr>
          <w:szCs w:val="24"/>
        </w:rPr>
        <w:t>teachers and students affiliated to educational establishments would be allowed to use protected works for non-commercial purpose to illustrate teaching  through digital means in the classroom (e.g. whiteboards) or online under the educational establishment's secure</w:t>
      </w:r>
      <w:r w:rsidR="00952EB0" w:rsidRPr="00260FAB">
        <w:t xml:space="preserve"> electronic network (e.g. virtual learning environment, intranet). </w:t>
      </w:r>
      <w:r w:rsidR="004B69C4">
        <w:t>Digital</w:t>
      </w:r>
      <w:r w:rsidR="004B69C4" w:rsidRPr="00260FAB">
        <w:t xml:space="preserve"> </w:t>
      </w:r>
      <w:r w:rsidR="00952EB0" w:rsidRPr="00260FAB">
        <w:t xml:space="preserve">uses which </w:t>
      </w:r>
      <w:r w:rsidR="00952EB0" w:rsidRPr="00260FAB">
        <w:rPr>
          <w:szCs w:val="24"/>
        </w:rPr>
        <w:t xml:space="preserve">would result in making protected content available on the open internet (e.g. </w:t>
      </w:r>
      <w:r w:rsidR="00952EB0">
        <w:rPr>
          <w:szCs w:val="24"/>
        </w:rPr>
        <w:t xml:space="preserve">uses beyond quotation of protected content in </w:t>
      </w:r>
      <w:r w:rsidR="00952EB0" w:rsidRPr="00260FAB">
        <w:t>Open Educational Resources - OERs</w:t>
      </w:r>
      <w:r w:rsidR="00952EB0">
        <w:rPr>
          <w:rStyle w:val="FootnoteReference"/>
        </w:rPr>
        <w:footnoteReference w:id="279"/>
      </w:r>
      <w:r w:rsidR="00952EB0">
        <w:t xml:space="preserve"> or in Massive Open Online Courses - MOOCs</w:t>
      </w:r>
      <w:r w:rsidR="00952EB0">
        <w:rPr>
          <w:rStyle w:val="FootnoteReference"/>
        </w:rPr>
        <w:footnoteReference w:id="280"/>
      </w:r>
      <w:r w:rsidR="00952EB0" w:rsidRPr="00260FAB">
        <w:t xml:space="preserve">) would not be </w:t>
      </w:r>
      <w:r w:rsidR="00FD78BA">
        <w:t xml:space="preserve">covered </w:t>
      </w:r>
      <w:r w:rsidR="00952EB0">
        <w:t>under</w:t>
      </w:r>
      <w:r w:rsidR="001E637F">
        <w:t xml:space="preserve"> this option.</w:t>
      </w:r>
      <w:r w:rsidR="00091B64">
        <w:rPr>
          <w:rStyle w:val="FootnoteReference"/>
        </w:rPr>
        <w:footnoteReference w:id="281"/>
      </w:r>
    </w:p>
    <w:p w:rsidR="00952EB0" w:rsidRPr="00260FAB" w:rsidRDefault="00952EB0" w:rsidP="007D6CF3">
      <w:pPr>
        <w:pStyle w:val="Text1"/>
        <w:numPr>
          <w:ilvl w:val="0"/>
          <w:numId w:val="37"/>
        </w:numPr>
        <w:ind w:left="426" w:hanging="426"/>
      </w:pPr>
      <w:r w:rsidRPr="00260FAB">
        <w:t xml:space="preserve">Relationship with the licensing market: the uses allowed under the exception </w:t>
      </w:r>
      <w:r>
        <w:t>would</w:t>
      </w:r>
      <w:r w:rsidRPr="00260FAB">
        <w:t xml:space="preserve"> not</w:t>
      </w:r>
      <w:r>
        <w:t xml:space="preserve"> be</w:t>
      </w:r>
      <w:r w:rsidRPr="00260FAB">
        <w:t xml:space="preserve"> subject to the availability of licences</w:t>
      </w:r>
      <w:r>
        <w:t>.</w:t>
      </w:r>
    </w:p>
    <w:p w:rsidR="00952EB0" w:rsidRPr="00260FAB" w:rsidRDefault="00952EB0" w:rsidP="007D6CF3">
      <w:pPr>
        <w:pStyle w:val="Text1"/>
        <w:numPr>
          <w:ilvl w:val="0"/>
          <w:numId w:val="37"/>
        </w:numPr>
        <w:ind w:left="426" w:hanging="426"/>
      </w:pPr>
      <w:r w:rsidRPr="00260FAB">
        <w:t xml:space="preserve">Compensation: MS would remain free to determine whether they require compensation for the </w:t>
      </w:r>
      <w:r>
        <w:t xml:space="preserve">uses under the </w:t>
      </w:r>
      <w:r w:rsidRPr="00260FAB">
        <w:t>exception</w:t>
      </w:r>
      <w:r>
        <w:t>. In MS opting for compensation, it would be applied to the uses undertaken by educational institutions (and their affiliated teachers and students) established in that MS, irrespective of where such uses</w:t>
      </w:r>
      <w:r w:rsidRPr="00260FAB">
        <w:t xml:space="preserve"> </w:t>
      </w:r>
      <w:r>
        <w:t xml:space="preserve">actually would take place. </w:t>
      </w:r>
    </w:p>
    <w:p w:rsidR="00952EB0" w:rsidRPr="004C24F7" w:rsidRDefault="00952EB0" w:rsidP="007D6CF3">
      <w:pPr>
        <w:pStyle w:val="Text1"/>
        <w:numPr>
          <w:ilvl w:val="0"/>
          <w:numId w:val="37"/>
        </w:numPr>
        <w:ind w:left="426" w:hanging="426"/>
      </w:pPr>
      <w:r w:rsidRPr="004C24F7">
        <w:t xml:space="preserve">Interaction with the current exception: outside the scope of this mandatory exception, the existing (optional) teaching and research exception under Article 5(3)a of the InfoSoc Directive would continue to apply. For teaching, this would be relevant mainly for analogue uses. </w:t>
      </w:r>
    </w:p>
    <w:p w:rsidR="00952EB0" w:rsidRPr="00260FAB" w:rsidRDefault="00952EB0" w:rsidP="007D6CF3">
      <w:pPr>
        <w:pStyle w:val="Text1"/>
        <w:numPr>
          <w:ilvl w:val="0"/>
          <w:numId w:val="37"/>
        </w:numPr>
        <w:ind w:left="426" w:hanging="426"/>
      </w:pPr>
      <w:r w:rsidRPr="00260FAB">
        <w:t xml:space="preserve">Cross-border </w:t>
      </w:r>
      <w:r w:rsidR="0037547D">
        <w:t>uses</w:t>
      </w:r>
      <w:r w:rsidRPr="00260FAB">
        <w:t xml:space="preserve">: </w:t>
      </w:r>
      <w:r w:rsidR="0037547D">
        <w:t>The cross-border effect of the exception would be ensured through a legal fiction which would provide that the uses made under the conditions of the exception are deemed to take place only in the MS where the educational body is established. Such provision would make sure that</w:t>
      </w:r>
      <w:r w:rsidRPr="00260FAB">
        <w:t xml:space="preserve"> the content made available under the exception </w:t>
      </w:r>
      <w:r>
        <w:t xml:space="preserve">by beneficiary institutions </w:t>
      </w:r>
      <w:r w:rsidR="0037547D">
        <w:t>can</w:t>
      </w:r>
      <w:r w:rsidR="0037547D" w:rsidRPr="00260FAB">
        <w:t xml:space="preserve"> </w:t>
      </w:r>
      <w:r w:rsidRPr="00260FAB">
        <w:t xml:space="preserve">be lawfully accessible </w:t>
      </w:r>
      <w:r>
        <w:t>to</w:t>
      </w:r>
      <w:r w:rsidRPr="00260FAB">
        <w:t xml:space="preserve"> affiliated teachers and students located in other MS. </w:t>
      </w:r>
    </w:p>
    <w:tbl>
      <w:tblPr>
        <w:tblStyle w:val="TableGrid"/>
        <w:tblW w:w="0" w:type="auto"/>
        <w:tblLook w:val="04A0" w:firstRow="1" w:lastRow="0" w:firstColumn="1" w:lastColumn="0" w:noHBand="0" w:noVBand="1"/>
      </w:tblPr>
      <w:tblGrid>
        <w:gridCol w:w="9288"/>
      </w:tblGrid>
      <w:tr w:rsidR="00952EB0" w:rsidTr="00952EB0">
        <w:tc>
          <w:tcPr>
            <w:tcW w:w="9288" w:type="dxa"/>
            <w:shd w:val="clear" w:color="auto" w:fill="D9D9D9" w:themeFill="background1" w:themeFillShade="D9"/>
          </w:tcPr>
          <w:p w:rsidR="00952EB0" w:rsidRPr="00BB18FC" w:rsidRDefault="00952EB0" w:rsidP="00952EB0">
            <w:pPr>
              <w:rPr>
                <w:rFonts w:ascii="Times New Roman" w:eastAsia="Arial Unicode MS" w:hAnsi="Times New Roman" w:cs="Times New Roman"/>
                <w:i/>
                <w:sz w:val="20"/>
                <w:szCs w:val="20"/>
                <w:bdr w:val="nil"/>
              </w:rPr>
            </w:pPr>
            <w:r w:rsidRPr="00BB18FC">
              <w:rPr>
                <w:rFonts w:ascii="Times New Roman" w:eastAsia="Arial Unicode MS" w:hAnsi="Times New Roman" w:cs="Times New Roman"/>
                <w:i/>
                <w:sz w:val="20"/>
                <w:szCs w:val="20"/>
                <w:bdr w:val="nil"/>
              </w:rPr>
              <w:t>Stakeholders' views</w:t>
            </w:r>
          </w:p>
          <w:p w:rsidR="00952EB0" w:rsidRPr="004B69C4" w:rsidRDefault="00952EB0" w:rsidP="004B69C4">
            <w:pPr>
              <w:jc w:val="both"/>
              <w:rPr>
                <w:rFonts w:ascii="Times New Roman" w:hAnsi="Times New Roman"/>
                <w:sz w:val="20"/>
                <w:szCs w:val="20"/>
                <w:lang w:eastAsia="en-GB"/>
              </w:rPr>
            </w:pPr>
            <w:r w:rsidRPr="00BB18FC">
              <w:rPr>
                <w:rFonts w:ascii="Times New Roman" w:hAnsi="Times New Roman"/>
                <w:sz w:val="20"/>
                <w:szCs w:val="20"/>
                <w:lang w:eastAsia="en-GB"/>
              </w:rPr>
              <w:t>This option is expected to be supported by institutional users in the education area, which are generally in favour of a broad mandatory teaching exception for digital uses.</w:t>
            </w:r>
            <w:r w:rsidRPr="00BB18FC">
              <w:rPr>
                <w:rStyle w:val="FootnoteReference"/>
                <w:rFonts w:ascii="Times New Roman" w:hAnsi="Times New Roman"/>
                <w:sz w:val="20"/>
                <w:szCs w:val="20"/>
                <w:lang w:eastAsia="en-GB"/>
              </w:rPr>
              <w:footnoteReference w:id="282"/>
            </w:r>
            <w:r w:rsidRPr="00BB18FC">
              <w:rPr>
                <w:rFonts w:ascii="Times New Roman" w:hAnsi="Times New Roman"/>
                <w:sz w:val="20"/>
                <w:szCs w:val="20"/>
                <w:lang w:eastAsia="en-GB"/>
              </w:rPr>
              <w:t xml:space="preserve"> It would be strongly opposed by </w:t>
            </w:r>
            <w:r w:rsidR="00B1145D">
              <w:rPr>
                <w:rFonts w:ascii="Times New Roman" w:hAnsi="Times New Roman"/>
                <w:sz w:val="20"/>
                <w:szCs w:val="20"/>
                <w:lang w:eastAsia="en-GB"/>
              </w:rPr>
              <w:t>r</w:t>
            </w:r>
            <w:r w:rsidR="00007677">
              <w:rPr>
                <w:rFonts w:ascii="Times New Roman" w:hAnsi="Times New Roman"/>
                <w:sz w:val="20"/>
                <w:szCs w:val="20"/>
                <w:lang w:eastAsia="en-GB"/>
              </w:rPr>
              <w:t>ightholders</w:t>
            </w:r>
            <w:r w:rsidRPr="00BB18FC">
              <w:rPr>
                <w:rFonts w:ascii="Times New Roman" w:hAnsi="Times New Roman"/>
                <w:sz w:val="20"/>
                <w:szCs w:val="20"/>
                <w:lang w:eastAsia="en-GB"/>
              </w:rPr>
              <w:t xml:space="preserve"> whose works are used in the teaching context (in particular educational publishers, considering the impact that </w:t>
            </w:r>
            <w:r w:rsidR="003803C0" w:rsidRPr="00BB18FC">
              <w:rPr>
                <w:rFonts w:ascii="Times New Roman" w:hAnsi="Times New Roman"/>
                <w:sz w:val="20"/>
                <w:szCs w:val="20"/>
                <w:lang w:eastAsia="en-GB"/>
              </w:rPr>
              <w:t xml:space="preserve">this </w:t>
            </w:r>
            <w:r w:rsidRPr="00BB18FC">
              <w:rPr>
                <w:rFonts w:ascii="Times New Roman" w:hAnsi="Times New Roman"/>
                <w:sz w:val="20"/>
                <w:szCs w:val="20"/>
                <w:lang w:eastAsia="en-GB"/>
              </w:rPr>
              <w:t>exception would have on their primary market) and by certain MS using licences-based systems, including ECL, for authorising educational uses.</w:t>
            </w:r>
            <w:r w:rsidRPr="009E58C4">
              <w:rPr>
                <w:rFonts w:ascii="Times New Roman" w:hAnsi="Times New Roman"/>
                <w:szCs w:val="20"/>
                <w:lang w:eastAsia="en-GB"/>
              </w:rPr>
              <w:t xml:space="preserve"> </w:t>
            </w:r>
          </w:p>
        </w:tc>
      </w:tr>
    </w:tbl>
    <w:p w:rsidR="00952EB0" w:rsidRPr="00BB18FC" w:rsidRDefault="00952EB0" w:rsidP="00BB18FC">
      <w:pPr>
        <w:pStyle w:val="Text1"/>
        <w:ind w:left="0"/>
        <w:rPr>
          <w:b/>
          <w:szCs w:val="24"/>
        </w:rPr>
      </w:pPr>
      <w:r w:rsidRPr="00BB18FC">
        <w:rPr>
          <w:b/>
          <w:szCs w:val="24"/>
        </w:rPr>
        <w:t xml:space="preserve">Option 3 – Mandatory exception with a cross-border effect covering digital uses in the context of illustration for teaching, with the option for MS to make it (partially or totally) subject to the availability of licences </w:t>
      </w:r>
    </w:p>
    <w:p w:rsidR="00952EB0" w:rsidRPr="00BB18FC" w:rsidRDefault="00952EB0" w:rsidP="007D6CF3">
      <w:pPr>
        <w:pStyle w:val="Text1"/>
        <w:numPr>
          <w:ilvl w:val="0"/>
          <w:numId w:val="37"/>
        </w:numPr>
        <w:ind w:left="426" w:hanging="426"/>
      </w:pPr>
      <w:r w:rsidRPr="00BB18FC">
        <w:t xml:space="preserve">This option would be similar to Option 2 but would leave MS the possibility to decide that the exception would come into play only if licences covering the same uses are not available in the market. </w:t>
      </w:r>
    </w:p>
    <w:p w:rsidR="00952EB0" w:rsidRPr="00BB18FC" w:rsidRDefault="00952EB0" w:rsidP="007D6CF3">
      <w:pPr>
        <w:pStyle w:val="Text1"/>
        <w:numPr>
          <w:ilvl w:val="0"/>
          <w:numId w:val="37"/>
        </w:numPr>
        <w:ind w:left="426" w:hanging="426"/>
      </w:pPr>
      <w:r w:rsidRPr="00BB18FC">
        <w:t>In order to reduce the administrative burden for educational establishments related to the need to check the availability of licences, MS opting for this approach would have to take measures to ensure that licences covering relevant uses are available, sufficiently visible and easy to use for educational establishments</w:t>
      </w:r>
      <w:r w:rsidR="001E637F">
        <w:t>.</w:t>
      </w:r>
      <w:r w:rsidRPr="00BB18FC">
        <w:rPr>
          <w:rStyle w:val="FootnoteReference"/>
        </w:rPr>
        <w:footnoteReference w:id="283"/>
      </w:r>
      <w:r w:rsidRPr="00BB18FC">
        <w:t xml:space="preserve"> They would be required to notify to the Commission the measures taken in this respect.</w:t>
      </w:r>
    </w:p>
    <w:p w:rsidR="00952EB0" w:rsidRPr="00260FAB" w:rsidRDefault="00952EB0" w:rsidP="007D6CF3">
      <w:pPr>
        <w:pStyle w:val="Text1"/>
        <w:numPr>
          <w:ilvl w:val="0"/>
          <w:numId w:val="37"/>
        </w:numPr>
        <w:ind w:left="426" w:hanging="426"/>
        <w:rPr>
          <w:rFonts w:eastAsia="Times New Roman"/>
          <w:bCs/>
          <w:iCs/>
        </w:rPr>
      </w:pPr>
      <w:r w:rsidRPr="00260FAB">
        <w:rPr>
          <w:rFonts w:eastAsia="Times New Roman"/>
          <w:bCs/>
          <w:iCs/>
        </w:rPr>
        <w:t>Cross-border uses</w:t>
      </w:r>
      <w:r w:rsidR="0037547D">
        <w:rPr>
          <w:rFonts w:eastAsia="Times New Roman"/>
          <w:bCs/>
          <w:iCs/>
        </w:rPr>
        <w:t xml:space="preserve">: the legal </w:t>
      </w:r>
      <w:r w:rsidR="00B1145D">
        <w:rPr>
          <w:rFonts w:eastAsia="Times New Roman"/>
          <w:bCs/>
          <w:iCs/>
        </w:rPr>
        <w:t>mechanism described</w:t>
      </w:r>
      <w:r w:rsidR="0037547D">
        <w:rPr>
          <w:rFonts w:eastAsia="Times New Roman"/>
          <w:bCs/>
          <w:iCs/>
        </w:rPr>
        <w:t xml:space="preserve"> under Option 2 would also apply to equivalent licences (the uses carried out under these licences would be deemed to occur only in the MS where the educational body is established).</w:t>
      </w:r>
      <w:r w:rsidRPr="00260FAB">
        <w:rPr>
          <w:rFonts w:eastAsia="Times New Roman"/>
          <w:bCs/>
          <w:iCs/>
        </w:rPr>
        <w:t xml:space="preserve"> </w:t>
      </w:r>
    </w:p>
    <w:tbl>
      <w:tblPr>
        <w:tblStyle w:val="TableGrid"/>
        <w:tblW w:w="0" w:type="auto"/>
        <w:tblLook w:val="04A0" w:firstRow="1" w:lastRow="0" w:firstColumn="1" w:lastColumn="0" w:noHBand="0" w:noVBand="1"/>
      </w:tblPr>
      <w:tblGrid>
        <w:gridCol w:w="9288"/>
      </w:tblGrid>
      <w:tr w:rsidR="00952EB0" w:rsidTr="00952EB0">
        <w:tc>
          <w:tcPr>
            <w:tcW w:w="9288" w:type="dxa"/>
            <w:shd w:val="clear" w:color="auto" w:fill="D9D9D9" w:themeFill="background1" w:themeFillShade="D9"/>
          </w:tcPr>
          <w:p w:rsidR="00952EB0" w:rsidRPr="00BB18FC" w:rsidRDefault="00952EB0" w:rsidP="00952EB0">
            <w:pPr>
              <w:rPr>
                <w:rFonts w:ascii="Times New Roman" w:eastAsia="Arial Unicode MS" w:hAnsi="Times New Roman" w:cs="Times New Roman"/>
                <w:i/>
                <w:sz w:val="20"/>
                <w:szCs w:val="20"/>
                <w:bdr w:val="nil"/>
              </w:rPr>
            </w:pPr>
            <w:r w:rsidRPr="00BB18FC">
              <w:rPr>
                <w:rFonts w:ascii="Times New Roman" w:eastAsia="Arial Unicode MS" w:hAnsi="Times New Roman" w:cs="Times New Roman"/>
                <w:i/>
                <w:sz w:val="20"/>
                <w:szCs w:val="20"/>
                <w:bdr w:val="nil"/>
              </w:rPr>
              <w:t>Stakeholders' views</w:t>
            </w:r>
          </w:p>
          <w:p w:rsidR="00952EB0" w:rsidRDefault="00007677" w:rsidP="00683F23">
            <w:pPr>
              <w:jc w:val="both"/>
              <w:rPr>
                <w:rFonts w:ascii="Times New Roman" w:hAnsi="Times New Roman"/>
                <w:sz w:val="24"/>
                <w:szCs w:val="20"/>
                <w:lang w:eastAsia="en-GB"/>
              </w:rPr>
            </w:pPr>
            <w:r>
              <w:rPr>
                <w:rFonts w:ascii="Times New Roman" w:hAnsi="Times New Roman"/>
                <w:sz w:val="20"/>
                <w:szCs w:val="20"/>
                <w:lang w:eastAsia="en-GB"/>
              </w:rPr>
              <w:t>Rightholders</w:t>
            </w:r>
            <w:r w:rsidR="00952EB0" w:rsidRPr="00BB18FC">
              <w:rPr>
                <w:rFonts w:ascii="Times New Roman" w:hAnsi="Times New Roman"/>
                <w:sz w:val="20"/>
                <w:szCs w:val="20"/>
                <w:lang w:eastAsia="en-GB"/>
              </w:rPr>
              <w:t xml:space="preserve"> and CMOs are expected to favour this option, as it would allow MS to keep or to introduce the possibility of licences for educational uses. On the other hand, the education community may find it insufficient to create full legal certainty for teachers and students.</w:t>
            </w:r>
            <w:r w:rsidR="00952EB0" w:rsidRPr="00BB18FC">
              <w:rPr>
                <w:rStyle w:val="FootnoteReference"/>
                <w:rFonts w:ascii="Times New Roman" w:hAnsi="Times New Roman"/>
                <w:sz w:val="20"/>
                <w:szCs w:val="20"/>
                <w:lang w:eastAsia="en-GB"/>
              </w:rPr>
              <w:footnoteReference w:id="284"/>
            </w:r>
            <w:r w:rsidR="00952EB0" w:rsidRPr="009E58C4">
              <w:rPr>
                <w:rFonts w:ascii="Times New Roman" w:hAnsi="Times New Roman"/>
                <w:szCs w:val="20"/>
                <w:lang w:eastAsia="en-GB"/>
              </w:rPr>
              <w:t xml:space="preserve">  </w:t>
            </w:r>
          </w:p>
        </w:tc>
      </w:tr>
    </w:tbl>
    <w:p w:rsidR="00952EB0" w:rsidRPr="009041EB" w:rsidRDefault="00952EB0" w:rsidP="00CF38F1">
      <w:pPr>
        <w:pStyle w:val="Heading3"/>
      </w:pPr>
      <w:bookmarkStart w:id="75" w:name="_Toc461114728"/>
      <w:r w:rsidRPr="009041EB">
        <w:t>What are the impacts of the different policy options and who will be affected?</w:t>
      </w:r>
      <w:bookmarkEnd w:id="75"/>
    </w:p>
    <w:tbl>
      <w:tblPr>
        <w:tblStyle w:val="TableGrid"/>
        <w:tblW w:w="0" w:type="auto"/>
        <w:tblLook w:val="04A0" w:firstRow="1" w:lastRow="0" w:firstColumn="1" w:lastColumn="0" w:noHBand="0" w:noVBand="1"/>
      </w:tblPr>
      <w:tblGrid>
        <w:gridCol w:w="9288"/>
      </w:tblGrid>
      <w:tr w:rsidR="00952EB0" w:rsidTr="00952EB0">
        <w:tc>
          <w:tcPr>
            <w:tcW w:w="9288" w:type="dxa"/>
          </w:tcPr>
          <w:p w:rsidR="00952EB0" w:rsidRPr="00BB18FC" w:rsidRDefault="00952EB0" w:rsidP="00952EB0">
            <w:pPr>
              <w:jc w:val="both"/>
              <w:rPr>
                <w:rFonts w:ascii="Times New Roman" w:hAnsi="Times New Roman"/>
                <w:b/>
                <w:i/>
                <w:sz w:val="20"/>
                <w:szCs w:val="20"/>
                <w:lang w:eastAsia="en-GB"/>
              </w:rPr>
            </w:pPr>
            <w:r w:rsidRPr="00BB18FC">
              <w:rPr>
                <w:rFonts w:ascii="Times New Roman" w:hAnsi="Times New Roman"/>
                <w:b/>
                <w:i/>
                <w:sz w:val="20"/>
                <w:szCs w:val="20"/>
                <w:lang w:eastAsia="en-GB"/>
              </w:rPr>
              <w:t>Approach</w:t>
            </w:r>
          </w:p>
          <w:p w:rsidR="00952EB0" w:rsidRPr="00BB18FC" w:rsidRDefault="00952EB0" w:rsidP="00952EB0">
            <w:pPr>
              <w:jc w:val="both"/>
              <w:rPr>
                <w:rFonts w:ascii="Times New Roman" w:hAnsi="Times New Roman"/>
                <w:sz w:val="20"/>
                <w:szCs w:val="20"/>
                <w:lang w:eastAsia="en-GB"/>
              </w:rPr>
            </w:pPr>
            <w:r w:rsidRPr="00BB18FC">
              <w:rPr>
                <w:rFonts w:ascii="Times New Roman" w:hAnsi="Times New Roman"/>
                <w:sz w:val="20"/>
                <w:szCs w:val="20"/>
                <w:lang w:eastAsia="en-GB"/>
              </w:rPr>
              <w:t xml:space="preserve">The options presented above would affect institutional users (educational establishments) and users in the education area (teachers, students) as well as </w:t>
            </w:r>
            <w:r w:rsidR="00FA58EB">
              <w:rPr>
                <w:rFonts w:ascii="Times New Roman" w:hAnsi="Times New Roman"/>
                <w:sz w:val="20"/>
                <w:szCs w:val="20"/>
                <w:lang w:eastAsia="en-GB"/>
              </w:rPr>
              <w:t>r</w:t>
            </w:r>
            <w:r w:rsidR="00007677">
              <w:rPr>
                <w:rFonts w:ascii="Times New Roman" w:hAnsi="Times New Roman"/>
                <w:sz w:val="20"/>
                <w:szCs w:val="20"/>
                <w:lang w:eastAsia="en-GB"/>
              </w:rPr>
              <w:t>ightholders</w:t>
            </w:r>
            <w:r w:rsidRPr="00BB18FC">
              <w:rPr>
                <w:rFonts w:ascii="Times New Roman" w:hAnsi="Times New Roman"/>
                <w:sz w:val="20"/>
                <w:szCs w:val="20"/>
                <w:lang w:eastAsia="en-GB"/>
              </w:rPr>
              <w:t xml:space="preserve"> whose works are used as illustration in teaching activities. The impacts affecting these two groups are presented separately. </w:t>
            </w:r>
          </w:p>
          <w:p w:rsidR="00952EB0" w:rsidRPr="00BB18FC" w:rsidRDefault="00952EB0" w:rsidP="007D6CF3">
            <w:pPr>
              <w:pStyle w:val="ListParagraph"/>
              <w:numPr>
                <w:ilvl w:val="0"/>
                <w:numId w:val="27"/>
              </w:numPr>
              <w:tabs>
                <w:tab w:val="left" w:pos="0"/>
              </w:tabs>
              <w:ind w:left="284" w:hanging="284"/>
              <w:jc w:val="both"/>
              <w:rPr>
                <w:rFonts w:ascii="Times New Roman" w:hAnsi="Times New Roman"/>
                <w:sz w:val="20"/>
                <w:lang w:val="en-GB"/>
              </w:rPr>
            </w:pPr>
            <w:r w:rsidRPr="00BB18FC">
              <w:rPr>
                <w:rFonts w:ascii="Times New Roman" w:hAnsi="Times New Roman"/>
                <w:sz w:val="20"/>
                <w:lang w:val="en-GB"/>
              </w:rPr>
              <w:t xml:space="preserve">For </w:t>
            </w:r>
            <w:r w:rsidRPr="00BB18FC">
              <w:rPr>
                <w:rFonts w:ascii="Times New Roman" w:hAnsi="Times New Roman"/>
                <w:sz w:val="20"/>
                <w:u w:val="single"/>
                <w:lang w:val="en-GB"/>
              </w:rPr>
              <w:t>users</w:t>
            </w:r>
            <w:r w:rsidRPr="00BB18FC">
              <w:rPr>
                <w:rFonts w:ascii="Times New Roman" w:hAnsi="Times New Roman"/>
                <w:b/>
                <w:sz w:val="20"/>
                <w:lang w:val="en-GB"/>
              </w:rPr>
              <w:t>,</w:t>
            </w:r>
            <w:r w:rsidRPr="00BB18FC">
              <w:rPr>
                <w:rFonts w:ascii="Times New Roman" w:hAnsi="Times New Roman"/>
                <w:sz w:val="20"/>
                <w:lang w:val="en-GB"/>
              </w:rPr>
              <w:t xml:space="preserve"> the following </w:t>
            </w:r>
            <w:r w:rsidRPr="00BB18FC">
              <w:rPr>
                <w:rFonts w:ascii="Times New Roman" w:hAnsi="Times New Roman"/>
                <w:b/>
                <w:sz w:val="20"/>
                <w:lang w:val="en-GB"/>
              </w:rPr>
              <w:t>social impacts</w:t>
            </w:r>
            <w:r w:rsidRPr="00BB18FC">
              <w:rPr>
                <w:rFonts w:ascii="Times New Roman" w:hAnsi="Times New Roman"/>
                <w:sz w:val="20"/>
                <w:lang w:val="en-GB"/>
              </w:rPr>
              <w:t xml:space="preserve"> have been considered: impacts on legal certainty for digital and cross-border teaching activities. </w:t>
            </w:r>
            <w:r w:rsidRPr="00BB18FC">
              <w:rPr>
                <w:rFonts w:ascii="Times New Roman" w:hAnsi="Times New Roman"/>
                <w:b/>
                <w:sz w:val="20"/>
                <w:lang w:val="en-GB"/>
              </w:rPr>
              <w:t>Economic impacts</w:t>
            </w:r>
            <w:r w:rsidRPr="00BB18FC">
              <w:rPr>
                <w:rFonts w:ascii="Times New Roman" w:hAnsi="Times New Roman"/>
                <w:sz w:val="20"/>
                <w:lang w:val="en-GB"/>
              </w:rPr>
              <w:t xml:space="preserve"> are examined in terms of transaction costs (related to the negotiation and management of licences) and licensing costs (licence fees paid to </w:t>
            </w:r>
            <w:r w:rsidR="00FA58EB">
              <w:rPr>
                <w:rFonts w:ascii="Times New Roman" w:hAnsi="Times New Roman"/>
                <w:sz w:val="20"/>
                <w:lang w:val="en-GB"/>
              </w:rPr>
              <w:t>r</w:t>
            </w:r>
            <w:r w:rsidR="00007677">
              <w:rPr>
                <w:rFonts w:ascii="Times New Roman" w:hAnsi="Times New Roman"/>
                <w:sz w:val="20"/>
                <w:lang w:val="en-GB"/>
              </w:rPr>
              <w:t>ightholders</w:t>
            </w:r>
            <w:r w:rsidRPr="00BB18FC">
              <w:rPr>
                <w:rFonts w:ascii="Times New Roman" w:hAnsi="Times New Roman"/>
                <w:sz w:val="20"/>
                <w:lang w:val="en-GB"/>
              </w:rPr>
              <w:t xml:space="preserve"> or CMOs) for educational establishments. </w:t>
            </w:r>
          </w:p>
          <w:p w:rsidR="00952EB0" w:rsidRPr="00BB18FC" w:rsidRDefault="00952EB0" w:rsidP="007D6CF3">
            <w:pPr>
              <w:pStyle w:val="ListParagraph"/>
              <w:numPr>
                <w:ilvl w:val="0"/>
                <w:numId w:val="27"/>
              </w:numPr>
              <w:tabs>
                <w:tab w:val="left" w:pos="0"/>
              </w:tabs>
              <w:ind w:left="284" w:hanging="284"/>
              <w:jc w:val="both"/>
              <w:rPr>
                <w:rFonts w:ascii="Times New Roman" w:hAnsi="Times New Roman"/>
                <w:sz w:val="20"/>
                <w:lang w:val="en-GB"/>
              </w:rPr>
            </w:pPr>
            <w:r w:rsidRPr="00BB18FC">
              <w:rPr>
                <w:rFonts w:ascii="Times New Roman" w:hAnsi="Times New Roman"/>
                <w:sz w:val="20"/>
                <w:lang w:val="en-GB"/>
              </w:rPr>
              <w:t xml:space="preserve">For </w:t>
            </w:r>
            <w:r w:rsidR="00FA58EB">
              <w:rPr>
                <w:rFonts w:ascii="Times New Roman" w:hAnsi="Times New Roman"/>
                <w:sz w:val="20"/>
                <w:u w:val="single"/>
                <w:lang w:val="en-GB"/>
              </w:rPr>
              <w:t>r</w:t>
            </w:r>
            <w:r w:rsidR="00007677">
              <w:rPr>
                <w:rFonts w:ascii="Times New Roman" w:hAnsi="Times New Roman"/>
                <w:sz w:val="20"/>
                <w:u w:val="single"/>
                <w:lang w:val="en-GB"/>
              </w:rPr>
              <w:t>ightholders</w:t>
            </w:r>
            <w:r w:rsidRPr="00BB18FC">
              <w:rPr>
                <w:rFonts w:ascii="Times New Roman" w:hAnsi="Times New Roman"/>
                <w:sz w:val="20"/>
                <w:lang w:val="en-GB"/>
              </w:rPr>
              <w:t xml:space="preserve">, the most relevant impacts are </w:t>
            </w:r>
            <w:r w:rsidRPr="00BB18FC">
              <w:rPr>
                <w:rFonts w:ascii="Times New Roman" w:hAnsi="Times New Roman"/>
                <w:b/>
                <w:sz w:val="20"/>
                <w:lang w:val="en-GB"/>
              </w:rPr>
              <w:t>economic impacts</w:t>
            </w:r>
            <w:r w:rsidRPr="00BB18FC">
              <w:rPr>
                <w:rFonts w:ascii="Times New Roman" w:hAnsi="Times New Roman"/>
                <w:sz w:val="20"/>
                <w:lang w:val="en-GB"/>
              </w:rPr>
              <w:t xml:space="preserve"> related to licensing revenues. Since educational publishers play a particular role in the production of educational content (including content developed and distributed in a digital form), specific impacts on the educational publishing market are considered where relevant.</w:t>
            </w:r>
            <w:r w:rsidRPr="00BB18FC">
              <w:rPr>
                <w:rStyle w:val="FootnoteReference"/>
                <w:rFonts w:ascii="Times New Roman" w:hAnsi="Times New Roman"/>
                <w:sz w:val="20"/>
              </w:rPr>
              <w:footnoteReference w:id="285"/>
            </w:r>
            <w:r w:rsidRPr="00BB18FC">
              <w:rPr>
                <w:rFonts w:ascii="Times New Roman" w:hAnsi="Times New Roman"/>
                <w:sz w:val="20"/>
                <w:lang w:val="en-GB"/>
              </w:rPr>
              <w:t xml:space="preserve"> </w:t>
            </w:r>
          </w:p>
          <w:p w:rsidR="00952EB0" w:rsidRPr="00BB18FC" w:rsidRDefault="00952EB0" w:rsidP="00C32C45">
            <w:pPr>
              <w:tabs>
                <w:tab w:val="left" w:pos="0"/>
              </w:tabs>
              <w:jc w:val="both"/>
              <w:rPr>
                <w:rFonts w:ascii="Times New Roman" w:hAnsi="Times New Roman"/>
                <w:sz w:val="20"/>
                <w:szCs w:val="20"/>
              </w:rPr>
            </w:pPr>
            <w:r w:rsidRPr="00BB18FC">
              <w:rPr>
                <w:rFonts w:ascii="Times New Roman" w:hAnsi="Times New Roman"/>
                <w:sz w:val="20"/>
                <w:szCs w:val="20"/>
              </w:rPr>
              <w:t>The policy options are also assessed in relation to their</w:t>
            </w:r>
            <w:r w:rsidRPr="00BB18FC">
              <w:rPr>
                <w:rFonts w:ascii="Times New Roman" w:hAnsi="Times New Roman"/>
                <w:b/>
                <w:sz w:val="20"/>
                <w:szCs w:val="20"/>
              </w:rPr>
              <w:t xml:space="preserve"> social impacts </w:t>
            </w:r>
            <w:r w:rsidRPr="00BB18FC">
              <w:rPr>
                <w:rFonts w:ascii="Times New Roman" w:hAnsi="Times New Roman"/>
                <w:sz w:val="20"/>
                <w:szCs w:val="20"/>
              </w:rPr>
              <w:t xml:space="preserve">on cultural diversity, digital education and digital skills, as well as to their impacts on </w:t>
            </w:r>
            <w:r w:rsidRPr="00BB18FC">
              <w:rPr>
                <w:rFonts w:ascii="Times New Roman" w:hAnsi="Times New Roman"/>
                <w:b/>
                <w:sz w:val="20"/>
                <w:szCs w:val="20"/>
              </w:rPr>
              <w:t>fundamental rights</w:t>
            </w:r>
            <w:r w:rsidRPr="00BB18FC">
              <w:rPr>
                <w:rFonts w:ascii="Times New Roman" w:hAnsi="Times New Roman"/>
                <w:sz w:val="20"/>
                <w:szCs w:val="20"/>
              </w:rPr>
              <w:t xml:space="preserve"> (property right and right to education). </w:t>
            </w:r>
          </w:p>
          <w:p w:rsidR="00952EB0" w:rsidRPr="009E58C4" w:rsidRDefault="00952EB0" w:rsidP="00952EB0">
            <w:pPr>
              <w:tabs>
                <w:tab w:val="left" w:pos="0"/>
              </w:tabs>
              <w:jc w:val="both"/>
              <w:rPr>
                <w:rFonts w:ascii="Times New Roman" w:hAnsi="Times New Roman"/>
                <w:szCs w:val="20"/>
                <w:lang w:eastAsia="en-GB"/>
              </w:rPr>
            </w:pPr>
            <w:r w:rsidRPr="00BB18FC">
              <w:rPr>
                <w:rFonts w:ascii="Times New Roman" w:hAnsi="Times New Roman"/>
                <w:sz w:val="20"/>
                <w:szCs w:val="20"/>
                <w:lang w:eastAsia="en-GB"/>
              </w:rPr>
              <w:t>The assessment below is mainly qualitative, as the data publicly available or that could be obtained from stakeholders on compensation or licensing of educational uses is limited. Quantitative estimates are elaborated where possible, on the basis of available data.</w:t>
            </w:r>
            <w:r>
              <w:rPr>
                <w:rFonts w:ascii="Times New Roman" w:hAnsi="Times New Roman"/>
                <w:szCs w:val="20"/>
                <w:lang w:eastAsia="en-GB"/>
              </w:rPr>
              <w:t xml:space="preserve"> </w:t>
            </w:r>
          </w:p>
        </w:tc>
      </w:tr>
    </w:tbl>
    <w:p w:rsidR="00952EB0" w:rsidRPr="009E5833" w:rsidRDefault="00952EB0" w:rsidP="00A77F7A">
      <w:pPr>
        <w:pStyle w:val="Text1"/>
        <w:ind w:left="0"/>
        <w:rPr>
          <w:rFonts w:eastAsia="Arial Unicode MS"/>
          <w:b/>
          <w:bCs/>
          <w:color w:val="000000"/>
          <w:szCs w:val="24"/>
          <w:u w:val="single"/>
          <w:bdr w:val="nil"/>
        </w:rPr>
      </w:pPr>
      <w:r>
        <w:rPr>
          <w:rFonts w:eastAsia="Arial Unicode MS"/>
          <w:b/>
          <w:bCs/>
          <w:color w:val="000000"/>
          <w:szCs w:val="24"/>
          <w:u w:val="single"/>
          <w:bdr w:val="nil"/>
        </w:rPr>
        <w:t>Baseline</w:t>
      </w:r>
    </w:p>
    <w:p w:rsidR="00952EB0" w:rsidRPr="00C32C45" w:rsidRDefault="00952EB0" w:rsidP="00A77F7A">
      <w:pPr>
        <w:pStyle w:val="Text1"/>
        <w:ind w:left="0"/>
        <w:rPr>
          <w:rFonts w:eastAsia="Arial Unicode MS"/>
          <w:b/>
          <w:szCs w:val="24"/>
          <w:bdr w:val="nil"/>
        </w:rPr>
      </w:pPr>
      <w:r w:rsidRPr="00C32C45">
        <w:rPr>
          <w:rFonts w:ascii="Times New Roman Bold" w:eastAsia="Arial Unicode MS" w:hAnsi="Times New Roman Bold"/>
          <w:b/>
          <w:smallCaps/>
          <w:szCs w:val="24"/>
          <w:bdr w:val="nil"/>
        </w:rPr>
        <w:t xml:space="preserve">Impacts on </w:t>
      </w:r>
      <w:r w:rsidRPr="00A77F7A">
        <w:rPr>
          <w:rFonts w:ascii="Times New Roman Bold" w:eastAsia="Arial Unicode MS" w:hAnsi="Times New Roman Bold"/>
          <w:b/>
          <w:smallCaps/>
          <w:szCs w:val="24"/>
          <w:bdr w:val="none" w:sz="0" w:space="0" w:color="auto" w:frame="1"/>
        </w:rPr>
        <w:t>stakeholders</w:t>
      </w:r>
    </w:p>
    <w:p w:rsidR="00952EB0" w:rsidRDefault="00952EB0" w:rsidP="00A77F7A">
      <w:pPr>
        <w:pStyle w:val="Text1"/>
        <w:spacing w:before="0"/>
        <w:ind w:left="0"/>
        <w:rPr>
          <w:i/>
        </w:rPr>
      </w:pPr>
      <w:r w:rsidRPr="00A77F7A">
        <w:rPr>
          <w:b/>
          <w:szCs w:val="24"/>
        </w:rPr>
        <w:t>Institutional</w:t>
      </w:r>
      <w:r w:rsidRPr="001B63E5">
        <w:rPr>
          <w:b/>
        </w:rPr>
        <w:t xml:space="preserve"> users</w:t>
      </w:r>
      <w:r>
        <w:rPr>
          <w:b/>
        </w:rPr>
        <w:t xml:space="preserve"> and other related users (educational establishments, teachers, students)</w:t>
      </w:r>
    </w:p>
    <w:p w:rsidR="00952EB0" w:rsidRPr="009E58C4" w:rsidRDefault="00952EB0" w:rsidP="00A77F7A">
      <w:pPr>
        <w:pStyle w:val="Default"/>
        <w:widowControl w:val="0"/>
        <w:spacing w:after="120"/>
        <w:jc w:val="both"/>
        <w:rPr>
          <w:i/>
          <w:szCs w:val="20"/>
          <w:lang w:eastAsia="en-GB"/>
        </w:rPr>
      </w:pPr>
      <w:r w:rsidRPr="00105CBA">
        <w:rPr>
          <w:u w:val="single"/>
        </w:rPr>
        <w:t xml:space="preserve">Impacts on </w:t>
      </w:r>
      <w:r>
        <w:rPr>
          <w:u w:val="single"/>
        </w:rPr>
        <w:t xml:space="preserve">legal certainty for </w:t>
      </w:r>
      <w:r w:rsidRPr="00105CBA">
        <w:rPr>
          <w:u w:val="single"/>
        </w:rPr>
        <w:t xml:space="preserve">digital and cross-border </w:t>
      </w:r>
      <w:r>
        <w:rPr>
          <w:u w:val="single"/>
        </w:rPr>
        <w:t>education</w:t>
      </w:r>
      <w:r w:rsidRPr="00FA3FE1">
        <w:t>:</w:t>
      </w:r>
      <w:r>
        <w:rPr>
          <w:i/>
        </w:rPr>
        <w:t xml:space="preserve"> </w:t>
      </w:r>
      <w:r>
        <w:rPr>
          <w:szCs w:val="20"/>
          <w:lang w:eastAsia="en-GB"/>
        </w:rPr>
        <w:t xml:space="preserve">The legal uncertainty faced by educational establishments and teachers in certain MS for digital uses is expected to persist under the baseline option. Only reforms at national level or developments in the licensing market could contribute to reduce it. A certain number of MS (e.g. </w:t>
      </w:r>
      <w:r w:rsidR="00B1145D">
        <w:rPr>
          <w:szCs w:val="20"/>
          <w:lang w:eastAsia="en-GB"/>
        </w:rPr>
        <w:t>ES</w:t>
      </w:r>
      <w:r>
        <w:rPr>
          <w:szCs w:val="20"/>
          <w:lang w:eastAsia="en-GB"/>
        </w:rPr>
        <w:t xml:space="preserve">, UK) have recently amended </w:t>
      </w:r>
      <w:r w:rsidRPr="00A77F7A">
        <w:rPr>
          <w:rFonts w:eastAsia="Times New Roman"/>
          <w:szCs w:val="20"/>
          <w:lang w:eastAsia="en-GB"/>
        </w:rPr>
        <w:t>their</w:t>
      </w:r>
      <w:r>
        <w:rPr>
          <w:szCs w:val="20"/>
          <w:lang w:eastAsia="en-GB"/>
        </w:rPr>
        <w:t xml:space="preserve"> legislation to clarify that the teaching exception applies to content used in secure electronic environments. Other MS may follow, however it is unlikely that all MS would engage in similar reforms and in any event such reforms would not result in an exception applicable across borders. In MS where specific educational licensing schemes are in place, CMOs may propose to review the scope of the licences to better respond to the needs of educational establishments, for example as regards digital and online uses. However they may not always be able to licence cross-border uses (if they don't have the </w:t>
      </w:r>
      <w:r w:rsidR="00687496">
        <w:rPr>
          <w:szCs w:val="20"/>
          <w:lang w:eastAsia="en-GB"/>
        </w:rPr>
        <w:t>r</w:t>
      </w:r>
      <w:r w:rsidR="00007677">
        <w:rPr>
          <w:szCs w:val="20"/>
          <w:lang w:eastAsia="en-GB"/>
        </w:rPr>
        <w:t>ightholders</w:t>
      </w:r>
      <w:r>
        <w:rPr>
          <w:szCs w:val="20"/>
          <w:lang w:eastAsia="en-GB"/>
        </w:rPr>
        <w:t xml:space="preserve">' mandate for all EU territories). Furthermore, solutions based on collective licensing may not be fit for all types of works (e.g. </w:t>
      </w:r>
      <w:r w:rsidR="00F506EA">
        <w:rPr>
          <w:szCs w:val="20"/>
          <w:lang w:eastAsia="en-GB"/>
        </w:rPr>
        <w:t xml:space="preserve">AV </w:t>
      </w:r>
      <w:r>
        <w:rPr>
          <w:szCs w:val="20"/>
          <w:lang w:eastAsia="en-GB"/>
        </w:rPr>
        <w:t>works). In the MS where the uncertainty would persist, teachers would be deterred from using protected content in digital teaching activities, beyond what is allowed for under existing licences. They may instead increasingly use OERs available under open licences, which however may not fully cover their needs, in terms of quality and variety of educational materials.</w:t>
      </w:r>
      <w:r>
        <w:rPr>
          <w:rStyle w:val="FootnoteReference"/>
          <w:szCs w:val="20"/>
          <w:lang w:eastAsia="en-GB"/>
        </w:rPr>
        <w:footnoteReference w:id="286"/>
      </w:r>
      <w:r>
        <w:rPr>
          <w:szCs w:val="20"/>
          <w:lang w:eastAsia="en-GB"/>
        </w:rPr>
        <w:t xml:space="preserve"> </w:t>
      </w:r>
    </w:p>
    <w:p w:rsidR="00952EB0" w:rsidRDefault="00952EB0" w:rsidP="00A77F7A">
      <w:pPr>
        <w:pStyle w:val="Default"/>
        <w:widowControl w:val="0"/>
        <w:spacing w:after="120"/>
        <w:jc w:val="both"/>
      </w:pPr>
      <w:r>
        <w:rPr>
          <w:szCs w:val="20"/>
          <w:lang w:eastAsia="en-GB"/>
        </w:rPr>
        <w:t>Under this option, cross-border uses of protected content would remain subject to legal uncertainty. This aspect would constitute a significant obstacle for higher education institutions proposing distance learning programmes followed by students located in other MS.</w:t>
      </w:r>
      <w:r>
        <w:rPr>
          <w:rStyle w:val="FootnoteReference"/>
          <w:szCs w:val="20"/>
          <w:lang w:eastAsia="en-GB"/>
        </w:rPr>
        <w:footnoteReference w:id="287"/>
      </w:r>
      <w:r>
        <w:rPr>
          <w:szCs w:val="20"/>
          <w:lang w:eastAsia="en-GB"/>
        </w:rPr>
        <w:t xml:space="preserve"> </w:t>
      </w:r>
      <w:r>
        <w:t xml:space="preserve">Enrolled students </w:t>
      </w:r>
      <w:r w:rsidRPr="00A77F7A">
        <w:rPr>
          <w:rFonts w:eastAsia="Times New Roman"/>
          <w:szCs w:val="20"/>
          <w:lang w:eastAsia="en-GB"/>
        </w:rPr>
        <w:t>may</w:t>
      </w:r>
      <w:r>
        <w:t xml:space="preserve"> be disadvantaged by having a limited access to teaching materials.  </w:t>
      </w:r>
    </w:p>
    <w:p w:rsidR="00952EB0" w:rsidRPr="009E58C4" w:rsidRDefault="00952EB0" w:rsidP="00A77F7A">
      <w:pPr>
        <w:pStyle w:val="Default"/>
        <w:widowControl w:val="0"/>
        <w:spacing w:after="120"/>
        <w:jc w:val="both"/>
      </w:pPr>
      <w:r w:rsidRPr="00BF753D">
        <w:rPr>
          <w:u w:val="single"/>
        </w:rPr>
        <w:t>Impacts on costs</w:t>
      </w:r>
      <w:r>
        <w:rPr>
          <w:u w:val="single"/>
        </w:rPr>
        <w:t xml:space="preserve"> for educational establishments</w:t>
      </w:r>
      <w:r w:rsidRPr="009E58C4">
        <w:t xml:space="preserve">: The baseline option would not </w:t>
      </w:r>
      <w:r>
        <w:t>have any direct impacts on</w:t>
      </w:r>
      <w:r w:rsidRPr="009E58C4">
        <w:t xml:space="preserve"> costs. </w:t>
      </w:r>
      <w:r>
        <w:t xml:space="preserve">Where digital and cross-border uses are not allowed under the teaching exception or under </w:t>
      </w:r>
      <w:r w:rsidRPr="00A77F7A">
        <w:rPr>
          <w:rFonts w:eastAsia="Times New Roman"/>
          <w:szCs w:val="20"/>
          <w:lang w:eastAsia="en-GB"/>
        </w:rPr>
        <w:t>specific</w:t>
      </w:r>
      <w:r>
        <w:t xml:space="preserve"> licensing schemes, educational establishments would continue facing transaction costs to obtain the necessary authorisations. </w:t>
      </w:r>
    </w:p>
    <w:p w:rsidR="00952EB0" w:rsidRDefault="00007677" w:rsidP="00A77F7A">
      <w:pPr>
        <w:pStyle w:val="Text1"/>
        <w:spacing w:before="0"/>
        <w:ind w:left="0"/>
        <w:rPr>
          <w:b/>
        </w:rPr>
      </w:pPr>
      <w:r>
        <w:rPr>
          <w:b/>
        </w:rPr>
        <w:t>Rightholders</w:t>
      </w:r>
    </w:p>
    <w:p w:rsidR="00952EB0" w:rsidRDefault="00952EB0" w:rsidP="00A77F7A">
      <w:pPr>
        <w:pStyle w:val="Default"/>
        <w:widowControl w:val="0"/>
        <w:spacing w:after="120"/>
        <w:jc w:val="both"/>
      </w:pPr>
      <w:r>
        <w:rPr>
          <w:u w:val="single"/>
        </w:rPr>
        <w:t>Impacts on licensing revenues</w:t>
      </w:r>
      <w:r w:rsidRPr="00FA3FE1">
        <w:t xml:space="preserve">: </w:t>
      </w:r>
      <w:r>
        <w:t xml:space="preserve">Under the baseline option, the ability of </w:t>
      </w:r>
      <w:r w:rsidR="00687496">
        <w:t>r</w:t>
      </w:r>
      <w:r w:rsidR="00007677">
        <w:t>ightholders</w:t>
      </w:r>
      <w:r>
        <w:t xml:space="preserve"> to generate revenues from educational uses would continue to vary from a MS to another, depending on the scope of the teaching exception, the mechanisms foreseen for the compensation of </w:t>
      </w:r>
      <w:r w:rsidR="00687496">
        <w:t>r</w:t>
      </w:r>
      <w:r w:rsidR="00007677">
        <w:t>ightholders</w:t>
      </w:r>
      <w:r>
        <w:t xml:space="preserve"> for uses under the exception, and the licences covering additional uses.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Social impacts</w:t>
      </w:r>
    </w:p>
    <w:p w:rsidR="00952EB0" w:rsidRPr="00672F6D" w:rsidRDefault="00952EB0" w:rsidP="00A77F7A">
      <w:pPr>
        <w:pStyle w:val="Default"/>
        <w:widowControl w:val="0"/>
        <w:spacing w:after="120"/>
        <w:jc w:val="both"/>
      </w:pPr>
      <w:r>
        <w:t xml:space="preserve">The legal uncertainty on the use of protected content could </w:t>
      </w:r>
      <w:r w:rsidR="003803C0">
        <w:t xml:space="preserve">contribute to </w:t>
      </w:r>
      <w:r>
        <w:t xml:space="preserve">slow down the development of </w:t>
      </w:r>
      <w:r w:rsidRPr="00C32C45">
        <w:t xml:space="preserve">digital and cross-border education and indirectly the acquisition of digital skills, which are essential in the information society; however many other factors may more strongly influence such development (e.g. availability of broadband connections in schools, IT equipment, teachers' </w:t>
      </w:r>
      <w:r w:rsidR="003803C0">
        <w:t>digital skills</w:t>
      </w:r>
      <w:r w:rsidRPr="00C32C45">
        <w:t>, etc</w:t>
      </w:r>
      <w:r w:rsidR="00B1145D">
        <w:t>.</w:t>
      </w:r>
      <w:r w:rsidRPr="00C32C45">
        <w:t xml:space="preserve">). </w:t>
      </w:r>
    </w:p>
    <w:p w:rsidR="00952EB0" w:rsidRDefault="00952EB0" w:rsidP="00190031">
      <w:pPr>
        <w:spacing w:after="120" w:line="240" w:lineRule="auto"/>
        <w:jc w:val="both"/>
        <w:rPr>
          <w:rFonts w:ascii="Times New Roman" w:hAnsi="Times New Roman"/>
          <w:sz w:val="24"/>
          <w:szCs w:val="24"/>
        </w:rPr>
      </w:pPr>
      <w:r w:rsidRPr="00672F6D">
        <w:rPr>
          <w:rFonts w:ascii="Times New Roman" w:hAnsi="Times New Roman"/>
          <w:sz w:val="24"/>
          <w:szCs w:val="24"/>
        </w:rPr>
        <w:t>The access to a wide range of cultural materials to illustrate or complement teaching is an important element to promote cultural diversity. The baseline option may, to a minor extent, negatively affect cultural diversity as it could</w:t>
      </w:r>
      <w:r>
        <w:rPr>
          <w:rFonts w:ascii="Times New Roman" w:hAnsi="Times New Roman"/>
          <w:sz w:val="24"/>
          <w:szCs w:val="24"/>
        </w:rPr>
        <w:t xml:space="preserve"> limit the ability of teachers to use such illustrative content in digital teaching practices.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undamental rights</w:t>
      </w:r>
    </w:p>
    <w:p w:rsidR="00952EB0" w:rsidRPr="00CA59FD" w:rsidRDefault="00952EB0" w:rsidP="00190031">
      <w:pPr>
        <w:spacing w:after="120" w:line="240" w:lineRule="auto"/>
        <w:jc w:val="both"/>
        <w:rPr>
          <w:rFonts w:ascii="Times New Roman" w:hAnsi="Times New Roman"/>
          <w:i/>
          <w:sz w:val="24"/>
          <w:szCs w:val="24"/>
        </w:rPr>
      </w:pPr>
      <w:r w:rsidRPr="004040C8">
        <w:rPr>
          <w:rFonts w:ascii="Times New Roman" w:hAnsi="Times New Roman"/>
          <w:sz w:val="24"/>
          <w:szCs w:val="24"/>
        </w:rPr>
        <w:t xml:space="preserve">This option </w:t>
      </w:r>
      <w:r>
        <w:rPr>
          <w:rFonts w:ascii="Times New Roman" w:hAnsi="Times New Roman"/>
          <w:sz w:val="24"/>
          <w:szCs w:val="24"/>
        </w:rPr>
        <w:t xml:space="preserve">would </w:t>
      </w:r>
      <w:r w:rsidRPr="004040C8">
        <w:rPr>
          <w:rFonts w:ascii="Times New Roman" w:hAnsi="Times New Roman"/>
          <w:sz w:val="24"/>
          <w:szCs w:val="24"/>
        </w:rPr>
        <w:t xml:space="preserve">not have </w:t>
      </w:r>
      <w:r>
        <w:rPr>
          <w:rFonts w:ascii="Times New Roman" w:hAnsi="Times New Roman"/>
          <w:sz w:val="24"/>
          <w:szCs w:val="24"/>
        </w:rPr>
        <w:t xml:space="preserve">any </w:t>
      </w:r>
      <w:r w:rsidRPr="004040C8">
        <w:rPr>
          <w:rFonts w:ascii="Times New Roman" w:hAnsi="Times New Roman"/>
          <w:sz w:val="24"/>
          <w:szCs w:val="24"/>
        </w:rPr>
        <w:t xml:space="preserve">impact on copyright as a </w:t>
      </w:r>
      <w:r w:rsidRPr="00672F6D">
        <w:rPr>
          <w:rFonts w:ascii="Times New Roman" w:hAnsi="Times New Roman"/>
          <w:sz w:val="24"/>
          <w:szCs w:val="24"/>
        </w:rPr>
        <w:t>property right</w:t>
      </w:r>
      <w:r w:rsidR="001E637F">
        <w:rPr>
          <w:rFonts w:ascii="Times New Roman" w:hAnsi="Times New Roman"/>
          <w:sz w:val="24"/>
          <w:szCs w:val="24"/>
        </w:rPr>
        <w:t xml:space="preserve"> (A</w:t>
      </w:r>
      <w:r>
        <w:rPr>
          <w:rFonts w:ascii="Times New Roman" w:hAnsi="Times New Roman"/>
          <w:sz w:val="24"/>
          <w:szCs w:val="24"/>
        </w:rPr>
        <w:t>rticle 17 of the Charter)</w:t>
      </w:r>
      <w:r w:rsidRPr="004040C8">
        <w:rPr>
          <w:rFonts w:ascii="Times New Roman" w:hAnsi="Times New Roman"/>
          <w:sz w:val="24"/>
          <w:szCs w:val="24"/>
        </w:rPr>
        <w:t>, as it would not expand the scope of the existing teaching exception</w:t>
      </w:r>
      <w:r>
        <w:rPr>
          <w:rFonts w:ascii="Times New Roman" w:hAnsi="Times New Roman"/>
          <w:i/>
          <w:sz w:val="24"/>
          <w:szCs w:val="24"/>
        </w:rPr>
        <w:t xml:space="preserve">. </w:t>
      </w:r>
      <w:r>
        <w:rPr>
          <w:rFonts w:ascii="Times New Roman" w:hAnsi="Times New Roman"/>
          <w:sz w:val="24"/>
          <w:szCs w:val="24"/>
        </w:rPr>
        <w:t xml:space="preserve">It may have an impact on the </w:t>
      </w:r>
      <w:r w:rsidRPr="00672F6D">
        <w:rPr>
          <w:rFonts w:ascii="Times New Roman" w:hAnsi="Times New Roman"/>
          <w:sz w:val="24"/>
          <w:szCs w:val="24"/>
        </w:rPr>
        <w:t>right to education</w:t>
      </w:r>
      <w:r>
        <w:rPr>
          <w:rFonts w:ascii="Times New Roman" w:hAnsi="Times New Roman"/>
          <w:sz w:val="24"/>
          <w:szCs w:val="24"/>
        </w:rPr>
        <w:t xml:space="preserve">, as enshrined in Article 14 of the Charter, only to the extent that the legal uncertainty faced by educational establishments would constitute an obstacle to the further development of distance learning. Distance learning plays a role in facilitating access to education, for example for people with disabilities that cannot be present on the premises of </w:t>
      </w:r>
      <w:r w:rsidRPr="00717071">
        <w:rPr>
          <w:rFonts w:ascii="Times New Roman" w:hAnsi="Times New Roman"/>
          <w:sz w:val="24"/>
          <w:szCs w:val="24"/>
        </w:rPr>
        <w:t>educational establishment</w:t>
      </w:r>
      <w:r>
        <w:rPr>
          <w:rFonts w:ascii="Times New Roman" w:hAnsi="Times New Roman"/>
          <w:sz w:val="24"/>
          <w:szCs w:val="24"/>
        </w:rPr>
        <w:t>s or people pursuing further education while working.</w:t>
      </w:r>
      <w:r>
        <w:rPr>
          <w:rStyle w:val="FootnoteReference"/>
          <w:rFonts w:ascii="Times New Roman" w:hAnsi="Times New Roman"/>
          <w:sz w:val="24"/>
          <w:szCs w:val="24"/>
        </w:rPr>
        <w:footnoteReference w:id="288"/>
      </w:r>
      <w:r>
        <w:rPr>
          <w:rFonts w:ascii="Times New Roman" w:hAnsi="Times New Roman"/>
          <w:sz w:val="24"/>
          <w:szCs w:val="24"/>
        </w:rPr>
        <w:t xml:space="preserve"> </w:t>
      </w:r>
    </w:p>
    <w:p w:rsidR="00952EB0" w:rsidRPr="00190031" w:rsidRDefault="00952EB0" w:rsidP="00A77F7A">
      <w:pPr>
        <w:pStyle w:val="Text1"/>
        <w:ind w:left="0"/>
        <w:rPr>
          <w:rFonts w:eastAsia="Arial Unicode MS"/>
          <w:b/>
          <w:bCs/>
          <w:color w:val="000000"/>
          <w:szCs w:val="24"/>
          <w:u w:val="single"/>
          <w:bdr w:val="nil"/>
        </w:rPr>
      </w:pPr>
      <w:r w:rsidRPr="00190031">
        <w:rPr>
          <w:rFonts w:eastAsia="Arial Unicode MS"/>
          <w:b/>
          <w:bCs/>
          <w:color w:val="000000"/>
          <w:szCs w:val="24"/>
          <w:u w:val="single"/>
          <w:bdr w:val="nil"/>
        </w:rPr>
        <w:t xml:space="preserve">Option 1 </w:t>
      </w:r>
      <w:r w:rsidRPr="00A77F7A">
        <w:rPr>
          <w:rFonts w:eastAsia="Arial Unicode MS"/>
          <w:b/>
          <w:bCs/>
          <w:color w:val="000000"/>
          <w:szCs w:val="24"/>
          <w:u w:val="single"/>
          <w:bdr w:val="nil"/>
        </w:rPr>
        <w:t>–</w:t>
      </w:r>
      <w:r w:rsidRPr="00190031">
        <w:rPr>
          <w:rFonts w:eastAsia="Arial Unicode MS"/>
          <w:b/>
          <w:bCs/>
          <w:color w:val="000000"/>
          <w:szCs w:val="24"/>
          <w:u w:val="single"/>
          <w:bdr w:val="nil"/>
        </w:rPr>
        <w:t xml:space="preserve"> Guidance to MS and stakeholders' dialogue on raising awareness in the education community on the use of protected works for teaching purposes</w:t>
      </w:r>
    </w:p>
    <w:p w:rsidR="00952EB0" w:rsidRDefault="00952EB0" w:rsidP="00A77F7A">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952EB0" w:rsidRDefault="00952EB0" w:rsidP="00A77F7A">
      <w:pPr>
        <w:pStyle w:val="Text1"/>
        <w:spacing w:before="0"/>
        <w:ind w:left="0"/>
      </w:pPr>
      <w:r w:rsidRPr="000A2A62">
        <w:rPr>
          <w:b/>
        </w:rPr>
        <w:t xml:space="preserve">Institutional users </w:t>
      </w:r>
      <w:r>
        <w:rPr>
          <w:b/>
        </w:rPr>
        <w:t xml:space="preserve">and other related users </w:t>
      </w:r>
      <w:r w:rsidRPr="000A2A62">
        <w:rPr>
          <w:b/>
        </w:rPr>
        <w:t>(educational establishments, teachers</w:t>
      </w:r>
      <w:r>
        <w:rPr>
          <w:b/>
        </w:rPr>
        <w:t>, students</w:t>
      </w:r>
      <w:r w:rsidRPr="000A2A62">
        <w:rPr>
          <w:b/>
        </w:rPr>
        <w:t>)</w:t>
      </w:r>
    </w:p>
    <w:p w:rsidR="00952EB0" w:rsidRDefault="00952EB0" w:rsidP="00952EB0">
      <w:pPr>
        <w:spacing w:after="120" w:line="240" w:lineRule="auto"/>
        <w:jc w:val="both"/>
        <w:rPr>
          <w:rFonts w:ascii="Times New Roman" w:hAnsi="Times New Roman"/>
          <w:sz w:val="24"/>
          <w:szCs w:val="24"/>
        </w:rPr>
      </w:pPr>
      <w:r w:rsidRPr="00105CBA">
        <w:rPr>
          <w:rFonts w:ascii="Times New Roman" w:hAnsi="Times New Roman"/>
          <w:sz w:val="24"/>
          <w:szCs w:val="24"/>
          <w:u w:val="single"/>
        </w:rPr>
        <w:t xml:space="preserve">Impacts on </w:t>
      </w:r>
      <w:r>
        <w:rPr>
          <w:rFonts w:ascii="Times New Roman" w:hAnsi="Times New Roman"/>
          <w:sz w:val="24"/>
          <w:szCs w:val="24"/>
          <w:u w:val="single"/>
        </w:rPr>
        <w:t xml:space="preserve">legal certainty for </w:t>
      </w:r>
      <w:r w:rsidRPr="00105CBA">
        <w:rPr>
          <w:rFonts w:ascii="Times New Roman" w:hAnsi="Times New Roman"/>
          <w:sz w:val="24"/>
          <w:szCs w:val="24"/>
          <w:u w:val="single"/>
        </w:rPr>
        <w:t>digital and cross-border education</w:t>
      </w:r>
      <w:r w:rsidRPr="00FA3FE1">
        <w:rPr>
          <w:rFonts w:ascii="Times New Roman" w:hAnsi="Times New Roman"/>
          <w:sz w:val="24"/>
          <w:szCs w:val="24"/>
        </w:rPr>
        <w:t>:</w:t>
      </w:r>
      <w:r>
        <w:rPr>
          <w:rFonts w:ascii="Times New Roman" w:hAnsi="Times New Roman"/>
          <w:i/>
          <w:sz w:val="24"/>
          <w:szCs w:val="24"/>
        </w:rPr>
        <w:t xml:space="preserve"> </w:t>
      </w:r>
      <w:r w:rsidRPr="000A2A62">
        <w:rPr>
          <w:rFonts w:ascii="Times New Roman" w:hAnsi="Times New Roman"/>
          <w:sz w:val="24"/>
          <w:szCs w:val="24"/>
        </w:rPr>
        <w:t xml:space="preserve">Option </w:t>
      </w:r>
      <w:r>
        <w:rPr>
          <w:rFonts w:ascii="Times New Roman" w:hAnsi="Times New Roman"/>
          <w:sz w:val="24"/>
          <w:szCs w:val="24"/>
        </w:rPr>
        <w:t>1</w:t>
      </w:r>
      <w:r w:rsidRPr="000A2A62">
        <w:rPr>
          <w:rFonts w:ascii="Times New Roman" w:hAnsi="Times New Roman"/>
          <w:sz w:val="24"/>
          <w:szCs w:val="24"/>
        </w:rPr>
        <w:t xml:space="preserve"> would allow reducing, to a certain extent, the current legal uncertainty faced by educational establishments and teachers in the digital environment. The actual impact w</w:t>
      </w:r>
      <w:r>
        <w:rPr>
          <w:rFonts w:ascii="Times New Roman" w:hAnsi="Times New Roman"/>
          <w:sz w:val="24"/>
          <w:szCs w:val="24"/>
        </w:rPr>
        <w:t>ould</w:t>
      </w:r>
      <w:r w:rsidRPr="000A2A62">
        <w:rPr>
          <w:rFonts w:ascii="Times New Roman" w:hAnsi="Times New Roman"/>
          <w:sz w:val="24"/>
          <w:szCs w:val="24"/>
        </w:rPr>
        <w:t xml:space="preserve"> depend on actions taken by </w:t>
      </w:r>
      <w:r>
        <w:rPr>
          <w:rFonts w:ascii="Times New Roman" w:hAnsi="Times New Roman"/>
          <w:sz w:val="24"/>
          <w:szCs w:val="24"/>
        </w:rPr>
        <w:t>MS</w:t>
      </w:r>
      <w:r w:rsidRPr="000A2A62">
        <w:rPr>
          <w:rFonts w:ascii="Times New Roman" w:hAnsi="Times New Roman"/>
          <w:sz w:val="24"/>
          <w:szCs w:val="24"/>
        </w:rPr>
        <w:t xml:space="preserve"> </w:t>
      </w:r>
      <w:r>
        <w:rPr>
          <w:rFonts w:ascii="Times New Roman" w:hAnsi="Times New Roman"/>
          <w:sz w:val="24"/>
          <w:szCs w:val="24"/>
        </w:rPr>
        <w:t>following</w:t>
      </w:r>
      <w:r w:rsidRPr="000A2A62">
        <w:rPr>
          <w:rFonts w:ascii="Times New Roman" w:hAnsi="Times New Roman"/>
          <w:sz w:val="24"/>
          <w:szCs w:val="24"/>
        </w:rPr>
        <w:t xml:space="preserve"> the guidance provided by the Commission</w:t>
      </w:r>
      <w:r>
        <w:rPr>
          <w:rFonts w:ascii="Times New Roman" w:hAnsi="Times New Roman"/>
          <w:sz w:val="24"/>
          <w:szCs w:val="24"/>
        </w:rPr>
        <w:t xml:space="preserve">. In the best-case scenario, Option 1 could result in digital uses being allowed under the national implementations of the teaching exception; however this would not be sufficient to provide cross-border effect for the use of protected content under the exception. </w:t>
      </w:r>
    </w:p>
    <w:p w:rsidR="00952EB0" w:rsidRDefault="00952EB0" w:rsidP="00952EB0">
      <w:pPr>
        <w:spacing w:after="120" w:line="240" w:lineRule="auto"/>
        <w:jc w:val="both"/>
        <w:rPr>
          <w:rFonts w:ascii="Times New Roman" w:hAnsi="Times New Roman"/>
          <w:sz w:val="24"/>
          <w:szCs w:val="24"/>
        </w:rPr>
      </w:pPr>
      <w:r w:rsidRPr="000A2A62">
        <w:rPr>
          <w:rFonts w:ascii="Times New Roman" w:hAnsi="Times New Roman"/>
          <w:sz w:val="24"/>
          <w:szCs w:val="24"/>
        </w:rPr>
        <w:t xml:space="preserve">Efforts to raise awareness among teachers </w:t>
      </w:r>
      <w:r>
        <w:rPr>
          <w:rFonts w:ascii="Times New Roman" w:hAnsi="Times New Roman"/>
          <w:sz w:val="24"/>
          <w:szCs w:val="24"/>
        </w:rPr>
        <w:t xml:space="preserve">and students </w:t>
      </w:r>
      <w:r w:rsidRPr="000A2A62">
        <w:rPr>
          <w:rFonts w:ascii="Times New Roman" w:hAnsi="Times New Roman"/>
          <w:sz w:val="24"/>
          <w:szCs w:val="24"/>
        </w:rPr>
        <w:t>on the scope of the exception and the uses allowed under licences could bring positive results</w:t>
      </w:r>
      <w:r>
        <w:rPr>
          <w:rFonts w:ascii="Times New Roman" w:hAnsi="Times New Roman"/>
          <w:sz w:val="24"/>
          <w:szCs w:val="24"/>
        </w:rPr>
        <w:t xml:space="preserve"> and are likely to be well accepted. In fact, teachers are often not aware of the licences purchased by their educational establishment.</w:t>
      </w:r>
      <w:r>
        <w:rPr>
          <w:rStyle w:val="FootnoteReference"/>
          <w:rFonts w:ascii="Times New Roman" w:hAnsi="Times New Roman"/>
          <w:sz w:val="24"/>
          <w:szCs w:val="24"/>
        </w:rPr>
        <w:footnoteReference w:id="289"/>
      </w:r>
      <w:r>
        <w:rPr>
          <w:rFonts w:ascii="Times New Roman" w:hAnsi="Times New Roman"/>
          <w:sz w:val="24"/>
          <w:szCs w:val="24"/>
        </w:rPr>
        <w:t xml:space="preserve"> Measures aimed at raising awareness on copyright rules were the type of solutions that gathered strongest support both from users and copy</w:t>
      </w:r>
      <w:r w:rsidR="00687496">
        <w:rPr>
          <w:rFonts w:ascii="Times New Roman" w:hAnsi="Times New Roman"/>
          <w:sz w:val="24"/>
          <w:szCs w:val="24"/>
        </w:rPr>
        <w:t xml:space="preserve"> r</w:t>
      </w:r>
      <w:r w:rsidR="00007677">
        <w:rPr>
          <w:rFonts w:ascii="Times New Roman" w:hAnsi="Times New Roman"/>
          <w:sz w:val="24"/>
          <w:szCs w:val="24"/>
        </w:rPr>
        <w:t>ightholders</w:t>
      </w:r>
      <w:r>
        <w:rPr>
          <w:rFonts w:ascii="Times New Roman" w:hAnsi="Times New Roman"/>
          <w:sz w:val="24"/>
          <w:szCs w:val="24"/>
        </w:rPr>
        <w:t xml:space="preserve"> in a recent survey.</w:t>
      </w:r>
      <w:r>
        <w:rPr>
          <w:rStyle w:val="FootnoteReference"/>
          <w:rFonts w:ascii="Times New Roman" w:hAnsi="Times New Roman"/>
          <w:sz w:val="24"/>
          <w:szCs w:val="24"/>
        </w:rPr>
        <w:footnoteReference w:id="290"/>
      </w:r>
      <w:r>
        <w:rPr>
          <w:rFonts w:ascii="Times New Roman" w:hAnsi="Times New Roman"/>
          <w:sz w:val="24"/>
          <w:szCs w:val="24"/>
        </w:rPr>
        <w:t xml:space="preserve"> </w:t>
      </w:r>
    </w:p>
    <w:p w:rsidR="00A1461B" w:rsidRDefault="00A1461B" w:rsidP="00952EB0">
      <w:pPr>
        <w:spacing w:after="120" w:line="240" w:lineRule="auto"/>
        <w:jc w:val="both"/>
        <w:rPr>
          <w:rFonts w:ascii="Times New Roman" w:hAnsi="Times New Roman"/>
          <w:sz w:val="24"/>
          <w:szCs w:val="24"/>
        </w:rPr>
      </w:pPr>
      <w:r w:rsidRPr="00BF753D">
        <w:rPr>
          <w:rFonts w:ascii="Times New Roman" w:hAnsi="Times New Roman"/>
          <w:sz w:val="24"/>
          <w:szCs w:val="24"/>
          <w:u w:val="single"/>
        </w:rPr>
        <w:t>Impacts on costs</w:t>
      </w:r>
      <w:r>
        <w:rPr>
          <w:rFonts w:ascii="Times New Roman" w:hAnsi="Times New Roman"/>
          <w:sz w:val="24"/>
          <w:szCs w:val="24"/>
          <w:u w:val="single"/>
        </w:rPr>
        <w:t xml:space="preserve"> for educational establishments</w:t>
      </w:r>
      <w:r w:rsidRPr="009E58C4">
        <w:rPr>
          <w:rFonts w:ascii="Times New Roman" w:hAnsi="Times New Roman"/>
          <w:sz w:val="24"/>
          <w:szCs w:val="24"/>
        </w:rPr>
        <w:t xml:space="preserve">: </w:t>
      </w:r>
      <w:r>
        <w:rPr>
          <w:rFonts w:ascii="Times New Roman" w:hAnsi="Times New Roman"/>
          <w:sz w:val="24"/>
          <w:szCs w:val="24"/>
        </w:rPr>
        <w:t>the transaction costs described in the baseline option could only be reduced if MS clarify the application of the exception to digital uses on the basis of the Commission's guidance.</w:t>
      </w:r>
    </w:p>
    <w:p w:rsidR="00952EB0" w:rsidRDefault="00007677" w:rsidP="00A77F7A">
      <w:pPr>
        <w:pStyle w:val="Text1"/>
        <w:spacing w:before="0"/>
        <w:ind w:left="0"/>
        <w:rPr>
          <w:i/>
          <w:szCs w:val="24"/>
        </w:rPr>
      </w:pPr>
      <w:r>
        <w:rPr>
          <w:b/>
        </w:rPr>
        <w:t>Rightholders</w:t>
      </w:r>
    </w:p>
    <w:p w:rsidR="00952EB0" w:rsidRDefault="00952EB0" w:rsidP="00190031">
      <w:pPr>
        <w:spacing w:after="120" w:line="240" w:lineRule="auto"/>
        <w:jc w:val="both"/>
        <w:rPr>
          <w:rFonts w:ascii="Times New Roman" w:hAnsi="Times New Roman"/>
          <w:sz w:val="24"/>
          <w:szCs w:val="24"/>
        </w:rPr>
      </w:pPr>
      <w:r>
        <w:rPr>
          <w:rFonts w:ascii="Times New Roman" w:hAnsi="Times New Roman"/>
          <w:sz w:val="24"/>
          <w:szCs w:val="24"/>
          <w:u w:val="single"/>
        </w:rPr>
        <w:t>Impacts on licensing revenues</w:t>
      </w:r>
      <w:r w:rsidRPr="00FA3FE1">
        <w:rPr>
          <w:rFonts w:ascii="Times New Roman" w:hAnsi="Times New Roman"/>
          <w:sz w:val="24"/>
          <w:szCs w:val="24"/>
        </w:rPr>
        <w:t>:</w:t>
      </w:r>
      <w:r>
        <w:rPr>
          <w:rFonts w:ascii="Times New Roman" w:hAnsi="Times New Roman"/>
          <w:sz w:val="24"/>
          <w:szCs w:val="24"/>
        </w:rPr>
        <w:t xml:space="preserve"> T</w:t>
      </w:r>
      <w:r w:rsidRPr="000A2A62">
        <w:rPr>
          <w:rFonts w:ascii="Times New Roman" w:hAnsi="Times New Roman"/>
          <w:sz w:val="24"/>
          <w:szCs w:val="24"/>
        </w:rPr>
        <w:t xml:space="preserve">he impacts of this option on </w:t>
      </w:r>
      <w:r w:rsidR="00687496">
        <w:rPr>
          <w:rFonts w:ascii="Times New Roman" w:hAnsi="Times New Roman"/>
          <w:sz w:val="24"/>
          <w:szCs w:val="24"/>
        </w:rPr>
        <w:t>r</w:t>
      </w:r>
      <w:r w:rsidR="00007677">
        <w:rPr>
          <w:rFonts w:ascii="Times New Roman" w:hAnsi="Times New Roman"/>
          <w:sz w:val="24"/>
          <w:szCs w:val="24"/>
        </w:rPr>
        <w:t>ightholders</w:t>
      </w:r>
      <w:r w:rsidRPr="000A2A62">
        <w:rPr>
          <w:rFonts w:ascii="Times New Roman" w:hAnsi="Times New Roman"/>
          <w:sz w:val="24"/>
          <w:szCs w:val="24"/>
        </w:rPr>
        <w:t xml:space="preserve"> are expected to be rather limited and would mainly depend on the possible changes introduced in </w:t>
      </w:r>
      <w:r>
        <w:rPr>
          <w:rFonts w:ascii="Times New Roman" w:hAnsi="Times New Roman"/>
          <w:sz w:val="24"/>
          <w:szCs w:val="24"/>
        </w:rPr>
        <w:t>MS</w:t>
      </w:r>
      <w:r w:rsidRPr="000A2A62">
        <w:rPr>
          <w:rFonts w:ascii="Times New Roman" w:hAnsi="Times New Roman"/>
          <w:sz w:val="24"/>
          <w:szCs w:val="24"/>
        </w:rPr>
        <w:t xml:space="preserve"> legislation. </w:t>
      </w:r>
      <w:r>
        <w:rPr>
          <w:rFonts w:ascii="Times New Roman" w:hAnsi="Times New Roman"/>
          <w:sz w:val="24"/>
          <w:szCs w:val="24"/>
        </w:rPr>
        <w:t xml:space="preserve">On the one hand, this option may limit the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ability to license certain types of educational uses (e.g. digital copying, scanning, posting on the school's intranet - if digital uses become covered by national exceptions). On the other hand, the dialogue with users in the education community may bring positive results in the medium to long term by reducing the cases of unauthorised uses.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 xml:space="preserve">Social impacts </w:t>
      </w:r>
    </w:p>
    <w:p w:rsidR="00952EB0" w:rsidRDefault="00952EB0" w:rsidP="00190031">
      <w:pPr>
        <w:spacing w:after="120" w:line="240" w:lineRule="auto"/>
        <w:jc w:val="both"/>
        <w:rPr>
          <w:rFonts w:ascii="Times New Roman" w:hAnsi="Times New Roman"/>
          <w:sz w:val="24"/>
          <w:szCs w:val="24"/>
        </w:rPr>
      </w:pPr>
      <w:r>
        <w:rPr>
          <w:rFonts w:ascii="Times New Roman" w:hAnsi="Times New Roman"/>
          <w:sz w:val="24"/>
          <w:szCs w:val="24"/>
        </w:rPr>
        <w:t xml:space="preserve">Option 1 could have a positive impact on the further </w:t>
      </w:r>
      <w:r w:rsidRPr="00C32C45">
        <w:rPr>
          <w:rFonts w:ascii="Times New Roman" w:hAnsi="Times New Roman"/>
          <w:sz w:val="24"/>
          <w:szCs w:val="24"/>
        </w:rPr>
        <w:t>development of digitally-supported education practices and indirectly on the acquisition of digital skills</w:t>
      </w:r>
      <w:r>
        <w:rPr>
          <w:rFonts w:ascii="Times New Roman" w:hAnsi="Times New Roman"/>
          <w:sz w:val="24"/>
          <w:szCs w:val="24"/>
        </w:rPr>
        <w:t>. The obstacles to cross-border education would nevertheless persist. T</w:t>
      </w:r>
      <w:r w:rsidRPr="000A2A62">
        <w:rPr>
          <w:rFonts w:ascii="Times New Roman" w:hAnsi="Times New Roman"/>
          <w:sz w:val="24"/>
          <w:szCs w:val="24"/>
        </w:rPr>
        <w:t xml:space="preserve">here may be some </w:t>
      </w:r>
      <w:r>
        <w:rPr>
          <w:rFonts w:ascii="Times New Roman" w:hAnsi="Times New Roman"/>
          <w:sz w:val="24"/>
          <w:szCs w:val="24"/>
        </w:rPr>
        <w:t xml:space="preserve">positive </w:t>
      </w:r>
      <w:r w:rsidRPr="000A2A62">
        <w:rPr>
          <w:rFonts w:ascii="Times New Roman" w:hAnsi="Times New Roman"/>
          <w:sz w:val="24"/>
          <w:szCs w:val="24"/>
        </w:rPr>
        <w:t>impact</w:t>
      </w:r>
      <w:r>
        <w:rPr>
          <w:rFonts w:ascii="Times New Roman" w:hAnsi="Times New Roman"/>
          <w:sz w:val="24"/>
          <w:szCs w:val="24"/>
        </w:rPr>
        <w:t>s</w:t>
      </w:r>
      <w:r w:rsidRPr="000A2A62">
        <w:rPr>
          <w:rFonts w:ascii="Times New Roman" w:hAnsi="Times New Roman"/>
          <w:sz w:val="24"/>
          <w:szCs w:val="24"/>
        </w:rPr>
        <w:t xml:space="preserve"> </w:t>
      </w:r>
      <w:r>
        <w:rPr>
          <w:rFonts w:ascii="Times New Roman" w:hAnsi="Times New Roman"/>
          <w:sz w:val="24"/>
          <w:szCs w:val="24"/>
        </w:rPr>
        <w:t xml:space="preserve">in terms of </w:t>
      </w:r>
      <w:r w:rsidRPr="00672F6D">
        <w:rPr>
          <w:rFonts w:ascii="Times New Roman" w:hAnsi="Times New Roman"/>
          <w:sz w:val="24"/>
          <w:szCs w:val="24"/>
        </w:rPr>
        <w:t>wider access to cultural works</w:t>
      </w:r>
      <w:r>
        <w:rPr>
          <w:rFonts w:ascii="Times New Roman" w:hAnsi="Times New Roman"/>
          <w:sz w:val="24"/>
          <w:szCs w:val="24"/>
        </w:rPr>
        <w:t xml:space="preserve"> as a result of</w:t>
      </w:r>
      <w:r w:rsidRPr="000A2A62">
        <w:rPr>
          <w:rFonts w:ascii="Times New Roman" w:hAnsi="Times New Roman"/>
          <w:sz w:val="24"/>
          <w:szCs w:val="24"/>
        </w:rPr>
        <w:t xml:space="preserve"> teachers' </w:t>
      </w:r>
      <w:r>
        <w:rPr>
          <w:rFonts w:ascii="Times New Roman" w:hAnsi="Times New Roman"/>
          <w:sz w:val="24"/>
          <w:szCs w:val="24"/>
        </w:rPr>
        <w:t xml:space="preserve">extended </w:t>
      </w:r>
      <w:r w:rsidRPr="000A2A62">
        <w:rPr>
          <w:rFonts w:ascii="Times New Roman" w:hAnsi="Times New Roman"/>
          <w:sz w:val="24"/>
          <w:szCs w:val="24"/>
        </w:rPr>
        <w:t>ability to use protected content in digital</w:t>
      </w:r>
      <w:r>
        <w:rPr>
          <w:rFonts w:ascii="Times New Roman" w:hAnsi="Times New Roman"/>
          <w:sz w:val="24"/>
          <w:szCs w:val="24"/>
        </w:rPr>
        <w:t xml:space="preserve"> </w:t>
      </w:r>
      <w:r w:rsidRPr="000A2A62">
        <w:rPr>
          <w:rFonts w:ascii="Times New Roman" w:hAnsi="Times New Roman"/>
          <w:sz w:val="24"/>
          <w:szCs w:val="24"/>
        </w:rPr>
        <w:t xml:space="preserve">teaching practices (depending on the extent to which </w:t>
      </w:r>
      <w:r>
        <w:rPr>
          <w:rFonts w:ascii="Times New Roman" w:hAnsi="Times New Roman"/>
          <w:sz w:val="24"/>
          <w:szCs w:val="24"/>
        </w:rPr>
        <w:t>MS</w:t>
      </w:r>
      <w:r w:rsidRPr="000A2A62">
        <w:rPr>
          <w:rFonts w:ascii="Times New Roman" w:hAnsi="Times New Roman"/>
          <w:sz w:val="24"/>
          <w:szCs w:val="24"/>
        </w:rPr>
        <w:t xml:space="preserve"> follow the guidance and/or the success of stakeholders' discussions).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undamental rights</w:t>
      </w:r>
    </w:p>
    <w:p w:rsidR="00952EB0" w:rsidRDefault="00952EB0" w:rsidP="00190031">
      <w:pPr>
        <w:spacing w:after="120" w:line="240" w:lineRule="auto"/>
        <w:jc w:val="both"/>
        <w:rPr>
          <w:rFonts w:ascii="Times New Roman" w:hAnsi="Times New Roman"/>
          <w:sz w:val="24"/>
          <w:szCs w:val="24"/>
        </w:rPr>
      </w:pPr>
      <w:r w:rsidRPr="000A2A62">
        <w:rPr>
          <w:rFonts w:ascii="Times New Roman" w:hAnsi="Times New Roman"/>
          <w:sz w:val="24"/>
          <w:szCs w:val="24"/>
        </w:rPr>
        <w:t xml:space="preserve">Option </w:t>
      </w:r>
      <w:r>
        <w:rPr>
          <w:rFonts w:ascii="Times New Roman" w:hAnsi="Times New Roman"/>
          <w:sz w:val="24"/>
          <w:szCs w:val="24"/>
        </w:rPr>
        <w:t>1</w:t>
      </w:r>
      <w:r w:rsidRPr="000A2A62">
        <w:rPr>
          <w:rFonts w:ascii="Times New Roman" w:hAnsi="Times New Roman"/>
          <w:sz w:val="24"/>
          <w:szCs w:val="24"/>
        </w:rPr>
        <w:t xml:space="preserve"> would have no direct impact on </w:t>
      </w:r>
      <w:r>
        <w:rPr>
          <w:rFonts w:ascii="Times New Roman" w:hAnsi="Times New Roman"/>
          <w:sz w:val="24"/>
          <w:szCs w:val="24"/>
        </w:rPr>
        <w:t>the</w:t>
      </w:r>
      <w:r w:rsidRPr="000A2A62">
        <w:rPr>
          <w:rFonts w:ascii="Times New Roman" w:hAnsi="Times New Roman"/>
          <w:sz w:val="24"/>
          <w:szCs w:val="24"/>
        </w:rPr>
        <w:t xml:space="preserve"> </w:t>
      </w:r>
      <w:r w:rsidRPr="00672F6D">
        <w:rPr>
          <w:rFonts w:ascii="Times New Roman" w:hAnsi="Times New Roman"/>
          <w:sz w:val="24"/>
          <w:szCs w:val="24"/>
        </w:rPr>
        <w:t>right of property, as it would not expand the scope of the existing teaching exception but provide guidance on the conditions of use of protected content under the existing exception</w:t>
      </w:r>
      <w:r w:rsidRPr="00672F6D">
        <w:rPr>
          <w:rFonts w:ascii="Times New Roman" w:hAnsi="Times New Roman"/>
          <w:i/>
          <w:sz w:val="24"/>
          <w:szCs w:val="24"/>
        </w:rPr>
        <w:t xml:space="preserve">. </w:t>
      </w:r>
      <w:r w:rsidRPr="00672F6D">
        <w:rPr>
          <w:rFonts w:ascii="Times New Roman" w:hAnsi="Times New Roman"/>
          <w:sz w:val="24"/>
          <w:szCs w:val="24"/>
        </w:rPr>
        <w:t>The impact on the right to education would be similar to the baseline option</w:t>
      </w:r>
      <w:r w:rsidRPr="00FA78BE">
        <w:rPr>
          <w:rFonts w:ascii="Times New Roman" w:hAnsi="Times New Roman"/>
          <w:sz w:val="24"/>
          <w:szCs w:val="24"/>
        </w:rPr>
        <w:t>.</w:t>
      </w:r>
      <w:r>
        <w:rPr>
          <w:rFonts w:ascii="Times New Roman" w:hAnsi="Times New Roman"/>
          <w:sz w:val="24"/>
          <w:szCs w:val="24"/>
        </w:rPr>
        <w:t xml:space="preserve"> </w:t>
      </w:r>
    </w:p>
    <w:p w:rsidR="00952EB0" w:rsidRDefault="00952EB0" w:rsidP="00A77F7A">
      <w:pPr>
        <w:pStyle w:val="Text1"/>
        <w:ind w:left="0"/>
        <w:rPr>
          <w:rFonts w:eastAsia="Arial Unicode MS"/>
          <w:b/>
          <w:bCs/>
          <w:color w:val="000000"/>
          <w:szCs w:val="24"/>
          <w:u w:val="single"/>
          <w:bdr w:val="nil"/>
        </w:rPr>
      </w:pPr>
      <w:r w:rsidRPr="009E5833">
        <w:rPr>
          <w:rFonts w:eastAsia="Arial Unicode MS"/>
          <w:b/>
          <w:bCs/>
          <w:color w:val="000000"/>
          <w:szCs w:val="24"/>
          <w:u w:val="single"/>
          <w:bdr w:val="nil"/>
        </w:rPr>
        <w:t>Option 2 – Mandatory exception for digital uses for the purpose of illustration for teaching, including across borders</w:t>
      </w:r>
    </w:p>
    <w:p w:rsidR="00952EB0" w:rsidRDefault="00952EB0" w:rsidP="00A77F7A">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952EB0" w:rsidRDefault="00952EB0" w:rsidP="00A77F7A">
      <w:pPr>
        <w:pStyle w:val="Text1"/>
        <w:spacing w:before="0"/>
        <w:ind w:left="0"/>
        <w:rPr>
          <w:i/>
          <w:szCs w:val="24"/>
        </w:rPr>
      </w:pPr>
      <w:r w:rsidRPr="00A77F7A">
        <w:rPr>
          <w:b/>
        </w:rPr>
        <w:t>Institutional</w:t>
      </w:r>
      <w:r w:rsidRPr="00A83544">
        <w:rPr>
          <w:b/>
          <w:szCs w:val="24"/>
        </w:rPr>
        <w:t xml:space="preserve"> users </w:t>
      </w:r>
      <w:r>
        <w:rPr>
          <w:b/>
          <w:szCs w:val="24"/>
        </w:rPr>
        <w:t xml:space="preserve">and </w:t>
      </w:r>
      <w:r>
        <w:rPr>
          <w:b/>
        </w:rPr>
        <w:t xml:space="preserve">other related </w:t>
      </w:r>
      <w:r>
        <w:rPr>
          <w:b/>
          <w:szCs w:val="24"/>
        </w:rPr>
        <w:t xml:space="preserve">users </w:t>
      </w:r>
      <w:r w:rsidRPr="00A83544">
        <w:rPr>
          <w:b/>
          <w:szCs w:val="24"/>
        </w:rPr>
        <w:t>(educational establishments, teachers</w:t>
      </w:r>
      <w:r>
        <w:rPr>
          <w:b/>
          <w:szCs w:val="24"/>
        </w:rPr>
        <w:t>, students</w:t>
      </w:r>
      <w:r w:rsidRPr="00A83544">
        <w:rPr>
          <w:b/>
          <w:szCs w:val="24"/>
        </w:rPr>
        <w:t>)</w:t>
      </w:r>
    </w:p>
    <w:p w:rsidR="00952EB0" w:rsidRDefault="00952EB0" w:rsidP="00952EB0">
      <w:pPr>
        <w:spacing w:after="120" w:line="240" w:lineRule="auto"/>
        <w:jc w:val="both"/>
        <w:rPr>
          <w:rFonts w:ascii="Times New Roman" w:hAnsi="Times New Roman"/>
          <w:sz w:val="24"/>
          <w:szCs w:val="24"/>
        </w:rPr>
      </w:pPr>
      <w:r w:rsidRPr="00105CBA">
        <w:rPr>
          <w:rFonts w:ascii="Times New Roman" w:hAnsi="Times New Roman"/>
          <w:sz w:val="24"/>
          <w:szCs w:val="24"/>
          <w:u w:val="single"/>
        </w:rPr>
        <w:t xml:space="preserve">Impacts on </w:t>
      </w:r>
      <w:r>
        <w:rPr>
          <w:rFonts w:ascii="Times New Roman" w:hAnsi="Times New Roman"/>
          <w:sz w:val="24"/>
          <w:szCs w:val="24"/>
          <w:u w:val="single"/>
        </w:rPr>
        <w:t xml:space="preserve">legal certainty for </w:t>
      </w:r>
      <w:r w:rsidRPr="00105CBA">
        <w:rPr>
          <w:rFonts w:ascii="Times New Roman" w:hAnsi="Times New Roman"/>
          <w:sz w:val="24"/>
          <w:szCs w:val="24"/>
          <w:u w:val="single"/>
        </w:rPr>
        <w:t>digital and cross-border education</w:t>
      </w:r>
      <w:r w:rsidRPr="009E58C4">
        <w:rPr>
          <w:rFonts w:ascii="Times New Roman" w:hAnsi="Times New Roman"/>
          <w:sz w:val="24"/>
          <w:szCs w:val="24"/>
        </w:rPr>
        <w:t>:</w:t>
      </w:r>
      <w:r>
        <w:rPr>
          <w:rFonts w:ascii="Times New Roman" w:hAnsi="Times New Roman"/>
          <w:i/>
          <w:sz w:val="24"/>
          <w:szCs w:val="24"/>
        </w:rPr>
        <w:t xml:space="preserve"> </w:t>
      </w:r>
      <w:r w:rsidRPr="00A83544">
        <w:rPr>
          <w:rFonts w:ascii="Times New Roman" w:hAnsi="Times New Roman"/>
          <w:sz w:val="24"/>
          <w:szCs w:val="24"/>
        </w:rPr>
        <w:t xml:space="preserve">Option </w:t>
      </w:r>
      <w:r>
        <w:rPr>
          <w:rFonts w:ascii="Times New Roman" w:hAnsi="Times New Roman"/>
          <w:sz w:val="24"/>
          <w:szCs w:val="24"/>
        </w:rPr>
        <w:t>2 would bring a high degree of legal certainty to</w:t>
      </w:r>
      <w:r w:rsidRPr="00A83544">
        <w:rPr>
          <w:rFonts w:ascii="Times New Roman" w:hAnsi="Times New Roman"/>
          <w:sz w:val="24"/>
          <w:szCs w:val="24"/>
        </w:rPr>
        <w:t xml:space="preserve"> educational establishments and teachers</w:t>
      </w:r>
      <w:r>
        <w:rPr>
          <w:rFonts w:ascii="Times New Roman" w:hAnsi="Times New Roman"/>
          <w:sz w:val="24"/>
          <w:szCs w:val="24"/>
        </w:rPr>
        <w:t xml:space="preserve"> across all MS</w:t>
      </w:r>
      <w:r w:rsidRPr="00A83544">
        <w:rPr>
          <w:rFonts w:ascii="Times New Roman" w:hAnsi="Times New Roman"/>
          <w:sz w:val="24"/>
          <w:szCs w:val="24"/>
        </w:rPr>
        <w:t xml:space="preserve">. </w:t>
      </w:r>
      <w:r>
        <w:rPr>
          <w:rFonts w:ascii="Times New Roman" w:hAnsi="Times New Roman"/>
          <w:sz w:val="24"/>
          <w:szCs w:val="24"/>
        </w:rPr>
        <w:t>This</w:t>
      </w:r>
      <w:r w:rsidRPr="00AC3DEE">
        <w:rPr>
          <w:rFonts w:ascii="Times New Roman" w:hAnsi="Times New Roman"/>
          <w:sz w:val="24"/>
          <w:szCs w:val="24"/>
        </w:rPr>
        <w:t xml:space="preserve"> could lead in the short term to an increased use of illustrative resources </w:t>
      </w:r>
      <w:r>
        <w:rPr>
          <w:rFonts w:ascii="Times New Roman" w:hAnsi="Times New Roman"/>
          <w:sz w:val="24"/>
          <w:szCs w:val="24"/>
        </w:rPr>
        <w:t>and</w:t>
      </w:r>
      <w:r w:rsidRPr="00AC3DEE">
        <w:rPr>
          <w:rFonts w:ascii="Times New Roman" w:hAnsi="Times New Roman"/>
          <w:sz w:val="24"/>
          <w:szCs w:val="24"/>
        </w:rPr>
        <w:t xml:space="preserve"> a</w:t>
      </w:r>
      <w:r>
        <w:rPr>
          <w:rFonts w:ascii="Times New Roman" w:hAnsi="Times New Roman"/>
          <w:sz w:val="24"/>
          <w:szCs w:val="24"/>
        </w:rPr>
        <w:t>n enriched learning environment for students</w:t>
      </w:r>
      <w:r w:rsidRPr="00AC3DEE">
        <w:rPr>
          <w:rFonts w:ascii="Times New Roman" w:hAnsi="Times New Roman"/>
          <w:sz w:val="24"/>
          <w:szCs w:val="24"/>
        </w:rPr>
        <w:t>.</w:t>
      </w:r>
      <w:r w:rsidRPr="00AC3DEE">
        <w:rPr>
          <w:rFonts w:ascii="Times New Roman" w:hAnsi="Times New Roman"/>
          <w:szCs w:val="24"/>
        </w:rPr>
        <w:t xml:space="preserve"> </w:t>
      </w:r>
      <w:r w:rsidRPr="00A83544">
        <w:rPr>
          <w:rFonts w:ascii="Times New Roman" w:hAnsi="Times New Roman"/>
          <w:sz w:val="24"/>
          <w:szCs w:val="24"/>
        </w:rPr>
        <w:t>The actual impacts on education institutions would vary between M</w:t>
      </w:r>
      <w:r>
        <w:rPr>
          <w:rFonts w:ascii="Times New Roman" w:hAnsi="Times New Roman"/>
          <w:sz w:val="24"/>
          <w:szCs w:val="24"/>
        </w:rPr>
        <w:t xml:space="preserve">S, depending on how the optional teaching exception has been implemented so far and on the licensing mechanisms in place. </w:t>
      </w:r>
      <w:r w:rsidRPr="004E3412">
        <w:rPr>
          <w:rFonts w:ascii="Times New Roman" w:hAnsi="Times New Roman"/>
          <w:sz w:val="24"/>
          <w:szCs w:val="24"/>
        </w:rPr>
        <w:t>The impact of Option 2 would be stronger in MS where the scope of the existing teaching exception is currently limited</w:t>
      </w:r>
      <w:r>
        <w:rPr>
          <w:rFonts w:ascii="Times New Roman" w:hAnsi="Times New Roman"/>
          <w:sz w:val="24"/>
          <w:szCs w:val="24"/>
        </w:rPr>
        <w:t xml:space="preserve"> or unclear</w:t>
      </w:r>
      <w:r w:rsidRPr="004E3412">
        <w:rPr>
          <w:rFonts w:ascii="Times New Roman" w:hAnsi="Times New Roman"/>
          <w:sz w:val="24"/>
          <w:szCs w:val="24"/>
        </w:rPr>
        <w:t xml:space="preserve"> (e.g. where the teaching exception does not clearly apply to digital uses or where it applies only to certain types of works and media).</w:t>
      </w:r>
      <w:r>
        <w:rPr>
          <w:rFonts w:ascii="Times New Roman" w:hAnsi="Times New Roman"/>
          <w:sz w:val="24"/>
          <w:szCs w:val="24"/>
        </w:rPr>
        <w:t xml:space="preserve"> Importantly, Option 2 would allow in particular higher education institutions to </w:t>
      </w:r>
      <w:r w:rsidRPr="00A83544">
        <w:rPr>
          <w:rFonts w:ascii="Times New Roman" w:hAnsi="Times New Roman"/>
          <w:sz w:val="24"/>
          <w:szCs w:val="24"/>
        </w:rPr>
        <w:t>gain legal certainty for cross-border uses</w:t>
      </w:r>
      <w:r>
        <w:rPr>
          <w:rFonts w:ascii="Times New Roman" w:hAnsi="Times New Roman"/>
          <w:sz w:val="24"/>
          <w:szCs w:val="24"/>
        </w:rPr>
        <w:t>. D</w:t>
      </w:r>
      <w:r w:rsidRPr="00AC3DEE">
        <w:rPr>
          <w:rFonts w:ascii="Times New Roman" w:hAnsi="Times New Roman"/>
          <w:sz w:val="24"/>
          <w:szCs w:val="24"/>
        </w:rPr>
        <w:t>istance</w:t>
      </w:r>
      <w:r>
        <w:rPr>
          <w:rFonts w:ascii="Times New Roman" w:hAnsi="Times New Roman"/>
          <w:sz w:val="24"/>
          <w:szCs w:val="24"/>
        </w:rPr>
        <w:t xml:space="preserve"> and online</w:t>
      </w:r>
      <w:r w:rsidRPr="00AC3DEE">
        <w:rPr>
          <w:rFonts w:ascii="Times New Roman" w:hAnsi="Times New Roman"/>
          <w:sz w:val="24"/>
          <w:szCs w:val="24"/>
        </w:rPr>
        <w:t xml:space="preserve"> students</w:t>
      </w:r>
      <w:r>
        <w:rPr>
          <w:rFonts w:ascii="Times New Roman" w:hAnsi="Times New Roman"/>
          <w:sz w:val="24"/>
          <w:szCs w:val="24"/>
        </w:rPr>
        <w:t>, including those located in other MS,</w:t>
      </w:r>
      <w:r w:rsidRPr="00AC3DEE">
        <w:rPr>
          <w:rFonts w:ascii="Times New Roman" w:hAnsi="Times New Roman"/>
          <w:sz w:val="24"/>
          <w:szCs w:val="24"/>
        </w:rPr>
        <w:t xml:space="preserve"> would be able to access the materials used and made available by teachers under the same conditions as on-site students.</w:t>
      </w:r>
      <w:r w:rsidRPr="009E58C4">
        <w:rPr>
          <w:rFonts w:ascii="Times New Roman" w:hAnsi="Times New Roman"/>
          <w:sz w:val="24"/>
          <w:szCs w:val="24"/>
        </w:rPr>
        <w:t xml:space="preserve"> </w:t>
      </w:r>
    </w:p>
    <w:p w:rsidR="00952EB0" w:rsidRDefault="00952EB0" w:rsidP="00952EB0">
      <w:pPr>
        <w:spacing w:after="120" w:line="240" w:lineRule="auto"/>
        <w:jc w:val="both"/>
        <w:rPr>
          <w:rFonts w:ascii="Times New Roman" w:hAnsi="Times New Roman"/>
          <w:sz w:val="24"/>
          <w:szCs w:val="24"/>
        </w:rPr>
      </w:pPr>
      <w:r>
        <w:rPr>
          <w:rFonts w:ascii="Times New Roman" w:hAnsi="Times New Roman"/>
          <w:sz w:val="24"/>
          <w:szCs w:val="24"/>
        </w:rPr>
        <w:t xml:space="preserve">However, the legal certainty offered by Option 2 to educational establishments and teachers may be undermined in the long term by </w:t>
      </w:r>
      <w:r w:rsidR="003803C0">
        <w:rPr>
          <w:rFonts w:ascii="Times New Roman" w:hAnsi="Times New Roman"/>
          <w:sz w:val="24"/>
          <w:szCs w:val="24"/>
        </w:rPr>
        <w:t xml:space="preserve">a </w:t>
      </w:r>
      <w:r>
        <w:rPr>
          <w:rFonts w:ascii="Times New Roman" w:hAnsi="Times New Roman"/>
          <w:sz w:val="24"/>
          <w:szCs w:val="24"/>
        </w:rPr>
        <w:t xml:space="preserve">reduced quality and variety of educational resources, </w:t>
      </w:r>
      <w:r w:rsidR="003803C0">
        <w:rPr>
          <w:rFonts w:ascii="Times New Roman" w:hAnsi="Times New Roman"/>
          <w:sz w:val="24"/>
          <w:szCs w:val="24"/>
        </w:rPr>
        <w:t xml:space="preserve">which could </w:t>
      </w:r>
      <w:r>
        <w:rPr>
          <w:rFonts w:ascii="Times New Roman" w:hAnsi="Times New Roman"/>
          <w:sz w:val="24"/>
          <w:szCs w:val="24"/>
        </w:rPr>
        <w:t xml:space="preserve">result from the application of the exception to textbooks and other resources produced specifically for education (see 'impact on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below). In a recent survey, a majority (54.6</w:t>
      </w:r>
      <w:r w:rsidR="00B1145D">
        <w:rPr>
          <w:rFonts w:ascii="Times New Roman" w:hAnsi="Times New Roman"/>
          <w:sz w:val="24"/>
          <w:szCs w:val="24"/>
        </w:rPr>
        <w:t xml:space="preserve"> </w:t>
      </w:r>
      <w:r>
        <w:rPr>
          <w:rFonts w:ascii="Times New Roman" w:hAnsi="Times New Roman"/>
          <w:sz w:val="24"/>
          <w:szCs w:val="24"/>
        </w:rPr>
        <w:t xml:space="preserve">%) of educational users reported that they used licensed works more </w:t>
      </w:r>
      <w:r w:rsidRPr="00B775E7">
        <w:rPr>
          <w:rFonts w:ascii="Times New Roman" w:hAnsi="Times New Roman"/>
          <w:sz w:val="24"/>
          <w:szCs w:val="24"/>
        </w:rPr>
        <w:t>be</w:t>
      </w:r>
      <w:r>
        <w:rPr>
          <w:rFonts w:ascii="Times New Roman" w:hAnsi="Times New Roman"/>
          <w:sz w:val="24"/>
          <w:szCs w:val="24"/>
        </w:rPr>
        <w:t xml:space="preserve">cause they offer better quality and/or </w:t>
      </w:r>
      <w:r w:rsidRPr="00B775E7">
        <w:rPr>
          <w:rFonts w:ascii="Times New Roman" w:hAnsi="Times New Roman"/>
          <w:sz w:val="24"/>
          <w:szCs w:val="24"/>
        </w:rPr>
        <w:t>variety than open licence alternatives</w:t>
      </w:r>
      <w:r>
        <w:rPr>
          <w:rFonts w:ascii="Times New Roman" w:hAnsi="Times New Roman"/>
          <w:sz w:val="24"/>
          <w:szCs w:val="24"/>
        </w:rPr>
        <w:t>.</w:t>
      </w:r>
      <w:r>
        <w:rPr>
          <w:rStyle w:val="FootnoteReference"/>
          <w:rFonts w:ascii="Times New Roman" w:hAnsi="Times New Roman"/>
          <w:sz w:val="24"/>
          <w:szCs w:val="24"/>
        </w:rPr>
        <w:footnoteReference w:id="291"/>
      </w:r>
    </w:p>
    <w:p w:rsidR="00952EB0" w:rsidRPr="00105CBA" w:rsidRDefault="00952EB0" w:rsidP="00A77F7A">
      <w:pPr>
        <w:spacing w:after="120" w:line="240" w:lineRule="auto"/>
        <w:jc w:val="both"/>
        <w:rPr>
          <w:rFonts w:ascii="Times New Roman" w:hAnsi="Times New Roman"/>
          <w:sz w:val="24"/>
          <w:szCs w:val="24"/>
          <w:u w:val="single"/>
        </w:rPr>
      </w:pPr>
      <w:r w:rsidRPr="00105CBA">
        <w:rPr>
          <w:rFonts w:ascii="Times New Roman" w:hAnsi="Times New Roman"/>
          <w:sz w:val="24"/>
          <w:szCs w:val="24"/>
          <w:u w:val="single"/>
        </w:rPr>
        <w:t>Impacts on costs</w:t>
      </w:r>
      <w:r>
        <w:rPr>
          <w:rFonts w:ascii="Times New Roman" w:hAnsi="Times New Roman"/>
          <w:sz w:val="24"/>
          <w:szCs w:val="24"/>
          <w:u w:val="single"/>
        </w:rPr>
        <w:t xml:space="preserve"> for educational establishments:</w:t>
      </w:r>
    </w:p>
    <w:p w:rsidR="00952EB0" w:rsidRPr="004D6728" w:rsidRDefault="00952EB0" w:rsidP="00952EB0">
      <w:pPr>
        <w:spacing w:after="120" w:line="240" w:lineRule="auto"/>
        <w:jc w:val="both"/>
        <w:rPr>
          <w:rFonts w:ascii="Times New Roman" w:hAnsi="Times New Roman"/>
          <w:sz w:val="24"/>
          <w:szCs w:val="24"/>
        </w:rPr>
      </w:pPr>
      <w:r>
        <w:rPr>
          <w:rFonts w:ascii="Times New Roman" w:hAnsi="Times New Roman"/>
          <w:i/>
          <w:sz w:val="24"/>
          <w:szCs w:val="24"/>
        </w:rPr>
        <w:t>Transaction</w:t>
      </w:r>
      <w:r w:rsidRPr="009042AE">
        <w:rPr>
          <w:rFonts w:ascii="Times New Roman" w:hAnsi="Times New Roman"/>
          <w:i/>
          <w:sz w:val="24"/>
          <w:szCs w:val="24"/>
        </w:rPr>
        <w:t xml:space="preserve"> costs</w:t>
      </w:r>
      <w:r>
        <w:rPr>
          <w:rFonts w:ascii="Times New Roman" w:hAnsi="Times New Roman"/>
          <w:i/>
          <w:sz w:val="24"/>
          <w:szCs w:val="24"/>
        </w:rPr>
        <w:t xml:space="preserve">: </w:t>
      </w:r>
      <w:r>
        <w:rPr>
          <w:rFonts w:ascii="Times New Roman" w:hAnsi="Times New Roman"/>
          <w:sz w:val="24"/>
          <w:szCs w:val="24"/>
        </w:rPr>
        <w:t>Option 2</w:t>
      </w:r>
      <w:r w:rsidRPr="00A83544">
        <w:rPr>
          <w:rFonts w:ascii="Times New Roman" w:hAnsi="Times New Roman"/>
          <w:sz w:val="24"/>
          <w:szCs w:val="24"/>
        </w:rPr>
        <w:t xml:space="preserve"> would </w:t>
      </w:r>
      <w:r>
        <w:rPr>
          <w:rFonts w:ascii="Times New Roman" w:hAnsi="Times New Roman"/>
          <w:sz w:val="24"/>
          <w:szCs w:val="24"/>
        </w:rPr>
        <w:t xml:space="preserve">significantly </w:t>
      </w:r>
      <w:r w:rsidRPr="00A83544">
        <w:rPr>
          <w:rFonts w:ascii="Times New Roman" w:hAnsi="Times New Roman"/>
          <w:sz w:val="24"/>
          <w:szCs w:val="24"/>
        </w:rPr>
        <w:t xml:space="preserve">reduce </w:t>
      </w:r>
      <w:r>
        <w:rPr>
          <w:rFonts w:ascii="Times New Roman" w:hAnsi="Times New Roman"/>
          <w:sz w:val="24"/>
          <w:szCs w:val="24"/>
        </w:rPr>
        <w:t xml:space="preserve">the </w:t>
      </w:r>
      <w:r w:rsidRPr="00A83544">
        <w:rPr>
          <w:rFonts w:ascii="Times New Roman" w:hAnsi="Times New Roman"/>
          <w:sz w:val="24"/>
          <w:szCs w:val="24"/>
        </w:rPr>
        <w:t>transaction costs</w:t>
      </w:r>
      <w:r>
        <w:rPr>
          <w:rFonts w:ascii="Times New Roman" w:hAnsi="Times New Roman"/>
          <w:sz w:val="24"/>
          <w:szCs w:val="24"/>
        </w:rPr>
        <w:t xml:space="preserve"> supported by educational establishments when digital and cross-border uses are not allowed under the national teaching exception or under a collective licensing agreement. These transaction costs include staff costs for</w:t>
      </w:r>
      <w:r w:rsidR="003803C0">
        <w:rPr>
          <w:rFonts w:ascii="Times New Roman" w:hAnsi="Times New Roman"/>
          <w:sz w:val="24"/>
          <w:szCs w:val="24"/>
        </w:rPr>
        <w:t xml:space="preserve"> providing guidance to teachers on the use of specific resources,</w:t>
      </w:r>
      <w:r>
        <w:rPr>
          <w:rFonts w:ascii="Times New Roman" w:hAnsi="Times New Roman"/>
          <w:sz w:val="24"/>
          <w:szCs w:val="24"/>
        </w:rPr>
        <w:t xml:space="preserve"> identifying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and obtaining the necessary authorisations; they </w:t>
      </w:r>
      <w:r w:rsidRPr="0061437E">
        <w:rPr>
          <w:rFonts w:ascii="Times New Roman" w:hAnsi="Times New Roman"/>
          <w:sz w:val="24"/>
          <w:szCs w:val="24"/>
        </w:rPr>
        <w:t xml:space="preserve">may be particularly high when authorisation </w:t>
      </w:r>
      <w:r>
        <w:rPr>
          <w:rFonts w:ascii="Times New Roman" w:hAnsi="Times New Roman"/>
          <w:sz w:val="24"/>
          <w:szCs w:val="24"/>
        </w:rPr>
        <w:t>need to be obtained</w:t>
      </w:r>
      <w:r w:rsidRPr="0061437E">
        <w:rPr>
          <w:rFonts w:ascii="Times New Roman" w:hAnsi="Times New Roman"/>
          <w:sz w:val="24"/>
          <w:szCs w:val="24"/>
        </w:rPr>
        <w:t xml:space="preserve"> </w:t>
      </w:r>
      <w:r>
        <w:rPr>
          <w:rFonts w:ascii="Times New Roman" w:hAnsi="Times New Roman"/>
          <w:sz w:val="24"/>
          <w:szCs w:val="24"/>
        </w:rPr>
        <w:t>on a work-by-work basis</w:t>
      </w:r>
      <w:r w:rsidRPr="0061437E">
        <w:rPr>
          <w:rFonts w:ascii="Times New Roman" w:hAnsi="Times New Roman"/>
          <w:sz w:val="24"/>
          <w:szCs w:val="24"/>
        </w:rPr>
        <w:t xml:space="preserve"> (</w:t>
      </w:r>
      <w:r>
        <w:rPr>
          <w:rFonts w:ascii="Times New Roman" w:hAnsi="Times New Roman"/>
          <w:sz w:val="24"/>
          <w:szCs w:val="24"/>
        </w:rPr>
        <w:t>which may often be the case</w:t>
      </w:r>
      <w:r w:rsidRPr="0061437E">
        <w:rPr>
          <w:rFonts w:ascii="Times New Roman" w:hAnsi="Times New Roman"/>
          <w:sz w:val="24"/>
          <w:szCs w:val="24"/>
        </w:rPr>
        <w:t xml:space="preserve"> for using </w:t>
      </w:r>
      <w:r w:rsidR="00F506EA">
        <w:rPr>
          <w:rFonts w:ascii="Times New Roman" w:hAnsi="Times New Roman"/>
          <w:sz w:val="24"/>
          <w:szCs w:val="24"/>
        </w:rPr>
        <w:t xml:space="preserve">AV </w:t>
      </w:r>
      <w:r w:rsidRPr="0061437E">
        <w:rPr>
          <w:rFonts w:ascii="Times New Roman" w:hAnsi="Times New Roman"/>
          <w:sz w:val="24"/>
          <w:szCs w:val="24"/>
        </w:rPr>
        <w:t>works)</w:t>
      </w:r>
      <w:r>
        <w:rPr>
          <w:rFonts w:ascii="Times New Roman" w:hAnsi="Times New Roman"/>
          <w:sz w:val="24"/>
          <w:szCs w:val="24"/>
        </w:rPr>
        <w:t xml:space="preserve">.  </w:t>
      </w:r>
      <w:r w:rsidRPr="00C32C45">
        <w:rPr>
          <w:rFonts w:ascii="Times New Roman" w:hAnsi="Times New Roman"/>
          <w:sz w:val="24"/>
          <w:szCs w:val="24"/>
        </w:rPr>
        <w:t>No evidence could be found to quantify these co</w:t>
      </w:r>
      <w:r w:rsidRPr="0006736F">
        <w:rPr>
          <w:rFonts w:ascii="Times New Roman" w:hAnsi="Times New Roman"/>
          <w:sz w:val="24"/>
          <w:szCs w:val="24"/>
        </w:rPr>
        <w:t>sts</w:t>
      </w:r>
      <w:r w:rsidRPr="00C32C45">
        <w:rPr>
          <w:rFonts w:ascii="Times New Roman" w:hAnsi="Times New Roman"/>
          <w:sz w:val="24"/>
          <w:szCs w:val="24"/>
        </w:rPr>
        <w:t xml:space="preserve">. </w:t>
      </w:r>
    </w:p>
    <w:p w:rsidR="00952EB0" w:rsidRDefault="00952EB0" w:rsidP="00A77F7A">
      <w:pPr>
        <w:spacing w:after="120" w:line="240" w:lineRule="auto"/>
        <w:jc w:val="both"/>
        <w:rPr>
          <w:rFonts w:ascii="Times New Roman" w:hAnsi="Times New Roman"/>
          <w:sz w:val="24"/>
          <w:szCs w:val="24"/>
        </w:rPr>
      </w:pPr>
      <w:r w:rsidRPr="009E58C4">
        <w:rPr>
          <w:rFonts w:ascii="Times New Roman" w:hAnsi="Times New Roman"/>
          <w:i/>
          <w:sz w:val="24"/>
          <w:szCs w:val="24"/>
        </w:rPr>
        <w:t>Licensing costs</w:t>
      </w:r>
      <w:r>
        <w:rPr>
          <w:rFonts w:ascii="Times New Roman" w:hAnsi="Times New Roman"/>
          <w:i/>
          <w:sz w:val="24"/>
          <w:szCs w:val="24"/>
        </w:rPr>
        <w:t xml:space="preserve"> (licence fees paid by educational establishments)</w:t>
      </w:r>
      <w:r>
        <w:rPr>
          <w:rFonts w:ascii="Times New Roman" w:hAnsi="Times New Roman"/>
          <w:sz w:val="24"/>
          <w:szCs w:val="24"/>
        </w:rPr>
        <w:t>:</w:t>
      </w:r>
      <w:r w:rsidRPr="00A83544">
        <w:rPr>
          <w:rFonts w:ascii="Times New Roman" w:hAnsi="Times New Roman"/>
          <w:sz w:val="24"/>
          <w:szCs w:val="24"/>
        </w:rPr>
        <w:t xml:space="preserve"> </w:t>
      </w:r>
      <w:r>
        <w:rPr>
          <w:rFonts w:ascii="Times New Roman" w:hAnsi="Times New Roman"/>
          <w:sz w:val="24"/>
          <w:szCs w:val="24"/>
        </w:rPr>
        <w:t>Option 2 could result in a reduction of licensing costs in MS where secondary uses</w:t>
      </w:r>
      <w:r>
        <w:rPr>
          <w:rStyle w:val="FootnoteReference"/>
          <w:rFonts w:ascii="Times New Roman" w:hAnsi="Times New Roman"/>
          <w:sz w:val="24"/>
          <w:szCs w:val="24"/>
        </w:rPr>
        <w:footnoteReference w:id="292"/>
      </w:r>
      <w:r>
        <w:rPr>
          <w:rFonts w:ascii="Times New Roman" w:hAnsi="Times New Roman"/>
          <w:sz w:val="24"/>
          <w:szCs w:val="24"/>
        </w:rPr>
        <w:t xml:space="preserve"> of protected content in education are currently allowed under collective licensing schemes (including ECL). Part of the uses (digital uses for illustrating teaching) would become covered by the new EU exception. Educational establishments would therefore be in a position to renegotiate their agreements with CMOs which may be constrained to review the scope of their licences and reduce licence fees</w:t>
      </w:r>
      <w:r w:rsidRPr="007D440F">
        <w:rPr>
          <w:rFonts w:ascii="Times New Roman" w:hAnsi="Times New Roman"/>
          <w:sz w:val="24"/>
          <w:szCs w:val="24"/>
        </w:rPr>
        <w:t>.</w:t>
      </w:r>
      <w:r>
        <w:rPr>
          <w:rStyle w:val="FootnoteReference"/>
          <w:rFonts w:ascii="Times New Roman" w:hAnsi="Times New Roman"/>
          <w:sz w:val="24"/>
          <w:szCs w:val="24"/>
        </w:rPr>
        <w:footnoteReference w:id="293"/>
      </w:r>
      <w:r w:rsidRPr="007D440F">
        <w:rPr>
          <w:rFonts w:ascii="Times New Roman" w:hAnsi="Times New Roman"/>
          <w:sz w:val="24"/>
          <w:szCs w:val="24"/>
        </w:rPr>
        <w:t xml:space="preserve"> </w:t>
      </w:r>
      <w:r>
        <w:rPr>
          <w:rFonts w:ascii="Times New Roman" w:hAnsi="Times New Roman"/>
          <w:sz w:val="24"/>
          <w:szCs w:val="24"/>
        </w:rPr>
        <w:t>Data collected for a few MS on the cost of licensing for educational establishments (where educational uses are allowed under a licence or an ECL) tend to show that these costs are relatively low: in the UK</w:t>
      </w:r>
      <w:r w:rsidR="00A00E1C">
        <w:rPr>
          <w:rFonts w:ascii="Times New Roman" w:hAnsi="Times New Roman"/>
          <w:sz w:val="24"/>
          <w:szCs w:val="24"/>
        </w:rPr>
        <w:t>, according to</w:t>
      </w:r>
      <w:r w:rsidR="00A00E1C" w:rsidRPr="00A00E1C">
        <w:rPr>
          <w:rFonts w:ascii="Times New Roman" w:hAnsi="Times New Roman"/>
          <w:sz w:val="24"/>
          <w:szCs w:val="24"/>
        </w:rPr>
        <w:t xml:space="preserve"> </w:t>
      </w:r>
      <w:r w:rsidR="00A00E1C">
        <w:rPr>
          <w:rFonts w:ascii="Times New Roman" w:hAnsi="Times New Roman"/>
          <w:sz w:val="24"/>
          <w:szCs w:val="24"/>
        </w:rPr>
        <w:t xml:space="preserve">a report prepared for </w:t>
      </w:r>
      <w:r w:rsidR="00A00E1C" w:rsidRPr="00A00E1C">
        <w:rPr>
          <w:rFonts w:ascii="Times New Roman" w:hAnsi="Times New Roman"/>
          <w:sz w:val="24"/>
          <w:szCs w:val="24"/>
        </w:rPr>
        <w:t>Copyright Licensing Agency</w:t>
      </w:r>
      <w:r w:rsidR="00A00E1C">
        <w:rPr>
          <w:rFonts w:ascii="Times New Roman" w:hAnsi="Times New Roman"/>
          <w:sz w:val="24"/>
          <w:szCs w:val="24"/>
        </w:rPr>
        <w:t>,</w:t>
      </w:r>
      <w:r>
        <w:rPr>
          <w:rFonts w:ascii="Times New Roman" w:hAnsi="Times New Roman"/>
          <w:sz w:val="24"/>
          <w:szCs w:val="24"/>
        </w:rPr>
        <w:t xml:space="preserve"> </w:t>
      </w:r>
      <w:r w:rsidRPr="000E61BD">
        <w:rPr>
          <w:rFonts w:ascii="Times New Roman" w:hAnsi="Times New Roman"/>
          <w:sz w:val="24"/>
          <w:szCs w:val="24"/>
        </w:rPr>
        <w:t xml:space="preserve">copyright licensing payments </w:t>
      </w:r>
      <w:r>
        <w:rPr>
          <w:rFonts w:ascii="Times New Roman" w:hAnsi="Times New Roman"/>
          <w:sz w:val="24"/>
          <w:szCs w:val="24"/>
        </w:rPr>
        <w:t xml:space="preserve">(covering analogue and digital uses) </w:t>
      </w:r>
      <w:r w:rsidRPr="000E61BD">
        <w:rPr>
          <w:rFonts w:ascii="Times New Roman" w:hAnsi="Times New Roman"/>
          <w:sz w:val="24"/>
          <w:szCs w:val="24"/>
        </w:rPr>
        <w:t>make up less than 0.1</w:t>
      </w:r>
      <w:r w:rsidR="00DA4A18">
        <w:rPr>
          <w:rFonts w:ascii="Times New Roman" w:hAnsi="Times New Roman"/>
          <w:sz w:val="24"/>
          <w:szCs w:val="24"/>
        </w:rPr>
        <w:t xml:space="preserve"> </w:t>
      </w:r>
      <w:r w:rsidRPr="000E61BD">
        <w:rPr>
          <w:rFonts w:ascii="Times New Roman" w:hAnsi="Times New Roman"/>
          <w:sz w:val="24"/>
          <w:szCs w:val="24"/>
        </w:rPr>
        <w:t>% of an educational establishment’s expenditure</w:t>
      </w:r>
      <w:r>
        <w:rPr>
          <w:rFonts w:ascii="Times New Roman" w:hAnsi="Times New Roman"/>
          <w:sz w:val="24"/>
          <w:szCs w:val="24"/>
        </w:rPr>
        <w:t>;</w:t>
      </w:r>
      <w:r w:rsidRPr="00960D2D">
        <w:rPr>
          <w:rStyle w:val="FootnoteReference"/>
          <w:rFonts w:ascii="Times New Roman" w:hAnsi="Times New Roman" w:cs="Times New Roman"/>
          <w:sz w:val="24"/>
          <w:szCs w:val="24"/>
        </w:rPr>
        <w:footnoteReference w:id="294"/>
      </w:r>
      <w:r>
        <w:rPr>
          <w:rFonts w:ascii="Times New Roman" w:hAnsi="Times New Roman" w:cs="Times New Roman"/>
          <w:sz w:val="24"/>
          <w:szCs w:val="24"/>
          <w:lang w:eastAsia="en-GB"/>
        </w:rPr>
        <w:t xml:space="preserve"> </w:t>
      </w:r>
      <w:r>
        <w:rPr>
          <w:rFonts w:ascii="Times New Roman" w:hAnsi="Times New Roman"/>
          <w:sz w:val="24"/>
          <w:szCs w:val="24"/>
        </w:rPr>
        <w:t xml:space="preserve">in Denmark they </w:t>
      </w:r>
      <w:r w:rsidRPr="000E61BD">
        <w:rPr>
          <w:rFonts w:ascii="Times New Roman" w:hAnsi="Times New Roman"/>
          <w:sz w:val="24"/>
          <w:szCs w:val="24"/>
        </w:rPr>
        <w:t>am</w:t>
      </w:r>
      <w:r>
        <w:rPr>
          <w:rFonts w:ascii="Times New Roman" w:hAnsi="Times New Roman"/>
          <w:sz w:val="24"/>
          <w:szCs w:val="24"/>
        </w:rPr>
        <w:t>ount to less than 1</w:t>
      </w:r>
      <w:r w:rsidR="00DA4A18">
        <w:rPr>
          <w:rFonts w:ascii="Times New Roman" w:hAnsi="Times New Roman"/>
          <w:sz w:val="24"/>
          <w:szCs w:val="24"/>
        </w:rPr>
        <w:t xml:space="preserve"> </w:t>
      </w:r>
      <w:r>
        <w:rPr>
          <w:rFonts w:ascii="Times New Roman" w:hAnsi="Times New Roman"/>
          <w:sz w:val="24"/>
          <w:szCs w:val="24"/>
        </w:rPr>
        <w:t>%</w:t>
      </w:r>
      <w:r w:rsidRPr="000E61BD">
        <w:rPr>
          <w:rFonts w:ascii="Times New Roman" w:hAnsi="Times New Roman"/>
          <w:sz w:val="24"/>
          <w:szCs w:val="24"/>
        </w:rPr>
        <w:t>.</w:t>
      </w:r>
      <w:r>
        <w:rPr>
          <w:rStyle w:val="FootnoteReference"/>
          <w:rFonts w:ascii="Times New Roman" w:hAnsi="Times New Roman"/>
          <w:sz w:val="24"/>
          <w:szCs w:val="24"/>
        </w:rPr>
        <w:footnoteReference w:id="295"/>
      </w:r>
      <w:r>
        <w:rPr>
          <w:rFonts w:ascii="Times New Roman" w:hAnsi="Times New Roman"/>
          <w:sz w:val="24"/>
          <w:szCs w:val="24"/>
        </w:rPr>
        <w:t xml:space="preserve"> The </w:t>
      </w:r>
      <w:r w:rsidR="00A1461B">
        <w:rPr>
          <w:rFonts w:ascii="Times New Roman" w:hAnsi="Times New Roman"/>
          <w:sz w:val="24"/>
          <w:szCs w:val="24"/>
        </w:rPr>
        <w:t>reduction of licensing costs</w:t>
      </w:r>
      <w:r>
        <w:rPr>
          <w:rFonts w:ascii="Times New Roman" w:hAnsi="Times New Roman"/>
          <w:sz w:val="24"/>
          <w:szCs w:val="24"/>
        </w:rPr>
        <w:t xml:space="preserve"> </w:t>
      </w:r>
      <w:r w:rsidR="00A1461B">
        <w:rPr>
          <w:rFonts w:ascii="Times New Roman" w:hAnsi="Times New Roman"/>
          <w:sz w:val="24"/>
          <w:szCs w:val="24"/>
        </w:rPr>
        <w:t>under</w:t>
      </w:r>
      <w:r>
        <w:rPr>
          <w:rFonts w:ascii="Times New Roman" w:hAnsi="Times New Roman"/>
          <w:sz w:val="24"/>
          <w:szCs w:val="24"/>
        </w:rPr>
        <w:t xml:space="preserve"> this Option would therefore be limited, in particular if MS introduce an obligation to compensate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for the uses under the new exception. </w:t>
      </w:r>
    </w:p>
    <w:p w:rsidR="00952EB0" w:rsidRDefault="00952EB0" w:rsidP="00190031">
      <w:pPr>
        <w:spacing w:after="120" w:line="240" w:lineRule="auto"/>
        <w:jc w:val="both"/>
        <w:rPr>
          <w:rFonts w:ascii="Times New Roman" w:hAnsi="Times New Roman"/>
          <w:sz w:val="24"/>
          <w:szCs w:val="24"/>
        </w:rPr>
      </w:pPr>
      <w:r>
        <w:rPr>
          <w:rFonts w:ascii="Times New Roman" w:hAnsi="Times New Roman"/>
          <w:sz w:val="24"/>
          <w:szCs w:val="24"/>
        </w:rPr>
        <w:t xml:space="preserve">Option 2 would also significantly reduce </w:t>
      </w:r>
      <w:r w:rsidRPr="00C32C45">
        <w:rPr>
          <w:rFonts w:ascii="Times New Roman" w:hAnsi="Times New Roman"/>
          <w:i/>
          <w:sz w:val="24"/>
          <w:szCs w:val="24"/>
        </w:rPr>
        <w:t>opportunity costs</w:t>
      </w:r>
      <w:r>
        <w:rPr>
          <w:rFonts w:ascii="Times New Roman" w:hAnsi="Times New Roman"/>
          <w:sz w:val="24"/>
          <w:szCs w:val="24"/>
        </w:rPr>
        <w:t xml:space="preserve"> associated to materials not being used due to legal uncertainty or budgetary constraints on educational establishments. </w:t>
      </w:r>
    </w:p>
    <w:p w:rsidR="00952EB0" w:rsidRPr="009E58C4" w:rsidRDefault="00007677" w:rsidP="00A77F7A">
      <w:pPr>
        <w:pStyle w:val="Text1"/>
        <w:spacing w:before="0"/>
        <w:ind w:left="0"/>
        <w:rPr>
          <w:b/>
          <w:i/>
          <w:szCs w:val="24"/>
        </w:rPr>
      </w:pPr>
      <w:r>
        <w:rPr>
          <w:b/>
          <w:szCs w:val="24"/>
        </w:rPr>
        <w:t>Rightholders</w:t>
      </w:r>
    </w:p>
    <w:p w:rsidR="00952EB0" w:rsidRDefault="00952EB0" w:rsidP="00952EB0">
      <w:pPr>
        <w:spacing w:after="120" w:line="240" w:lineRule="auto"/>
        <w:jc w:val="both"/>
        <w:rPr>
          <w:rFonts w:ascii="Times New Roman" w:hAnsi="Times New Roman"/>
          <w:sz w:val="24"/>
          <w:szCs w:val="24"/>
        </w:rPr>
      </w:pPr>
      <w:r w:rsidRPr="00105CBA">
        <w:rPr>
          <w:rFonts w:ascii="Times New Roman" w:hAnsi="Times New Roman"/>
          <w:sz w:val="24"/>
          <w:szCs w:val="24"/>
          <w:u w:val="single"/>
        </w:rPr>
        <w:t>Impacts on licensing revenues</w:t>
      </w:r>
      <w:r w:rsidRPr="009E58C4">
        <w:rPr>
          <w:rFonts w:ascii="Times New Roman" w:hAnsi="Times New Roman"/>
          <w:sz w:val="24"/>
          <w:szCs w:val="24"/>
        </w:rPr>
        <w:t xml:space="preserve">: </w:t>
      </w:r>
      <w:r>
        <w:rPr>
          <w:rFonts w:ascii="Times New Roman" w:hAnsi="Times New Roman"/>
          <w:sz w:val="24"/>
          <w:szCs w:val="24"/>
        </w:rPr>
        <w:t>t</w:t>
      </w:r>
      <w:r w:rsidRPr="00A83544">
        <w:rPr>
          <w:rFonts w:ascii="Times New Roman" w:hAnsi="Times New Roman"/>
          <w:sz w:val="24"/>
          <w:szCs w:val="24"/>
        </w:rPr>
        <w:t xml:space="preserve">he </w:t>
      </w:r>
      <w:r>
        <w:rPr>
          <w:rFonts w:ascii="Times New Roman" w:hAnsi="Times New Roman"/>
          <w:sz w:val="24"/>
          <w:szCs w:val="24"/>
        </w:rPr>
        <w:t xml:space="preserve">impact of Option 2 would vary between MS, depending on how the optional teaching exception has been implemented so far and on MS decision to require compensation for the uses under the new EU exception or not. </w:t>
      </w:r>
    </w:p>
    <w:p w:rsidR="00952EB0" w:rsidRDefault="00952EB0" w:rsidP="00952EB0">
      <w:pPr>
        <w:spacing w:after="120" w:line="240" w:lineRule="auto"/>
        <w:jc w:val="both"/>
        <w:rPr>
          <w:rFonts w:ascii="Times New Roman" w:hAnsi="Times New Roman"/>
          <w:sz w:val="24"/>
          <w:szCs w:val="24"/>
        </w:rPr>
      </w:pPr>
      <w:r>
        <w:rPr>
          <w:rFonts w:ascii="Times New Roman" w:hAnsi="Times New Roman"/>
          <w:sz w:val="24"/>
          <w:szCs w:val="24"/>
        </w:rPr>
        <w:t xml:space="preserve">In MS where the current teaching exception already encompasses digital uses for all types of works (e.g. </w:t>
      </w:r>
      <w:r w:rsidRPr="00EB5783">
        <w:rPr>
          <w:rFonts w:ascii="Times New Roman" w:hAnsi="Times New Roman"/>
          <w:sz w:val="24"/>
          <w:szCs w:val="24"/>
        </w:rPr>
        <w:t>BE</w:t>
      </w:r>
      <w:r w:rsidRPr="00C32C45">
        <w:rPr>
          <w:rFonts w:ascii="Times New Roman" w:hAnsi="Times New Roman"/>
          <w:sz w:val="24"/>
          <w:szCs w:val="24"/>
        </w:rPr>
        <w:t xml:space="preserve"> and</w:t>
      </w:r>
      <w:r w:rsidRPr="00EB5783">
        <w:rPr>
          <w:rFonts w:ascii="Times New Roman" w:hAnsi="Times New Roman"/>
          <w:sz w:val="24"/>
          <w:szCs w:val="24"/>
        </w:rPr>
        <w:t xml:space="preserve"> NL)</w:t>
      </w:r>
      <w:r w:rsidR="001E637F">
        <w:rPr>
          <w:rFonts w:ascii="Times New Roman" w:hAnsi="Times New Roman"/>
          <w:sz w:val="24"/>
          <w:szCs w:val="24"/>
        </w:rPr>
        <w:t>,</w:t>
      </w:r>
      <w:r>
        <w:rPr>
          <w:rStyle w:val="FootnoteReference"/>
          <w:rFonts w:ascii="Times New Roman" w:hAnsi="Times New Roman"/>
          <w:sz w:val="24"/>
          <w:szCs w:val="24"/>
        </w:rPr>
        <w:footnoteReference w:id="296"/>
      </w:r>
      <w:r>
        <w:rPr>
          <w:rFonts w:ascii="Times New Roman" w:hAnsi="Times New Roman"/>
          <w:sz w:val="24"/>
          <w:szCs w:val="24"/>
        </w:rPr>
        <w:t xml:space="preserve"> no impact is expected on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revenues. The authorisation of cross-border uses, in the conditions foreseen under Option 2, is not expected to prejudice the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interests, as it would not result in the uncontrolled dissemination of content online (c</w:t>
      </w:r>
      <w:r w:rsidRPr="00A83544">
        <w:rPr>
          <w:rFonts w:ascii="Times New Roman" w:hAnsi="Times New Roman"/>
          <w:sz w:val="24"/>
          <w:szCs w:val="24"/>
        </w:rPr>
        <w:t xml:space="preserve">ross-border uses </w:t>
      </w:r>
      <w:r>
        <w:rPr>
          <w:rFonts w:ascii="Times New Roman" w:hAnsi="Times New Roman"/>
          <w:sz w:val="24"/>
          <w:szCs w:val="24"/>
        </w:rPr>
        <w:t xml:space="preserve">under the exception </w:t>
      </w:r>
      <w:r w:rsidRPr="00A83544">
        <w:rPr>
          <w:rFonts w:ascii="Times New Roman" w:hAnsi="Times New Roman"/>
          <w:sz w:val="24"/>
          <w:szCs w:val="24"/>
        </w:rPr>
        <w:t>w</w:t>
      </w:r>
      <w:r>
        <w:rPr>
          <w:rFonts w:ascii="Times New Roman" w:hAnsi="Times New Roman"/>
          <w:sz w:val="24"/>
          <w:szCs w:val="24"/>
        </w:rPr>
        <w:t xml:space="preserve">ould </w:t>
      </w:r>
      <w:r w:rsidRPr="00A83544">
        <w:rPr>
          <w:rFonts w:ascii="Times New Roman" w:hAnsi="Times New Roman"/>
          <w:sz w:val="24"/>
          <w:szCs w:val="24"/>
        </w:rPr>
        <w:t>be limited to distance students enrolled with a specific educational establishment</w:t>
      </w:r>
      <w:r>
        <w:rPr>
          <w:rFonts w:ascii="Times New Roman" w:hAnsi="Times New Roman"/>
          <w:sz w:val="24"/>
          <w:szCs w:val="24"/>
        </w:rPr>
        <w:t xml:space="preserve"> </w:t>
      </w:r>
      <w:r w:rsidRPr="00A83544">
        <w:rPr>
          <w:rFonts w:ascii="Times New Roman" w:hAnsi="Times New Roman"/>
          <w:sz w:val="24"/>
          <w:szCs w:val="24"/>
        </w:rPr>
        <w:t>and accessing through a secure network</w:t>
      </w:r>
      <w:r>
        <w:rPr>
          <w:rFonts w:ascii="Times New Roman" w:hAnsi="Times New Roman"/>
          <w:sz w:val="24"/>
          <w:szCs w:val="24"/>
        </w:rPr>
        <w:t xml:space="preserve">). Therefore, it is not expected to affect the amount of the compensation required in certain MS. </w:t>
      </w:r>
    </w:p>
    <w:p w:rsidR="00952EB0" w:rsidRDefault="00952EB0" w:rsidP="00952EB0">
      <w:pPr>
        <w:spacing w:after="120" w:line="240" w:lineRule="auto"/>
        <w:jc w:val="both"/>
        <w:rPr>
          <w:rFonts w:ascii="Times New Roman" w:hAnsi="Times New Roman"/>
          <w:sz w:val="24"/>
          <w:szCs w:val="24"/>
        </w:rPr>
      </w:pPr>
      <w:r>
        <w:rPr>
          <w:rFonts w:ascii="Times New Roman" w:hAnsi="Times New Roman"/>
          <w:sz w:val="24"/>
          <w:szCs w:val="24"/>
        </w:rPr>
        <w:t>In MS where</w:t>
      </w:r>
      <w:r w:rsidRPr="00C24333">
        <w:rPr>
          <w:rFonts w:ascii="Times New Roman" w:hAnsi="Times New Roman"/>
          <w:sz w:val="24"/>
          <w:szCs w:val="24"/>
        </w:rPr>
        <w:t xml:space="preserve"> </w:t>
      </w:r>
      <w:r>
        <w:rPr>
          <w:rFonts w:ascii="Times New Roman" w:hAnsi="Times New Roman"/>
          <w:sz w:val="24"/>
          <w:szCs w:val="24"/>
        </w:rPr>
        <w:t xml:space="preserve">the current teaching exception is limited to analogue uses or does not clearly allow digital uses (notably HR, IT, PL),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may be negatively affected only to the extent their current revenues rely on the licensing of digital educational uses. This may be the cases in certain countries, where digital uses are subject to </w:t>
      </w:r>
      <w:r w:rsidRPr="00BF6F9D">
        <w:rPr>
          <w:rFonts w:ascii="Times New Roman" w:hAnsi="Times New Roman"/>
          <w:sz w:val="24"/>
          <w:szCs w:val="24"/>
        </w:rPr>
        <w:t>voluntary collective licensing agreements</w:t>
      </w:r>
      <w:r>
        <w:rPr>
          <w:rFonts w:ascii="Times New Roman" w:hAnsi="Times New Roman"/>
          <w:sz w:val="24"/>
          <w:szCs w:val="24"/>
        </w:rPr>
        <w:t>.</w:t>
      </w:r>
      <w:r>
        <w:rPr>
          <w:rStyle w:val="FootnoteReference"/>
          <w:rFonts w:ascii="Times New Roman" w:hAnsi="Times New Roman"/>
          <w:sz w:val="24"/>
          <w:szCs w:val="24"/>
        </w:rPr>
        <w:footnoteReference w:id="297"/>
      </w:r>
      <w:r>
        <w:rPr>
          <w:rFonts w:ascii="Times New Roman" w:hAnsi="Times New Roman"/>
          <w:sz w:val="24"/>
          <w:szCs w:val="24"/>
        </w:rPr>
        <w:t xml:space="preserve"> However, it seems that in the past the restrictive implementation of the exception did not favour the development of licences.</w:t>
      </w:r>
      <w:r>
        <w:rPr>
          <w:rStyle w:val="FootnoteReference"/>
          <w:rFonts w:ascii="Times New Roman" w:hAnsi="Times New Roman"/>
          <w:sz w:val="24"/>
          <w:szCs w:val="24"/>
        </w:rPr>
        <w:footnoteReference w:id="298"/>
      </w:r>
      <w:r>
        <w:rPr>
          <w:rFonts w:ascii="Times New Roman" w:hAnsi="Times New Roman"/>
          <w:sz w:val="24"/>
          <w:szCs w:val="24"/>
        </w:rPr>
        <w:t xml:space="preserve"> Therefore, in this case the impact of Option 2 is expected to be limited. It could nevertheless reduce licensing opportunities in the medium term. </w:t>
      </w:r>
    </w:p>
    <w:p w:rsidR="00952EB0" w:rsidRDefault="00952EB0" w:rsidP="00952EB0">
      <w:pPr>
        <w:spacing w:after="120" w:line="240" w:lineRule="auto"/>
        <w:jc w:val="both"/>
        <w:rPr>
          <w:rFonts w:ascii="Times New Roman" w:hAnsi="Times New Roman"/>
          <w:sz w:val="24"/>
          <w:szCs w:val="24"/>
        </w:rPr>
      </w:pPr>
      <w:r>
        <w:rPr>
          <w:rFonts w:ascii="Times New Roman" w:hAnsi="Times New Roman"/>
          <w:sz w:val="24"/>
          <w:szCs w:val="24"/>
        </w:rPr>
        <w:t xml:space="preserve">Significant impact is expected in MS </w:t>
      </w:r>
      <w:r w:rsidRPr="00AC3DEE">
        <w:rPr>
          <w:rFonts w:ascii="Times New Roman" w:hAnsi="Times New Roman"/>
          <w:sz w:val="24"/>
          <w:szCs w:val="24"/>
        </w:rPr>
        <w:t xml:space="preserve">where digital </w:t>
      </w:r>
      <w:r>
        <w:rPr>
          <w:rFonts w:ascii="Times New Roman" w:hAnsi="Times New Roman"/>
          <w:sz w:val="24"/>
          <w:szCs w:val="24"/>
        </w:rPr>
        <w:t xml:space="preserve">secondary </w:t>
      </w:r>
      <w:r w:rsidRPr="00AC3DEE">
        <w:rPr>
          <w:rFonts w:ascii="Times New Roman" w:hAnsi="Times New Roman"/>
          <w:sz w:val="24"/>
          <w:szCs w:val="24"/>
        </w:rPr>
        <w:t xml:space="preserve">uses </w:t>
      </w:r>
      <w:r>
        <w:rPr>
          <w:rFonts w:ascii="Times New Roman" w:hAnsi="Times New Roman"/>
          <w:sz w:val="24"/>
          <w:szCs w:val="24"/>
        </w:rPr>
        <w:t xml:space="preserve">of content for teaching activities </w:t>
      </w:r>
      <w:r w:rsidRPr="00AC3DEE">
        <w:rPr>
          <w:rFonts w:ascii="Times New Roman" w:hAnsi="Times New Roman"/>
          <w:sz w:val="24"/>
          <w:szCs w:val="24"/>
        </w:rPr>
        <w:t>currently require a licence.</w:t>
      </w:r>
      <w:r>
        <w:rPr>
          <w:rFonts w:ascii="Times New Roman" w:hAnsi="Times New Roman"/>
          <w:sz w:val="24"/>
          <w:szCs w:val="24"/>
        </w:rPr>
        <w:t xml:space="preserve">, i.e. </w:t>
      </w:r>
      <w:r w:rsidRPr="00AC3DEE">
        <w:rPr>
          <w:rFonts w:ascii="Times New Roman" w:hAnsi="Times New Roman"/>
          <w:sz w:val="24"/>
          <w:szCs w:val="24"/>
        </w:rPr>
        <w:t>MS using ECL (DK, FI, SE)</w:t>
      </w:r>
      <w:r>
        <w:rPr>
          <w:rFonts w:ascii="Times New Roman" w:hAnsi="Times New Roman"/>
          <w:sz w:val="24"/>
          <w:szCs w:val="24"/>
        </w:rPr>
        <w:t xml:space="preserve"> and </w:t>
      </w:r>
      <w:r w:rsidRPr="00AC3DEE">
        <w:rPr>
          <w:rFonts w:ascii="Times New Roman" w:hAnsi="Times New Roman"/>
          <w:sz w:val="24"/>
          <w:szCs w:val="24"/>
        </w:rPr>
        <w:t>MS where the exception is subject to the availability of licences (UK, IE)</w:t>
      </w:r>
      <w:r w:rsidR="00A77F7A">
        <w:rPr>
          <w:rFonts w:ascii="Times New Roman" w:hAnsi="Times New Roman"/>
          <w:sz w:val="24"/>
          <w:szCs w:val="24"/>
        </w:rPr>
        <w:t>.</w:t>
      </w:r>
      <w:r>
        <w:rPr>
          <w:rFonts w:ascii="Times New Roman" w:hAnsi="Times New Roman"/>
          <w:sz w:val="24"/>
          <w:szCs w:val="24"/>
        </w:rPr>
        <w:t xml:space="preserve"> </w:t>
      </w:r>
      <w:r w:rsidRPr="00AC3DEE">
        <w:rPr>
          <w:rFonts w:ascii="Times New Roman" w:hAnsi="Times New Roman"/>
          <w:sz w:val="24"/>
          <w:szCs w:val="24"/>
        </w:rPr>
        <w:t xml:space="preserve">In these </w:t>
      </w:r>
      <w:r>
        <w:rPr>
          <w:rFonts w:ascii="Times New Roman" w:hAnsi="Times New Roman"/>
          <w:sz w:val="24"/>
          <w:szCs w:val="24"/>
        </w:rPr>
        <w:t>cases</w:t>
      </w:r>
      <w:r w:rsidRPr="00AC3DEE">
        <w:rPr>
          <w:rFonts w:ascii="Times New Roman" w:hAnsi="Times New Roman"/>
          <w:sz w:val="24"/>
          <w:szCs w:val="24"/>
        </w:rPr>
        <w:t xml:space="preserve">, </w:t>
      </w:r>
      <w:r w:rsidR="00687496">
        <w:rPr>
          <w:rFonts w:ascii="Times New Roman" w:hAnsi="Times New Roman"/>
          <w:sz w:val="24"/>
          <w:szCs w:val="24"/>
        </w:rPr>
        <w:t>r</w:t>
      </w:r>
      <w:r w:rsidR="00007677">
        <w:rPr>
          <w:rFonts w:ascii="Times New Roman" w:hAnsi="Times New Roman"/>
          <w:sz w:val="24"/>
          <w:szCs w:val="24"/>
        </w:rPr>
        <w:t>ightholders</w:t>
      </w:r>
      <w:r w:rsidRPr="00AC3DEE">
        <w:rPr>
          <w:rFonts w:ascii="Times New Roman" w:hAnsi="Times New Roman"/>
          <w:sz w:val="24"/>
          <w:szCs w:val="24"/>
        </w:rPr>
        <w:t xml:space="preserve"> would not be able anymore to exercise their exclusive rights to authorise or prohibit digital uses of their works for illustrating teaching. </w:t>
      </w:r>
      <w:r w:rsidRPr="00C32C45">
        <w:rPr>
          <w:rFonts w:ascii="Times New Roman" w:hAnsi="Times New Roman"/>
          <w:sz w:val="24"/>
          <w:szCs w:val="24"/>
        </w:rPr>
        <w:t xml:space="preserve">They would be able to continue offering licences only for </w:t>
      </w:r>
      <w:r>
        <w:rPr>
          <w:rFonts w:ascii="Times New Roman" w:hAnsi="Times New Roman"/>
          <w:sz w:val="24"/>
          <w:szCs w:val="24"/>
        </w:rPr>
        <w:t>print copies and digital uses</w:t>
      </w:r>
      <w:r w:rsidRPr="00C32C45">
        <w:rPr>
          <w:rFonts w:ascii="Times New Roman" w:hAnsi="Times New Roman"/>
          <w:sz w:val="24"/>
          <w:szCs w:val="24"/>
        </w:rPr>
        <w:t xml:space="preserve"> which would go beyond the scope of the </w:t>
      </w:r>
      <w:r>
        <w:rPr>
          <w:rFonts w:ascii="Times New Roman" w:hAnsi="Times New Roman"/>
          <w:sz w:val="24"/>
          <w:szCs w:val="24"/>
        </w:rPr>
        <w:t xml:space="preserve">new </w:t>
      </w:r>
      <w:r w:rsidRPr="00C32C45">
        <w:rPr>
          <w:rFonts w:ascii="Times New Roman" w:hAnsi="Times New Roman"/>
          <w:sz w:val="24"/>
          <w:szCs w:val="24"/>
        </w:rPr>
        <w:t>exception (</w:t>
      </w:r>
      <w:r>
        <w:rPr>
          <w:rFonts w:ascii="Times New Roman" w:hAnsi="Times New Roman"/>
          <w:sz w:val="24"/>
          <w:szCs w:val="24"/>
        </w:rPr>
        <w:t xml:space="preserve">e.g. </w:t>
      </w:r>
      <w:r w:rsidRPr="00BF6F9D">
        <w:rPr>
          <w:rFonts w:ascii="Times New Roman" w:hAnsi="Times New Roman"/>
          <w:sz w:val="24"/>
          <w:szCs w:val="24"/>
        </w:rPr>
        <w:t>in terms of extent of copying</w:t>
      </w:r>
      <w:r w:rsidRPr="00C32C45">
        <w:rPr>
          <w:rFonts w:ascii="Times New Roman" w:hAnsi="Times New Roman"/>
          <w:sz w:val="24"/>
          <w:szCs w:val="24"/>
        </w:rPr>
        <w:t>).</w:t>
      </w:r>
      <w:r>
        <w:t xml:space="preserve"> </w:t>
      </w:r>
      <w:r w:rsidRPr="00AC3DEE">
        <w:rPr>
          <w:rFonts w:ascii="Times New Roman" w:hAnsi="Times New Roman"/>
          <w:sz w:val="24"/>
          <w:szCs w:val="24"/>
        </w:rPr>
        <w:t xml:space="preserve">This would imply a </w:t>
      </w:r>
      <w:r>
        <w:rPr>
          <w:rFonts w:ascii="Times New Roman" w:hAnsi="Times New Roman"/>
          <w:sz w:val="24"/>
          <w:szCs w:val="24"/>
        </w:rPr>
        <w:t xml:space="preserve">significant </w:t>
      </w:r>
      <w:r w:rsidRPr="00AC3DEE">
        <w:rPr>
          <w:rFonts w:ascii="Times New Roman" w:hAnsi="Times New Roman"/>
          <w:sz w:val="24"/>
          <w:szCs w:val="24"/>
        </w:rPr>
        <w:t>loss of secondary licensing income</w:t>
      </w:r>
      <w:r w:rsidR="001E637F">
        <w:rPr>
          <w:rFonts w:ascii="Times New Roman" w:hAnsi="Times New Roman"/>
          <w:sz w:val="24"/>
          <w:szCs w:val="24"/>
        </w:rPr>
        <w:t>.</w:t>
      </w:r>
      <w:r>
        <w:rPr>
          <w:rStyle w:val="FootnoteReference"/>
          <w:rFonts w:ascii="Times New Roman" w:hAnsi="Times New Roman"/>
          <w:sz w:val="24"/>
          <w:szCs w:val="24"/>
        </w:rPr>
        <w:footnoteReference w:id="299"/>
      </w:r>
      <w:r>
        <w:rPr>
          <w:rFonts w:ascii="Times New Roman" w:hAnsi="Times New Roman"/>
          <w:sz w:val="24"/>
          <w:szCs w:val="24"/>
        </w:rPr>
        <w:t xml:space="preserve"> </w:t>
      </w:r>
      <w:r w:rsidR="00E16DD0">
        <w:rPr>
          <w:rFonts w:ascii="Times New Roman" w:hAnsi="Times New Roman"/>
          <w:sz w:val="24"/>
          <w:szCs w:val="24"/>
        </w:rPr>
        <w:t xml:space="preserve">One </w:t>
      </w:r>
      <w:r>
        <w:rPr>
          <w:rFonts w:ascii="Times New Roman" w:hAnsi="Times New Roman"/>
          <w:sz w:val="24"/>
          <w:szCs w:val="24"/>
        </w:rPr>
        <w:t>can reasonably assume than Option 2 would affect at least half of the secondary licensing revenue currently stemming from digital uses.</w:t>
      </w:r>
      <w:r w:rsidR="008E3455">
        <w:rPr>
          <w:rStyle w:val="FootnoteReference"/>
          <w:rFonts w:ascii="Times New Roman" w:hAnsi="Times New Roman"/>
          <w:sz w:val="24"/>
          <w:szCs w:val="24"/>
        </w:rPr>
        <w:footnoteReference w:id="300"/>
      </w:r>
      <w:r>
        <w:rPr>
          <w:rFonts w:ascii="Times New Roman" w:hAnsi="Times New Roman"/>
          <w:sz w:val="24"/>
          <w:szCs w:val="24"/>
        </w:rPr>
        <w:t xml:space="preserve"> Estimates established on this basis and considering the relative importance of digital uses in several MS</w:t>
      </w:r>
      <w:r>
        <w:rPr>
          <w:rStyle w:val="FootnoteReference"/>
          <w:rFonts w:ascii="Times New Roman" w:hAnsi="Times New Roman"/>
          <w:sz w:val="24"/>
          <w:szCs w:val="24"/>
        </w:rPr>
        <w:footnoteReference w:id="301"/>
      </w:r>
      <w:r>
        <w:rPr>
          <w:rFonts w:ascii="Times New Roman" w:hAnsi="Times New Roman"/>
          <w:sz w:val="24"/>
          <w:szCs w:val="24"/>
        </w:rPr>
        <w:t xml:space="preserve"> show that Option 2 would lead to a reduction of </w:t>
      </w:r>
      <w:r w:rsidRPr="008379D6">
        <w:rPr>
          <w:rFonts w:ascii="Times New Roman" w:hAnsi="Times New Roman"/>
          <w:sz w:val="24"/>
          <w:szCs w:val="24"/>
        </w:rPr>
        <w:t>14</w:t>
      </w:r>
      <w:r w:rsidR="004D059D">
        <w:rPr>
          <w:rFonts w:ascii="Times New Roman" w:hAnsi="Times New Roman"/>
          <w:sz w:val="24"/>
          <w:szCs w:val="24"/>
        </w:rPr>
        <w:t xml:space="preserve"> </w:t>
      </w:r>
      <w:r w:rsidRPr="008379D6">
        <w:rPr>
          <w:rFonts w:ascii="Times New Roman" w:hAnsi="Times New Roman"/>
          <w:sz w:val="24"/>
          <w:szCs w:val="24"/>
        </w:rPr>
        <w:t>% to 25</w:t>
      </w:r>
      <w:r w:rsidR="004D059D">
        <w:rPr>
          <w:rFonts w:ascii="Times New Roman" w:hAnsi="Times New Roman"/>
          <w:sz w:val="24"/>
          <w:szCs w:val="24"/>
        </w:rPr>
        <w:t xml:space="preserve"> </w:t>
      </w:r>
      <w:r w:rsidRPr="008379D6">
        <w:rPr>
          <w:rFonts w:ascii="Times New Roman" w:hAnsi="Times New Roman"/>
          <w:sz w:val="24"/>
          <w:szCs w:val="24"/>
        </w:rPr>
        <w:t xml:space="preserve">% of the </w:t>
      </w:r>
      <w:r>
        <w:rPr>
          <w:rFonts w:ascii="Times New Roman" w:hAnsi="Times New Roman"/>
          <w:sz w:val="24"/>
          <w:szCs w:val="24"/>
        </w:rPr>
        <w:t xml:space="preserve">total </w:t>
      </w:r>
      <w:r w:rsidRPr="008379D6">
        <w:rPr>
          <w:rFonts w:ascii="Times New Roman" w:hAnsi="Times New Roman"/>
          <w:sz w:val="24"/>
          <w:szCs w:val="24"/>
        </w:rPr>
        <w:t>revenue</w:t>
      </w:r>
      <w:r>
        <w:rPr>
          <w:rFonts w:ascii="Times New Roman" w:hAnsi="Times New Roman"/>
          <w:sz w:val="24"/>
          <w:szCs w:val="24"/>
        </w:rPr>
        <w:t>s</w:t>
      </w:r>
      <w:r w:rsidRPr="008379D6">
        <w:rPr>
          <w:rFonts w:ascii="Times New Roman" w:hAnsi="Times New Roman"/>
          <w:sz w:val="24"/>
          <w:szCs w:val="24"/>
        </w:rPr>
        <w:t xml:space="preserve"> </w:t>
      </w:r>
      <w:r>
        <w:rPr>
          <w:rFonts w:ascii="Times New Roman" w:hAnsi="Times New Roman"/>
          <w:sz w:val="24"/>
          <w:szCs w:val="24"/>
        </w:rPr>
        <w:t xml:space="preserve">currently </w:t>
      </w:r>
      <w:r w:rsidRPr="008379D6">
        <w:rPr>
          <w:rFonts w:ascii="Times New Roman" w:hAnsi="Times New Roman"/>
          <w:sz w:val="24"/>
          <w:szCs w:val="24"/>
        </w:rPr>
        <w:t xml:space="preserve">collected by </w:t>
      </w:r>
      <w:r>
        <w:rPr>
          <w:rFonts w:ascii="Times New Roman" w:hAnsi="Times New Roman"/>
          <w:sz w:val="24"/>
          <w:szCs w:val="24"/>
        </w:rPr>
        <w:t>CMOs (in the print sector) from educational establishments.</w:t>
      </w:r>
      <w:r>
        <w:rPr>
          <w:rStyle w:val="FootnoteReference"/>
          <w:rFonts w:ascii="Times New Roman" w:hAnsi="Times New Roman"/>
          <w:sz w:val="24"/>
          <w:szCs w:val="24"/>
        </w:rPr>
        <w:footnoteReference w:id="302"/>
      </w:r>
      <w:r>
        <w:rPr>
          <w:rFonts w:ascii="Times New Roman" w:hAnsi="Times New Roman"/>
          <w:sz w:val="24"/>
          <w:szCs w:val="24"/>
        </w:rPr>
        <w:t xml:space="preserve"> This proportion is likely to increase over the next years, with the uptake of digital teaching practices at all education levels.</w:t>
      </w:r>
    </w:p>
    <w:p w:rsidR="00952EB0" w:rsidRDefault="00952EB0" w:rsidP="00952EB0">
      <w:pPr>
        <w:spacing w:after="120" w:line="240" w:lineRule="auto"/>
        <w:jc w:val="both"/>
        <w:rPr>
          <w:rFonts w:ascii="Times New Roman" w:hAnsi="Times New Roman"/>
          <w:sz w:val="24"/>
          <w:szCs w:val="24"/>
        </w:rPr>
      </w:pPr>
      <w:r>
        <w:rPr>
          <w:rFonts w:ascii="Times New Roman" w:hAnsi="Times New Roman"/>
          <w:sz w:val="24"/>
          <w:szCs w:val="24"/>
        </w:rPr>
        <w:t xml:space="preserve">In those MS,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would be differently affected depending on how much their works are used in the teaching context</w:t>
      </w:r>
      <w:r w:rsidRPr="00AC3DEE">
        <w:rPr>
          <w:rFonts w:ascii="Times New Roman" w:hAnsi="Times New Roman"/>
          <w:sz w:val="24"/>
          <w:szCs w:val="24"/>
        </w:rPr>
        <w:t xml:space="preserve">. </w:t>
      </w:r>
      <w:r>
        <w:rPr>
          <w:rFonts w:ascii="Times New Roman" w:hAnsi="Times New Roman"/>
          <w:sz w:val="24"/>
          <w:szCs w:val="24"/>
        </w:rPr>
        <w:t xml:space="preserve">Considering that text documents and images are the types of content </w:t>
      </w:r>
      <w:r w:rsidR="00683723">
        <w:rPr>
          <w:rFonts w:ascii="Times New Roman" w:hAnsi="Times New Roman"/>
          <w:sz w:val="24"/>
          <w:szCs w:val="24"/>
        </w:rPr>
        <w:t xml:space="preserve">currently </w:t>
      </w:r>
      <w:r>
        <w:rPr>
          <w:rFonts w:ascii="Times New Roman" w:hAnsi="Times New Roman"/>
          <w:sz w:val="24"/>
          <w:szCs w:val="24"/>
        </w:rPr>
        <w:t xml:space="preserve">most widely used in education,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in the print sector (writers, visual artists, publishers) are likely to be more affected than others. The strongest impacts would be felt by educational and academic authors and publishers, whose works are intensively used by educational establishments. A large part of the volume of copies made in the context of teaching (analogue and digital copies) is based on copies from textbooks or other educational resources: 90</w:t>
      </w:r>
      <w:r w:rsidR="00DA4A18">
        <w:rPr>
          <w:rFonts w:ascii="Times New Roman" w:hAnsi="Times New Roman"/>
          <w:sz w:val="24"/>
          <w:szCs w:val="24"/>
        </w:rPr>
        <w:t xml:space="preserve"> </w:t>
      </w:r>
      <w:r>
        <w:rPr>
          <w:rFonts w:ascii="Times New Roman" w:hAnsi="Times New Roman"/>
          <w:sz w:val="24"/>
          <w:szCs w:val="24"/>
        </w:rPr>
        <w:t xml:space="preserve">% in </w:t>
      </w:r>
      <w:r w:rsidR="00B1145D">
        <w:rPr>
          <w:rFonts w:ascii="Times New Roman" w:hAnsi="Times New Roman"/>
          <w:sz w:val="24"/>
          <w:szCs w:val="24"/>
        </w:rPr>
        <w:t>IE</w:t>
      </w:r>
      <w:r>
        <w:rPr>
          <w:rFonts w:ascii="Times New Roman" w:hAnsi="Times New Roman"/>
          <w:sz w:val="24"/>
          <w:szCs w:val="24"/>
        </w:rPr>
        <w:t>, 80</w:t>
      </w:r>
      <w:r w:rsidR="00DA4A18">
        <w:rPr>
          <w:rFonts w:ascii="Times New Roman" w:hAnsi="Times New Roman"/>
          <w:sz w:val="24"/>
          <w:szCs w:val="24"/>
        </w:rPr>
        <w:t xml:space="preserve"> </w:t>
      </w:r>
      <w:r>
        <w:rPr>
          <w:rFonts w:ascii="Times New Roman" w:hAnsi="Times New Roman"/>
          <w:sz w:val="24"/>
          <w:szCs w:val="24"/>
        </w:rPr>
        <w:t>% in F</w:t>
      </w:r>
      <w:r w:rsidR="00B1145D">
        <w:rPr>
          <w:rFonts w:ascii="Times New Roman" w:hAnsi="Times New Roman"/>
          <w:sz w:val="24"/>
          <w:szCs w:val="24"/>
        </w:rPr>
        <w:t>R</w:t>
      </w:r>
      <w:r>
        <w:rPr>
          <w:rFonts w:ascii="Times New Roman" w:hAnsi="Times New Roman"/>
          <w:sz w:val="24"/>
          <w:szCs w:val="24"/>
        </w:rPr>
        <w:t>, 67</w:t>
      </w:r>
      <w:r w:rsidR="00DA4A18">
        <w:rPr>
          <w:rFonts w:ascii="Times New Roman" w:hAnsi="Times New Roman"/>
          <w:sz w:val="24"/>
          <w:szCs w:val="24"/>
        </w:rPr>
        <w:t xml:space="preserve"> </w:t>
      </w:r>
      <w:r>
        <w:rPr>
          <w:rFonts w:ascii="Times New Roman" w:hAnsi="Times New Roman"/>
          <w:sz w:val="24"/>
          <w:szCs w:val="24"/>
        </w:rPr>
        <w:t xml:space="preserve">% in </w:t>
      </w:r>
      <w:r w:rsidR="00B1145D">
        <w:rPr>
          <w:rFonts w:ascii="Times New Roman" w:hAnsi="Times New Roman"/>
          <w:sz w:val="24"/>
          <w:szCs w:val="24"/>
        </w:rPr>
        <w:t>DE</w:t>
      </w:r>
      <w:r>
        <w:rPr>
          <w:rFonts w:ascii="Times New Roman" w:hAnsi="Times New Roman"/>
          <w:sz w:val="24"/>
          <w:szCs w:val="24"/>
        </w:rPr>
        <w:t>.</w:t>
      </w:r>
      <w:r w:rsidRPr="00A83544">
        <w:rPr>
          <w:rFonts w:ascii="Times New Roman" w:hAnsi="Times New Roman"/>
          <w:sz w:val="24"/>
          <w:szCs w:val="24"/>
          <w:vertAlign w:val="superscript"/>
        </w:rPr>
        <w:footnoteReference w:id="303"/>
      </w:r>
      <w:r>
        <w:rPr>
          <w:rFonts w:ascii="Times New Roman" w:hAnsi="Times New Roman"/>
          <w:sz w:val="24"/>
          <w:szCs w:val="24"/>
        </w:rPr>
        <w:t xml:space="preserve"> Such impact would also be felt by educational publishers in MS where textbooks and other educational resources are excluded from the scope of the national teaching exception (notably FR, DE, AT, ES)</w:t>
      </w:r>
      <w:r w:rsidRPr="00AC3DEE">
        <w:rPr>
          <w:rFonts w:ascii="Times New Roman" w:hAnsi="Times New Roman"/>
          <w:sz w:val="24"/>
          <w:szCs w:val="24"/>
        </w:rPr>
        <w:t>.</w:t>
      </w:r>
      <w:r>
        <w:rPr>
          <w:rStyle w:val="FootnoteReference"/>
          <w:rFonts w:ascii="Times New Roman" w:hAnsi="Times New Roman"/>
          <w:sz w:val="24"/>
          <w:szCs w:val="24"/>
        </w:rPr>
        <w:footnoteReference w:id="304"/>
      </w:r>
      <w:r>
        <w:rPr>
          <w:rFonts w:ascii="Times New Roman" w:hAnsi="Times New Roman"/>
          <w:sz w:val="24"/>
          <w:szCs w:val="24"/>
        </w:rPr>
        <w:t xml:space="preserve"> Data collected for FR, DE, UK and SE indicates that secondary uses of textbooks account for 1 to 4</w:t>
      </w:r>
      <w:r w:rsidR="0071635C">
        <w:rPr>
          <w:rFonts w:ascii="Times New Roman" w:hAnsi="Times New Roman"/>
          <w:sz w:val="24"/>
          <w:szCs w:val="24"/>
        </w:rPr>
        <w:t xml:space="preserve"> </w:t>
      </w:r>
      <w:r>
        <w:rPr>
          <w:rFonts w:ascii="Times New Roman" w:hAnsi="Times New Roman"/>
          <w:sz w:val="24"/>
          <w:szCs w:val="24"/>
        </w:rPr>
        <w:t>% of the educational publishers' turnover in those countries.</w:t>
      </w:r>
      <w:r>
        <w:rPr>
          <w:rStyle w:val="FootnoteReference"/>
          <w:rFonts w:ascii="Times New Roman" w:hAnsi="Times New Roman"/>
          <w:sz w:val="24"/>
          <w:szCs w:val="24"/>
        </w:rPr>
        <w:footnoteReference w:id="305"/>
      </w:r>
      <w:r>
        <w:rPr>
          <w:rFonts w:ascii="Times New Roman" w:hAnsi="Times New Roman"/>
          <w:sz w:val="24"/>
          <w:szCs w:val="24"/>
        </w:rPr>
        <w:t xml:space="preserve"> A reduction of 14 to 25</w:t>
      </w:r>
      <w:r w:rsidR="0071635C">
        <w:rPr>
          <w:rFonts w:ascii="Times New Roman" w:hAnsi="Times New Roman"/>
          <w:sz w:val="24"/>
          <w:szCs w:val="24"/>
        </w:rPr>
        <w:t xml:space="preserve"> </w:t>
      </w:r>
      <w:r>
        <w:rPr>
          <w:rFonts w:ascii="Times New Roman" w:hAnsi="Times New Roman"/>
          <w:sz w:val="24"/>
          <w:szCs w:val="24"/>
        </w:rPr>
        <w:t xml:space="preserve">% of this source of revenue would therefore have a non-negligible impact on the industry. </w:t>
      </w:r>
      <w:r>
        <w:rPr>
          <w:rFonts w:ascii="Times New Roman" w:hAnsi="Times New Roman"/>
          <w:sz w:val="24"/>
        </w:rPr>
        <w:t xml:space="preserve">Academic </w:t>
      </w:r>
      <w:r w:rsidRPr="00E53185">
        <w:rPr>
          <w:rFonts w:ascii="Times New Roman" w:hAnsi="Times New Roman"/>
          <w:sz w:val="24"/>
        </w:rPr>
        <w:t xml:space="preserve">and </w:t>
      </w:r>
      <w:r w:rsidR="00725EA1" w:rsidRPr="00E53185">
        <w:rPr>
          <w:rFonts w:ascii="Times New Roman" w:hAnsi="Times New Roman"/>
          <w:sz w:val="24"/>
        </w:rPr>
        <w:t>Scientific, Technical and Medical Publishers</w:t>
      </w:r>
      <w:r w:rsidR="00725EA1">
        <w:rPr>
          <w:rFonts w:ascii="Times New Roman" w:hAnsi="Times New Roman"/>
          <w:sz w:val="24"/>
        </w:rPr>
        <w:t xml:space="preserve"> ("STM </w:t>
      </w:r>
      <w:r>
        <w:rPr>
          <w:rFonts w:ascii="Times New Roman" w:hAnsi="Times New Roman"/>
          <w:sz w:val="24"/>
        </w:rPr>
        <w:t>publishers</w:t>
      </w:r>
      <w:r w:rsidR="00725EA1">
        <w:rPr>
          <w:rFonts w:ascii="Times New Roman" w:hAnsi="Times New Roman"/>
          <w:sz w:val="24"/>
        </w:rPr>
        <w:t>")</w:t>
      </w:r>
      <w:r>
        <w:rPr>
          <w:rFonts w:ascii="Times New Roman" w:hAnsi="Times New Roman"/>
          <w:sz w:val="24"/>
        </w:rPr>
        <w:t xml:space="preserve"> would also be strongly impacted by the reduction of licensing income from higher education institutions.</w:t>
      </w:r>
      <w:r>
        <w:rPr>
          <w:rStyle w:val="FootnoteReference"/>
          <w:rFonts w:ascii="Times New Roman" w:hAnsi="Times New Roman"/>
          <w:sz w:val="24"/>
          <w:szCs w:val="24"/>
        </w:rPr>
        <w:footnoteReference w:id="306"/>
      </w:r>
      <w:r>
        <w:rPr>
          <w:rFonts w:ascii="Times New Roman" w:hAnsi="Times New Roman"/>
          <w:sz w:val="24"/>
          <w:szCs w:val="24"/>
        </w:rPr>
        <w:t xml:space="preserve"> Furthermore, the negative impact would extend to e</w:t>
      </w:r>
      <w:r w:rsidRPr="00AC3DEE">
        <w:rPr>
          <w:rFonts w:ascii="Times New Roman" w:hAnsi="Times New Roman"/>
          <w:sz w:val="24"/>
          <w:szCs w:val="24"/>
        </w:rPr>
        <w:t xml:space="preserve">ducational authors </w:t>
      </w:r>
      <w:r>
        <w:rPr>
          <w:rFonts w:ascii="Times New Roman" w:hAnsi="Times New Roman"/>
          <w:sz w:val="24"/>
          <w:szCs w:val="24"/>
        </w:rPr>
        <w:t>for whom</w:t>
      </w:r>
      <w:r w:rsidRPr="00AC3DEE">
        <w:rPr>
          <w:rFonts w:ascii="Times New Roman" w:hAnsi="Times New Roman"/>
          <w:sz w:val="24"/>
          <w:szCs w:val="24"/>
        </w:rPr>
        <w:t xml:space="preserve"> </w:t>
      </w:r>
      <w:r>
        <w:rPr>
          <w:rFonts w:ascii="Times New Roman" w:hAnsi="Times New Roman"/>
          <w:sz w:val="24"/>
          <w:szCs w:val="24"/>
        </w:rPr>
        <w:t>t</w:t>
      </w:r>
      <w:r w:rsidRPr="00AC3DEE">
        <w:rPr>
          <w:rFonts w:ascii="Times New Roman" w:hAnsi="Times New Roman"/>
          <w:sz w:val="24"/>
          <w:szCs w:val="24"/>
        </w:rPr>
        <w:t xml:space="preserve">his source of income constitutes a constant revenue stream </w:t>
      </w:r>
      <w:r>
        <w:rPr>
          <w:rFonts w:ascii="Times New Roman" w:hAnsi="Times New Roman"/>
          <w:sz w:val="24"/>
          <w:szCs w:val="24"/>
        </w:rPr>
        <w:t xml:space="preserve">compared to more variable </w:t>
      </w:r>
      <w:r w:rsidRPr="00AC3DEE">
        <w:rPr>
          <w:rFonts w:ascii="Times New Roman" w:hAnsi="Times New Roman"/>
          <w:sz w:val="24"/>
          <w:szCs w:val="24"/>
        </w:rPr>
        <w:t xml:space="preserve">revenues from </w:t>
      </w:r>
      <w:r>
        <w:rPr>
          <w:rFonts w:ascii="Times New Roman" w:hAnsi="Times New Roman"/>
          <w:sz w:val="24"/>
          <w:szCs w:val="24"/>
        </w:rPr>
        <w:t>primary sales</w:t>
      </w:r>
      <w:r w:rsidRPr="00AC3DEE">
        <w:rPr>
          <w:rFonts w:ascii="Times New Roman" w:hAnsi="Times New Roman"/>
          <w:sz w:val="24"/>
          <w:szCs w:val="24"/>
        </w:rPr>
        <w:t xml:space="preserve">. A </w:t>
      </w:r>
      <w:r w:rsidRPr="00AC3DEE">
        <w:rPr>
          <w:rFonts w:ascii="Times New Roman" w:hAnsi="Times New Roman"/>
          <w:sz w:val="24"/>
        </w:rPr>
        <w:t xml:space="preserve">study carried out in the UK in 2011 reported that </w:t>
      </w:r>
      <w:r>
        <w:rPr>
          <w:rFonts w:ascii="Times New Roman" w:hAnsi="Times New Roman"/>
          <w:sz w:val="24"/>
        </w:rPr>
        <w:t>for</w:t>
      </w:r>
      <w:r w:rsidRPr="00AC3DEE">
        <w:rPr>
          <w:rFonts w:ascii="Times New Roman" w:hAnsi="Times New Roman"/>
          <w:sz w:val="24"/>
        </w:rPr>
        <w:t xml:space="preserve"> UK educational authors a 20</w:t>
      </w:r>
      <w:r w:rsidR="0071635C">
        <w:rPr>
          <w:rFonts w:ascii="Times New Roman" w:hAnsi="Times New Roman"/>
          <w:sz w:val="24"/>
        </w:rPr>
        <w:t xml:space="preserve"> </w:t>
      </w:r>
      <w:r w:rsidRPr="00AC3DEE">
        <w:rPr>
          <w:rFonts w:ascii="Times New Roman" w:hAnsi="Times New Roman"/>
          <w:sz w:val="24"/>
        </w:rPr>
        <w:t>% reduction of the secondary licensing income would result in a 29</w:t>
      </w:r>
      <w:r w:rsidR="0071635C">
        <w:rPr>
          <w:rFonts w:ascii="Times New Roman" w:hAnsi="Times New Roman"/>
          <w:sz w:val="24"/>
        </w:rPr>
        <w:t xml:space="preserve"> </w:t>
      </w:r>
      <w:r w:rsidRPr="00AC3DEE">
        <w:rPr>
          <w:rFonts w:ascii="Times New Roman" w:hAnsi="Times New Roman"/>
          <w:sz w:val="24"/>
        </w:rPr>
        <w:t>% decline in output (which would mean 2</w:t>
      </w:r>
      <w:r w:rsidR="00E74375">
        <w:rPr>
          <w:rFonts w:ascii="Times New Roman" w:hAnsi="Times New Roman"/>
          <w:sz w:val="24"/>
        </w:rPr>
        <w:t>,</w:t>
      </w:r>
      <w:r w:rsidRPr="00AC3DEE">
        <w:rPr>
          <w:rFonts w:ascii="Times New Roman" w:hAnsi="Times New Roman"/>
          <w:sz w:val="24"/>
        </w:rPr>
        <w:t>870 less new works being created annually).</w:t>
      </w:r>
      <w:r w:rsidRPr="00AC3DEE">
        <w:rPr>
          <w:rFonts w:ascii="Times New Roman" w:hAnsi="Times New Roman"/>
          <w:sz w:val="24"/>
          <w:vertAlign w:val="superscript"/>
        </w:rPr>
        <w:footnoteReference w:id="307"/>
      </w:r>
      <w:r w:rsidRPr="00AC3DEE">
        <w:rPr>
          <w:rFonts w:ascii="Times New Roman" w:hAnsi="Times New Roman"/>
          <w:sz w:val="24"/>
        </w:rPr>
        <w:t xml:space="preserve"> </w:t>
      </w:r>
      <w:r>
        <w:rPr>
          <w:rFonts w:ascii="Times New Roman" w:hAnsi="Times New Roman"/>
          <w:sz w:val="24"/>
          <w:szCs w:val="24"/>
        </w:rPr>
        <w:t xml:space="preserve">The possible compensation that may be imposed at national level would not ensure the level of revenues that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can obtain when exercising their exclusive rights on the market.</w:t>
      </w:r>
      <w:r>
        <w:rPr>
          <w:rStyle w:val="FootnoteReference"/>
          <w:rFonts w:ascii="Times New Roman" w:hAnsi="Times New Roman"/>
          <w:sz w:val="24"/>
          <w:szCs w:val="24"/>
        </w:rPr>
        <w:footnoteReference w:id="308"/>
      </w:r>
      <w:r>
        <w:rPr>
          <w:rFonts w:ascii="Times New Roman" w:hAnsi="Times New Roman"/>
          <w:sz w:val="24"/>
          <w:szCs w:val="24"/>
        </w:rPr>
        <w:t xml:space="preserve"> </w:t>
      </w:r>
    </w:p>
    <w:p w:rsidR="00952EB0" w:rsidRDefault="00952EB0" w:rsidP="00190031">
      <w:pPr>
        <w:spacing w:after="120" w:line="240" w:lineRule="auto"/>
        <w:jc w:val="both"/>
        <w:rPr>
          <w:rFonts w:ascii="Times New Roman" w:hAnsi="Times New Roman"/>
          <w:sz w:val="24"/>
          <w:szCs w:val="24"/>
        </w:rPr>
      </w:pPr>
      <w:r w:rsidRPr="00105CBA">
        <w:rPr>
          <w:rFonts w:ascii="Times New Roman" w:hAnsi="Times New Roman"/>
          <w:sz w:val="24"/>
          <w:szCs w:val="24"/>
          <w:u w:val="single"/>
        </w:rPr>
        <w:t>Impacts on competitiveness and innovation in the educational publishing industry</w:t>
      </w:r>
      <w:r>
        <w:rPr>
          <w:rFonts w:ascii="Times New Roman" w:hAnsi="Times New Roman"/>
          <w:i/>
          <w:sz w:val="24"/>
          <w:szCs w:val="24"/>
          <w:u w:val="single"/>
        </w:rPr>
        <w:t>:</w:t>
      </w:r>
      <w:r w:rsidRPr="009E58C4">
        <w:rPr>
          <w:rFonts w:ascii="Times New Roman" w:hAnsi="Times New Roman"/>
          <w:sz w:val="24"/>
          <w:szCs w:val="24"/>
        </w:rPr>
        <w:t xml:space="preserve"> </w:t>
      </w:r>
      <w:r>
        <w:rPr>
          <w:rFonts w:ascii="Times New Roman" w:hAnsi="Times New Roman"/>
          <w:sz w:val="24"/>
          <w:szCs w:val="24"/>
        </w:rPr>
        <w:t>The reduction of secondary licensing revenue is expected to have a direct impact on educational publishers' incentive to invest in new content.</w:t>
      </w:r>
      <w:r>
        <w:rPr>
          <w:rStyle w:val="FootnoteReference"/>
          <w:rFonts w:ascii="Times New Roman" w:hAnsi="Times New Roman"/>
          <w:sz w:val="24"/>
          <w:szCs w:val="24"/>
        </w:rPr>
        <w:footnoteReference w:id="309"/>
      </w:r>
      <w:r>
        <w:rPr>
          <w:rFonts w:ascii="Times New Roman" w:hAnsi="Times New Roman"/>
          <w:sz w:val="24"/>
          <w:szCs w:val="24"/>
        </w:rPr>
        <w:t xml:space="preserve"> It is likely to hit first digital educational resources, whose market is not profitable yet, notably because of the high fixed costs associated to the development of digital products and educational resources platforms.</w:t>
      </w:r>
      <w:r>
        <w:rPr>
          <w:rStyle w:val="FootnoteReference"/>
          <w:rFonts w:ascii="Times New Roman" w:hAnsi="Times New Roman"/>
          <w:sz w:val="24"/>
          <w:szCs w:val="24"/>
        </w:rPr>
        <w:footnoteReference w:id="310"/>
      </w:r>
      <w:r>
        <w:rPr>
          <w:rFonts w:ascii="Times New Roman" w:hAnsi="Times New Roman"/>
          <w:sz w:val="24"/>
          <w:szCs w:val="24"/>
        </w:rPr>
        <w:t xml:space="preserve"> Evidence collected in the UK from a sample of educational publishers indicated that revenues from secondary licensing equate to 19</w:t>
      </w:r>
      <w:r w:rsidR="0071635C">
        <w:rPr>
          <w:rFonts w:ascii="Times New Roman" w:hAnsi="Times New Roman"/>
          <w:sz w:val="24"/>
          <w:szCs w:val="24"/>
        </w:rPr>
        <w:t xml:space="preserve"> </w:t>
      </w:r>
      <w:r>
        <w:rPr>
          <w:rFonts w:ascii="Times New Roman" w:hAnsi="Times New Roman"/>
          <w:sz w:val="24"/>
          <w:szCs w:val="24"/>
        </w:rPr>
        <w:t>% of their investment in content development.</w:t>
      </w:r>
      <w:r>
        <w:rPr>
          <w:rStyle w:val="FootnoteReference"/>
          <w:rFonts w:ascii="Times New Roman" w:hAnsi="Times New Roman"/>
          <w:sz w:val="24"/>
          <w:szCs w:val="24"/>
        </w:rPr>
        <w:footnoteReference w:id="311"/>
      </w:r>
      <w:r>
        <w:rPr>
          <w:rFonts w:ascii="Times New Roman" w:hAnsi="Times New Roman"/>
          <w:sz w:val="24"/>
          <w:szCs w:val="24"/>
        </w:rPr>
        <w:t xml:space="preserve"> In the long term, the lack of sufficient investment in digital products could affect the</w:t>
      </w:r>
      <w:r w:rsidRPr="00A83544">
        <w:rPr>
          <w:rFonts w:ascii="Times New Roman" w:hAnsi="Times New Roman"/>
          <w:sz w:val="24"/>
          <w:szCs w:val="24"/>
        </w:rPr>
        <w:t xml:space="preserve"> </w:t>
      </w:r>
      <w:r w:rsidRPr="009E58C4">
        <w:rPr>
          <w:rFonts w:ascii="Times New Roman" w:hAnsi="Times New Roman"/>
          <w:sz w:val="24"/>
          <w:szCs w:val="24"/>
        </w:rPr>
        <w:t>competitiveness</w:t>
      </w:r>
      <w:r w:rsidRPr="00A83544">
        <w:rPr>
          <w:rFonts w:ascii="Times New Roman" w:hAnsi="Times New Roman"/>
          <w:sz w:val="24"/>
          <w:szCs w:val="24"/>
        </w:rPr>
        <w:t xml:space="preserve"> of the</w:t>
      </w:r>
      <w:r>
        <w:rPr>
          <w:rFonts w:ascii="Times New Roman" w:hAnsi="Times New Roman"/>
          <w:sz w:val="24"/>
          <w:szCs w:val="24"/>
        </w:rPr>
        <w:t xml:space="preserve"> European educational</w:t>
      </w:r>
      <w:r w:rsidRPr="00A83544">
        <w:rPr>
          <w:rFonts w:ascii="Times New Roman" w:hAnsi="Times New Roman"/>
          <w:sz w:val="24"/>
          <w:szCs w:val="24"/>
        </w:rPr>
        <w:t xml:space="preserve"> </w:t>
      </w:r>
      <w:r>
        <w:rPr>
          <w:rFonts w:ascii="Times New Roman" w:hAnsi="Times New Roman"/>
          <w:sz w:val="24"/>
          <w:szCs w:val="24"/>
        </w:rPr>
        <w:t>publishing industry, including at international level</w:t>
      </w:r>
      <w:r w:rsidRPr="00A83544">
        <w:rPr>
          <w:rFonts w:ascii="Times New Roman" w:hAnsi="Times New Roman"/>
          <w:sz w:val="24"/>
          <w:szCs w:val="24"/>
        </w:rPr>
        <w:t>.</w:t>
      </w:r>
      <w:r>
        <w:rPr>
          <w:rFonts w:ascii="Times New Roman" w:hAnsi="Times New Roman"/>
          <w:sz w:val="24"/>
          <w:szCs w:val="24"/>
        </w:rPr>
        <w:t xml:space="preserve"> International sales of textbooks and academic books are important notably for the UK and French educational publishing industries (sales in English/French-language markets).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Social impacts</w:t>
      </w:r>
    </w:p>
    <w:p w:rsidR="00952EB0" w:rsidRDefault="00952EB0" w:rsidP="00190031">
      <w:pPr>
        <w:spacing w:after="120" w:line="240" w:lineRule="auto"/>
        <w:jc w:val="both"/>
        <w:rPr>
          <w:rFonts w:ascii="Times New Roman" w:hAnsi="Times New Roman"/>
          <w:sz w:val="24"/>
          <w:szCs w:val="24"/>
        </w:rPr>
      </w:pPr>
      <w:r>
        <w:rPr>
          <w:rFonts w:ascii="Times New Roman" w:hAnsi="Times New Roman"/>
          <w:sz w:val="24"/>
          <w:szCs w:val="24"/>
        </w:rPr>
        <w:t xml:space="preserve">The legal certainty provided by Option 2 would result in a positive impact on the further </w:t>
      </w:r>
      <w:r w:rsidRPr="00C32C45">
        <w:rPr>
          <w:rFonts w:ascii="Times New Roman" w:hAnsi="Times New Roman"/>
          <w:sz w:val="24"/>
          <w:szCs w:val="24"/>
        </w:rPr>
        <w:t xml:space="preserve">development of digital and cross-border education and indirectly on the acquisition of digital skills. </w:t>
      </w:r>
      <w:r w:rsidRPr="00672F6D">
        <w:rPr>
          <w:rFonts w:ascii="Times New Roman" w:hAnsi="Times New Roman"/>
          <w:sz w:val="24"/>
          <w:szCs w:val="24"/>
        </w:rPr>
        <w:t xml:space="preserve">Option 2 would allow a wider and more flexible use of protected content in education, which may contribute to promote cultural diversity among students. However, the impact of this option on </w:t>
      </w:r>
      <w:r w:rsidR="00687496">
        <w:rPr>
          <w:rFonts w:ascii="Times New Roman" w:hAnsi="Times New Roman"/>
          <w:sz w:val="24"/>
          <w:szCs w:val="24"/>
        </w:rPr>
        <w:t>r</w:t>
      </w:r>
      <w:r w:rsidR="00007677">
        <w:rPr>
          <w:rFonts w:ascii="Times New Roman" w:hAnsi="Times New Roman"/>
          <w:sz w:val="24"/>
          <w:szCs w:val="24"/>
        </w:rPr>
        <w:t>ightholders</w:t>
      </w:r>
      <w:r w:rsidRPr="00672F6D">
        <w:rPr>
          <w:rFonts w:ascii="Times New Roman" w:hAnsi="Times New Roman"/>
          <w:sz w:val="24"/>
          <w:szCs w:val="24"/>
        </w:rPr>
        <w:t xml:space="preserve"> in certain MS could affect the incentive</w:t>
      </w:r>
      <w:r>
        <w:rPr>
          <w:rFonts w:ascii="Times New Roman" w:hAnsi="Times New Roman"/>
          <w:sz w:val="24"/>
          <w:szCs w:val="24"/>
        </w:rPr>
        <w:t xml:space="preserve"> to invest in </w:t>
      </w:r>
      <w:r w:rsidRPr="00A83544">
        <w:rPr>
          <w:rFonts w:ascii="Times New Roman" w:hAnsi="Times New Roman"/>
          <w:sz w:val="24"/>
          <w:szCs w:val="24"/>
        </w:rPr>
        <w:t>the production of new content</w:t>
      </w:r>
      <w:r>
        <w:rPr>
          <w:rFonts w:ascii="Times New Roman" w:hAnsi="Times New Roman"/>
          <w:sz w:val="24"/>
          <w:szCs w:val="24"/>
        </w:rPr>
        <w:t>, in particular resources produced specifically for the educational market</w:t>
      </w:r>
      <w:r w:rsidRPr="00A83544">
        <w:rPr>
          <w:rFonts w:ascii="Times New Roman" w:hAnsi="Times New Roman"/>
          <w:sz w:val="24"/>
          <w:szCs w:val="24"/>
        </w:rPr>
        <w:t xml:space="preserve">. </w:t>
      </w:r>
      <w:r>
        <w:rPr>
          <w:rFonts w:ascii="Times New Roman" w:hAnsi="Times New Roman"/>
          <w:sz w:val="24"/>
          <w:szCs w:val="24"/>
        </w:rPr>
        <w:t>If investment in new content decreases, t</w:t>
      </w:r>
      <w:r w:rsidRPr="00AC3DEE">
        <w:rPr>
          <w:rFonts w:ascii="Times New Roman" w:hAnsi="Times New Roman"/>
          <w:sz w:val="24"/>
          <w:szCs w:val="24"/>
        </w:rPr>
        <w:t xml:space="preserve">he quality </w:t>
      </w:r>
      <w:r>
        <w:rPr>
          <w:rFonts w:ascii="Times New Roman" w:hAnsi="Times New Roman"/>
          <w:sz w:val="24"/>
          <w:szCs w:val="24"/>
        </w:rPr>
        <w:t xml:space="preserve">and variety </w:t>
      </w:r>
      <w:r w:rsidRPr="00AC3DEE">
        <w:rPr>
          <w:rFonts w:ascii="Times New Roman" w:hAnsi="Times New Roman"/>
          <w:sz w:val="24"/>
          <w:szCs w:val="24"/>
        </w:rPr>
        <w:t>of educational resources used to illustrate and complement teaching may decline</w:t>
      </w:r>
      <w:r>
        <w:rPr>
          <w:rFonts w:ascii="Times New Roman" w:hAnsi="Times New Roman"/>
          <w:sz w:val="24"/>
          <w:szCs w:val="24"/>
        </w:rPr>
        <w:t>.</w:t>
      </w:r>
      <w:r w:rsidRPr="00AC3DEE">
        <w:rPr>
          <w:rFonts w:ascii="Times New Roman" w:hAnsi="Times New Roman"/>
          <w:sz w:val="24"/>
          <w:szCs w:val="24"/>
        </w:rPr>
        <w:t xml:space="preserve"> </w:t>
      </w:r>
    </w:p>
    <w:p w:rsidR="00952EB0" w:rsidRPr="00C32C45" w:rsidRDefault="00952EB0" w:rsidP="00A77F7A">
      <w:pPr>
        <w:pStyle w:val="Text1"/>
        <w:ind w:left="0"/>
        <w:rPr>
          <w:rFonts w:ascii="Times New Roman Bold" w:eastAsia="Arial Unicode MS" w:hAnsi="Times New Roman Bold" w:hint="eastAsia"/>
          <w:b/>
          <w:smallCaps/>
          <w:szCs w:val="24"/>
          <w:bdr w:val="nil"/>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 xml:space="preserve">undamental rights </w:t>
      </w:r>
    </w:p>
    <w:p w:rsidR="00952EB0" w:rsidRPr="00672F6D" w:rsidRDefault="00952EB0" w:rsidP="00190031">
      <w:pPr>
        <w:spacing w:after="120" w:line="240" w:lineRule="auto"/>
        <w:jc w:val="both"/>
        <w:rPr>
          <w:rFonts w:ascii="Times New Roman" w:hAnsi="Times New Roman"/>
          <w:sz w:val="24"/>
          <w:szCs w:val="24"/>
        </w:rPr>
      </w:pPr>
      <w:r w:rsidRPr="00672F6D">
        <w:rPr>
          <w:rFonts w:ascii="Times New Roman" w:hAnsi="Times New Roman"/>
          <w:sz w:val="24"/>
          <w:szCs w:val="24"/>
        </w:rPr>
        <w:t xml:space="preserve">Option 2 </w:t>
      </w:r>
      <w:r>
        <w:rPr>
          <w:rFonts w:ascii="Times New Roman" w:hAnsi="Times New Roman"/>
          <w:sz w:val="24"/>
          <w:szCs w:val="24"/>
        </w:rPr>
        <w:t>would</w:t>
      </w:r>
      <w:r w:rsidRPr="00672F6D">
        <w:rPr>
          <w:rFonts w:ascii="Times New Roman" w:hAnsi="Times New Roman"/>
          <w:sz w:val="24"/>
          <w:szCs w:val="24"/>
        </w:rPr>
        <w:t xml:space="preserve"> affect the right of property, with some uses which currently require the authorisation of </w:t>
      </w:r>
      <w:r w:rsidR="00687496">
        <w:rPr>
          <w:rFonts w:ascii="Times New Roman" w:hAnsi="Times New Roman"/>
          <w:sz w:val="24"/>
          <w:szCs w:val="24"/>
        </w:rPr>
        <w:t>r</w:t>
      </w:r>
      <w:r w:rsidR="00007677">
        <w:rPr>
          <w:rFonts w:ascii="Times New Roman" w:hAnsi="Times New Roman"/>
          <w:sz w:val="24"/>
          <w:szCs w:val="24"/>
        </w:rPr>
        <w:t>ightholders</w:t>
      </w:r>
      <w:r w:rsidRPr="00672F6D">
        <w:rPr>
          <w:rFonts w:ascii="Times New Roman" w:hAnsi="Times New Roman"/>
          <w:sz w:val="24"/>
          <w:szCs w:val="24"/>
        </w:rPr>
        <w:t xml:space="preserve"> in certain MS being cov</w:t>
      </w:r>
      <w:r w:rsidR="00603DAA">
        <w:rPr>
          <w:rFonts w:ascii="Times New Roman" w:hAnsi="Times New Roman"/>
          <w:sz w:val="24"/>
          <w:szCs w:val="24"/>
        </w:rPr>
        <w:t xml:space="preserve">ered by a mandatory exception. </w:t>
      </w:r>
      <w:r w:rsidRPr="00672F6D">
        <w:rPr>
          <w:rFonts w:ascii="Times New Roman" w:hAnsi="Times New Roman"/>
          <w:sz w:val="24"/>
          <w:szCs w:val="24"/>
        </w:rPr>
        <w:t xml:space="preserve">On the other hand, it would have some positive impacts on the right to education as it will support the further development of distance education. </w:t>
      </w:r>
    </w:p>
    <w:p w:rsidR="00952EB0" w:rsidRPr="00A77F7A" w:rsidRDefault="00952EB0" w:rsidP="00A77F7A">
      <w:pPr>
        <w:pStyle w:val="Text1"/>
        <w:ind w:left="0"/>
        <w:rPr>
          <w:rFonts w:eastAsia="Arial Unicode MS"/>
          <w:b/>
          <w:bCs/>
          <w:color w:val="000000"/>
          <w:szCs w:val="24"/>
          <w:u w:val="single"/>
          <w:bdr w:val="nil"/>
        </w:rPr>
      </w:pPr>
      <w:r w:rsidRPr="00A77F7A">
        <w:rPr>
          <w:rFonts w:eastAsia="Arial Unicode MS"/>
          <w:b/>
          <w:bCs/>
          <w:color w:val="000000"/>
          <w:szCs w:val="24"/>
          <w:u w:val="single"/>
          <w:bdr w:val="nil"/>
        </w:rPr>
        <w:t xml:space="preserve">Option 3 – Mandatory exception with a cross-border effect covering digital uses in the context of illustration for teaching, with the option for MS to make it (partially or totally) subject to the availability of licences </w:t>
      </w:r>
    </w:p>
    <w:p w:rsidR="00952EB0" w:rsidRDefault="00952EB0" w:rsidP="00A77F7A">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952EB0" w:rsidRDefault="00952EB0" w:rsidP="00A77F7A">
      <w:pPr>
        <w:pStyle w:val="Text1"/>
        <w:spacing w:before="0"/>
        <w:ind w:left="0"/>
        <w:rPr>
          <w:i/>
          <w:szCs w:val="24"/>
        </w:rPr>
      </w:pPr>
      <w:r w:rsidRPr="00A83544">
        <w:rPr>
          <w:b/>
          <w:szCs w:val="24"/>
        </w:rPr>
        <w:t>Institutional users</w:t>
      </w:r>
      <w:r>
        <w:rPr>
          <w:b/>
          <w:szCs w:val="24"/>
        </w:rPr>
        <w:t xml:space="preserve"> and </w:t>
      </w:r>
      <w:r>
        <w:rPr>
          <w:b/>
        </w:rPr>
        <w:t xml:space="preserve">other related </w:t>
      </w:r>
      <w:r>
        <w:rPr>
          <w:b/>
          <w:szCs w:val="24"/>
        </w:rPr>
        <w:t>users</w:t>
      </w:r>
      <w:r w:rsidRPr="00A83544">
        <w:rPr>
          <w:b/>
          <w:szCs w:val="24"/>
        </w:rPr>
        <w:t xml:space="preserve"> (educational establishments, teachers</w:t>
      </w:r>
      <w:r>
        <w:rPr>
          <w:b/>
          <w:szCs w:val="24"/>
        </w:rPr>
        <w:t>, students</w:t>
      </w:r>
      <w:r w:rsidRPr="00A83544">
        <w:rPr>
          <w:b/>
          <w:szCs w:val="24"/>
        </w:rPr>
        <w:t>)</w:t>
      </w:r>
    </w:p>
    <w:p w:rsidR="00952EB0" w:rsidRDefault="00952EB0" w:rsidP="00952EB0">
      <w:pPr>
        <w:spacing w:after="120" w:line="240" w:lineRule="auto"/>
        <w:jc w:val="both"/>
        <w:rPr>
          <w:rFonts w:ascii="Times New Roman" w:hAnsi="Times New Roman"/>
          <w:sz w:val="24"/>
          <w:szCs w:val="24"/>
        </w:rPr>
      </w:pPr>
      <w:r w:rsidRPr="00105CBA">
        <w:rPr>
          <w:rFonts w:ascii="Times New Roman" w:hAnsi="Times New Roman"/>
          <w:sz w:val="24"/>
          <w:szCs w:val="24"/>
          <w:u w:val="single"/>
        </w:rPr>
        <w:t>Impacts on digital and cross-border education</w:t>
      </w:r>
      <w:r w:rsidRPr="00FA3FE1">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Option 3 would have the same positive effects as Option 2 in terms of possibility of use of protected content digitally and online for illustrating teaching, including across borders. Legal certainty for such uses would be ensured either via the mandatory exception, or via licences providing for at least equivalent conditions of use (in practice, licences would probably cover uses tailored to the needs of different types of educational establishments, including uses which would go beyond the exception). For most teachers it is irrelevant to know whether the uses are allowed under an exception or under a licence</w:t>
      </w:r>
      <w:r w:rsidR="00683723">
        <w:rPr>
          <w:rFonts w:ascii="Times New Roman" w:hAnsi="Times New Roman"/>
          <w:sz w:val="24"/>
          <w:szCs w:val="24"/>
        </w:rPr>
        <w:t>, as long as the conditions for use are equivalent</w:t>
      </w:r>
      <w:r>
        <w:rPr>
          <w:rFonts w:ascii="Times New Roman" w:hAnsi="Times New Roman"/>
          <w:sz w:val="24"/>
          <w:szCs w:val="24"/>
        </w:rPr>
        <w:t>.</w:t>
      </w:r>
      <w:r>
        <w:rPr>
          <w:rStyle w:val="FootnoteReference"/>
          <w:rFonts w:ascii="Times New Roman" w:hAnsi="Times New Roman"/>
          <w:sz w:val="24"/>
          <w:szCs w:val="24"/>
        </w:rPr>
        <w:footnoteReference w:id="312"/>
      </w:r>
      <w:r>
        <w:rPr>
          <w:rFonts w:ascii="Times New Roman" w:hAnsi="Times New Roman"/>
          <w:sz w:val="24"/>
          <w:szCs w:val="24"/>
        </w:rPr>
        <w:t xml:space="preserve"> </w:t>
      </w:r>
    </w:p>
    <w:p w:rsidR="00952EB0" w:rsidRPr="00105CBA" w:rsidRDefault="00952EB0" w:rsidP="00A77F7A">
      <w:pPr>
        <w:spacing w:after="120" w:line="240" w:lineRule="auto"/>
        <w:jc w:val="both"/>
        <w:rPr>
          <w:rFonts w:ascii="Times New Roman" w:hAnsi="Times New Roman"/>
          <w:sz w:val="24"/>
          <w:szCs w:val="24"/>
          <w:u w:val="single"/>
        </w:rPr>
      </w:pPr>
      <w:r w:rsidRPr="00105CBA">
        <w:rPr>
          <w:rFonts w:ascii="Times New Roman" w:hAnsi="Times New Roman"/>
          <w:sz w:val="24"/>
          <w:szCs w:val="24"/>
          <w:u w:val="single"/>
        </w:rPr>
        <w:t>Impacts on costs</w:t>
      </w:r>
      <w:r>
        <w:rPr>
          <w:rFonts w:ascii="Times New Roman" w:hAnsi="Times New Roman"/>
          <w:sz w:val="24"/>
          <w:szCs w:val="24"/>
          <w:u w:val="single"/>
        </w:rPr>
        <w:t xml:space="preserve"> for educational establishments:</w:t>
      </w:r>
    </w:p>
    <w:p w:rsidR="00952EB0" w:rsidRDefault="00952EB0" w:rsidP="00A77F7A">
      <w:pPr>
        <w:spacing w:after="120" w:line="240" w:lineRule="auto"/>
        <w:jc w:val="both"/>
        <w:rPr>
          <w:rFonts w:ascii="Times New Roman" w:hAnsi="Times New Roman"/>
          <w:sz w:val="24"/>
          <w:szCs w:val="24"/>
        </w:rPr>
      </w:pPr>
      <w:r>
        <w:rPr>
          <w:rFonts w:ascii="Times New Roman" w:hAnsi="Times New Roman"/>
          <w:i/>
          <w:sz w:val="24"/>
          <w:szCs w:val="24"/>
        </w:rPr>
        <w:t xml:space="preserve">Licensing costs: </w:t>
      </w:r>
      <w:r w:rsidRPr="009E58C4">
        <w:rPr>
          <w:rFonts w:ascii="Times New Roman" w:hAnsi="Times New Roman"/>
          <w:sz w:val="24"/>
          <w:szCs w:val="24"/>
        </w:rPr>
        <w:t>In MS deciding to use the possibility offered under this Option</w:t>
      </w:r>
      <w:r>
        <w:rPr>
          <w:rFonts w:ascii="Times New Roman" w:hAnsi="Times New Roman"/>
          <w:sz w:val="24"/>
          <w:szCs w:val="24"/>
        </w:rPr>
        <w:t xml:space="preserve"> to make the application of the exception subject to the availability of licences,</w:t>
      </w:r>
      <w:r>
        <w:rPr>
          <w:rStyle w:val="FootnoteReference"/>
          <w:rFonts w:ascii="Times New Roman" w:hAnsi="Times New Roman"/>
          <w:sz w:val="24"/>
          <w:szCs w:val="24"/>
        </w:rPr>
        <w:footnoteReference w:id="313"/>
      </w:r>
      <w:r>
        <w:rPr>
          <w:rFonts w:ascii="Times New Roman" w:hAnsi="Times New Roman"/>
          <w:sz w:val="24"/>
          <w:szCs w:val="24"/>
        </w:rPr>
        <w:t xml:space="preserve"> educational establishments would have to pay licence fees for digital uses of protected content (where such licences are available). However, as illustrated under Option 2, data collected from certain MS where educational uses are allowed under a licence or an ECL show that these costs are rather limited</w:t>
      </w:r>
      <w:r w:rsidR="00683723">
        <w:rPr>
          <w:rFonts w:ascii="Times New Roman" w:hAnsi="Times New Roman"/>
          <w:sz w:val="24"/>
          <w:szCs w:val="24"/>
        </w:rPr>
        <w:t xml:space="preserve"> if compared to establishments' overall costs</w:t>
      </w:r>
      <w:r w:rsidRPr="000E61BD">
        <w:rPr>
          <w:rFonts w:ascii="Times New Roman" w:hAnsi="Times New Roman"/>
          <w:sz w:val="24"/>
          <w:szCs w:val="24"/>
        </w:rPr>
        <w:t>.</w:t>
      </w:r>
      <w:r>
        <w:rPr>
          <w:rFonts w:ascii="Times New Roman" w:hAnsi="Times New Roman"/>
          <w:sz w:val="24"/>
          <w:szCs w:val="24"/>
        </w:rPr>
        <w:t xml:space="preserve"> Furthermore, licences covering cross-border uses are not expected to be more costly, as they would not extend the number of users (licence fees are generally defined according to the number of students). </w:t>
      </w:r>
    </w:p>
    <w:p w:rsidR="00952EB0" w:rsidRDefault="00952EB0" w:rsidP="00A77F7A">
      <w:pPr>
        <w:spacing w:after="120" w:line="240" w:lineRule="auto"/>
        <w:jc w:val="both"/>
        <w:rPr>
          <w:rFonts w:ascii="Times New Roman" w:hAnsi="Times New Roman"/>
          <w:sz w:val="24"/>
          <w:szCs w:val="24"/>
        </w:rPr>
      </w:pPr>
      <w:r>
        <w:rPr>
          <w:rFonts w:ascii="Times New Roman" w:hAnsi="Times New Roman"/>
          <w:sz w:val="24"/>
          <w:szCs w:val="24"/>
        </w:rPr>
        <w:t xml:space="preserve">In MS opting for implementing the new exception with an obligation of compensation, educational establishments may incur some costs related to compensation. Considering the current level of compensation in certain MS, these costs are expected to be marginal. </w:t>
      </w:r>
      <w:r w:rsidRPr="00D30661">
        <w:rPr>
          <w:rFonts w:ascii="Times New Roman" w:hAnsi="Times New Roman"/>
          <w:sz w:val="24"/>
          <w:szCs w:val="24"/>
        </w:rPr>
        <w:t xml:space="preserve"> For exa</w:t>
      </w:r>
      <w:r>
        <w:rPr>
          <w:rFonts w:ascii="Times New Roman" w:hAnsi="Times New Roman"/>
          <w:sz w:val="24"/>
          <w:szCs w:val="24"/>
        </w:rPr>
        <w:t xml:space="preserve">mple, the compensation required in </w:t>
      </w:r>
      <w:r w:rsidR="00DB359F">
        <w:rPr>
          <w:rFonts w:ascii="Times New Roman" w:hAnsi="Times New Roman"/>
          <w:sz w:val="24"/>
          <w:szCs w:val="24"/>
        </w:rPr>
        <w:t>FR</w:t>
      </w:r>
      <w:r w:rsidR="00DA4A18">
        <w:rPr>
          <w:rFonts w:ascii="Times New Roman" w:hAnsi="Times New Roman"/>
          <w:sz w:val="24"/>
          <w:szCs w:val="24"/>
        </w:rPr>
        <w:t xml:space="preserve"> </w:t>
      </w:r>
      <w:r w:rsidRPr="00D30661">
        <w:rPr>
          <w:rFonts w:ascii="Times New Roman" w:hAnsi="Times New Roman"/>
          <w:sz w:val="24"/>
          <w:szCs w:val="24"/>
        </w:rPr>
        <w:t xml:space="preserve">for </w:t>
      </w:r>
      <w:r>
        <w:rPr>
          <w:rFonts w:ascii="Times New Roman" w:hAnsi="Times New Roman"/>
          <w:sz w:val="24"/>
          <w:szCs w:val="24"/>
        </w:rPr>
        <w:t xml:space="preserve">digital </w:t>
      </w:r>
      <w:r w:rsidRPr="00D30661">
        <w:rPr>
          <w:rFonts w:ascii="Times New Roman" w:hAnsi="Times New Roman"/>
          <w:sz w:val="24"/>
          <w:szCs w:val="24"/>
        </w:rPr>
        <w:t xml:space="preserve">uses of print works is €1.7 million </w:t>
      </w:r>
      <w:r>
        <w:rPr>
          <w:rFonts w:ascii="Times New Roman" w:hAnsi="Times New Roman"/>
          <w:sz w:val="24"/>
          <w:szCs w:val="24"/>
        </w:rPr>
        <w:t xml:space="preserve">by year, for 14.7 million pupils/students. The recently negotiated compensation in </w:t>
      </w:r>
      <w:r w:rsidR="00DB359F">
        <w:rPr>
          <w:rFonts w:ascii="Times New Roman" w:hAnsi="Times New Roman"/>
          <w:sz w:val="24"/>
          <w:szCs w:val="24"/>
        </w:rPr>
        <w:t xml:space="preserve">ES </w:t>
      </w:r>
      <w:r>
        <w:rPr>
          <w:rFonts w:ascii="Times New Roman" w:hAnsi="Times New Roman"/>
          <w:sz w:val="24"/>
          <w:szCs w:val="24"/>
        </w:rPr>
        <w:t>amounts to €3.2 million for digital uses of print works in higher education (covering about 1.2 million students).</w:t>
      </w:r>
      <w:r>
        <w:rPr>
          <w:rStyle w:val="FootnoteReference"/>
          <w:rFonts w:ascii="Times New Roman" w:hAnsi="Times New Roman"/>
          <w:sz w:val="24"/>
          <w:szCs w:val="24"/>
        </w:rPr>
        <w:footnoteReference w:id="314"/>
      </w:r>
      <w:r>
        <w:rPr>
          <w:rFonts w:ascii="Times New Roman" w:hAnsi="Times New Roman"/>
          <w:sz w:val="24"/>
          <w:szCs w:val="24"/>
        </w:rPr>
        <w:t xml:space="preserve"> </w:t>
      </w:r>
    </w:p>
    <w:p w:rsidR="00952EB0" w:rsidRDefault="00952EB0" w:rsidP="00952EB0">
      <w:pPr>
        <w:spacing w:after="120" w:line="240" w:lineRule="auto"/>
        <w:jc w:val="both"/>
        <w:rPr>
          <w:rFonts w:ascii="Times New Roman" w:hAnsi="Times New Roman"/>
          <w:sz w:val="24"/>
          <w:szCs w:val="24"/>
        </w:rPr>
      </w:pPr>
      <w:r>
        <w:rPr>
          <w:rFonts w:ascii="Times New Roman" w:hAnsi="Times New Roman"/>
          <w:i/>
          <w:sz w:val="24"/>
          <w:szCs w:val="24"/>
        </w:rPr>
        <w:t xml:space="preserve">Transaction </w:t>
      </w:r>
      <w:r w:rsidRPr="009042AE">
        <w:rPr>
          <w:rFonts w:ascii="Times New Roman" w:hAnsi="Times New Roman"/>
          <w:i/>
          <w:sz w:val="24"/>
          <w:szCs w:val="24"/>
        </w:rPr>
        <w:t>costs</w:t>
      </w:r>
      <w:r>
        <w:rPr>
          <w:rFonts w:ascii="Times New Roman" w:hAnsi="Times New Roman"/>
          <w:i/>
          <w:sz w:val="24"/>
          <w:szCs w:val="24"/>
        </w:rPr>
        <w:t xml:space="preserve">: </w:t>
      </w:r>
      <w:r w:rsidRPr="006960E9">
        <w:rPr>
          <w:rFonts w:ascii="Times New Roman" w:hAnsi="Times New Roman"/>
          <w:sz w:val="24"/>
          <w:szCs w:val="24"/>
        </w:rPr>
        <w:t>The possible</w:t>
      </w:r>
      <w:r>
        <w:rPr>
          <w:rFonts w:ascii="Times New Roman" w:hAnsi="Times New Roman"/>
          <w:i/>
          <w:sz w:val="24"/>
          <w:szCs w:val="24"/>
        </w:rPr>
        <w:t xml:space="preserve"> </w:t>
      </w:r>
      <w:r>
        <w:rPr>
          <w:rFonts w:ascii="Times New Roman" w:hAnsi="Times New Roman"/>
          <w:sz w:val="24"/>
          <w:szCs w:val="24"/>
        </w:rPr>
        <w:t>transaction costs for educational establishments related to the need to check the availability of licences are expected to be reduced by the measures MS would have to take to ensure the availability, visibility and user-friendliness of licences covering secondary uses of protected content in education. The development of specific educational licensing schemes</w:t>
      </w:r>
      <w:r>
        <w:rPr>
          <w:rStyle w:val="FootnoteReference"/>
          <w:rFonts w:ascii="Times New Roman" w:hAnsi="Times New Roman"/>
          <w:sz w:val="24"/>
          <w:szCs w:val="24"/>
        </w:rPr>
        <w:footnoteReference w:id="315"/>
      </w:r>
      <w:r>
        <w:rPr>
          <w:rFonts w:ascii="Times New Roman" w:hAnsi="Times New Roman"/>
          <w:sz w:val="24"/>
          <w:szCs w:val="24"/>
        </w:rPr>
        <w:t xml:space="preserve"> could for example contribute to significantly reduce transaction costs, even if different schemes may coexist for different types of works. Since these schemes may not fully remove the need for educational establishments to take up individual licences</w:t>
      </w:r>
      <w:r w:rsidR="00603DAA">
        <w:rPr>
          <w:rFonts w:ascii="Times New Roman" w:hAnsi="Times New Roman"/>
          <w:sz w:val="24"/>
          <w:szCs w:val="24"/>
        </w:rPr>
        <w:t>,</w:t>
      </w:r>
      <w:r>
        <w:rPr>
          <w:rStyle w:val="FootnoteReference"/>
          <w:rFonts w:ascii="Times New Roman" w:hAnsi="Times New Roman"/>
          <w:sz w:val="24"/>
          <w:szCs w:val="24"/>
        </w:rPr>
        <w:footnoteReference w:id="316"/>
      </w:r>
      <w:r>
        <w:rPr>
          <w:rFonts w:ascii="Times New Roman" w:hAnsi="Times New Roman"/>
          <w:sz w:val="24"/>
          <w:szCs w:val="24"/>
        </w:rPr>
        <w:t xml:space="preserve"> it may also be necessary for MS to develop online tools allowing to check the licences available for a given work. Option 3 may also generate administration costs for educational establishments, linked to the negotiation and management of licen</w:t>
      </w:r>
      <w:r w:rsidR="006D21E9">
        <w:rPr>
          <w:rFonts w:ascii="Times New Roman" w:hAnsi="Times New Roman"/>
          <w:sz w:val="24"/>
          <w:szCs w:val="24"/>
        </w:rPr>
        <w:t>c</w:t>
      </w:r>
      <w:r>
        <w:rPr>
          <w:rFonts w:ascii="Times New Roman" w:hAnsi="Times New Roman"/>
          <w:sz w:val="24"/>
          <w:szCs w:val="24"/>
        </w:rPr>
        <w:t>es. Such costs could be reduced if MS decide to centralise, at national or regional level, the acquisition of licences for educational establishments.</w:t>
      </w:r>
      <w:r>
        <w:rPr>
          <w:rStyle w:val="FootnoteReference"/>
          <w:rFonts w:ascii="Times New Roman" w:hAnsi="Times New Roman"/>
          <w:sz w:val="24"/>
          <w:szCs w:val="24"/>
        </w:rPr>
        <w:footnoteReference w:id="317"/>
      </w:r>
      <w:r>
        <w:rPr>
          <w:rFonts w:ascii="Times New Roman" w:hAnsi="Times New Roman"/>
          <w:sz w:val="24"/>
          <w:szCs w:val="24"/>
        </w:rPr>
        <w:t xml:space="preserve"> </w:t>
      </w:r>
    </w:p>
    <w:p w:rsidR="00952EB0" w:rsidRPr="009E58C4" w:rsidRDefault="00007677" w:rsidP="00A77F7A">
      <w:pPr>
        <w:pStyle w:val="Text1"/>
        <w:spacing w:before="0"/>
        <w:ind w:left="0"/>
        <w:rPr>
          <w:b/>
          <w:szCs w:val="24"/>
        </w:rPr>
      </w:pPr>
      <w:r>
        <w:rPr>
          <w:b/>
          <w:szCs w:val="24"/>
        </w:rPr>
        <w:t>Rightholders</w:t>
      </w:r>
    </w:p>
    <w:p w:rsidR="00952EB0" w:rsidRPr="00AC3DEE" w:rsidRDefault="00952EB0" w:rsidP="00952EB0">
      <w:pPr>
        <w:spacing w:after="120" w:line="240" w:lineRule="auto"/>
        <w:jc w:val="both"/>
        <w:rPr>
          <w:rFonts w:ascii="Times New Roman" w:hAnsi="Times New Roman"/>
          <w:sz w:val="24"/>
          <w:szCs w:val="24"/>
        </w:rPr>
      </w:pPr>
      <w:r>
        <w:rPr>
          <w:rFonts w:ascii="Times New Roman" w:hAnsi="Times New Roman"/>
          <w:sz w:val="24"/>
          <w:szCs w:val="24"/>
          <w:u w:val="single"/>
        </w:rPr>
        <w:t>Impacts on licensing revenues</w:t>
      </w:r>
      <w:r w:rsidRPr="009E58C4">
        <w:rPr>
          <w:rFonts w:ascii="Times New Roman" w:hAnsi="Times New Roman"/>
          <w:sz w:val="24"/>
          <w:szCs w:val="24"/>
        </w:rPr>
        <w:t xml:space="preserve">: </w:t>
      </w:r>
      <w:r>
        <w:rPr>
          <w:rFonts w:ascii="Times New Roman" w:hAnsi="Times New Roman"/>
          <w:sz w:val="24"/>
          <w:szCs w:val="24"/>
        </w:rPr>
        <w:t xml:space="preserve">Option 3 would have the same effects on </w:t>
      </w:r>
      <w:r w:rsidR="00687496">
        <w:rPr>
          <w:rFonts w:ascii="Times New Roman" w:hAnsi="Times New Roman"/>
          <w:sz w:val="24"/>
          <w:szCs w:val="24"/>
        </w:rPr>
        <w:t>r</w:t>
      </w:r>
      <w:r w:rsidR="00007677">
        <w:rPr>
          <w:rFonts w:ascii="Times New Roman" w:hAnsi="Times New Roman"/>
          <w:sz w:val="24"/>
          <w:szCs w:val="24"/>
        </w:rPr>
        <w:t>ightholders</w:t>
      </w:r>
      <w:r>
        <w:rPr>
          <w:rFonts w:ascii="Times New Roman" w:hAnsi="Times New Roman"/>
          <w:sz w:val="24"/>
          <w:szCs w:val="24"/>
        </w:rPr>
        <w:t xml:space="preserve"> as Option 2 if all MS decide to implement the EU exception as such. However, the possibility to make the exception subject to the availability of licences is very likely </w:t>
      </w:r>
      <w:r w:rsidRPr="00FB75BC">
        <w:rPr>
          <w:rFonts w:ascii="Times New Roman" w:hAnsi="Times New Roman"/>
          <w:sz w:val="24"/>
          <w:szCs w:val="24"/>
        </w:rPr>
        <w:t>to be used by MS to maintain the mechanisms in place (e.g. ECL in DK, FI, SE and exception sub</w:t>
      </w:r>
      <w:r>
        <w:rPr>
          <w:rFonts w:ascii="Times New Roman" w:hAnsi="Times New Roman"/>
          <w:sz w:val="24"/>
          <w:szCs w:val="24"/>
        </w:rPr>
        <w:t xml:space="preserve">ject to licences in UK and IE). It could also be introduced in other MS for certain types of works </w:t>
      </w:r>
      <w:r w:rsidRPr="00FB75BC">
        <w:rPr>
          <w:rFonts w:ascii="Times New Roman" w:hAnsi="Times New Roman"/>
          <w:sz w:val="24"/>
          <w:szCs w:val="24"/>
        </w:rPr>
        <w:t>(</w:t>
      </w:r>
      <w:r>
        <w:rPr>
          <w:rFonts w:ascii="Times New Roman" w:hAnsi="Times New Roman"/>
          <w:sz w:val="24"/>
          <w:szCs w:val="24"/>
        </w:rPr>
        <w:t xml:space="preserve">e.g. </w:t>
      </w:r>
      <w:r w:rsidRPr="00FB75BC">
        <w:rPr>
          <w:rFonts w:ascii="Times New Roman" w:hAnsi="Times New Roman"/>
          <w:sz w:val="24"/>
          <w:szCs w:val="24"/>
        </w:rPr>
        <w:t>textbooks and educational resources)</w:t>
      </w:r>
      <w:r>
        <w:rPr>
          <w:rFonts w:ascii="Times New Roman" w:hAnsi="Times New Roman"/>
          <w:sz w:val="24"/>
          <w:szCs w:val="24"/>
        </w:rPr>
        <w:t xml:space="preserve">, notably in countries where they are currently excluded from the teaching exception (AT, DE, FR, ES). Such mechanism would allow to favour licensing for resources which are primarily intended for the educational market, but would nevertheless offer the necessary legal certainty where licences are not available. Under this scenario, the negative impacts described under Option 2 would not materialise under Option 3. </w:t>
      </w:r>
    </w:p>
    <w:p w:rsidR="00952EB0" w:rsidRDefault="00952EB0" w:rsidP="00952EB0">
      <w:pPr>
        <w:spacing w:after="120" w:line="240" w:lineRule="auto"/>
        <w:jc w:val="both"/>
        <w:rPr>
          <w:rFonts w:ascii="Times New Roman" w:hAnsi="Times New Roman"/>
          <w:sz w:val="24"/>
          <w:szCs w:val="24"/>
        </w:rPr>
      </w:pPr>
      <w:r w:rsidRPr="009E58C4">
        <w:rPr>
          <w:rFonts w:ascii="Times New Roman" w:hAnsi="Times New Roman"/>
          <w:sz w:val="24"/>
          <w:szCs w:val="24"/>
        </w:rPr>
        <w:t xml:space="preserve">In MS using ECL or making the exception subject to the availability of licences, </w:t>
      </w:r>
      <w:r w:rsidR="00687496">
        <w:rPr>
          <w:rFonts w:ascii="Times New Roman" w:hAnsi="Times New Roman"/>
          <w:sz w:val="24"/>
          <w:szCs w:val="24"/>
        </w:rPr>
        <w:t>r</w:t>
      </w:r>
      <w:r w:rsidR="00007677">
        <w:rPr>
          <w:rFonts w:ascii="Times New Roman" w:hAnsi="Times New Roman"/>
          <w:sz w:val="24"/>
          <w:szCs w:val="24"/>
        </w:rPr>
        <w:t>ightholders</w:t>
      </w:r>
      <w:r w:rsidRPr="009E58C4">
        <w:rPr>
          <w:rFonts w:ascii="Times New Roman" w:hAnsi="Times New Roman"/>
          <w:sz w:val="24"/>
          <w:szCs w:val="24"/>
        </w:rPr>
        <w:t xml:space="preserve"> would</w:t>
      </w:r>
      <w:r>
        <w:rPr>
          <w:rFonts w:ascii="Times New Roman" w:hAnsi="Times New Roman"/>
          <w:sz w:val="24"/>
          <w:szCs w:val="24"/>
        </w:rPr>
        <w:t xml:space="preserve"> </w:t>
      </w:r>
      <w:r w:rsidRPr="009E58C4">
        <w:rPr>
          <w:rFonts w:ascii="Times New Roman" w:hAnsi="Times New Roman"/>
          <w:sz w:val="24"/>
          <w:szCs w:val="24"/>
        </w:rPr>
        <w:t>need to give sufficient visibility to their licensing offers</w:t>
      </w:r>
      <w:r>
        <w:rPr>
          <w:rStyle w:val="FootnoteReference"/>
          <w:rFonts w:ascii="Times New Roman" w:hAnsi="Times New Roman"/>
          <w:sz w:val="24"/>
          <w:szCs w:val="24"/>
        </w:rPr>
        <w:footnoteReference w:id="318"/>
      </w:r>
      <w:r w:rsidRPr="009E58C4">
        <w:rPr>
          <w:rFonts w:ascii="Times New Roman" w:hAnsi="Times New Roman"/>
          <w:sz w:val="24"/>
          <w:szCs w:val="24"/>
        </w:rPr>
        <w:t xml:space="preserve"> if they want to be remunerated for the uses of their works in the teaching context.</w:t>
      </w:r>
      <w:r>
        <w:rPr>
          <w:rFonts w:ascii="Times New Roman" w:hAnsi="Times New Roman"/>
          <w:sz w:val="24"/>
          <w:szCs w:val="24"/>
        </w:rPr>
        <w:t xml:space="preserve"> This may generate some costs, in particular for SMEs,</w:t>
      </w:r>
      <w:r w:rsidRPr="009E58C4">
        <w:rPr>
          <w:rFonts w:ascii="Times New Roman" w:hAnsi="Times New Roman"/>
          <w:sz w:val="24"/>
          <w:szCs w:val="24"/>
        </w:rPr>
        <w:t xml:space="preserve"> </w:t>
      </w:r>
      <w:r>
        <w:rPr>
          <w:rFonts w:ascii="Times New Roman" w:hAnsi="Times New Roman"/>
          <w:sz w:val="24"/>
          <w:szCs w:val="24"/>
        </w:rPr>
        <w:t xml:space="preserve">which are however expected to be compensated by licensing revenues. </w:t>
      </w:r>
      <w:r w:rsidRPr="009E58C4">
        <w:rPr>
          <w:rFonts w:ascii="Times New Roman" w:hAnsi="Times New Roman"/>
          <w:sz w:val="24"/>
          <w:szCs w:val="24"/>
        </w:rPr>
        <w:t>Th</w:t>
      </w:r>
      <w:r>
        <w:rPr>
          <w:rFonts w:ascii="Times New Roman" w:hAnsi="Times New Roman"/>
          <w:sz w:val="24"/>
          <w:szCs w:val="24"/>
        </w:rPr>
        <w:t>e need to make licensing solutions widely available</w:t>
      </w:r>
      <w:r w:rsidRPr="009E58C4">
        <w:rPr>
          <w:rFonts w:ascii="Times New Roman" w:hAnsi="Times New Roman"/>
          <w:sz w:val="24"/>
          <w:szCs w:val="24"/>
        </w:rPr>
        <w:t xml:space="preserve"> </w:t>
      </w:r>
      <w:r>
        <w:rPr>
          <w:rFonts w:ascii="Times New Roman" w:hAnsi="Times New Roman"/>
          <w:sz w:val="24"/>
          <w:szCs w:val="24"/>
        </w:rPr>
        <w:t xml:space="preserve">and adapted to the needs of educational establishments </w:t>
      </w:r>
      <w:r w:rsidRPr="009E58C4">
        <w:rPr>
          <w:rFonts w:ascii="Times New Roman" w:hAnsi="Times New Roman"/>
          <w:sz w:val="24"/>
          <w:szCs w:val="24"/>
        </w:rPr>
        <w:t xml:space="preserve">could encourage </w:t>
      </w:r>
      <w:r w:rsidR="00687496">
        <w:rPr>
          <w:rFonts w:ascii="Times New Roman" w:hAnsi="Times New Roman"/>
          <w:sz w:val="24"/>
          <w:szCs w:val="24"/>
        </w:rPr>
        <w:t>r</w:t>
      </w:r>
      <w:r w:rsidR="00007677">
        <w:rPr>
          <w:rFonts w:ascii="Times New Roman" w:hAnsi="Times New Roman"/>
          <w:sz w:val="24"/>
          <w:szCs w:val="24"/>
        </w:rPr>
        <w:t>ightholders</w:t>
      </w:r>
      <w:r w:rsidRPr="009E58C4">
        <w:rPr>
          <w:rFonts w:ascii="Times New Roman" w:hAnsi="Times New Roman"/>
          <w:sz w:val="24"/>
          <w:szCs w:val="24"/>
        </w:rPr>
        <w:t xml:space="preserve"> to sign up into specific educational licensing schemes </w:t>
      </w:r>
      <w:r>
        <w:rPr>
          <w:rFonts w:ascii="Times New Roman" w:hAnsi="Times New Roman"/>
          <w:sz w:val="24"/>
          <w:szCs w:val="24"/>
        </w:rPr>
        <w:t xml:space="preserve">that may be developed by </w:t>
      </w:r>
      <w:r w:rsidRPr="009E58C4">
        <w:rPr>
          <w:rFonts w:ascii="Times New Roman" w:hAnsi="Times New Roman"/>
          <w:sz w:val="24"/>
          <w:szCs w:val="24"/>
        </w:rPr>
        <w:t xml:space="preserve">MS. Other </w:t>
      </w:r>
      <w:r w:rsidR="00687496">
        <w:rPr>
          <w:rFonts w:ascii="Times New Roman" w:hAnsi="Times New Roman"/>
          <w:sz w:val="24"/>
          <w:szCs w:val="24"/>
        </w:rPr>
        <w:t>r</w:t>
      </w:r>
      <w:r w:rsidR="00007677">
        <w:rPr>
          <w:rFonts w:ascii="Times New Roman" w:hAnsi="Times New Roman"/>
          <w:sz w:val="24"/>
          <w:szCs w:val="24"/>
        </w:rPr>
        <w:t>ightholders</w:t>
      </w:r>
      <w:r w:rsidRPr="009E58C4">
        <w:rPr>
          <w:rFonts w:ascii="Times New Roman" w:hAnsi="Times New Roman"/>
          <w:sz w:val="24"/>
          <w:szCs w:val="24"/>
        </w:rPr>
        <w:t xml:space="preserve"> may prefer developing their own licensing solutions online, in particular for digital resources.</w:t>
      </w:r>
      <w:r>
        <w:rPr>
          <w:rStyle w:val="FootnoteReference"/>
          <w:rFonts w:ascii="Times New Roman" w:hAnsi="Times New Roman"/>
          <w:sz w:val="24"/>
          <w:szCs w:val="24"/>
        </w:rPr>
        <w:footnoteReference w:id="319"/>
      </w:r>
      <w:r w:rsidRPr="009E58C4">
        <w:rPr>
          <w:rFonts w:ascii="Times New Roman" w:hAnsi="Times New Roman"/>
          <w:sz w:val="24"/>
          <w:szCs w:val="24"/>
        </w:rPr>
        <w:t xml:space="preserve"> </w:t>
      </w:r>
    </w:p>
    <w:p w:rsidR="00952EB0" w:rsidRPr="009E58C4" w:rsidRDefault="00E151E3" w:rsidP="00952EB0">
      <w:pPr>
        <w:spacing w:after="120" w:line="240" w:lineRule="auto"/>
        <w:jc w:val="both"/>
        <w:rPr>
          <w:rFonts w:ascii="Times New Roman" w:hAnsi="Times New Roman"/>
          <w:sz w:val="24"/>
          <w:szCs w:val="24"/>
        </w:rPr>
      </w:pPr>
      <w:r>
        <w:rPr>
          <w:rFonts w:ascii="Times New Roman" w:hAnsi="Times New Roman"/>
          <w:sz w:val="24"/>
          <w:szCs w:val="24"/>
        </w:rPr>
        <w:t>The legal</w:t>
      </w:r>
      <w:r w:rsidR="003244E1">
        <w:rPr>
          <w:rFonts w:ascii="Times New Roman" w:hAnsi="Times New Roman"/>
          <w:sz w:val="24"/>
          <w:szCs w:val="24"/>
        </w:rPr>
        <w:t xml:space="preserve"> mechanism</w:t>
      </w:r>
      <w:r>
        <w:rPr>
          <w:rFonts w:ascii="Times New Roman" w:hAnsi="Times New Roman"/>
          <w:sz w:val="24"/>
          <w:szCs w:val="24"/>
        </w:rPr>
        <w:t xml:space="preserve"> a</w:t>
      </w:r>
      <w:r w:rsidR="00333CCC">
        <w:rPr>
          <w:rFonts w:ascii="Times New Roman" w:hAnsi="Times New Roman"/>
          <w:sz w:val="24"/>
          <w:szCs w:val="24"/>
        </w:rPr>
        <w:t xml:space="preserve">llowing </w:t>
      </w:r>
      <w:r w:rsidR="00952EB0" w:rsidRPr="00E16DD0">
        <w:rPr>
          <w:rFonts w:ascii="Times New Roman" w:hAnsi="Times New Roman"/>
          <w:sz w:val="24"/>
          <w:szCs w:val="24"/>
        </w:rPr>
        <w:t>cross-border uses</w:t>
      </w:r>
      <w:r>
        <w:rPr>
          <w:rFonts w:ascii="Times New Roman" w:hAnsi="Times New Roman"/>
          <w:sz w:val="24"/>
          <w:szCs w:val="24"/>
        </w:rPr>
        <w:t xml:space="preserve"> is not expected to have any impact on </w:t>
      </w:r>
      <w:r w:rsidR="00687496">
        <w:rPr>
          <w:rFonts w:ascii="Times New Roman" w:hAnsi="Times New Roman"/>
          <w:sz w:val="24"/>
          <w:szCs w:val="24"/>
        </w:rPr>
        <w:t>r</w:t>
      </w:r>
      <w:r w:rsidR="00007677">
        <w:rPr>
          <w:rFonts w:ascii="Times New Roman" w:hAnsi="Times New Roman"/>
          <w:sz w:val="24"/>
          <w:szCs w:val="24"/>
        </w:rPr>
        <w:t>ightholders</w:t>
      </w:r>
      <w:r w:rsidR="00333CCC">
        <w:rPr>
          <w:rFonts w:ascii="Times New Roman" w:hAnsi="Times New Roman"/>
          <w:sz w:val="24"/>
          <w:szCs w:val="24"/>
        </w:rPr>
        <w:t xml:space="preserve">' </w:t>
      </w:r>
      <w:r>
        <w:rPr>
          <w:rFonts w:ascii="Times New Roman" w:hAnsi="Times New Roman"/>
          <w:sz w:val="24"/>
          <w:szCs w:val="24"/>
        </w:rPr>
        <w:t xml:space="preserve">licensing revenues (as explained under Option 2, licence fees are generally defined according to the number of students, which will remain unchanged) </w:t>
      </w:r>
      <w:r w:rsidR="00333CCC">
        <w:rPr>
          <w:rFonts w:ascii="Times New Roman" w:hAnsi="Times New Roman"/>
          <w:sz w:val="24"/>
          <w:szCs w:val="24"/>
        </w:rPr>
        <w:t>n</w:t>
      </w:r>
      <w:r>
        <w:rPr>
          <w:rFonts w:ascii="Times New Roman" w:hAnsi="Times New Roman"/>
          <w:sz w:val="24"/>
          <w:szCs w:val="24"/>
        </w:rPr>
        <w:t xml:space="preserve">or to reduce their possibility to licence their works to educational establishments in other MS. </w:t>
      </w:r>
    </w:p>
    <w:p w:rsidR="00952EB0" w:rsidRDefault="00952EB0" w:rsidP="00190031">
      <w:pPr>
        <w:spacing w:after="120" w:line="240" w:lineRule="auto"/>
        <w:jc w:val="both"/>
        <w:rPr>
          <w:rFonts w:ascii="Times New Roman" w:hAnsi="Times New Roman"/>
          <w:sz w:val="24"/>
          <w:szCs w:val="24"/>
        </w:rPr>
      </w:pPr>
      <w:r w:rsidRPr="00105CBA">
        <w:rPr>
          <w:rFonts w:ascii="Times New Roman" w:hAnsi="Times New Roman"/>
          <w:sz w:val="24"/>
          <w:szCs w:val="24"/>
          <w:u w:val="single"/>
        </w:rPr>
        <w:t>Impacts on competitiveness and innovation in the educational publishing industry</w:t>
      </w:r>
      <w:r>
        <w:rPr>
          <w:rFonts w:ascii="Times New Roman" w:hAnsi="Times New Roman"/>
          <w:i/>
          <w:sz w:val="24"/>
          <w:szCs w:val="24"/>
          <w:u w:val="single"/>
        </w:rPr>
        <w:t>:</w:t>
      </w:r>
      <w:r>
        <w:rPr>
          <w:rFonts w:ascii="Times New Roman" w:hAnsi="Times New Roman"/>
          <w:sz w:val="24"/>
          <w:szCs w:val="24"/>
        </w:rPr>
        <w:t xml:space="preserve"> this option is likely to have a limited impact on the competitiveness of the publishing industry, as it leaves to MS the possibility to favour the use of licences over the exception for digital uses in education.</w:t>
      </w:r>
      <w:r w:rsidRPr="00FA3FE1">
        <w:rPr>
          <w:rFonts w:ascii="Times New Roman" w:hAnsi="Times New Roman"/>
          <w:sz w:val="24"/>
          <w:szCs w:val="24"/>
        </w:rPr>
        <w:t xml:space="preserve"> </w:t>
      </w:r>
      <w:r w:rsidRPr="009E58C4">
        <w:rPr>
          <w:rFonts w:ascii="Times New Roman" w:hAnsi="Times New Roman"/>
          <w:sz w:val="24"/>
          <w:szCs w:val="24"/>
        </w:rPr>
        <w:t>MS where the current exception does not apply to textbooks and other educational resources are expected to use the flexibility of Option 3 to make this type of work</w:t>
      </w:r>
      <w:r>
        <w:rPr>
          <w:rFonts w:ascii="Times New Roman" w:hAnsi="Times New Roman"/>
          <w:sz w:val="24"/>
          <w:szCs w:val="24"/>
        </w:rPr>
        <w:t>s</w:t>
      </w:r>
      <w:r w:rsidRPr="009E58C4">
        <w:rPr>
          <w:rFonts w:ascii="Times New Roman" w:hAnsi="Times New Roman"/>
          <w:sz w:val="24"/>
          <w:szCs w:val="24"/>
        </w:rPr>
        <w:t xml:space="preserve"> subject to the availability of licences.</w:t>
      </w:r>
      <w:r>
        <w:rPr>
          <w:rFonts w:ascii="Times New Roman" w:hAnsi="Times New Roman"/>
          <w:sz w:val="24"/>
          <w:szCs w:val="24"/>
        </w:rPr>
        <w:t xml:space="preserve"> </w:t>
      </w:r>
      <w:r w:rsidRPr="009E58C4">
        <w:rPr>
          <w:rFonts w:ascii="Times New Roman" w:hAnsi="Times New Roman"/>
          <w:sz w:val="24"/>
        </w:rPr>
        <w:t xml:space="preserve">This would allow educational publishers to continue investing in the development of digital resources. </w:t>
      </w:r>
    </w:p>
    <w:p w:rsidR="00952EB0" w:rsidRPr="00C32C45" w:rsidRDefault="00952EB0" w:rsidP="00A77F7A">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szCs w:val="24"/>
          <w:bdr w:val="nil"/>
        </w:rPr>
        <w:t>Social impacts</w:t>
      </w:r>
    </w:p>
    <w:p w:rsidR="00952EB0" w:rsidRPr="00672F6D" w:rsidRDefault="00952EB0" w:rsidP="00190031">
      <w:pPr>
        <w:spacing w:after="120" w:line="240" w:lineRule="auto"/>
        <w:jc w:val="both"/>
        <w:rPr>
          <w:rFonts w:ascii="Times New Roman" w:hAnsi="Times New Roman"/>
          <w:sz w:val="24"/>
          <w:szCs w:val="24"/>
        </w:rPr>
      </w:pPr>
      <w:r w:rsidRPr="00672F6D">
        <w:rPr>
          <w:rFonts w:ascii="Times New Roman" w:hAnsi="Times New Roman"/>
          <w:sz w:val="24"/>
          <w:szCs w:val="24"/>
        </w:rPr>
        <w:t xml:space="preserve">Option 3 would have a positive impact on the further development of digital and cross-border education and indirectly on the acquisition of digital skills. It would allow to promote cultural diversity through wider and more flexible uses of protected content in education. In addition, to the extent MS use the flexibility foreseen under this Option to make the resources developed specifically for education subject to the availability of licences, the impact of this option on </w:t>
      </w:r>
      <w:r w:rsidR="00687496">
        <w:rPr>
          <w:rFonts w:ascii="Times New Roman" w:hAnsi="Times New Roman"/>
          <w:sz w:val="24"/>
          <w:szCs w:val="24"/>
        </w:rPr>
        <w:t>r</w:t>
      </w:r>
      <w:r w:rsidR="00007677">
        <w:rPr>
          <w:rFonts w:ascii="Times New Roman" w:hAnsi="Times New Roman"/>
          <w:sz w:val="24"/>
          <w:szCs w:val="24"/>
        </w:rPr>
        <w:t>ightholders</w:t>
      </w:r>
      <w:r w:rsidRPr="00672F6D">
        <w:rPr>
          <w:rFonts w:ascii="Times New Roman" w:hAnsi="Times New Roman"/>
          <w:sz w:val="24"/>
          <w:szCs w:val="24"/>
        </w:rPr>
        <w:t xml:space="preserve"> is not expected to affect the production of new content.  </w:t>
      </w:r>
    </w:p>
    <w:p w:rsidR="00952EB0" w:rsidRPr="00C32C45" w:rsidRDefault="00952EB0" w:rsidP="00A77F7A">
      <w:pPr>
        <w:pStyle w:val="Text1"/>
        <w:ind w:left="0"/>
        <w:rPr>
          <w:rFonts w:ascii="Times New Roman Bold" w:eastAsia="Arial Unicode MS" w:hAnsi="Times New Roman Bold" w:hint="eastAsia"/>
          <w:b/>
          <w:smallCaps/>
          <w:szCs w:val="24"/>
          <w:bdr w:val="nil"/>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undamental rights</w:t>
      </w:r>
    </w:p>
    <w:p w:rsidR="00952EB0" w:rsidRPr="00672F6D" w:rsidRDefault="00952EB0" w:rsidP="00952EB0">
      <w:pPr>
        <w:spacing w:after="120" w:line="240" w:lineRule="auto"/>
        <w:jc w:val="both"/>
        <w:rPr>
          <w:rFonts w:ascii="Times New Roman" w:hAnsi="Times New Roman"/>
          <w:sz w:val="24"/>
          <w:szCs w:val="24"/>
        </w:rPr>
      </w:pPr>
      <w:r w:rsidRPr="00672F6D">
        <w:rPr>
          <w:rFonts w:ascii="Times New Roman" w:hAnsi="Times New Roman"/>
          <w:sz w:val="24"/>
          <w:szCs w:val="24"/>
        </w:rPr>
        <w:t xml:space="preserve">The impact of Option 3 on the right of property would be mitigated by the possibility for MS to decide that licences prevail over the application of the exception. Option 3 will have positive impacts on the right to education as it will support the further development of distance education. </w:t>
      </w:r>
    </w:p>
    <w:p w:rsidR="00952EB0" w:rsidRPr="00492863" w:rsidRDefault="00952EB0" w:rsidP="00CF38F1">
      <w:pPr>
        <w:pStyle w:val="Heading3"/>
      </w:pPr>
      <w:bookmarkStart w:id="76" w:name="_Toc461114729"/>
      <w:r w:rsidRPr="009041EB">
        <w:t xml:space="preserve">How </w:t>
      </w:r>
      <w:r>
        <w:t>d</w:t>
      </w:r>
      <w:r w:rsidRPr="009041EB">
        <w:t>o the options compare?</w:t>
      </w:r>
      <w:bookmarkEnd w:id="76"/>
    </w:p>
    <w:tbl>
      <w:tblPr>
        <w:tblStyle w:val="TableGrid"/>
        <w:tblW w:w="9288" w:type="dxa"/>
        <w:tblLayout w:type="fixed"/>
        <w:tblLook w:val="04A0" w:firstRow="1" w:lastRow="0" w:firstColumn="1" w:lastColumn="0" w:noHBand="0" w:noVBand="1"/>
      </w:tblPr>
      <w:tblGrid>
        <w:gridCol w:w="1242"/>
        <w:gridCol w:w="1843"/>
        <w:gridCol w:w="1843"/>
        <w:gridCol w:w="2268"/>
        <w:gridCol w:w="2092"/>
      </w:tblGrid>
      <w:tr w:rsidR="00952EB0" w:rsidRPr="00801441" w:rsidTr="00C32C45">
        <w:tc>
          <w:tcPr>
            <w:tcW w:w="1242"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Option</w:t>
            </w:r>
          </w:p>
        </w:tc>
        <w:tc>
          <w:tcPr>
            <w:tcW w:w="1843"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Effectiveness</w:t>
            </w:r>
          </w:p>
        </w:tc>
        <w:tc>
          <w:tcPr>
            <w:tcW w:w="1843"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Efficiency</w:t>
            </w:r>
          </w:p>
        </w:tc>
        <w:tc>
          <w:tcPr>
            <w:tcW w:w="2268"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Impact on stakeholders</w:t>
            </w:r>
          </w:p>
        </w:tc>
        <w:tc>
          <w:tcPr>
            <w:tcW w:w="2092" w:type="dxa"/>
          </w:tcPr>
          <w:p w:rsidR="00952EB0" w:rsidRPr="009E58C4" w:rsidRDefault="00952EB0" w:rsidP="00952EB0">
            <w:pPr>
              <w:rPr>
                <w:rFonts w:ascii="Times New Roman" w:hAnsi="Times New Roman" w:cs="Times New Roman"/>
                <w:b/>
                <w:sz w:val="20"/>
              </w:rPr>
            </w:pPr>
            <w:r>
              <w:rPr>
                <w:rFonts w:ascii="Times New Roman" w:hAnsi="Times New Roman" w:cs="Times New Roman"/>
                <w:b/>
                <w:sz w:val="20"/>
              </w:rPr>
              <w:t>Social impacts and fundamental rights</w:t>
            </w:r>
          </w:p>
        </w:tc>
      </w:tr>
      <w:tr w:rsidR="00952EB0" w:rsidRPr="00801441" w:rsidTr="00C32C45">
        <w:tc>
          <w:tcPr>
            <w:tcW w:w="1242"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Baseline</w:t>
            </w:r>
          </w:p>
        </w:tc>
        <w:tc>
          <w:tcPr>
            <w:tcW w:w="1843" w:type="dxa"/>
          </w:tcPr>
          <w:p w:rsidR="00952EB0" w:rsidRPr="009E58C4" w:rsidRDefault="00952EB0" w:rsidP="00952EB0">
            <w:pPr>
              <w:pStyle w:val="Default"/>
              <w:rPr>
                <w:sz w:val="20"/>
                <w:szCs w:val="22"/>
              </w:rPr>
            </w:pPr>
            <w:r w:rsidRPr="009E58C4">
              <w:rPr>
                <w:sz w:val="20"/>
                <w:szCs w:val="22"/>
              </w:rPr>
              <w:t>(0) Legal uncertainty for digital/online and cross-border uses would persist</w:t>
            </w:r>
          </w:p>
        </w:tc>
        <w:tc>
          <w:tcPr>
            <w:tcW w:w="1843" w:type="dxa"/>
          </w:tcPr>
          <w:p w:rsidR="00952EB0" w:rsidRPr="009E58C4" w:rsidRDefault="00952EB0" w:rsidP="00952EB0">
            <w:pPr>
              <w:pStyle w:val="Default"/>
              <w:rPr>
                <w:sz w:val="20"/>
                <w:szCs w:val="22"/>
              </w:rPr>
            </w:pPr>
            <w:r w:rsidRPr="009E58C4">
              <w:rPr>
                <w:sz w:val="20"/>
                <w:szCs w:val="22"/>
              </w:rPr>
              <w:t xml:space="preserve">(0) No direct costs associated with the baseline option </w:t>
            </w:r>
          </w:p>
          <w:p w:rsidR="00952EB0" w:rsidRPr="009E58C4" w:rsidRDefault="00952EB0" w:rsidP="00952EB0">
            <w:pPr>
              <w:rPr>
                <w:rFonts w:ascii="Times New Roman" w:hAnsi="Times New Roman" w:cs="Times New Roman"/>
                <w:sz w:val="20"/>
              </w:rPr>
            </w:pPr>
          </w:p>
        </w:tc>
        <w:tc>
          <w:tcPr>
            <w:tcW w:w="2268" w:type="dxa"/>
          </w:tcPr>
          <w:p w:rsidR="00952EB0" w:rsidRPr="009E58C4" w:rsidRDefault="00952EB0" w:rsidP="00952EB0">
            <w:pPr>
              <w:pStyle w:val="Default"/>
              <w:rPr>
                <w:sz w:val="20"/>
              </w:rPr>
            </w:pPr>
            <w:r w:rsidRPr="009E58C4">
              <w:rPr>
                <w:sz w:val="20"/>
                <w:szCs w:val="22"/>
              </w:rPr>
              <w:t>(0) Impacts on stakeholders would depend on reforms at national level or developments in the licensing market</w:t>
            </w:r>
            <w:r w:rsidRPr="009E58C4">
              <w:rPr>
                <w:sz w:val="20"/>
                <w:szCs w:val="20"/>
              </w:rPr>
              <w:t xml:space="preserve"> </w:t>
            </w:r>
          </w:p>
        </w:tc>
        <w:tc>
          <w:tcPr>
            <w:tcW w:w="2092" w:type="dxa"/>
          </w:tcPr>
          <w:p w:rsidR="00952EB0" w:rsidRDefault="00952EB0" w:rsidP="00952EB0">
            <w:pPr>
              <w:pStyle w:val="Default"/>
              <w:rPr>
                <w:sz w:val="20"/>
                <w:szCs w:val="22"/>
              </w:rPr>
            </w:pPr>
            <w:r w:rsidRPr="009E58C4">
              <w:rPr>
                <w:sz w:val="20"/>
                <w:szCs w:val="22"/>
              </w:rPr>
              <w:t>(0) No direct impact on cultural diversity</w:t>
            </w:r>
            <w:r w:rsidR="00197572">
              <w:rPr>
                <w:sz w:val="20"/>
                <w:szCs w:val="22"/>
              </w:rPr>
              <w:t xml:space="preserve"> and</w:t>
            </w:r>
            <w:r w:rsidRPr="009E58C4">
              <w:rPr>
                <w:sz w:val="20"/>
                <w:szCs w:val="22"/>
              </w:rPr>
              <w:t xml:space="preserve"> </w:t>
            </w:r>
            <w:r>
              <w:rPr>
                <w:sz w:val="20"/>
                <w:szCs w:val="22"/>
              </w:rPr>
              <w:t xml:space="preserve"> on the development of digital and cross-border education</w:t>
            </w:r>
          </w:p>
          <w:p w:rsidR="00952EB0" w:rsidRPr="009E58C4" w:rsidRDefault="00952EB0" w:rsidP="00952EB0">
            <w:pPr>
              <w:pStyle w:val="Default"/>
              <w:rPr>
                <w:sz w:val="20"/>
                <w:szCs w:val="22"/>
              </w:rPr>
            </w:pPr>
            <w:r w:rsidRPr="009E58C4">
              <w:rPr>
                <w:sz w:val="20"/>
                <w:szCs w:val="22"/>
              </w:rPr>
              <w:t>(0) No direct impact on fundamental rights</w:t>
            </w:r>
          </w:p>
        </w:tc>
      </w:tr>
      <w:tr w:rsidR="00952EB0" w:rsidRPr="00801441" w:rsidTr="00C32C45">
        <w:tc>
          <w:tcPr>
            <w:tcW w:w="1242"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Option 1 – Guidance and stakeholders' dialogue</w:t>
            </w:r>
          </w:p>
        </w:tc>
        <w:tc>
          <w:tcPr>
            <w:tcW w:w="1843" w:type="dxa"/>
          </w:tcPr>
          <w:p w:rsidR="00952EB0" w:rsidRPr="009E58C4" w:rsidRDefault="00952EB0" w:rsidP="00952EB0">
            <w:pPr>
              <w:pStyle w:val="Default"/>
              <w:rPr>
                <w:sz w:val="20"/>
                <w:szCs w:val="22"/>
              </w:rPr>
            </w:pPr>
            <w:r w:rsidRPr="009E58C4">
              <w:rPr>
                <w:sz w:val="20"/>
                <w:szCs w:val="22"/>
              </w:rPr>
              <w:t>(0/+) Could result in some improvements in certain MS but would not allow to ensure legal certainty across the EU</w:t>
            </w:r>
          </w:p>
        </w:tc>
        <w:tc>
          <w:tcPr>
            <w:tcW w:w="1843" w:type="dxa"/>
          </w:tcPr>
          <w:p w:rsidR="00952EB0" w:rsidRPr="009E58C4" w:rsidRDefault="00952EB0" w:rsidP="00952EB0">
            <w:pPr>
              <w:pStyle w:val="Default"/>
              <w:rPr>
                <w:sz w:val="20"/>
                <w:szCs w:val="22"/>
              </w:rPr>
            </w:pPr>
            <w:r w:rsidRPr="009E58C4">
              <w:rPr>
                <w:sz w:val="20"/>
                <w:szCs w:val="22"/>
              </w:rPr>
              <w:t>(0/-) Limited costs linked to the organisation of the stakeholders' dialogue</w:t>
            </w:r>
          </w:p>
        </w:tc>
        <w:tc>
          <w:tcPr>
            <w:tcW w:w="2268" w:type="dxa"/>
          </w:tcPr>
          <w:p w:rsidR="00952EB0" w:rsidRPr="009E58C4" w:rsidRDefault="00952EB0" w:rsidP="00952EB0">
            <w:pPr>
              <w:pStyle w:val="Default"/>
              <w:rPr>
                <w:sz w:val="20"/>
                <w:szCs w:val="22"/>
              </w:rPr>
            </w:pPr>
            <w:r w:rsidRPr="009E58C4">
              <w:rPr>
                <w:sz w:val="20"/>
                <w:szCs w:val="22"/>
              </w:rPr>
              <w:t>(0/+) Main impacts on stakeholders would depend on the possible changes introduced in MS legislation</w:t>
            </w:r>
          </w:p>
        </w:tc>
        <w:tc>
          <w:tcPr>
            <w:tcW w:w="2092" w:type="dxa"/>
          </w:tcPr>
          <w:p w:rsidR="00952EB0" w:rsidRDefault="00952EB0" w:rsidP="00952EB0">
            <w:pPr>
              <w:pStyle w:val="Default"/>
              <w:rPr>
                <w:sz w:val="20"/>
                <w:szCs w:val="22"/>
              </w:rPr>
            </w:pPr>
            <w:r w:rsidRPr="009E58C4">
              <w:rPr>
                <w:sz w:val="20"/>
                <w:szCs w:val="22"/>
              </w:rPr>
              <w:t>(0</w:t>
            </w:r>
            <w:r>
              <w:rPr>
                <w:sz w:val="20"/>
                <w:szCs w:val="22"/>
              </w:rPr>
              <w:t>/+</w:t>
            </w:r>
            <w:r w:rsidRPr="009E58C4">
              <w:rPr>
                <w:sz w:val="20"/>
                <w:szCs w:val="22"/>
              </w:rPr>
              <w:t xml:space="preserve">) </w:t>
            </w:r>
            <w:r>
              <w:rPr>
                <w:sz w:val="20"/>
                <w:szCs w:val="22"/>
              </w:rPr>
              <w:t>Possible positive</w:t>
            </w:r>
            <w:r w:rsidRPr="009E58C4">
              <w:rPr>
                <w:sz w:val="20"/>
                <w:szCs w:val="22"/>
              </w:rPr>
              <w:t xml:space="preserve"> impact on cultural diversity </w:t>
            </w:r>
            <w:r>
              <w:rPr>
                <w:sz w:val="20"/>
                <w:szCs w:val="22"/>
              </w:rPr>
              <w:t>and the development of digital and cross-border education, depending on MS action</w:t>
            </w:r>
          </w:p>
          <w:p w:rsidR="00952EB0" w:rsidRPr="009E58C4" w:rsidRDefault="00952EB0" w:rsidP="00952EB0">
            <w:pPr>
              <w:pStyle w:val="Default"/>
              <w:rPr>
                <w:sz w:val="20"/>
                <w:szCs w:val="22"/>
              </w:rPr>
            </w:pPr>
            <w:r w:rsidRPr="009E58C4">
              <w:rPr>
                <w:sz w:val="20"/>
                <w:szCs w:val="22"/>
              </w:rPr>
              <w:t>(0) No direct impact on fundamental rights</w:t>
            </w:r>
          </w:p>
        </w:tc>
      </w:tr>
      <w:tr w:rsidR="00952EB0" w:rsidRPr="00801441" w:rsidTr="00C32C45">
        <w:trPr>
          <w:trHeight w:val="269"/>
        </w:trPr>
        <w:tc>
          <w:tcPr>
            <w:tcW w:w="1242" w:type="dxa"/>
          </w:tcPr>
          <w:p w:rsidR="00952EB0" w:rsidRPr="009E58C4" w:rsidRDefault="00952EB0" w:rsidP="00B758CC">
            <w:pPr>
              <w:rPr>
                <w:rFonts w:ascii="Times New Roman" w:hAnsi="Times New Roman" w:cs="Times New Roman"/>
                <w:b/>
                <w:sz w:val="20"/>
              </w:rPr>
            </w:pPr>
            <w:r w:rsidRPr="009E58C4">
              <w:rPr>
                <w:rFonts w:ascii="Times New Roman" w:hAnsi="Times New Roman" w:cs="Times New Roman"/>
                <w:b/>
                <w:sz w:val="20"/>
              </w:rPr>
              <w:t xml:space="preserve">Option 2 – </w:t>
            </w:r>
            <w:r w:rsidRPr="00DC4E01">
              <w:rPr>
                <w:rFonts w:ascii="Times New Roman" w:hAnsi="Times New Roman" w:cs="Times New Roman"/>
                <w:b/>
                <w:sz w:val="20"/>
              </w:rPr>
              <w:t>Mandatory exception for digital for the purpose of illustration for teaching, including across borders</w:t>
            </w:r>
          </w:p>
        </w:tc>
        <w:tc>
          <w:tcPr>
            <w:tcW w:w="1843" w:type="dxa"/>
          </w:tcPr>
          <w:p w:rsidR="00952EB0" w:rsidRPr="009E58C4" w:rsidRDefault="00952EB0" w:rsidP="00B758CC">
            <w:pPr>
              <w:pStyle w:val="Default"/>
              <w:rPr>
                <w:sz w:val="20"/>
                <w:szCs w:val="22"/>
              </w:rPr>
            </w:pPr>
            <w:r w:rsidRPr="009E58C4">
              <w:rPr>
                <w:sz w:val="20"/>
                <w:szCs w:val="22"/>
              </w:rPr>
              <w:t>(++) Would ensure legal certainty for digital uses, including across borders</w:t>
            </w:r>
          </w:p>
        </w:tc>
        <w:tc>
          <w:tcPr>
            <w:tcW w:w="1843" w:type="dxa"/>
          </w:tcPr>
          <w:p w:rsidR="00952EB0" w:rsidRPr="009E58C4" w:rsidRDefault="00952EB0" w:rsidP="00952EB0">
            <w:pPr>
              <w:pStyle w:val="Default"/>
              <w:rPr>
                <w:sz w:val="20"/>
                <w:szCs w:val="22"/>
              </w:rPr>
            </w:pPr>
            <w:r w:rsidRPr="009E58C4">
              <w:rPr>
                <w:sz w:val="20"/>
                <w:szCs w:val="22"/>
              </w:rPr>
              <w:t xml:space="preserve">(-) High compliance costs in MS using licence-based mechanisms </w:t>
            </w:r>
            <w:r w:rsidR="00F86A04">
              <w:rPr>
                <w:sz w:val="20"/>
                <w:szCs w:val="22"/>
              </w:rPr>
              <w:t>for</w:t>
            </w:r>
            <w:r w:rsidRPr="009E58C4">
              <w:rPr>
                <w:sz w:val="20"/>
                <w:szCs w:val="22"/>
              </w:rPr>
              <w:t xml:space="preserve"> educational uses</w:t>
            </w:r>
            <w:r w:rsidR="00F86A04">
              <w:rPr>
                <w:sz w:val="20"/>
                <w:szCs w:val="22"/>
              </w:rPr>
              <w:t xml:space="preserve"> (need to review the functioning and scope of these mechanisms in view of the introduction of a mandatory exception) </w:t>
            </w:r>
          </w:p>
        </w:tc>
        <w:tc>
          <w:tcPr>
            <w:tcW w:w="2268" w:type="dxa"/>
          </w:tcPr>
          <w:p w:rsidR="00952EB0" w:rsidRPr="009E58C4" w:rsidRDefault="00952EB0" w:rsidP="00952EB0">
            <w:pPr>
              <w:pStyle w:val="Default"/>
              <w:rPr>
                <w:sz w:val="20"/>
                <w:szCs w:val="22"/>
              </w:rPr>
            </w:pPr>
            <w:r w:rsidRPr="009E58C4">
              <w:rPr>
                <w:sz w:val="20"/>
                <w:szCs w:val="22"/>
              </w:rPr>
              <w:t>(+) Full legal certainty and possible reduction of licensing costs for educational establishments</w:t>
            </w:r>
          </w:p>
          <w:p w:rsidR="00952EB0" w:rsidRPr="009E58C4" w:rsidRDefault="00952EB0" w:rsidP="00952EB0">
            <w:pPr>
              <w:pStyle w:val="Default"/>
              <w:rPr>
                <w:sz w:val="20"/>
                <w:szCs w:val="22"/>
              </w:rPr>
            </w:pPr>
            <w:r w:rsidRPr="009E58C4">
              <w:rPr>
                <w:sz w:val="20"/>
                <w:szCs w:val="22"/>
              </w:rPr>
              <w:t xml:space="preserve">(-) Possible reduction of the  quality and variety of educational resources in the medium/long term </w:t>
            </w:r>
          </w:p>
          <w:p w:rsidR="00952EB0" w:rsidRPr="009E58C4" w:rsidRDefault="00952EB0" w:rsidP="00952EB0">
            <w:pPr>
              <w:pStyle w:val="Default"/>
              <w:rPr>
                <w:sz w:val="20"/>
                <w:szCs w:val="22"/>
              </w:rPr>
            </w:pPr>
            <w:r w:rsidRPr="009E58C4">
              <w:rPr>
                <w:sz w:val="20"/>
                <w:szCs w:val="22"/>
              </w:rPr>
              <w:t xml:space="preserve">(--) Significant loss of licensing income for </w:t>
            </w:r>
            <w:r w:rsidR="00687496">
              <w:rPr>
                <w:sz w:val="20"/>
                <w:szCs w:val="22"/>
              </w:rPr>
              <w:t>r</w:t>
            </w:r>
            <w:r w:rsidR="00007677">
              <w:rPr>
                <w:sz w:val="20"/>
                <w:szCs w:val="22"/>
              </w:rPr>
              <w:t>ightholders</w:t>
            </w:r>
            <w:r w:rsidRPr="009E58C4">
              <w:rPr>
                <w:sz w:val="20"/>
                <w:szCs w:val="22"/>
              </w:rPr>
              <w:t xml:space="preserve"> in certain MS</w:t>
            </w:r>
          </w:p>
        </w:tc>
        <w:tc>
          <w:tcPr>
            <w:tcW w:w="2092" w:type="dxa"/>
          </w:tcPr>
          <w:p w:rsidR="00952EB0" w:rsidRDefault="00952EB0" w:rsidP="00952EB0">
            <w:pPr>
              <w:pStyle w:val="Default"/>
              <w:rPr>
                <w:sz w:val="20"/>
                <w:szCs w:val="22"/>
              </w:rPr>
            </w:pPr>
            <w:r w:rsidRPr="009E58C4">
              <w:rPr>
                <w:sz w:val="20"/>
                <w:szCs w:val="22"/>
              </w:rPr>
              <w:t xml:space="preserve">(+/-) Positive impact on cultural diversity in the short term; in the medium/long term, </w:t>
            </w:r>
            <w:r>
              <w:rPr>
                <w:sz w:val="20"/>
                <w:szCs w:val="22"/>
              </w:rPr>
              <w:t>c</w:t>
            </w:r>
            <w:r w:rsidRPr="009E58C4">
              <w:rPr>
                <w:sz w:val="20"/>
                <w:szCs w:val="22"/>
              </w:rPr>
              <w:t>ould negatively affect the production of educational resources</w:t>
            </w:r>
          </w:p>
          <w:p w:rsidR="00952EB0" w:rsidRPr="009E58C4" w:rsidRDefault="00952EB0" w:rsidP="00952EB0">
            <w:pPr>
              <w:pStyle w:val="Default"/>
              <w:rPr>
                <w:sz w:val="20"/>
                <w:szCs w:val="22"/>
              </w:rPr>
            </w:pPr>
            <w:r>
              <w:rPr>
                <w:sz w:val="20"/>
                <w:szCs w:val="22"/>
              </w:rPr>
              <w:t>(+</w:t>
            </w:r>
            <w:r w:rsidR="00684E62">
              <w:rPr>
                <w:sz w:val="20"/>
                <w:szCs w:val="22"/>
              </w:rPr>
              <w:t>/-</w:t>
            </w:r>
            <w:r>
              <w:rPr>
                <w:sz w:val="20"/>
                <w:szCs w:val="22"/>
              </w:rPr>
              <w:t>) Positive impact on digital and cross-border education</w:t>
            </w:r>
            <w:r w:rsidR="00684E62">
              <w:rPr>
                <w:sz w:val="20"/>
                <w:szCs w:val="22"/>
              </w:rPr>
              <w:t xml:space="preserve"> may be undermined by lower quality and variety of educational resources in the medium/long term</w:t>
            </w:r>
          </w:p>
          <w:p w:rsidR="00952EB0" w:rsidRPr="009E58C4" w:rsidRDefault="00952EB0" w:rsidP="00952EB0">
            <w:pPr>
              <w:pStyle w:val="Default"/>
              <w:rPr>
                <w:sz w:val="20"/>
                <w:szCs w:val="22"/>
              </w:rPr>
            </w:pPr>
            <w:r w:rsidRPr="009E58C4">
              <w:rPr>
                <w:sz w:val="20"/>
                <w:szCs w:val="22"/>
              </w:rPr>
              <w:t>(-) Negative impact on the right of property</w:t>
            </w:r>
          </w:p>
          <w:p w:rsidR="00952EB0" w:rsidRPr="009E58C4" w:rsidRDefault="00952EB0" w:rsidP="00952EB0">
            <w:pPr>
              <w:pStyle w:val="Default"/>
              <w:rPr>
                <w:sz w:val="20"/>
                <w:szCs w:val="22"/>
              </w:rPr>
            </w:pPr>
            <w:r w:rsidRPr="009E58C4">
              <w:rPr>
                <w:sz w:val="20"/>
                <w:szCs w:val="22"/>
              </w:rPr>
              <w:t>(+) Positive impact on the right to education</w:t>
            </w:r>
          </w:p>
        </w:tc>
      </w:tr>
      <w:tr w:rsidR="00952EB0" w:rsidRPr="00801441" w:rsidTr="00C32C45">
        <w:tc>
          <w:tcPr>
            <w:tcW w:w="1242" w:type="dxa"/>
          </w:tcPr>
          <w:p w:rsidR="00952EB0" w:rsidRPr="009E58C4" w:rsidRDefault="00952EB0" w:rsidP="00952EB0">
            <w:pPr>
              <w:rPr>
                <w:rFonts w:ascii="Times New Roman" w:hAnsi="Times New Roman" w:cs="Times New Roman"/>
                <w:b/>
                <w:sz w:val="20"/>
              </w:rPr>
            </w:pPr>
            <w:r w:rsidRPr="009E58C4">
              <w:rPr>
                <w:rFonts w:ascii="Times New Roman" w:hAnsi="Times New Roman" w:cs="Times New Roman"/>
                <w:b/>
                <w:sz w:val="20"/>
              </w:rPr>
              <w:t>Option 3 – Mandatory exception with option for MS to make it subject to licences</w:t>
            </w:r>
          </w:p>
        </w:tc>
        <w:tc>
          <w:tcPr>
            <w:tcW w:w="1843" w:type="dxa"/>
          </w:tcPr>
          <w:p w:rsidR="00952EB0" w:rsidRPr="009E58C4" w:rsidRDefault="00952EB0" w:rsidP="00B758CC">
            <w:pPr>
              <w:pStyle w:val="Default"/>
              <w:rPr>
                <w:sz w:val="20"/>
                <w:szCs w:val="22"/>
              </w:rPr>
            </w:pPr>
            <w:r w:rsidRPr="009E58C4">
              <w:rPr>
                <w:sz w:val="20"/>
                <w:szCs w:val="22"/>
              </w:rPr>
              <w:t>(++) Would ensure legal certainty for digital uses, including across borders</w:t>
            </w:r>
          </w:p>
        </w:tc>
        <w:tc>
          <w:tcPr>
            <w:tcW w:w="1843" w:type="dxa"/>
          </w:tcPr>
          <w:p w:rsidR="00952EB0" w:rsidRPr="009E58C4" w:rsidRDefault="00952EB0" w:rsidP="00952EB0">
            <w:pPr>
              <w:pStyle w:val="Default"/>
              <w:rPr>
                <w:sz w:val="20"/>
                <w:szCs w:val="22"/>
              </w:rPr>
            </w:pPr>
            <w:r w:rsidRPr="009E58C4">
              <w:rPr>
                <w:sz w:val="20"/>
                <w:szCs w:val="22"/>
              </w:rPr>
              <w:t>(0/</w:t>
            </w:r>
            <w:r>
              <w:rPr>
                <w:sz w:val="20"/>
                <w:szCs w:val="22"/>
              </w:rPr>
              <w:t>-</w:t>
            </w:r>
            <w:r w:rsidRPr="009E58C4">
              <w:rPr>
                <w:sz w:val="20"/>
                <w:szCs w:val="22"/>
              </w:rPr>
              <w:t xml:space="preserve">) </w:t>
            </w:r>
            <w:r>
              <w:rPr>
                <w:sz w:val="20"/>
                <w:szCs w:val="22"/>
              </w:rPr>
              <w:t xml:space="preserve">Compliance costs for certain MS related to the need to take measures to ensure the availability and visibility of licences. </w:t>
            </w:r>
            <w:r w:rsidRPr="009E58C4">
              <w:rPr>
                <w:sz w:val="20"/>
                <w:szCs w:val="22"/>
              </w:rPr>
              <w:t xml:space="preserve"> </w:t>
            </w:r>
          </w:p>
          <w:p w:rsidR="00952EB0" w:rsidRPr="009E58C4" w:rsidRDefault="00952EB0" w:rsidP="00952EB0">
            <w:pPr>
              <w:pStyle w:val="Default"/>
              <w:rPr>
                <w:sz w:val="20"/>
                <w:szCs w:val="22"/>
              </w:rPr>
            </w:pPr>
          </w:p>
        </w:tc>
        <w:tc>
          <w:tcPr>
            <w:tcW w:w="2268" w:type="dxa"/>
          </w:tcPr>
          <w:p w:rsidR="00952EB0" w:rsidRPr="009E58C4" w:rsidRDefault="00952EB0" w:rsidP="00952EB0">
            <w:pPr>
              <w:pStyle w:val="Default"/>
              <w:rPr>
                <w:sz w:val="20"/>
                <w:szCs w:val="22"/>
              </w:rPr>
            </w:pPr>
            <w:r w:rsidRPr="009E58C4">
              <w:rPr>
                <w:sz w:val="20"/>
                <w:szCs w:val="22"/>
              </w:rPr>
              <w:t>(+) Full legal certainty for educational establishments</w:t>
            </w:r>
            <w:r>
              <w:rPr>
                <w:sz w:val="20"/>
                <w:szCs w:val="22"/>
              </w:rPr>
              <w:t xml:space="preserve"> if MS take the appropriate measures to ensure the availability and visibility of licences</w:t>
            </w:r>
          </w:p>
          <w:p w:rsidR="00952EB0" w:rsidRPr="009E58C4" w:rsidRDefault="00952EB0" w:rsidP="00952EB0">
            <w:pPr>
              <w:pStyle w:val="Default"/>
              <w:rPr>
                <w:sz w:val="20"/>
                <w:szCs w:val="22"/>
              </w:rPr>
            </w:pPr>
            <w:r w:rsidRPr="009E58C4">
              <w:rPr>
                <w:sz w:val="20"/>
                <w:szCs w:val="22"/>
              </w:rPr>
              <w:t xml:space="preserve">(-/0) Depending on the choice made by MS, possible licensing and </w:t>
            </w:r>
            <w:r>
              <w:rPr>
                <w:sz w:val="20"/>
                <w:szCs w:val="22"/>
              </w:rPr>
              <w:t xml:space="preserve">transaction </w:t>
            </w:r>
            <w:r w:rsidRPr="009E58C4">
              <w:rPr>
                <w:sz w:val="20"/>
                <w:szCs w:val="22"/>
              </w:rPr>
              <w:t xml:space="preserve">costs for educational establishments, but expected to be  limited </w:t>
            </w:r>
          </w:p>
          <w:p w:rsidR="00952EB0" w:rsidRPr="009E58C4" w:rsidRDefault="00952EB0" w:rsidP="00952EB0">
            <w:pPr>
              <w:pStyle w:val="Default"/>
              <w:rPr>
                <w:sz w:val="20"/>
                <w:szCs w:val="22"/>
              </w:rPr>
            </w:pPr>
            <w:r w:rsidRPr="009E58C4">
              <w:rPr>
                <w:sz w:val="20"/>
                <w:szCs w:val="22"/>
              </w:rPr>
              <w:t xml:space="preserve">(0) </w:t>
            </w:r>
            <w:r>
              <w:rPr>
                <w:sz w:val="20"/>
                <w:szCs w:val="22"/>
              </w:rPr>
              <w:t>I</w:t>
            </w:r>
            <w:r w:rsidRPr="009E58C4">
              <w:rPr>
                <w:sz w:val="20"/>
                <w:szCs w:val="22"/>
              </w:rPr>
              <w:t xml:space="preserve">mpacts on </w:t>
            </w:r>
            <w:r w:rsidR="00687496">
              <w:rPr>
                <w:sz w:val="20"/>
                <w:szCs w:val="22"/>
              </w:rPr>
              <w:t>r</w:t>
            </w:r>
            <w:r w:rsidR="00007677">
              <w:rPr>
                <w:sz w:val="20"/>
                <w:szCs w:val="22"/>
              </w:rPr>
              <w:t>ightholders</w:t>
            </w:r>
            <w:r w:rsidRPr="009E58C4">
              <w:rPr>
                <w:sz w:val="20"/>
                <w:szCs w:val="22"/>
              </w:rPr>
              <w:t xml:space="preserve"> expected to be neutral </w:t>
            </w:r>
          </w:p>
        </w:tc>
        <w:tc>
          <w:tcPr>
            <w:tcW w:w="2092" w:type="dxa"/>
          </w:tcPr>
          <w:p w:rsidR="00952EB0" w:rsidRDefault="00952EB0" w:rsidP="00952EB0">
            <w:pPr>
              <w:pStyle w:val="Default"/>
              <w:rPr>
                <w:sz w:val="20"/>
                <w:szCs w:val="22"/>
              </w:rPr>
            </w:pPr>
            <w:r w:rsidRPr="009E58C4">
              <w:rPr>
                <w:sz w:val="20"/>
                <w:szCs w:val="22"/>
              </w:rPr>
              <w:t>(+) Positive impact on cultural diversity</w:t>
            </w:r>
          </w:p>
          <w:p w:rsidR="00684E62" w:rsidRPr="009E58C4" w:rsidRDefault="00684E62" w:rsidP="00952EB0">
            <w:pPr>
              <w:pStyle w:val="Default"/>
              <w:rPr>
                <w:sz w:val="20"/>
                <w:szCs w:val="22"/>
              </w:rPr>
            </w:pPr>
            <w:r>
              <w:rPr>
                <w:sz w:val="20"/>
                <w:szCs w:val="22"/>
              </w:rPr>
              <w:t>(+) Positive impact on the development of digital and cross-border education</w:t>
            </w:r>
          </w:p>
          <w:p w:rsidR="00952EB0" w:rsidRPr="009E58C4" w:rsidRDefault="00952EB0" w:rsidP="00952EB0">
            <w:pPr>
              <w:pStyle w:val="Default"/>
              <w:rPr>
                <w:sz w:val="20"/>
                <w:szCs w:val="22"/>
              </w:rPr>
            </w:pPr>
            <w:r w:rsidRPr="009E58C4">
              <w:rPr>
                <w:sz w:val="20"/>
                <w:szCs w:val="22"/>
              </w:rPr>
              <w:t>(-/0) Limited negative impact on the right of property, depending on the choice made by MS</w:t>
            </w:r>
          </w:p>
          <w:p w:rsidR="00952EB0" w:rsidRPr="009E58C4" w:rsidRDefault="00952EB0" w:rsidP="00952EB0">
            <w:pPr>
              <w:pStyle w:val="Default"/>
              <w:rPr>
                <w:sz w:val="20"/>
                <w:szCs w:val="22"/>
              </w:rPr>
            </w:pPr>
            <w:r w:rsidRPr="009E58C4">
              <w:rPr>
                <w:sz w:val="20"/>
                <w:szCs w:val="22"/>
              </w:rPr>
              <w:t>(+) Positive impact on the right to education</w:t>
            </w:r>
          </w:p>
          <w:p w:rsidR="00952EB0" w:rsidRPr="009E58C4" w:rsidRDefault="00952EB0" w:rsidP="00952EB0">
            <w:pPr>
              <w:pStyle w:val="Default"/>
              <w:rPr>
                <w:sz w:val="20"/>
                <w:szCs w:val="22"/>
              </w:rPr>
            </w:pPr>
          </w:p>
        </w:tc>
      </w:tr>
    </w:tbl>
    <w:p w:rsidR="00952EB0" w:rsidRDefault="00952EB0" w:rsidP="00190031">
      <w:pPr>
        <w:spacing w:before="240" w:after="120" w:line="240" w:lineRule="auto"/>
        <w:jc w:val="both"/>
        <w:rPr>
          <w:rFonts w:ascii="Times New Roman" w:hAnsi="Times New Roman" w:cs="Times New Roman"/>
          <w:sz w:val="24"/>
        </w:rPr>
      </w:pPr>
      <w:r w:rsidRPr="00197572">
        <w:rPr>
          <w:rFonts w:ascii="Times New Roman" w:hAnsi="Times New Roman" w:cs="Times New Roman"/>
          <w:b/>
          <w:sz w:val="24"/>
        </w:rPr>
        <w:t xml:space="preserve">Option 3 </w:t>
      </w:r>
      <w:r w:rsidRPr="00D1507D">
        <w:rPr>
          <w:rFonts w:ascii="Times New Roman" w:hAnsi="Times New Roman"/>
          <w:b/>
          <w:sz w:val="24"/>
        </w:rPr>
        <w:t xml:space="preserve">is the preferred option, as it would allow </w:t>
      </w:r>
      <w:r w:rsidR="00197572" w:rsidRPr="00197572">
        <w:rPr>
          <w:rFonts w:ascii="Times New Roman" w:hAnsi="Times New Roman" w:cs="Times New Roman"/>
          <w:b/>
          <w:sz w:val="24"/>
        </w:rPr>
        <w:t>reaching</w:t>
      </w:r>
      <w:r w:rsidRPr="00D1507D">
        <w:rPr>
          <w:rFonts w:ascii="Times New Roman" w:hAnsi="Times New Roman"/>
          <w:b/>
          <w:sz w:val="24"/>
        </w:rPr>
        <w:t xml:space="preserve"> the objective of full legal certainty for digital and cross-border uses in education for the benefit of educational establishments, teachers and students, while limiting negative impacts on </w:t>
      </w:r>
      <w:r w:rsidR="00687496">
        <w:rPr>
          <w:rFonts w:ascii="Times New Roman" w:hAnsi="Times New Roman"/>
          <w:b/>
          <w:sz w:val="24"/>
        </w:rPr>
        <w:t>r</w:t>
      </w:r>
      <w:r w:rsidR="00007677">
        <w:rPr>
          <w:rFonts w:ascii="Times New Roman" w:hAnsi="Times New Roman"/>
          <w:b/>
          <w:sz w:val="24"/>
        </w:rPr>
        <w:t>ightholders</w:t>
      </w:r>
      <w:r w:rsidRPr="00D1507D">
        <w:rPr>
          <w:rFonts w:ascii="Times New Roman" w:hAnsi="Times New Roman"/>
          <w:b/>
          <w:sz w:val="24"/>
        </w:rPr>
        <w:t>.</w:t>
      </w:r>
      <w:r>
        <w:rPr>
          <w:rFonts w:ascii="Times New Roman" w:hAnsi="Times New Roman" w:cs="Times New Roman"/>
          <w:sz w:val="24"/>
        </w:rPr>
        <w:t xml:space="preserve"> </w:t>
      </w:r>
      <w:r w:rsidRPr="003166CA">
        <w:rPr>
          <w:rFonts w:ascii="Times New Roman" w:hAnsi="Times New Roman" w:cs="Times New Roman"/>
          <w:sz w:val="24"/>
        </w:rPr>
        <w:t>In contrast</w:t>
      </w:r>
      <w:r>
        <w:rPr>
          <w:rFonts w:ascii="Times New Roman" w:hAnsi="Times New Roman" w:cs="Times New Roman"/>
          <w:sz w:val="24"/>
        </w:rPr>
        <w:t xml:space="preserve">, Option 1 would not be sufficiently effective and Option 2 would entail significant foregone costs for </w:t>
      </w:r>
      <w:r w:rsidR="00687496">
        <w:rPr>
          <w:rFonts w:ascii="Times New Roman" w:hAnsi="Times New Roman" w:cs="Times New Roman"/>
          <w:sz w:val="24"/>
        </w:rPr>
        <w:t>r</w:t>
      </w:r>
      <w:r w:rsidR="00007677">
        <w:rPr>
          <w:rFonts w:ascii="Times New Roman" w:hAnsi="Times New Roman" w:cs="Times New Roman"/>
          <w:sz w:val="24"/>
        </w:rPr>
        <w:t>ightholders</w:t>
      </w:r>
      <w:r>
        <w:rPr>
          <w:rFonts w:ascii="Times New Roman" w:hAnsi="Times New Roman" w:cs="Times New Roman"/>
          <w:sz w:val="24"/>
        </w:rPr>
        <w:t xml:space="preserve"> in several MS, with a possible negative impact on the quality and variety of educational resources in the long term. Option 3 </w:t>
      </w:r>
      <w:r w:rsidRPr="00D46955">
        <w:rPr>
          <w:rFonts w:ascii="Times New Roman" w:hAnsi="Times New Roman" w:cs="Times New Roman"/>
          <w:sz w:val="24"/>
        </w:rPr>
        <w:t>could imply some compliance costs for MS deciding to make the exception subject to the availability of licences</w:t>
      </w:r>
      <w:r>
        <w:rPr>
          <w:rFonts w:ascii="Times New Roman" w:hAnsi="Times New Roman" w:cs="Times New Roman"/>
          <w:sz w:val="24"/>
        </w:rPr>
        <w:t>, because of the requirement to ensure availability and visibility of such licences</w:t>
      </w:r>
      <w:r w:rsidRPr="00D46955">
        <w:rPr>
          <w:rFonts w:ascii="Times New Roman" w:hAnsi="Times New Roman" w:cs="Times New Roman"/>
          <w:sz w:val="24"/>
        </w:rPr>
        <w:t>. However, these costs are expected to be lower than the compliance costs associated with Option 2</w:t>
      </w:r>
      <w:r>
        <w:rPr>
          <w:rFonts w:ascii="Times New Roman" w:hAnsi="Times New Roman" w:cs="Times New Roman"/>
          <w:sz w:val="24"/>
        </w:rPr>
        <w:t xml:space="preserve"> (need for certain MS to </w:t>
      </w:r>
      <w:r w:rsidRPr="00662B46">
        <w:rPr>
          <w:rFonts w:ascii="Times New Roman" w:hAnsi="Times New Roman" w:cs="Times New Roman"/>
          <w:sz w:val="24"/>
        </w:rPr>
        <w:t>thoroughly review the way in which educational establishments make use of protected content</w:t>
      </w:r>
      <w:r w:rsidRPr="00E57781">
        <w:rPr>
          <w:rFonts w:ascii="Times New Roman" w:hAnsi="Times New Roman" w:cs="Times New Roman"/>
          <w:sz w:val="24"/>
        </w:rPr>
        <w:t xml:space="preserve"> in order to implement the exception</w:t>
      </w:r>
      <w:r>
        <w:rPr>
          <w:rFonts w:ascii="Times New Roman" w:hAnsi="Times New Roman" w:cs="Times New Roman"/>
          <w:sz w:val="24"/>
        </w:rPr>
        <w:t xml:space="preserve">). Also, such compliance costs from MS would allow to significantly reduce administrative burdens and related transaction costs for educational establishments. Finally, the impacts on cultural diversity and fundamental rights are more balanced under Option 3 compared to Option 2. </w:t>
      </w:r>
    </w:p>
    <w:p w:rsidR="00952EB0" w:rsidRDefault="000A0F51" w:rsidP="0061090F">
      <w:pPr>
        <w:spacing w:after="120" w:line="240" w:lineRule="auto"/>
        <w:jc w:val="both"/>
        <w:rPr>
          <w:rFonts w:ascii="Times New Roman" w:hAnsi="Times New Roman" w:cs="Times New Roman"/>
          <w:sz w:val="24"/>
        </w:rPr>
      </w:pPr>
      <w:r w:rsidRPr="00AD57F7">
        <w:rPr>
          <w:rFonts w:ascii="Times New Roman" w:hAnsi="Times New Roman" w:cs="Times New Roman"/>
          <w:sz w:val="24"/>
          <w:u w:val="single"/>
        </w:rPr>
        <w:t>Proportionality and impacts on MS</w:t>
      </w:r>
      <w:r>
        <w:rPr>
          <w:rFonts w:ascii="Times New Roman" w:hAnsi="Times New Roman" w:cs="Times New Roman"/>
          <w:sz w:val="24"/>
        </w:rPr>
        <w:t xml:space="preserve">: </w:t>
      </w:r>
      <w:r w:rsidR="00952EB0" w:rsidRPr="00D1507D">
        <w:rPr>
          <w:rFonts w:ascii="Times New Roman" w:hAnsi="Times New Roman"/>
          <w:b/>
          <w:sz w:val="24"/>
        </w:rPr>
        <w:t xml:space="preserve">Option 3 </w:t>
      </w:r>
      <w:r w:rsidR="00197572" w:rsidRPr="00AD57F7">
        <w:rPr>
          <w:rFonts w:ascii="Times New Roman" w:hAnsi="Times New Roman" w:cs="Times New Roman"/>
          <w:b/>
          <w:sz w:val="24"/>
        </w:rPr>
        <w:t>responds</w:t>
      </w:r>
      <w:r w:rsidR="00197572" w:rsidRPr="00D1507D">
        <w:rPr>
          <w:rFonts w:ascii="Times New Roman" w:hAnsi="Times New Roman"/>
          <w:b/>
          <w:sz w:val="24"/>
        </w:rPr>
        <w:t xml:space="preserve"> to</w:t>
      </w:r>
      <w:r w:rsidR="00952EB0" w:rsidRPr="00D1507D">
        <w:rPr>
          <w:rFonts w:ascii="Times New Roman" w:hAnsi="Times New Roman"/>
          <w:b/>
          <w:sz w:val="24"/>
        </w:rPr>
        <w:t xml:space="preserve"> the policy objective in a proportionate manner, </w:t>
      </w:r>
      <w:r w:rsidR="00197572" w:rsidRPr="00AD57F7">
        <w:rPr>
          <w:rFonts w:ascii="Times New Roman" w:hAnsi="Times New Roman" w:cs="Times New Roman"/>
          <w:b/>
          <w:sz w:val="24"/>
        </w:rPr>
        <w:t xml:space="preserve">by </w:t>
      </w:r>
      <w:r w:rsidR="00952EB0" w:rsidRPr="00D1507D">
        <w:rPr>
          <w:rFonts w:ascii="Times New Roman" w:hAnsi="Times New Roman"/>
          <w:b/>
          <w:sz w:val="24"/>
        </w:rPr>
        <w:t>focusing on uses which have a cross-border dimension</w:t>
      </w:r>
      <w:r w:rsidR="00952EB0" w:rsidRPr="00AD57F7">
        <w:rPr>
          <w:rFonts w:ascii="Times New Roman" w:hAnsi="Times New Roman" w:cs="Times New Roman"/>
          <w:b/>
          <w:sz w:val="24"/>
        </w:rPr>
        <w:t xml:space="preserve"> </w:t>
      </w:r>
      <w:r w:rsidR="00197572" w:rsidRPr="00AD57F7">
        <w:rPr>
          <w:rFonts w:ascii="Times New Roman" w:hAnsi="Times New Roman" w:cs="Times New Roman"/>
          <w:b/>
          <w:sz w:val="24"/>
        </w:rPr>
        <w:t>(digital uses)</w:t>
      </w:r>
      <w:r w:rsidR="00197572" w:rsidRPr="00D1507D">
        <w:rPr>
          <w:rFonts w:ascii="Times New Roman" w:hAnsi="Times New Roman"/>
          <w:b/>
          <w:sz w:val="24"/>
        </w:rPr>
        <w:t xml:space="preserve"> </w:t>
      </w:r>
      <w:r w:rsidR="00952EB0" w:rsidRPr="00D1507D">
        <w:rPr>
          <w:rFonts w:ascii="Times New Roman" w:hAnsi="Times New Roman"/>
          <w:b/>
          <w:sz w:val="24"/>
        </w:rPr>
        <w:t>and leaving sufficient flexibility for MS to choose the most suitable mecha</w:t>
      </w:r>
      <w:r w:rsidR="00190031" w:rsidRPr="00D1507D">
        <w:rPr>
          <w:rFonts w:ascii="Times New Roman" w:hAnsi="Times New Roman"/>
          <w:b/>
          <w:sz w:val="24"/>
        </w:rPr>
        <w:t xml:space="preserve">nism (exception or licensing). </w:t>
      </w:r>
    </w:p>
    <w:p w:rsidR="00E74375" w:rsidRDefault="00197572" w:rsidP="00AD57F7">
      <w:pPr>
        <w:spacing w:line="240" w:lineRule="auto"/>
        <w:jc w:val="both"/>
        <w:rPr>
          <w:rFonts w:ascii="Times New Roman" w:hAnsi="Times New Roman" w:cs="Times New Roman"/>
          <w:sz w:val="24"/>
          <w:szCs w:val="24"/>
        </w:rPr>
      </w:pPr>
      <w:r>
        <w:rPr>
          <w:rFonts w:ascii="Times New Roman" w:hAnsi="Times New Roman" w:cs="Times New Roman"/>
          <w:sz w:val="24"/>
          <w:szCs w:val="24"/>
        </w:rPr>
        <w:t>The implementation of O</w:t>
      </w:r>
      <w:r w:rsidR="004E0E24">
        <w:rPr>
          <w:rFonts w:ascii="Times New Roman" w:hAnsi="Times New Roman" w:cs="Times New Roman"/>
          <w:sz w:val="24"/>
          <w:szCs w:val="24"/>
        </w:rPr>
        <w:t>ption 3</w:t>
      </w:r>
      <w:r w:rsidR="000A0F51" w:rsidRPr="00555AB5">
        <w:rPr>
          <w:rFonts w:ascii="Times New Roman" w:hAnsi="Times New Roman" w:cs="Times New Roman"/>
          <w:sz w:val="24"/>
          <w:szCs w:val="24"/>
        </w:rPr>
        <w:t xml:space="preserve"> will </w:t>
      </w:r>
      <w:r>
        <w:rPr>
          <w:rFonts w:ascii="Times New Roman" w:hAnsi="Times New Roman" w:cs="Times New Roman"/>
          <w:sz w:val="24"/>
          <w:szCs w:val="24"/>
        </w:rPr>
        <w:t>require c</w:t>
      </w:r>
      <w:r w:rsidR="004E0E24">
        <w:rPr>
          <w:rFonts w:ascii="Times New Roman" w:hAnsi="Times New Roman" w:cs="Times New Roman"/>
          <w:sz w:val="24"/>
          <w:szCs w:val="24"/>
        </w:rPr>
        <w:t xml:space="preserve">ertain MS to adapt their national legislation in order to clarify </w:t>
      </w:r>
      <w:r>
        <w:rPr>
          <w:rFonts w:ascii="Times New Roman" w:hAnsi="Times New Roman" w:cs="Times New Roman"/>
          <w:sz w:val="24"/>
          <w:szCs w:val="24"/>
        </w:rPr>
        <w:t>that the exception covers digital uses carried out in the context of illustration for teaching. Other MS</w:t>
      </w:r>
      <w:r w:rsidR="00C229EC">
        <w:rPr>
          <w:rFonts w:ascii="Times New Roman" w:hAnsi="Times New Roman" w:cs="Times New Roman"/>
          <w:sz w:val="24"/>
          <w:szCs w:val="24"/>
        </w:rPr>
        <w:t>, where such uses are already allowed under their national teaching exception,</w:t>
      </w:r>
      <w:r>
        <w:rPr>
          <w:rFonts w:ascii="Times New Roman" w:hAnsi="Times New Roman" w:cs="Times New Roman"/>
          <w:sz w:val="24"/>
          <w:szCs w:val="24"/>
        </w:rPr>
        <w:t xml:space="preserve"> </w:t>
      </w:r>
      <w:r w:rsidR="004E0E24">
        <w:rPr>
          <w:rFonts w:ascii="Times New Roman" w:hAnsi="Times New Roman" w:cs="Times New Roman"/>
          <w:sz w:val="24"/>
          <w:szCs w:val="24"/>
        </w:rPr>
        <w:t xml:space="preserve">will </w:t>
      </w:r>
      <w:r>
        <w:rPr>
          <w:rFonts w:ascii="Times New Roman" w:hAnsi="Times New Roman" w:cs="Times New Roman"/>
          <w:sz w:val="24"/>
          <w:szCs w:val="24"/>
        </w:rPr>
        <w:t xml:space="preserve">only </w:t>
      </w:r>
      <w:r w:rsidR="004E0E24">
        <w:rPr>
          <w:rFonts w:ascii="Times New Roman" w:hAnsi="Times New Roman" w:cs="Times New Roman"/>
          <w:sz w:val="24"/>
          <w:szCs w:val="24"/>
        </w:rPr>
        <w:t xml:space="preserve">need to make </w:t>
      </w:r>
      <w:r w:rsidR="00C229EC">
        <w:rPr>
          <w:rFonts w:ascii="Times New Roman" w:hAnsi="Times New Roman" w:cs="Times New Roman"/>
          <w:sz w:val="24"/>
          <w:szCs w:val="24"/>
        </w:rPr>
        <w:t xml:space="preserve">more </w:t>
      </w:r>
      <w:r w:rsidR="004E0E24">
        <w:rPr>
          <w:rFonts w:ascii="Times New Roman" w:hAnsi="Times New Roman" w:cs="Times New Roman"/>
          <w:sz w:val="24"/>
          <w:szCs w:val="24"/>
        </w:rPr>
        <w:t>limited amendments to reflect the specific conditions defined under Option 3</w:t>
      </w:r>
      <w:r>
        <w:rPr>
          <w:rFonts w:ascii="Times New Roman" w:hAnsi="Times New Roman" w:cs="Times New Roman"/>
          <w:sz w:val="24"/>
          <w:szCs w:val="24"/>
        </w:rPr>
        <w:t xml:space="preserve"> (e.g. uses under secure electronic networks</w:t>
      </w:r>
      <w:r w:rsidR="00C229EC">
        <w:rPr>
          <w:rFonts w:ascii="Times New Roman" w:hAnsi="Times New Roman" w:cs="Times New Roman"/>
          <w:sz w:val="24"/>
          <w:szCs w:val="24"/>
        </w:rPr>
        <w:t>, all types of works covered)</w:t>
      </w:r>
      <w:r w:rsidR="004E0E24">
        <w:rPr>
          <w:rFonts w:ascii="Times New Roman" w:hAnsi="Times New Roman" w:cs="Times New Roman"/>
          <w:sz w:val="24"/>
          <w:szCs w:val="24"/>
        </w:rPr>
        <w:t xml:space="preserve">. All MS would need to amend their national laws in order to allow for cross-border uses. </w:t>
      </w:r>
      <w:r w:rsidR="000A0F51" w:rsidRPr="00555AB5">
        <w:rPr>
          <w:rFonts w:ascii="Times New Roman" w:hAnsi="Times New Roman" w:cs="Times New Roman"/>
          <w:sz w:val="24"/>
          <w:szCs w:val="24"/>
        </w:rPr>
        <w:t>The flexibility foreseen for the implementation of the exception will allow MS to maintain to a large extent the existing arrangements (</w:t>
      </w:r>
      <w:r w:rsidR="003244E1">
        <w:rPr>
          <w:rFonts w:ascii="Times New Roman" w:hAnsi="Times New Roman" w:cs="Times New Roman"/>
          <w:sz w:val="24"/>
          <w:szCs w:val="24"/>
        </w:rPr>
        <w:t>e</w:t>
      </w:r>
      <w:r w:rsidR="00DB359F">
        <w:rPr>
          <w:rFonts w:ascii="Times New Roman" w:hAnsi="Times New Roman" w:cs="Times New Roman"/>
          <w:sz w:val="24"/>
          <w:szCs w:val="24"/>
        </w:rPr>
        <w:t>.</w:t>
      </w:r>
      <w:r w:rsidR="003244E1">
        <w:rPr>
          <w:rFonts w:ascii="Times New Roman" w:hAnsi="Times New Roman" w:cs="Times New Roman"/>
          <w:sz w:val="24"/>
          <w:szCs w:val="24"/>
        </w:rPr>
        <w:t xml:space="preserve">g. </w:t>
      </w:r>
      <w:r w:rsidR="000A0F51" w:rsidRPr="00555AB5">
        <w:rPr>
          <w:rFonts w:ascii="Times New Roman" w:hAnsi="Times New Roman" w:cs="Times New Roman"/>
          <w:sz w:val="24"/>
          <w:szCs w:val="24"/>
        </w:rPr>
        <w:t xml:space="preserve">ECL or exception subject to the availability of licences). </w:t>
      </w:r>
    </w:p>
    <w:p w:rsidR="00E74375" w:rsidRDefault="00E74375" w:rsidP="00D1507D">
      <w:pPr>
        <w:spacing w:after="0" w:line="240" w:lineRule="auto"/>
        <w:jc w:val="both"/>
        <w:rPr>
          <w:rFonts w:ascii="Times New Roman" w:hAnsi="Times New Roman" w:cs="Times New Roman"/>
          <w:sz w:val="24"/>
        </w:rPr>
      </w:pPr>
    </w:p>
    <w:p w:rsidR="00E74BF2" w:rsidRPr="00190031" w:rsidRDefault="00952EB0" w:rsidP="00190031">
      <w:pPr>
        <w:pStyle w:val="Heading2"/>
        <w:numPr>
          <w:ilvl w:val="1"/>
          <w:numId w:val="1"/>
        </w:numPr>
        <w:spacing w:before="0" w:after="240"/>
        <w:rPr>
          <w:rFonts w:ascii="Times New Roman Bold" w:hAnsi="Times New Roman Bold"/>
          <w:smallCaps/>
        </w:rPr>
      </w:pPr>
      <w:bookmarkStart w:id="77" w:name="_Toc461114730"/>
      <w:r w:rsidRPr="0052347B">
        <w:rPr>
          <w:rFonts w:ascii="Times New Roman Bold" w:hAnsi="Times New Roman Bold"/>
          <w:smallCaps/>
        </w:rPr>
        <w:t>Text and data mining</w:t>
      </w:r>
      <w:bookmarkStart w:id="78" w:name="_Toc454351324"/>
      <w:bookmarkStart w:id="79" w:name="_Toc437263132"/>
      <w:bookmarkEnd w:id="77"/>
      <w:bookmarkEnd w:id="78"/>
    </w:p>
    <w:p w:rsidR="00952EB0" w:rsidRPr="00EC4FA4" w:rsidRDefault="00952EB0" w:rsidP="00CF38F1">
      <w:pPr>
        <w:pStyle w:val="Heading3"/>
      </w:pPr>
      <w:bookmarkStart w:id="80" w:name="_Toc461114731"/>
      <w:r w:rsidRPr="00EC4FA4">
        <w:t>What is the problem and why is it a problem</w:t>
      </w:r>
      <w:r>
        <w:t>?</w:t>
      </w:r>
      <w:bookmarkEnd w:id="80"/>
    </w:p>
    <w:p w:rsidR="00083CE6" w:rsidRPr="00EC4FA4" w:rsidRDefault="00083CE6" w:rsidP="00083CE6">
      <w:pPr>
        <w:pStyle w:val="Default"/>
        <w:widowControl w:val="0"/>
        <w:spacing w:after="120"/>
        <w:jc w:val="both"/>
        <w:rPr>
          <w:rFonts w:eastAsia="Arial Unicode MS"/>
          <w:bdr w:val="nil"/>
        </w:rPr>
      </w:pPr>
      <w:r w:rsidRPr="0008766D">
        <w:rPr>
          <w:szCs w:val="20"/>
          <w:u w:val="single"/>
          <w:lang w:eastAsia="en-GB"/>
        </w:rPr>
        <w:t>Description of the problem:</w:t>
      </w:r>
      <w:r>
        <w:rPr>
          <w:szCs w:val="20"/>
          <w:lang w:eastAsia="en-GB"/>
        </w:rPr>
        <w:t xml:space="preserve"> </w:t>
      </w:r>
      <w:r w:rsidRPr="00EC4FA4">
        <w:rPr>
          <w:rFonts w:eastAsia="Arial Unicode MS"/>
          <w:bdr w:val="nil"/>
        </w:rPr>
        <w:t>Text and Data Mining (TDM) is a term commonly used to describe the automated processing ("machine reading") of large volumes of text and data to uncover new knowledge or insights.</w:t>
      </w:r>
      <w:r w:rsidRPr="00EC4FA4">
        <w:rPr>
          <w:rFonts w:eastAsia="Arial Unicode MS"/>
          <w:bdr w:val="nil"/>
          <w:vertAlign w:val="superscript"/>
        </w:rPr>
        <w:footnoteReference w:id="320"/>
      </w:r>
      <w:r w:rsidRPr="00EC4FA4">
        <w:rPr>
          <w:rFonts w:eastAsia="Arial Unicode MS"/>
          <w:bdr w:val="nil"/>
        </w:rPr>
        <w:t xml:space="preserve"> TDM can be a powerful scientific research tool to analyse big corpuses of text and data such as scientific publications</w:t>
      </w:r>
      <w:r w:rsidRPr="00E962D1">
        <w:rPr>
          <w:rFonts w:eastAsia="Arial Unicode MS"/>
          <w:bdr w:val="nil"/>
        </w:rPr>
        <w:t xml:space="preserve"> </w:t>
      </w:r>
      <w:r>
        <w:rPr>
          <w:rFonts w:eastAsia="Arial Unicode MS"/>
          <w:bdr w:val="nil"/>
        </w:rPr>
        <w:t>or research datasets</w:t>
      </w:r>
      <w:r w:rsidRPr="00EC4FA4">
        <w:rPr>
          <w:rFonts w:eastAsia="Arial Unicode MS"/>
          <w:bdr w:val="nil"/>
        </w:rPr>
        <w:t>.</w:t>
      </w:r>
      <w:r w:rsidRPr="00EC4FA4">
        <w:rPr>
          <w:rFonts w:eastAsia="Arial Unicode MS"/>
          <w:bdr w:val="nil"/>
          <w:vertAlign w:val="superscript"/>
        </w:rPr>
        <w:footnoteReference w:id="321"/>
      </w:r>
    </w:p>
    <w:p w:rsidR="00083CE6" w:rsidRDefault="00083CE6" w:rsidP="00083CE6">
      <w:pPr>
        <w:pStyle w:val="Default"/>
        <w:widowControl w:val="0"/>
        <w:spacing w:after="120"/>
        <w:jc w:val="both"/>
        <w:rPr>
          <w:rFonts w:eastAsia="Arial Unicode MS"/>
          <w:bdr w:val="nil"/>
        </w:rPr>
      </w:pPr>
      <w:r w:rsidRPr="00EC4FA4">
        <w:rPr>
          <w:rFonts w:eastAsia="Arial Unicode MS"/>
          <w:bdr w:val="nil"/>
        </w:rPr>
        <w:t>The current level of TDM in the EU is difficult to quantify</w:t>
      </w:r>
      <w:r>
        <w:rPr>
          <w:rFonts w:eastAsia="Arial Unicode MS"/>
          <w:bdr w:val="nil"/>
        </w:rPr>
        <w:t>.</w:t>
      </w:r>
      <w:r w:rsidRPr="00EC4FA4">
        <w:rPr>
          <w:rFonts w:eastAsia="Arial Unicode MS"/>
          <w:bdr w:val="nil"/>
          <w:vertAlign w:val="superscript"/>
        </w:rPr>
        <w:footnoteReference w:id="322"/>
      </w:r>
      <w:r w:rsidRPr="00EC4FA4">
        <w:rPr>
          <w:rFonts w:eastAsia="Arial Unicode MS"/>
          <w:bdr w:val="nil"/>
        </w:rPr>
        <w:t xml:space="preserve"> </w:t>
      </w:r>
      <w:r>
        <w:rPr>
          <w:rFonts w:eastAsia="Arial Unicode MS"/>
          <w:bdr w:val="nil"/>
        </w:rPr>
        <w:t>Attempts have been made by some studies</w:t>
      </w:r>
      <w:r w:rsidRPr="00EC4FA4">
        <w:rPr>
          <w:rFonts w:eastAsia="Arial Unicode MS"/>
          <w:bdr w:val="nil"/>
        </w:rPr>
        <w:t xml:space="preserve"> on the basis of proxies</w:t>
      </w:r>
      <w:r>
        <w:rPr>
          <w:rFonts w:eastAsia="Arial Unicode MS"/>
          <w:bdr w:val="nil"/>
        </w:rPr>
        <w:t>,</w:t>
      </w:r>
      <w:r>
        <w:rPr>
          <w:rStyle w:val="FootnoteReference"/>
          <w:rFonts w:eastAsia="Arial Unicode MS"/>
          <w:bdr w:val="nil"/>
        </w:rPr>
        <w:footnoteReference w:id="323"/>
      </w:r>
      <w:r>
        <w:rPr>
          <w:rFonts w:eastAsia="Arial Unicode MS"/>
          <w:bdr w:val="nil"/>
        </w:rPr>
        <w:t xml:space="preserve">in particular </w:t>
      </w:r>
      <w:r w:rsidRPr="00EC4FA4">
        <w:rPr>
          <w:rFonts w:eastAsia="Arial Unicode MS"/>
          <w:bdr w:val="nil"/>
        </w:rPr>
        <w:t xml:space="preserve">the number of </w:t>
      </w:r>
      <w:r>
        <w:rPr>
          <w:rFonts w:eastAsia="Arial Unicode MS"/>
          <w:bdr w:val="nil"/>
        </w:rPr>
        <w:t xml:space="preserve">journals </w:t>
      </w:r>
      <w:r w:rsidRPr="00EC4FA4">
        <w:rPr>
          <w:rFonts w:eastAsia="Arial Unicode MS"/>
          <w:bdr w:val="nil"/>
        </w:rPr>
        <w:t>publications on TDM</w:t>
      </w:r>
      <w:r>
        <w:rPr>
          <w:rFonts w:eastAsia="Arial Unicode MS"/>
          <w:bdr w:val="nil"/>
        </w:rPr>
        <w:t xml:space="preserve"> which suggest a slow but constant increase </w:t>
      </w:r>
      <w:r w:rsidRPr="00C32C45">
        <w:rPr>
          <w:rFonts w:eastAsia="Arial Unicode MS"/>
          <w:bdr w:val="nil"/>
        </w:rPr>
        <w:t>over the years (around 10</w:t>
      </w:r>
      <w:r w:rsidR="00DA4A18">
        <w:rPr>
          <w:rFonts w:eastAsia="Arial Unicode MS"/>
          <w:bdr w:val="nil"/>
        </w:rPr>
        <w:t xml:space="preserve"> </w:t>
      </w:r>
      <w:r w:rsidRPr="00C32C45">
        <w:rPr>
          <w:rFonts w:eastAsia="Arial Unicode MS"/>
          <w:bdr w:val="nil"/>
        </w:rPr>
        <w:t>% per annum worldwide in 2010-2014 and similar trends in EU MS)</w:t>
      </w:r>
      <w:r w:rsidRPr="00C32C45">
        <w:rPr>
          <w:rStyle w:val="FootnoteReference"/>
          <w:rFonts w:eastAsia="Arial Unicode MS"/>
          <w:bdr w:val="nil"/>
        </w:rPr>
        <w:footnoteReference w:id="324"/>
      </w:r>
      <w:r w:rsidRPr="00C32C45">
        <w:rPr>
          <w:rFonts w:eastAsia="Arial Unicode MS"/>
          <w:bdr w:val="nil"/>
        </w:rPr>
        <w:t xml:space="preserve"> with the EU MS covering 28,2</w:t>
      </w:r>
      <w:r w:rsidR="00DB359F">
        <w:rPr>
          <w:rFonts w:eastAsia="Arial Unicode MS"/>
          <w:bdr w:val="nil"/>
        </w:rPr>
        <w:t xml:space="preserve"> </w:t>
      </w:r>
      <w:r w:rsidRPr="00C32C45">
        <w:rPr>
          <w:rFonts w:eastAsia="Arial Unicode MS"/>
          <w:bdr w:val="nil"/>
        </w:rPr>
        <w:t>% of worldwide publications on TDM, Asia 32,4</w:t>
      </w:r>
      <w:r w:rsidR="00DB359F">
        <w:rPr>
          <w:rFonts w:eastAsia="Arial Unicode MS"/>
          <w:bdr w:val="nil"/>
        </w:rPr>
        <w:t xml:space="preserve"> </w:t>
      </w:r>
      <w:r w:rsidRPr="00C32C45">
        <w:rPr>
          <w:rFonts w:eastAsia="Arial Unicode MS"/>
          <w:bdr w:val="nil"/>
        </w:rPr>
        <w:t>% and Northern America 20,9</w:t>
      </w:r>
      <w:r w:rsidR="00DB359F">
        <w:rPr>
          <w:rFonts w:eastAsia="Arial Unicode MS"/>
          <w:bdr w:val="nil"/>
        </w:rPr>
        <w:t xml:space="preserve"> </w:t>
      </w:r>
      <w:r w:rsidRPr="00C32C45">
        <w:rPr>
          <w:rFonts w:eastAsia="Arial Unicode MS"/>
          <w:bdr w:val="nil"/>
        </w:rPr>
        <w:t>%</w:t>
      </w:r>
      <w:r>
        <w:rPr>
          <w:rFonts w:eastAsia="Arial Unicode MS"/>
          <w:bdr w:val="nil"/>
        </w:rPr>
        <w:t>.</w:t>
      </w:r>
      <w:r w:rsidRPr="00C32C45">
        <w:rPr>
          <w:rStyle w:val="FootnoteReference"/>
          <w:rFonts w:eastAsia="Arial Unicode MS"/>
          <w:bdr w:val="nil"/>
        </w:rPr>
        <w:footnoteReference w:id="325"/>
      </w:r>
      <w:r w:rsidRPr="00C32C45">
        <w:rPr>
          <w:rFonts w:eastAsia="Arial Unicode MS"/>
          <w:bdr w:val="nil"/>
        </w:rPr>
        <w:t xml:space="preserve"> </w:t>
      </w:r>
      <w:r>
        <w:rPr>
          <w:rFonts w:eastAsia="Arial Unicode MS"/>
          <w:bdr w:val="nil"/>
        </w:rPr>
        <w:t>A</w:t>
      </w:r>
      <w:r w:rsidRPr="00EC4FA4">
        <w:rPr>
          <w:rFonts w:eastAsia="Arial Unicode MS"/>
          <w:bdr w:val="nil"/>
        </w:rPr>
        <w:t xml:space="preserve">ll stakeholders generally agree that </w:t>
      </w:r>
      <w:r>
        <w:rPr>
          <w:rFonts w:eastAsia="Arial Unicode MS"/>
          <w:bdr w:val="nil"/>
        </w:rPr>
        <w:t xml:space="preserve">TDM </w:t>
      </w:r>
      <w:r w:rsidRPr="00EC4FA4">
        <w:rPr>
          <w:rFonts w:eastAsia="Arial Unicode MS"/>
          <w:bdr w:val="nil"/>
        </w:rPr>
        <w:t>is still a nascent tool</w:t>
      </w:r>
      <w:r>
        <w:rPr>
          <w:rFonts w:eastAsia="Arial Unicode MS"/>
          <w:bdr w:val="nil"/>
        </w:rPr>
        <w:t xml:space="preserve">, in particular in the non-business sector, i.e. for research carried out by organisations such as universities or research institutes (generally referred in this IA as "public interest research organisations"). Researchers are generally convinced of the potential of TDM but they put forward legal uncertainty, caused by the current copyright rules, </w:t>
      </w:r>
      <w:r w:rsidRPr="00EC4FA4">
        <w:rPr>
          <w:rFonts w:eastAsia="Arial Unicode MS"/>
          <w:bdr w:val="nil"/>
        </w:rPr>
        <w:t>as one of the reasons for the slow development of TDM</w:t>
      </w:r>
      <w:r>
        <w:rPr>
          <w:rFonts w:eastAsia="Arial Unicode MS"/>
          <w:bdr w:val="nil"/>
        </w:rPr>
        <w:t xml:space="preserve"> in the EU (in addition to aspects unrelated to copyright, such as lack of awareness and skills, infrastructural challenges, etc.).</w:t>
      </w:r>
      <w:r w:rsidRPr="00EC4FA4">
        <w:rPr>
          <w:rFonts w:eastAsia="Arial Unicode MS"/>
          <w:bdr w:val="nil"/>
        </w:rPr>
        <w:t xml:space="preserve"> </w:t>
      </w:r>
      <w:r>
        <w:rPr>
          <w:rFonts w:eastAsia="Arial Unicode MS"/>
          <w:bdr w:val="nil"/>
        </w:rPr>
        <w:t>A recent survey reported that less than 20</w:t>
      </w:r>
      <w:r w:rsidR="00DA4A18">
        <w:rPr>
          <w:rFonts w:eastAsia="Arial Unicode MS"/>
          <w:bdr w:val="nil"/>
        </w:rPr>
        <w:t xml:space="preserve"> </w:t>
      </w:r>
      <w:r>
        <w:rPr>
          <w:rFonts w:eastAsia="Arial Unicode MS"/>
          <w:bdr w:val="nil"/>
        </w:rPr>
        <w:t>% of researchers had used TDM techniques to analyse journal literature in a sample of EU MS (24</w:t>
      </w:r>
      <w:r w:rsidR="00DA4A18">
        <w:rPr>
          <w:rFonts w:eastAsia="Arial Unicode MS"/>
          <w:bdr w:val="nil"/>
        </w:rPr>
        <w:t xml:space="preserve"> </w:t>
      </w:r>
      <w:r>
        <w:rPr>
          <w:rFonts w:eastAsia="Arial Unicode MS"/>
          <w:bdr w:val="nil"/>
        </w:rPr>
        <w:t>% worldwide).</w:t>
      </w:r>
      <w:r>
        <w:rPr>
          <w:rStyle w:val="FootnoteReference"/>
          <w:rFonts w:eastAsia="Arial Unicode MS"/>
          <w:bdr w:val="nil"/>
        </w:rPr>
        <w:footnoteReference w:id="326"/>
      </w:r>
      <w:r>
        <w:rPr>
          <w:rFonts w:eastAsia="Arial Unicode MS"/>
          <w:bdr w:val="nil"/>
        </w:rPr>
        <w:t xml:space="preserve"> </w:t>
      </w:r>
      <w:r w:rsidR="00007677">
        <w:rPr>
          <w:rFonts w:eastAsia="Arial Unicode MS"/>
          <w:bdr w:val="nil"/>
        </w:rPr>
        <w:t>Rightholders</w:t>
      </w:r>
      <w:r w:rsidRPr="00390160">
        <w:rPr>
          <w:rFonts w:eastAsia="Arial Unicode MS"/>
          <w:bdr w:val="nil"/>
        </w:rPr>
        <w:t xml:space="preserve"> – notably scientific publishers - report from their side a relatively limited number of TDM requests from universities and </w:t>
      </w:r>
      <w:r>
        <w:rPr>
          <w:rFonts w:eastAsia="Arial Unicode MS"/>
          <w:bdr w:val="nil"/>
        </w:rPr>
        <w:t xml:space="preserve">other public interest </w:t>
      </w:r>
      <w:r w:rsidRPr="00390160">
        <w:rPr>
          <w:rFonts w:eastAsia="Arial Unicode MS"/>
          <w:bdr w:val="nil"/>
        </w:rPr>
        <w:t xml:space="preserve">research </w:t>
      </w:r>
      <w:r w:rsidRPr="00C32C45">
        <w:rPr>
          <w:rFonts w:eastAsia="Arial Unicode MS"/>
          <w:bdr w:val="nil"/>
        </w:rPr>
        <w:t>organisations</w:t>
      </w:r>
      <w:r w:rsidRPr="00BE5AD2">
        <w:rPr>
          <w:rFonts w:eastAsia="Arial Unicode MS"/>
          <w:bdr w:val="nil"/>
        </w:rPr>
        <w:t xml:space="preserve"> (</w:t>
      </w:r>
      <w:r w:rsidRPr="00390160">
        <w:rPr>
          <w:rFonts w:eastAsia="Arial Unicode MS"/>
          <w:bdr w:val="nil"/>
          <w:lang w:val="en-US"/>
        </w:rPr>
        <w:t>around 15</w:t>
      </w:r>
      <w:r w:rsidR="00DA4A18">
        <w:rPr>
          <w:rFonts w:eastAsia="Arial Unicode MS"/>
          <w:bdr w:val="nil"/>
          <w:lang w:val="en-US"/>
        </w:rPr>
        <w:t xml:space="preserve"> </w:t>
      </w:r>
      <w:r w:rsidRPr="00390160">
        <w:rPr>
          <w:rFonts w:eastAsia="Arial Unicode MS"/>
          <w:bdr w:val="nil"/>
          <w:lang w:val="en-US"/>
        </w:rPr>
        <w:t>% of publishers in the UK had received TDM requests in 2014 to mid-2015 according to one survey).</w:t>
      </w:r>
      <w:r w:rsidRPr="00BE5AD2">
        <w:rPr>
          <w:rFonts w:eastAsia="Arial Unicode MS"/>
          <w:bdr w:val="nil"/>
          <w:vertAlign w:val="superscript"/>
          <w:lang w:val="en-US"/>
        </w:rPr>
        <w:footnoteReference w:id="327"/>
      </w:r>
      <w:r w:rsidRPr="00D1507D">
        <w:rPr>
          <w:bdr w:val="nil"/>
        </w:rPr>
        <w:t xml:space="preserve"> </w:t>
      </w:r>
    </w:p>
    <w:p w:rsidR="00083CE6" w:rsidRPr="00C32C45" w:rsidRDefault="00083CE6" w:rsidP="00083CE6">
      <w:pPr>
        <w:pStyle w:val="Default"/>
        <w:widowControl w:val="0"/>
        <w:spacing w:after="120"/>
        <w:jc w:val="both"/>
        <w:rPr>
          <w:rFonts w:eastAsia="Arial Unicode MS"/>
          <w:b/>
          <w:i/>
          <w:bdr w:val="nil"/>
        </w:rPr>
      </w:pPr>
      <w:r w:rsidRPr="00C32C45">
        <w:rPr>
          <w:szCs w:val="20"/>
          <w:u w:val="single"/>
          <w:lang w:eastAsia="en-GB"/>
        </w:rPr>
        <w:t>Drivers:</w:t>
      </w:r>
      <w:r>
        <w:rPr>
          <w:rFonts w:eastAsia="Arial Unicode MS"/>
          <w:b/>
          <w:bdr w:val="nil"/>
        </w:rPr>
        <w:t xml:space="preserve"> </w:t>
      </w:r>
      <w:r w:rsidRPr="00C32C45">
        <w:rPr>
          <w:rFonts w:eastAsia="Arial Unicode MS"/>
          <w:bdr w:val="nil"/>
        </w:rPr>
        <w:t>[</w:t>
      </w:r>
      <w:r w:rsidRPr="00C32C45">
        <w:rPr>
          <w:rFonts w:eastAsia="Arial Unicode MS"/>
          <w:i/>
          <w:bdr w:val="nil"/>
        </w:rPr>
        <w:t>Current research exceptions in EU law not fully adapted to TDM</w:t>
      </w:r>
      <w:r w:rsidRPr="00C32C45">
        <w:rPr>
          <w:rFonts w:eastAsia="Arial Unicode MS"/>
          <w:bdr w:val="nil"/>
        </w:rPr>
        <w:t>]</w:t>
      </w:r>
      <w:r w:rsidRPr="00C32C45">
        <w:rPr>
          <w:rFonts w:eastAsia="Arial Unicode MS"/>
          <w:i/>
          <w:bdr w:val="nil"/>
        </w:rPr>
        <w:t xml:space="preserve"> </w:t>
      </w:r>
      <w:r>
        <w:rPr>
          <w:rFonts w:eastAsia="Arial Unicode MS"/>
          <w:bdr w:val="nil"/>
        </w:rPr>
        <w:t>Together with the above mentioned non-copyright related drivers, which are not addressed in this IA, copyright issues contribute to the slow development of TDM in EU research.</w:t>
      </w:r>
      <w:r w:rsidRPr="00D1507D">
        <w:rPr>
          <w:bdr w:val="nil"/>
        </w:rPr>
        <w:t xml:space="preserve"> </w:t>
      </w:r>
      <w:r w:rsidRPr="00EC4FA4">
        <w:rPr>
          <w:rFonts w:eastAsia="Arial Unicode MS"/>
          <w:bdr w:val="nil"/>
        </w:rPr>
        <w:t xml:space="preserve">Copyright is relevant in this context as TDM </w:t>
      </w:r>
      <w:r>
        <w:rPr>
          <w:rFonts w:eastAsia="Arial Unicode MS"/>
          <w:bdr w:val="nil"/>
        </w:rPr>
        <w:t>may</w:t>
      </w:r>
      <w:r w:rsidRPr="00EC4FA4">
        <w:rPr>
          <w:rFonts w:eastAsia="Arial Unicode MS"/>
          <w:bdr w:val="nil"/>
        </w:rPr>
        <w:t xml:space="preserve"> often involve copying (e</w:t>
      </w:r>
      <w:r>
        <w:rPr>
          <w:rFonts w:eastAsia="Arial Unicode MS"/>
          <w:bdr w:val="nil"/>
        </w:rPr>
        <w:t>.</w:t>
      </w:r>
      <w:r w:rsidRPr="00EC4FA4">
        <w:rPr>
          <w:rFonts w:eastAsia="Arial Unicode MS"/>
          <w:bdr w:val="nil"/>
        </w:rPr>
        <w:t xml:space="preserve">g. downloading) of the content to be analysed, which </w:t>
      </w:r>
      <w:r>
        <w:rPr>
          <w:rFonts w:eastAsia="Arial Unicode MS"/>
          <w:bdr w:val="nil"/>
        </w:rPr>
        <w:t>can be</w:t>
      </w:r>
      <w:r w:rsidRPr="00EC4FA4">
        <w:rPr>
          <w:rFonts w:eastAsia="Arial Unicode MS"/>
          <w:bdr w:val="nil"/>
        </w:rPr>
        <w:t xml:space="preserve"> protected by </w:t>
      </w:r>
      <w:r>
        <w:rPr>
          <w:rFonts w:eastAsia="Arial Unicode MS"/>
          <w:bdr w:val="nil"/>
        </w:rPr>
        <w:t xml:space="preserve">the </w:t>
      </w:r>
      <w:r w:rsidRPr="00EC4FA4">
        <w:rPr>
          <w:rFonts w:eastAsia="Arial Unicode MS"/>
          <w:bdr w:val="nil"/>
        </w:rPr>
        <w:t>"right of reproduction" under copyright law.</w:t>
      </w:r>
      <w:r w:rsidRPr="00EC4FA4">
        <w:rPr>
          <w:rFonts w:eastAsia="Arial Unicode MS"/>
          <w:bdr w:val="nil"/>
          <w:vertAlign w:val="superscript"/>
        </w:rPr>
        <w:footnoteReference w:id="328"/>
      </w:r>
      <w:r w:rsidRPr="00EC4FA4">
        <w:rPr>
          <w:rFonts w:eastAsia="Arial Unicode MS"/>
          <w:bdr w:val="nil"/>
        </w:rPr>
        <w:t xml:space="preserve"> The current EU copyright rules lay down exceptions permitting the use of content for the purposes of non-commercial scientific research.</w:t>
      </w:r>
      <w:r w:rsidRPr="00EC4FA4">
        <w:rPr>
          <w:rFonts w:eastAsia="Arial Unicode MS"/>
          <w:bdr w:val="nil"/>
          <w:vertAlign w:val="superscript"/>
        </w:rPr>
        <w:footnoteReference w:id="329"/>
      </w:r>
      <w:r w:rsidRPr="00EC4FA4">
        <w:rPr>
          <w:rFonts w:eastAsia="Arial Unicode MS"/>
          <w:bdr w:val="nil"/>
        </w:rPr>
        <w:t xml:space="preserve"> However, a considerable </w:t>
      </w:r>
      <w:r>
        <w:rPr>
          <w:rFonts w:eastAsia="Arial Unicode MS"/>
          <w:bdr w:val="nil"/>
        </w:rPr>
        <w:t xml:space="preserve">level of </w:t>
      </w:r>
      <w:r w:rsidRPr="00EC4FA4">
        <w:rPr>
          <w:rFonts w:eastAsia="Arial Unicode MS"/>
          <w:bdr w:val="nil"/>
        </w:rPr>
        <w:t xml:space="preserve">legal uncertainty exists in practice. </w:t>
      </w:r>
      <w:r w:rsidRPr="00123CFF">
        <w:rPr>
          <w:rFonts w:eastAsia="Arial Unicode MS"/>
          <w:bdr w:val="nil"/>
        </w:rPr>
        <w:t xml:space="preserve">Research organisations do not always know whether TDM is copyright-relevant at all, whether it may be covered by an exception or whether a specific </w:t>
      </w:r>
      <w:r w:rsidR="00687496">
        <w:rPr>
          <w:rFonts w:eastAsia="Arial Unicode MS"/>
          <w:bdr w:val="nil"/>
        </w:rPr>
        <w:t>r</w:t>
      </w:r>
      <w:r w:rsidR="00007677">
        <w:rPr>
          <w:rFonts w:eastAsia="Arial Unicode MS"/>
          <w:bdr w:val="nil"/>
        </w:rPr>
        <w:t>ightholders</w:t>
      </w:r>
      <w:r w:rsidRPr="00123CFF">
        <w:rPr>
          <w:rFonts w:eastAsia="Arial Unicode MS"/>
          <w:bdr w:val="nil"/>
        </w:rPr>
        <w:t>' authorisation is required.</w:t>
      </w:r>
      <w:r w:rsidRPr="00EC4FA4">
        <w:rPr>
          <w:rFonts w:eastAsia="Arial Unicode MS"/>
          <w:bdr w:val="nil"/>
        </w:rPr>
        <w:t xml:space="preserve"> </w:t>
      </w:r>
    </w:p>
    <w:p w:rsidR="00083CE6" w:rsidRPr="00EC4FA4" w:rsidRDefault="00083CE6" w:rsidP="00083CE6">
      <w:pPr>
        <w:pStyle w:val="Default"/>
        <w:widowControl w:val="0"/>
        <w:spacing w:after="120"/>
        <w:jc w:val="both"/>
        <w:rPr>
          <w:rFonts w:eastAsia="Arial Unicode MS"/>
          <w:bdr w:val="nil"/>
        </w:rPr>
      </w:pPr>
      <w:r>
        <w:rPr>
          <w:rFonts w:eastAsia="Arial Unicode MS"/>
          <w:bdr w:val="nil"/>
        </w:rPr>
        <w:t>[</w:t>
      </w:r>
      <w:r w:rsidRPr="00C32C45">
        <w:rPr>
          <w:rFonts w:eastAsia="Arial Unicode MS"/>
          <w:i/>
          <w:bdr w:val="nil"/>
        </w:rPr>
        <w:t xml:space="preserve">Diversity of </w:t>
      </w:r>
      <w:r w:rsidR="006D21E9">
        <w:rPr>
          <w:rFonts w:eastAsia="Arial Unicode MS"/>
          <w:i/>
          <w:bdr w:val="nil"/>
        </w:rPr>
        <w:t>licensing</w:t>
      </w:r>
      <w:r w:rsidRPr="00C32C45">
        <w:rPr>
          <w:rFonts w:eastAsia="Arial Unicode MS"/>
          <w:i/>
          <w:bdr w:val="nil"/>
        </w:rPr>
        <w:t xml:space="preserve"> practices generating transaction costs</w:t>
      </w:r>
      <w:r>
        <w:rPr>
          <w:rFonts w:eastAsia="Arial Unicode MS"/>
          <w:bdr w:val="nil"/>
        </w:rPr>
        <w:t xml:space="preserve">]: </w:t>
      </w:r>
      <w:r w:rsidRPr="00EC4FA4">
        <w:rPr>
          <w:rFonts w:eastAsia="Arial Unicode MS"/>
          <w:bdr w:val="nil"/>
        </w:rPr>
        <w:t xml:space="preserve">Researchers consider this situation to be particularly problematic as regards protected content to which they already have lawful access to on the basis of a subscription purchased by their library or institution. </w:t>
      </w:r>
      <w:r>
        <w:rPr>
          <w:rFonts w:eastAsia="Arial Unicode MS"/>
          <w:bdr w:val="nil"/>
        </w:rPr>
        <w:t>S</w:t>
      </w:r>
      <w:r w:rsidRPr="00EC4FA4">
        <w:rPr>
          <w:rFonts w:eastAsia="Arial Unicode MS"/>
          <w:bdr w:val="nil"/>
        </w:rPr>
        <w:t xml:space="preserve">ubscriptions to scientific publications may currently include </w:t>
      </w:r>
      <w:r>
        <w:rPr>
          <w:rFonts w:eastAsia="Arial Unicode MS"/>
          <w:bdr w:val="nil"/>
        </w:rPr>
        <w:t xml:space="preserve">or not </w:t>
      </w:r>
      <w:r w:rsidRPr="00EC4FA4">
        <w:rPr>
          <w:rFonts w:eastAsia="Arial Unicode MS"/>
          <w:bdr w:val="nil"/>
        </w:rPr>
        <w:t xml:space="preserve">the authorisation to </w:t>
      </w:r>
      <w:r>
        <w:rPr>
          <w:rFonts w:eastAsia="Arial Unicode MS"/>
          <w:bdr w:val="nil"/>
        </w:rPr>
        <w:t>perform</w:t>
      </w:r>
      <w:r w:rsidRPr="00EC4FA4">
        <w:rPr>
          <w:rFonts w:eastAsia="Arial Unicode MS"/>
          <w:bdr w:val="nil"/>
        </w:rPr>
        <w:t xml:space="preserve"> TDM, prohibit it altogether, or </w:t>
      </w:r>
      <w:r>
        <w:rPr>
          <w:rFonts w:eastAsia="Arial Unicode MS"/>
          <w:bdr w:val="nil"/>
        </w:rPr>
        <w:t>leave it un</w:t>
      </w:r>
      <w:r w:rsidRPr="00EC4FA4">
        <w:rPr>
          <w:rFonts w:eastAsia="Arial Unicode MS"/>
          <w:bdr w:val="nil"/>
        </w:rPr>
        <w:t>clear.</w:t>
      </w:r>
      <w:r w:rsidRPr="00EC4FA4">
        <w:rPr>
          <w:rFonts w:eastAsia="Arial Unicode MS"/>
          <w:kern w:val="3"/>
          <w:bdr w:val="nil"/>
          <w:lang w:eastAsia="en-GB"/>
        </w:rPr>
        <w:t xml:space="preserve"> </w:t>
      </w:r>
      <w:r>
        <w:rPr>
          <w:rFonts w:eastAsia="Arial Unicode MS"/>
          <w:kern w:val="3"/>
          <w:bdr w:val="nil"/>
          <w:lang w:eastAsia="en-GB"/>
        </w:rPr>
        <w:t>As a result of the commitments taken in the 2013 "Licences for Europe" dialogu</w:t>
      </w:r>
      <w:r w:rsidRPr="00E74375">
        <w:rPr>
          <w:rFonts w:eastAsia="Arial Unicode MS"/>
          <w:kern w:val="3"/>
          <w:bdr w:val="nil"/>
          <w:lang w:eastAsia="en-GB"/>
        </w:rPr>
        <w:t>e</w:t>
      </w:r>
      <w:r w:rsidRPr="00AD57F7">
        <w:rPr>
          <w:rStyle w:val="FootnoteReference"/>
          <w:rFonts w:eastAsia="Arial Unicode MS"/>
          <w:kern w:val="3"/>
          <w:bdr w:val="nil"/>
          <w:lang w:eastAsia="en-GB"/>
        </w:rPr>
        <w:footnoteReference w:id="330"/>
      </w:r>
      <w:r w:rsidRPr="00D1507D">
        <w:rPr>
          <w:kern w:val="3"/>
          <w:bdr w:val="nil"/>
        </w:rPr>
        <w:t xml:space="preserve"> </w:t>
      </w:r>
      <w:r w:rsidRPr="00AD57F7">
        <w:rPr>
          <w:rFonts w:eastAsia="Arial Unicode MS"/>
          <w:bdr w:val="nil"/>
        </w:rPr>
        <w:t>STM publishers have gradually started to include TDM for non-commercial purposes in their subscription licen</w:t>
      </w:r>
      <w:r w:rsidR="006D21E9">
        <w:rPr>
          <w:rFonts w:eastAsia="Arial Unicode MS"/>
          <w:bdr w:val="nil"/>
        </w:rPr>
        <w:t>c</w:t>
      </w:r>
      <w:r w:rsidRPr="00AD57F7">
        <w:rPr>
          <w:rFonts w:eastAsia="Arial Unicode MS"/>
          <w:bdr w:val="nil"/>
        </w:rPr>
        <w:t>es for academic institutions and to develop common infrastructures to facilitate access to the content to be mined (notably in the framework of the "Cross Ref" mining service – See Annex 11B).</w:t>
      </w:r>
      <w:r w:rsidRPr="00AD57F7">
        <w:rPr>
          <w:rStyle w:val="FootnoteReference"/>
          <w:rFonts w:eastAsia="Arial Unicode MS"/>
          <w:bdr w:val="nil"/>
        </w:rPr>
        <w:footnoteReference w:id="331"/>
      </w:r>
      <w:r w:rsidRPr="00AD57F7">
        <w:rPr>
          <w:rFonts w:eastAsia="Arial Unicode MS"/>
          <w:bdr w:val="nil"/>
        </w:rPr>
        <w:t xml:space="preserve"> However, researchers have generally not received favourably these developments (their representatives left "Licences for Europe" considering that only legislative changes, as opposed to a voluntary approach, would allow to fully address their problems) and generally point out that making TDM subject to specific authorisation in addition to the subscription risk to always make them subject, at least potentially, to different conditions and policies of different publishers, something which they see as particularly problematic in view of the large scale of material which has to be mined in the context of scientific research.</w:t>
      </w:r>
      <w:r w:rsidRPr="00AD57F7">
        <w:rPr>
          <w:rStyle w:val="FootnoteReference"/>
          <w:rFonts w:eastAsia="Arial Unicode MS"/>
          <w:bdr w:val="nil"/>
        </w:rPr>
        <w:footnoteReference w:id="332"/>
      </w:r>
      <w:r w:rsidRPr="00A21E88">
        <w:rPr>
          <w:kern w:val="3"/>
        </w:rPr>
        <w:t xml:space="preserve"> These</w:t>
      </w:r>
      <w:r w:rsidRPr="00D1507D">
        <w:rPr>
          <w:kern w:val="3"/>
        </w:rPr>
        <w:t xml:space="preserve"> different conditions may </w:t>
      </w:r>
      <w:r w:rsidRPr="00A21E88">
        <w:rPr>
          <w:kern w:val="3"/>
        </w:rPr>
        <w:t xml:space="preserve">give rise to </w:t>
      </w:r>
      <w:r w:rsidRPr="00AD57F7">
        <w:rPr>
          <w:rFonts w:eastAsia="Arial Unicode MS"/>
          <w:bdr w:val="nil"/>
        </w:rPr>
        <w:t>transaction</w:t>
      </w:r>
      <w:r w:rsidRPr="00A21E88">
        <w:rPr>
          <w:rFonts w:eastAsia="Arial Unicode MS"/>
          <w:bdr w:val="nil"/>
        </w:rPr>
        <w:t xml:space="preserve"> costs for research</w:t>
      </w:r>
      <w:r>
        <w:rPr>
          <w:rFonts w:eastAsia="Arial Unicode MS"/>
          <w:bdr w:val="nil"/>
        </w:rPr>
        <w:t xml:space="preserve"> organisations having </w:t>
      </w:r>
      <w:r w:rsidRPr="00EC4FA4">
        <w:rPr>
          <w:rFonts w:eastAsia="Arial Unicode MS"/>
          <w:bdr w:val="nil"/>
        </w:rPr>
        <w:t xml:space="preserve">to clarify </w:t>
      </w:r>
      <w:r>
        <w:rPr>
          <w:rFonts w:eastAsia="Arial Unicode MS"/>
          <w:bdr w:val="nil"/>
        </w:rPr>
        <w:t xml:space="preserve">to </w:t>
      </w:r>
      <w:r w:rsidRPr="00EC4FA4">
        <w:rPr>
          <w:rFonts w:eastAsia="Arial Unicode MS"/>
          <w:bdr w:val="nil"/>
        </w:rPr>
        <w:t xml:space="preserve">what </w:t>
      </w:r>
      <w:r>
        <w:rPr>
          <w:rFonts w:eastAsia="Arial Unicode MS"/>
          <w:bdr w:val="nil"/>
        </w:rPr>
        <w:t xml:space="preserve">extent they are </w:t>
      </w:r>
      <w:r w:rsidRPr="00EC4FA4">
        <w:rPr>
          <w:rFonts w:eastAsia="Arial Unicode MS"/>
          <w:bdr w:val="nil"/>
        </w:rPr>
        <w:t xml:space="preserve">allowed </w:t>
      </w:r>
      <w:r>
        <w:rPr>
          <w:rFonts w:eastAsia="Arial Unicode MS"/>
          <w:bdr w:val="nil"/>
        </w:rPr>
        <w:t xml:space="preserve">to perform TDM on the basis of their subscriptions </w:t>
      </w:r>
      <w:r w:rsidRPr="00EC4FA4">
        <w:rPr>
          <w:rFonts w:eastAsia="Arial Unicode MS"/>
          <w:bdr w:val="nil"/>
        </w:rPr>
        <w:t xml:space="preserve">and possibly </w:t>
      </w:r>
      <w:r>
        <w:rPr>
          <w:rFonts w:eastAsia="Arial Unicode MS"/>
          <w:bdr w:val="nil"/>
        </w:rPr>
        <w:t xml:space="preserve">to </w:t>
      </w:r>
      <w:r w:rsidRPr="00EC4FA4">
        <w:rPr>
          <w:rFonts w:eastAsia="Arial Unicode MS"/>
          <w:bdr w:val="nil"/>
        </w:rPr>
        <w:t>renegotiate the</w:t>
      </w:r>
      <w:r>
        <w:rPr>
          <w:rFonts w:eastAsia="Arial Unicode MS"/>
          <w:bdr w:val="nil"/>
        </w:rPr>
        <w:t>m</w:t>
      </w:r>
      <w:r w:rsidRPr="00EC4FA4">
        <w:rPr>
          <w:rFonts w:eastAsia="Arial Unicode MS"/>
          <w:bdr w:val="nil"/>
        </w:rPr>
        <w:t xml:space="preserve"> to make sure they can do </w:t>
      </w:r>
      <w:r>
        <w:rPr>
          <w:rFonts w:eastAsia="Arial Unicode MS"/>
          <w:bdr w:val="nil"/>
        </w:rPr>
        <w:t>so in full legal certainty</w:t>
      </w:r>
      <w:r w:rsidRPr="00EC4FA4">
        <w:rPr>
          <w:rFonts w:eastAsia="Arial Unicode MS"/>
          <w:bdr w:val="nil"/>
        </w:rPr>
        <w:t xml:space="preserve">. In some cases, </w:t>
      </w:r>
      <w:r>
        <w:rPr>
          <w:rFonts w:eastAsia="Arial Unicode MS"/>
          <w:bdr w:val="nil"/>
        </w:rPr>
        <w:t xml:space="preserve">individual </w:t>
      </w:r>
      <w:r w:rsidRPr="00EC4FA4">
        <w:rPr>
          <w:rFonts w:eastAsia="Arial Unicode MS"/>
          <w:bdr w:val="nil"/>
        </w:rPr>
        <w:t>researchers may need to take up licences for TDM if their</w:t>
      </w:r>
      <w:r>
        <w:rPr>
          <w:rFonts w:eastAsia="Arial Unicode MS"/>
          <w:bdr w:val="nil"/>
        </w:rPr>
        <w:t xml:space="preserve"> organisation's</w:t>
      </w:r>
      <w:r w:rsidRPr="00EC4FA4">
        <w:rPr>
          <w:rFonts w:eastAsia="Arial Unicode MS"/>
          <w:bdr w:val="nil"/>
        </w:rPr>
        <w:t xml:space="preserve"> subscription</w:t>
      </w:r>
      <w:r>
        <w:rPr>
          <w:rFonts w:eastAsia="Arial Unicode MS"/>
          <w:bdr w:val="nil"/>
        </w:rPr>
        <w:t>s</w:t>
      </w:r>
      <w:r w:rsidRPr="00EC4FA4">
        <w:rPr>
          <w:rFonts w:eastAsia="Arial Unicode MS"/>
          <w:bdr w:val="nil"/>
        </w:rPr>
        <w:t xml:space="preserve"> do not cover it</w:t>
      </w:r>
      <w:r>
        <w:rPr>
          <w:rFonts w:eastAsia="Arial Unicode MS"/>
          <w:bdr w:val="nil"/>
        </w:rPr>
        <w:t>.</w:t>
      </w:r>
      <w:r w:rsidRPr="00EC4FA4">
        <w:rPr>
          <w:rFonts w:eastAsia="Arial Unicode MS"/>
          <w:bdr w:val="nil"/>
          <w:vertAlign w:val="superscript"/>
        </w:rPr>
        <w:footnoteReference w:id="333"/>
      </w:r>
      <w:r w:rsidRPr="00EC4FA4">
        <w:rPr>
          <w:rFonts w:eastAsia="Arial Unicode MS"/>
          <w:bdr w:val="nil"/>
        </w:rPr>
        <w:t xml:space="preserve"> </w:t>
      </w:r>
      <w:r>
        <w:rPr>
          <w:rFonts w:eastAsia="Arial Unicode MS"/>
          <w:bdr w:val="nil"/>
        </w:rPr>
        <w:t>Before the adoption of a TDM exception in the UK, a</w:t>
      </w:r>
      <w:r w:rsidRPr="00EC4FA4">
        <w:rPr>
          <w:rFonts w:eastAsia="Arial Unicode MS"/>
          <w:bdr w:val="nil"/>
        </w:rPr>
        <w:t xml:space="preserve"> large research university indicated that the costs for them to check the compliance of their TDM activities with the different applicable licences could amount to up to </w:t>
      </w:r>
      <w:r>
        <w:rPr>
          <w:rFonts w:eastAsia="Arial Unicode MS"/>
          <w:bdr w:val="nil"/>
        </w:rPr>
        <w:t xml:space="preserve">GBP </w:t>
      </w:r>
      <w:r w:rsidRPr="00EC4FA4">
        <w:rPr>
          <w:rFonts w:eastAsia="Arial Unicode MS"/>
          <w:bdr w:val="nil"/>
        </w:rPr>
        <w:t>500</w:t>
      </w:r>
      <w:r w:rsidR="0069442B">
        <w:rPr>
          <w:rFonts w:eastAsia="Arial Unicode MS"/>
          <w:bdr w:val="nil"/>
        </w:rPr>
        <w:t>,</w:t>
      </w:r>
      <w:r w:rsidRPr="00EC4FA4">
        <w:rPr>
          <w:rFonts w:eastAsia="Arial Unicode MS"/>
          <w:bdr w:val="nil"/>
        </w:rPr>
        <w:t>000 per year.</w:t>
      </w:r>
      <w:r w:rsidRPr="00EC4FA4">
        <w:rPr>
          <w:rFonts w:eastAsia="Arial Unicode MS"/>
          <w:bdr w:val="nil"/>
          <w:vertAlign w:val="superscript"/>
        </w:rPr>
        <w:footnoteReference w:id="334"/>
      </w:r>
      <w:r w:rsidRPr="00EC4FA4">
        <w:rPr>
          <w:rFonts w:eastAsia="Arial Unicode MS"/>
          <w:bdr w:val="nil"/>
        </w:rPr>
        <w:t xml:space="preserve"> </w:t>
      </w:r>
    </w:p>
    <w:p w:rsidR="00083CE6" w:rsidRPr="00EC4FA4" w:rsidRDefault="00083CE6" w:rsidP="00083CE6">
      <w:pPr>
        <w:pBdr>
          <w:top w:val="nil"/>
          <w:left w:val="nil"/>
          <w:bottom w:val="nil"/>
          <w:right w:val="nil"/>
          <w:between w:val="nil"/>
          <w:bar w:val="nil"/>
        </w:pBdr>
        <w:spacing w:after="12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w:t>
      </w:r>
      <w:r w:rsidRPr="00C32C45">
        <w:rPr>
          <w:rFonts w:ascii="Times New Roman" w:eastAsia="Arial Unicode MS" w:hAnsi="Times New Roman" w:cs="Times New Roman"/>
          <w:i/>
          <w:sz w:val="24"/>
          <w:szCs w:val="24"/>
          <w:bdr w:val="nil"/>
        </w:rPr>
        <w:t>Fragmentation of rules in the single market</w:t>
      </w:r>
      <w:r>
        <w:rPr>
          <w:rFonts w:ascii="Times New Roman" w:eastAsia="Arial Unicode MS" w:hAnsi="Times New Roman" w:cs="Times New Roman"/>
          <w:sz w:val="24"/>
          <w:szCs w:val="24"/>
          <w:bdr w:val="nil"/>
        </w:rPr>
        <w:t>]: F</w:t>
      </w:r>
      <w:r w:rsidRPr="00EC4FA4">
        <w:rPr>
          <w:rFonts w:ascii="Times New Roman" w:eastAsia="Arial Unicode MS" w:hAnsi="Times New Roman" w:cs="Times New Roman"/>
          <w:sz w:val="24"/>
          <w:szCs w:val="24"/>
          <w:bdr w:val="nil"/>
        </w:rPr>
        <w:t xml:space="preserve">ragmentation in the </w:t>
      </w:r>
      <w:r>
        <w:rPr>
          <w:rFonts w:ascii="Times New Roman" w:eastAsia="Arial Unicode MS" w:hAnsi="Times New Roman" w:cs="Times New Roman"/>
          <w:sz w:val="24"/>
          <w:szCs w:val="24"/>
          <w:bdr w:val="nil"/>
        </w:rPr>
        <w:t>s</w:t>
      </w:r>
      <w:r w:rsidRPr="00EC4FA4">
        <w:rPr>
          <w:rFonts w:ascii="Times New Roman" w:eastAsia="Arial Unicode MS" w:hAnsi="Times New Roman" w:cs="Times New Roman"/>
          <w:sz w:val="24"/>
          <w:szCs w:val="24"/>
          <w:bdr w:val="nil"/>
        </w:rPr>
        <w:t xml:space="preserve">ingle </w:t>
      </w:r>
      <w:r>
        <w:rPr>
          <w:rFonts w:ascii="Times New Roman" w:eastAsia="Arial Unicode MS" w:hAnsi="Times New Roman" w:cs="Times New Roman"/>
          <w:sz w:val="24"/>
          <w:szCs w:val="24"/>
          <w:bdr w:val="nil"/>
        </w:rPr>
        <w:t>m</w:t>
      </w:r>
      <w:r w:rsidRPr="00EC4FA4">
        <w:rPr>
          <w:rFonts w:ascii="Times New Roman" w:eastAsia="Arial Unicode MS" w:hAnsi="Times New Roman" w:cs="Times New Roman"/>
          <w:sz w:val="24"/>
          <w:szCs w:val="24"/>
          <w:bdr w:val="nil"/>
        </w:rPr>
        <w:t xml:space="preserve">arket is </w:t>
      </w:r>
      <w:r>
        <w:rPr>
          <w:rFonts w:ascii="Times New Roman" w:eastAsia="Arial Unicode MS" w:hAnsi="Times New Roman" w:cs="Times New Roman"/>
          <w:sz w:val="24"/>
          <w:szCs w:val="24"/>
          <w:bdr w:val="nil"/>
        </w:rPr>
        <w:t xml:space="preserve">also </w:t>
      </w:r>
      <w:r w:rsidRPr="00EC4FA4">
        <w:rPr>
          <w:rFonts w:ascii="Times New Roman" w:eastAsia="Arial Unicode MS" w:hAnsi="Times New Roman" w:cs="Times New Roman"/>
          <w:sz w:val="24"/>
          <w:szCs w:val="24"/>
          <w:bdr w:val="nil"/>
        </w:rPr>
        <w:t>an emerging problem as MS have started to adopt national TDM exceptions</w:t>
      </w:r>
      <w:r>
        <w:rPr>
          <w:rFonts w:ascii="Times New Roman" w:eastAsia="Arial Unicode MS" w:hAnsi="Times New Roman" w:cs="Times New Roman"/>
          <w:sz w:val="24"/>
          <w:szCs w:val="24"/>
          <w:bdr w:val="nil"/>
        </w:rPr>
        <w:t xml:space="preserve"> referring to</w:t>
      </w:r>
      <w:r w:rsidRPr="00EC4FA4">
        <w:rPr>
          <w:rFonts w:ascii="Times New Roman" w:eastAsia="Arial Unicode MS" w:hAnsi="Times New Roman" w:cs="Times New Roman"/>
          <w:sz w:val="24"/>
          <w:szCs w:val="24"/>
          <w:bdr w:val="nil"/>
        </w:rPr>
        <w:t xml:space="preserve"> the research exceptions in the current EU rules. The UK adopted a specific TDM exception in 2014</w:t>
      </w:r>
      <w:r w:rsidRPr="00EC4FA4">
        <w:rPr>
          <w:rFonts w:ascii="Times New Roman" w:eastAsia="Arial Unicode MS" w:hAnsi="Times New Roman" w:cs="Times New Roman"/>
          <w:sz w:val="24"/>
          <w:szCs w:val="24"/>
          <w:bdr w:val="nil"/>
          <w:vertAlign w:val="superscript"/>
        </w:rPr>
        <w:footnoteReference w:id="335"/>
      </w:r>
      <w:r w:rsidRPr="00EC4FA4">
        <w:rPr>
          <w:rFonts w:ascii="Times New Roman" w:eastAsia="Arial Unicode MS" w:hAnsi="Times New Roman" w:cs="Times New Roman"/>
          <w:sz w:val="24"/>
          <w:szCs w:val="24"/>
          <w:bdr w:val="nil"/>
        </w:rPr>
        <w:t xml:space="preserve"> and </w:t>
      </w:r>
      <w:r>
        <w:rPr>
          <w:rFonts w:ascii="Times New Roman" w:eastAsia="Arial Unicode MS" w:hAnsi="Times New Roman" w:cs="Times New Roman"/>
          <w:sz w:val="24"/>
          <w:szCs w:val="24"/>
          <w:bdr w:val="nil"/>
        </w:rPr>
        <w:t xml:space="preserve">some </w:t>
      </w:r>
      <w:r w:rsidRPr="00EC4FA4">
        <w:rPr>
          <w:rFonts w:ascii="Times New Roman" w:eastAsia="Arial Unicode MS" w:hAnsi="Times New Roman" w:cs="Times New Roman"/>
          <w:sz w:val="24"/>
          <w:szCs w:val="24"/>
          <w:bdr w:val="nil"/>
        </w:rPr>
        <w:t>other MS are currently discussing possible national solutions</w:t>
      </w:r>
      <w:r>
        <w:rPr>
          <w:rFonts w:ascii="Times New Roman" w:eastAsia="Arial Unicode MS" w:hAnsi="Times New Roman" w:cs="Times New Roman"/>
          <w:sz w:val="24"/>
          <w:szCs w:val="24"/>
          <w:bdr w:val="nil"/>
        </w:rPr>
        <w:t>.</w:t>
      </w:r>
      <w:r w:rsidRPr="00EC4FA4">
        <w:rPr>
          <w:rFonts w:ascii="Times New Roman" w:eastAsia="Arial Unicode MS" w:hAnsi="Times New Roman" w:cs="Times New Roman"/>
          <w:sz w:val="24"/>
          <w:szCs w:val="24"/>
          <w:bdr w:val="nil"/>
          <w:vertAlign w:val="superscript"/>
        </w:rPr>
        <w:footnoteReference w:id="336"/>
      </w:r>
      <w:r w:rsidRPr="00EC4FA4">
        <w:rPr>
          <w:rFonts w:ascii="Times New Roman" w:eastAsia="Arial Unicode MS" w:hAnsi="Times New Roman" w:cs="Times New Roman"/>
          <w:sz w:val="24"/>
          <w:szCs w:val="24"/>
          <w:bdr w:val="nil"/>
        </w:rPr>
        <w:t xml:space="preserve"> </w:t>
      </w:r>
    </w:p>
    <w:p w:rsidR="00083CE6" w:rsidRPr="00EC4FA4" w:rsidRDefault="00083CE6" w:rsidP="00083CE6">
      <w:pPr>
        <w:pStyle w:val="Default"/>
        <w:widowControl w:val="0"/>
        <w:spacing w:after="120"/>
        <w:jc w:val="both"/>
        <w:rPr>
          <w:rFonts w:eastAsia="Arial Unicode MS"/>
          <w:bdr w:val="nil"/>
        </w:rPr>
      </w:pPr>
      <w:r w:rsidRPr="00C32C45">
        <w:rPr>
          <w:rFonts w:eastAsia="Arial Unicode MS"/>
          <w:u w:val="single"/>
          <w:bdr w:val="nil"/>
        </w:rPr>
        <w:t>Consequences</w:t>
      </w:r>
      <w:r>
        <w:rPr>
          <w:rFonts w:eastAsia="Arial Unicode MS"/>
          <w:bdr w:val="nil"/>
        </w:rPr>
        <w:t xml:space="preserve">: </w:t>
      </w:r>
      <w:r w:rsidRPr="00EC4FA4">
        <w:rPr>
          <w:rFonts w:eastAsia="Arial Unicode MS"/>
          <w:bdr w:val="nil"/>
        </w:rPr>
        <w:t>The</w:t>
      </w:r>
      <w:r>
        <w:rPr>
          <w:rFonts w:eastAsia="Arial Unicode MS"/>
          <w:bdr w:val="nil"/>
        </w:rPr>
        <w:t xml:space="preserve"> above</w:t>
      </w:r>
      <w:r w:rsidRPr="00EC4FA4">
        <w:rPr>
          <w:rFonts w:eastAsia="Arial Unicode MS"/>
          <w:bdr w:val="nil"/>
        </w:rPr>
        <w:t xml:space="preserve"> factors together have led to a situation where in practice, whether a prior authorisation for TDM in addition to the authorisation to access the content is required or not depends on the factual circumstances of each case and on the copyright legal framework in the MS where the research activity takes place.</w:t>
      </w:r>
      <w:r>
        <w:rPr>
          <w:rFonts w:eastAsia="Arial Unicode MS"/>
          <w:bdr w:val="nil"/>
        </w:rPr>
        <w:t xml:space="preserve"> Together with other non-copyright related issues such as skills, technology and infrastructure which also play a significant role, </w:t>
      </w:r>
      <w:r w:rsidR="001620B3">
        <w:rPr>
          <w:rFonts w:eastAsia="Arial Unicode MS"/>
          <w:bdr w:val="nil"/>
        </w:rPr>
        <w:t xml:space="preserve">lack of certainty in the current </w:t>
      </w:r>
      <w:r>
        <w:rPr>
          <w:rFonts w:eastAsia="Arial Unicode MS"/>
          <w:bdr w:val="nil"/>
        </w:rPr>
        <w:t xml:space="preserve">copyright </w:t>
      </w:r>
      <w:r w:rsidR="001620B3">
        <w:rPr>
          <w:rFonts w:eastAsia="Arial Unicode MS"/>
          <w:bdr w:val="nil"/>
        </w:rPr>
        <w:t xml:space="preserve">framework </w:t>
      </w:r>
      <w:r>
        <w:rPr>
          <w:rFonts w:eastAsia="Arial Unicode MS"/>
          <w:bdr w:val="nil"/>
        </w:rPr>
        <w:t>contribute</w:t>
      </w:r>
      <w:r w:rsidR="001620B3">
        <w:rPr>
          <w:rFonts w:eastAsia="Arial Unicode MS"/>
          <w:bdr w:val="nil"/>
        </w:rPr>
        <w:t>s</w:t>
      </w:r>
      <w:r>
        <w:rPr>
          <w:rFonts w:eastAsia="Arial Unicode MS"/>
          <w:bdr w:val="nil"/>
        </w:rPr>
        <w:t xml:space="preserve"> to the current situation of slow development of TDM in European research.  </w:t>
      </w:r>
    </w:p>
    <w:p w:rsidR="00083CE6" w:rsidRDefault="00083CE6" w:rsidP="00083CE6">
      <w:pPr>
        <w:pStyle w:val="Default"/>
        <w:widowControl w:val="0"/>
        <w:spacing w:after="120"/>
        <w:jc w:val="both"/>
        <w:rPr>
          <w:rFonts w:eastAsia="Arial Unicode MS"/>
          <w:bdr w:val="nil"/>
        </w:rPr>
      </w:pPr>
      <w:r>
        <w:rPr>
          <w:szCs w:val="20"/>
          <w:u w:val="single"/>
          <w:lang w:eastAsia="en-GB"/>
        </w:rPr>
        <w:t>How the</w:t>
      </w:r>
      <w:r w:rsidRPr="007363A5">
        <w:rPr>
          <w:szCs w:val="20"/>
          <w:u w:val="single"/>
          <w:lang w:eastAsia="en-GB"/>
        </w:rPr>
        <w:t xml:space="preserve"> problem</w:t>
      </w:r>
      <w:r>
        <w:rPr>
          <w:szCs w:val="20"/>
          <w:u w:val="single"/>
          <w:lang w:eastAsia="en-GB"/>
        </w:rPr>
        <w:t xml:space="preserve"> would evolve</w:t>
      </w:r>
      <w:r>
        <w:rPr>
          <w:rFonts w:eastAsia="Arial Unicode MS"/>
          <w:bdr w:val="nil"/>
        </w:rPr>
        <w:t xml:space="preserve">: </w:t>
      </w:r>
      <w:r w:rsidRPr="00EC4FA4">
        <w:rPr>
          <w:rFonts w:eastAsia="Arial Unicode MS"/>
          <w:bdr w:val="nil"/>
        </w:rPr>
        <w:t xml:space="preserve">TDM is likely to become an </w:t>
      </w:r>
      <w:r>
        <w:rPr>
          <w:rFonts w:eastAsia="Arial Unicode MS"/>
          <w:bdr w:val="nil"/>
        </w:rPr>
        <w:t xml:space="preserve">increasingly </w:t>
      </w:r>
      <w:r w:rsidRPr="00EC4FA4">
        <w:rPr>
          <w:rFonts w:eastAsia="Arial Unicode MS"/>
          <w:bdr w:val="nil"/>
        </w:rPr>
        <w:t>important research tool over time, as technology improves and becomes more widespread</w:t>
      </w:r>
      <w:r>
        <w:rPr>
          <w:rFonts w:eastAsia="Arial Unicode MS"/>
          <w:bdr w:val="nil"/>
        </w:rPr>
        <w:t>, researchers acquire new skills</w:t>
      </w:r>
      <w:r w:rsidRPr="00EC4FA4">
        <w:rPr>
          <w:rFonts w:eastAsia="Arial Unicode MS"/>
          <w:bdr w:val="nil"/>
        </w:rPr>
        <w:t xml:space="preserve"> and digital research sources increase. </w:t>
      </w:r>
      <w:r>
        <w:rPr>
          <w:rFonts w:eastAsia="Arial Unicode MS"/>
          <w:bdr w:val="nil"/>
        </w:rPr>
        <w:t>Almost</w:t>
      </w:r>
      <w:r w:rsidRPr="00EC4FA4">
        <w:rPr>
          <w:rFonts w:eastAsia="Arial Unicode MS"/>
          <w:bdr w:val="nil"/>
        </w:rPr>
        <w:t xml:space="preserve"> all scientific journals are </w:t>
      </w:r>
      <w:r>
        <w:rPr>
          <w:rFonts w:eastAsia="Arial Unicode MS"/>
          <w:bdr w:val="nil"/>
        </w:rPr>
        <w:t xml:space="preserve">already </w:t>
      </w:r>
      <w:r w:rsidRPr="00EC4FA4">
        <w:rPr>
          <w:rFonts w:eastAsia="Arial Unicode MS"/>
          <w:bdr w:val="nil"/>
        </w:rPr>
        <w:t>available online, and a total of around 2.5 million scientific articles are published every year.</w:t>
      </w:r>
      <w:r w:rsidRPr="00EC4FA4">
        <w:rPr>
          <w:rFonts w:eastAsia="Arial Unicode MS"/>
          <w:bdr w:val="nil"/>
          <w:vertAlign w:val="superscript"/>
          <w:lang w:val="en-US"/>
        </w:rPr>
        <w:footnoteReference w:id="337"/>
      </w:r>
      <w:r w:rsidRPr="00EC4FA4">
        <w:rPr>
          <w:rFonts w:eastAsia="Arial Unicode MS"/>
          <w:bdr w:val="nil"/>
          <w:vertAlign w:val="superscript"/>
          <w:lang w:val="en-US"/>
        </w:rPr>
        <w:t xml:space="preserve"> </w:t>
      </w:r>
      <w:r w:rsidRPr="00494E2E">
        <w:rPr>
          <w:rFonts w:eastAsia="Arial Unicode MS"/>
          <w:bdr w:val="nil"/>
        </w:rPr>
        <w:t>It</w:t>
      </w:r>
      <w:r>
        <w:rPr>
          <w:rFonts w:eastAsia="Arial Unicode MS"/>
          <w:bdr w:val="nil"/>
        </w:rPr>
        <w:t xml:space="preserve"> has been calculated that the overall amount of scientific papers published worldwide may be increasing by 8 to 9</w:t>
      </w:r>
      <w:r w:rsidR="0069442B">
        <w:rPr>
          <w:rFonts w:eastAsia="Arial Unicode MS"/>
          <w:bdr w:val="nil"/>
        </w:rPr>
        <w:t xml:space="preserve"> </w:t>
      </w:r>
      <w:r>
        <w:rPr>
          <w:rFonts w:eastAsia="Arial Unicode MS"/>
          <w:bdr w:val="nil"/>
        </w:rPr>
        <w:t>% every year and doubling every 9 years.</w:t>
      </w:r>
      <w:r>
        <w:rPr>
          <w:rStyle w:val="FootnoteReference"/>
          <w:rFonts w:eastAsia="Arial Unicode MS"/>
          <w:bdr w:val="nil"/>
        </w:rPr>
        <w:footnoteReference w:id="338"/>
      </w:r>
      <w:r w:rsidRPr="00494E2E">
        <w:rPr>
          <w:rFonts w:eastAsia="Arial Unicode MS"/>
          <w:bdr w:val="nil"/>
        </w:rPr>
        <w:t xml:space="preserve"> </w:t>
      </w:r>
      <w:r w:rsidRPr="00EC4FA4">
        <w:rPr>
          <w:rFonts w:eastAsia="Arial Unicode MS"/>
          <w:bdr w:val="nil"/>
        </w:rPr>
        <w:t>In some instances, more than 90</w:t>
      </w:r>
      <w:r w:rsidR="0069442B">
        <w:rPr>
          <w:rFonts w:eastAsia="Arial Unicode MS"/>
          <w:bdr w:val="nil"/>
        </w:rPr>
        <w:t xml:space="preserve"> </w:t>
      </w:r>
      <w:r w:rsidRPr="00EC4FA4">
        <w:rPr>
          <w:rFonts w:eastAsia="Arial Unicode MS"/>
          <w:bdr w:val="nil"/>
        </w:rPr>
        <w:t xml:space="preserve">% of research libraries' collections </w:t>
      </w:r>
      <w:r>
        <w:rPr>
          <w:rFonts w:eastAsia="Arial Unicode MS"/>
          <w:bdr w:val="nil"/>
        </w:rPr>
        <w:t xml:space="preserve">in the EU </w:t>
      </w:r>
      <w:r w:rsidRPr="00EC4FA4">
        <w:rPr>
          <w:rFonts w:eastAsia="Arial Unicode MS"/>
          <w:bdr w:val="nil"/>
        </w:rPr>
        <w:t>are composed of digital content.</w:t>
      </w:r>
      <w:r w:rsidRPr="00EC4FA4">
        <w:rPr>
          <w:rFonts w:eastAsia="Arial Unicode MS"/>
          <w:bdr w:val="nil"/>
          <w:vertAlign w:val="superscript"/>
          <w:lang w:val="en-US"/>
        </w:rPr>
        <w:footnoteReference w:id="339"/>
      </w:r>
      <w:r w:rsidRPr="00EC4FA4">
        <w:rPr>
          <w:rFonts w:eastAsia="Arial Unicode MS"/>
          <w:bdr w:val="nil"/>
          <w:lang w:val="en-US"/>
        </w:rPr>
        <w:t xml:space="preserve"> </w:t>
      </w:r>
      <w:r>
        <w:rPr>
          <w:rFonts w:eastAsia="Arial Unicode MS"/>
          <w:bdr w:val="nil"/>
          <w:lang w:val="en-US"/>
        </w:rPr>
        <w:t>While t</w:t>
      </w:r>
      <w:r w:rsidRPr="00EC4FA4">
        <w:rPr>
          <w:rFonts w:eastAsia="Arial Unicode MS"/>
          <w:bdr w:val="nil"/>
          <w:lang w:val="en-US"/>
        </w:rPr>
        <w:t>his trend is bound to continue</w:t>
      </w:r>
      <w:r>
        <w:rPr>
          <w:rFonts w:eastAsia="Arial Unicode MS"/>
          <w:bdr w:val="nil"/>
          <w:lang w:val="en-US"/>
        </w:rPr>
        <w:t xml:space="preserve">, </w:t>
      </w:r>
      <w:r w:rsidRPr="00EC4FA4">
        <w:rPr>
          <w:rFonts w:eastAsia="Arial Unicode MS"/>
          <w:bdr w:val="nil"/>
        </w:rPr>
        <w:t xml:space="preserve">without intervention at EU level, the legal uncertainty and fragmentation surrounding the use of TDM, notably by research </w:t>
      </w:r>
      <w:r>
        <w:rPr>
          <w:rFonts w:eastAsia="Arial Unicode MS"/>
          <w:bdr w:val="nil"/>
        </w:rPr>
        <w:t>organisations</w:t>
      </w:r>
      <w:r w:rsidRPr="00EC4FA4">
        <w:rPr>
          <w:rFonts w:eastAsia="Arial Unicode MS"/>
          <w:bdr w:val="nil"/>
        </w:rPr>
        <w:t xml:space="preserve">, will persist. Market developments, in particular the fact that publishers may increasingly include TDM in subscription licences </w:t>
      </w:r>
      <w:r>
        <w:rPr>
          <w:rFonts w:eastAsia="Arial Unicode MS"/>
          <w:bdr w:val="nil"/>
        </w:rPr>
        <w:t xml:space="preserve">as a result of the commitments taken in the above mentioned 2013 Licences for Europe dialogue </w:t>
      </w:r>
      <w:r w:rsidRPr="00EC4FA4">
        <w:rPr>
          <w:rFonts w:eastAsia="Arial Unicode MS"/>
          <w:bdr w:val="nil"/>
        </w:rPr>
        <w:t xml:space="preserve">to may partly mitigate the problem. However, fragmentation of the </w:t>
      </w:r>
      <w:r>
        <w:rPr>
          <w:rFonts w:eastAsia="Arial Unicode MS"/>
          <w:bdr w:val="nil"/>
        </w:rPr>
        <w:t>S</w:t>
      </w:r>
      <w:r w:rsidRPr="00EC4FA4">
        <w:rPr>
          <w:rFonts w:eastAsia="Arial Unicode MS"/>
          <w:bdr w:val="nil"/>
        </w:rPr>
        <w:t xml:space="preserve">ingle </w:t>
      </w:r>
      <w:r>
        <w:rPr>
          <w:rFonts w:eastAsia="Arial Unicode MS"/>
          <w:bdr w:val="nil"/>
        </w:rPr>
        <w:t>M</w:t>
      </w:r>
      <w:r w:rsidRPr="00EC4FA4">
        <w:rPr>
          <w:rFonts w:eastAsia="Arial Unicode MS"/>
          <w:bdr w:val="nil"/>
        </w:rPr>
        <w:t>arket is likely to increase over time as a result of MS adopting TDM exceptions at national level</w:t>
      </w:r>
      <w:r w:rsidRPr="00686462">
        <w:rPr>
          <w:rFonts w:eastAsia="Arial Unicode MS"/>
          <w:bdr w:val="nil"/>
        </w:rPr>
        <w:t xml:space="preserve"> </w:t>
      </w:r>
      <w:r>
        <w:rPr>
          <w:rFonts w:eastAsia="Arial Unicode MS"/>
          <w:bdr w:val="nil"/>
        </w:rPr>
        <w:t>which could be based on different conditions, which is likely to happen in the absence of intervention at EU level</w:t>
      </w:r>
      <w:r w:rsidRPr="00EC4FA4">
        <w:rPr>
          <w:rFonts w:eastAsia="Arial Unicode MS"/>
          <w:bdr w:val="nil"/>
        </w:rPr>
        <w:t xml:space="preserve">. </w:t>
      </w:r>
    </w:p>
    <w:p w:rsidR="001D5DE0" w:rsidRDefault="001D5DE0">
      <w:pPr>
        <w:rPr>
          <w:rFonts w:ascii="Times New Roman" w:eastAsia="Times New Roman" w:hAnsi="Times New Roman" w:cs="Times New Roman"/>
          <w:b/>
          <w:bCs/>
          <w:sz w:val="24"/>
          <w:szCs w:val="24"/>
          <w:lang w:eastAsia="en-GB"/>
        </w:rPr>
      </w:pPr>
      <w:r>
        <w:br w:type="page"/>
      </w:r>
    </w:p>
    <w:p w:rsidR="00952EB0" w:rsidRPr="00EC4FA4" w:rsidRDefault="00952EB0" w:rsidP="00CF38F1">
      <w:pPr>
        <w:pStyle w:val="Heading3"/>
      </w:pPr>
      <w:bookmarkStart w:id="81" w:name="_Toc461114732"/>
      <w:r w:rsidRPr="00EC4FA4">
        <w:t>What are the various options to achieve the objectives?</w:t>
      </w:r>
      <w:bookmarkEnd w:id="81"/>
    </w:p>
    <w:p w:rsidR="00083CE6" w:rsidRPr="00EC4FA4" w:rsidRDefault="00083CE6" w:rsidP="00083CE6">
      <w:pPr>
        <w:pBdr>
          <w:top w:val="nil"/>
          <w:left w:val="nil"/>
          <w:bottom w:val="nil"/>
          <w:right w:val="nil"/>
          <w:between w:val="nil"/>
          <w:bar w:val="nil"/>
        </w:pBdr>
        <w:spacing w:after="0" w:line="240" w:lineRule="auto"/>
        <w:rPr>
          <w:rFonts w:ascii="Times New Roman" w:eastAsia="Arial Unicode MS" w:hAnsi="Times New Roman" w:cs="Times New Roman"/>
          <w:sz w:val="24"/>
          <w:szCs w:val="20"/>
          <w:bdr w:val="nil"/>
          <w:lang w:val="en-US" w:eastAsia="en-GB"/>
        </w:rPr>
      </w:pPr>
      <w:r w:rsidRPr="00EC4FA4">
        <w:rPr>
          <w:rFonts w:ascii="Times New Roman" w:eastAsia="Arial Unicode MS" w:hAnsi="Times New Roman" w:cs="Times New Roman"/>
          <w:sz w:val="24"/>
          <w:szCs w:val="20"/>
          <w:bdr w:val="nil"/>
          <w:lang w:val="en-US" w:eastAsia="en-GB"/>
        </w:rPr>
        <w:t xml:space="preserve">The general and specific objectives are described in section </w:t>
      </w:r>
      <w:r>
        <w:rPr>
          <w:rFonts w:ascii="Times New Roman" w:eastAsia="Arial Unicode MS" w:hAnsi="Times New Roman" w:cs="Times New Roman"/>
          <w:sz w:val="24"/>
          <w:szCs w:val="20"/>
          <w:bdr w:val="nil"/>
          <w:lang w:val="en-US" w:eastAsia="en-GB"/>
        </w:rPr>
        <w:t>4</w:t>
      </w:r>
      <w:r w:rsidRPr="0025700D">
        <w:rPr>
          <w:rFonts w:ascii="Times New Roman" w:eastAsia="Arial Unicode MS" w:hAnsi="Times New Roman" w:cs="Times New Roman"/>
          <w:sz w:val="24"/>
          <w:szCs w:val="20"/>
          <w:bdr w:val="nil"/>
          <w:lang w:val="en-US" w:eastAsia="en-GB"/>
        </w:rPr>
        <w:t>.1.3</w:t>
      </w:r>
      <w:r w:rsidRPr="00EC4FA4">
        <w:rPr>
          <w:rFonts w:ascii="Times New Roman" w:eastAsia="Arial Unicode MS" w:hAnsi="Times New Roman" w:cs="Times New Roman"/>
          <w:sz w:val="24"/>
          <w:szCs w:val="20"/>
          <w:bdr w:val="nil"/>
          <w:lang w:val="en-US" w:eastAsia="en-GB"/>
        </w:rPr>
        <w:t xml:space="preserve">. </w:t>
      </w:r>
    </w:p>
    <w:p w:rsidR="00083CE6" w:rsidRPr="00DC00D9" w:rsidRDefault="00083CE6" w:rsidP="00083CE6">
      <w:pPr>
        <w:pStyle w:val="Text1"/>
        <w:ind w:left="0"/>
        <w:rPr>
          <w:b/>
          <w:szCs w:val="24"/>
        </w:rPr>
      </w:pPr>
      <w:bookmarkStart w:id="82" w:name="_Toc454351327"/>
      <w:bookmarkStart w:id="83" w:name="_Toc454561743"/>
      <w:r w:rsidRPr="00DC00D9">
        <w:rPr>
          <w:b/>
          <w:szCs w:val="24"/>
        </w:rPr>
        <w:t>Baseline</w:t>
      </w:r>
      <w:bookmarkEnd w:id="82"/>
      <w:bookmarkEnd w:id="83"/>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 xml:space="preserve">Without EU intervention, TDM will continue to be based on </w:t>
      </w:r>
      <w:r w:rsidR="00687496">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Pr>
          <w:rFonts w:eastAsia="Arial Unicode MS" w:hAnsi="Arial Unicode MS" w:cs="Arial Unicode MS"/>
          <w:color w:val="000000"/>
          <w:szCs w:val="24"/>
          <w:u w:color="000000"/>
          <w:bdr w:val="nil"/>
        </w:rPr>
        <w:t xml:space="preserve">' prior authorisation and its development would depend </w:t>
      </w:r>
      <w:r w:rsidRPr="00EC4FA4">
        <w:rPr>
          <w:rFonts w:eastAsia="Arial Unicode MS" w:hAnsi="Arial Unicode MS" w:cs="Arial Unicode MS"/>
          <w:color w:val="000000"/>
          <w:szCs w:val="24"/>
          <w:u w:color="000000"/>
          <w:bdr w:val="nil"/>
        </w:rPr>
        <w:t xml:space="preserve">on the development of market-based </w:t>
      </w:r>
      <w:r w:rsidRPr="00BE5AD2">
        <w:rPr>
          <w:rFonts w:eastAsia="Arial Unicode MS" w:hAnsi="Arial Unicode MS" w:cs="Arial Unicode MS"/>
          <w:color w:val="000000"/>
          <w:szCs w:val="24"/>
          <w:u w:color="000000"/>
          <w:bdr w:val="nil"/>
        </w:rPr>
        <w:t>initi</w:t>
      </w:r>
      <w:r w:rsidRPr="009127B5">
        <w:rPr>
          <w:rFonts w:eastAsia="Arial Unicode MS" w:hAnsi="Arial Unicode MS" w:cs="Arial Unicode MS"/>
          <w:color w:val="000000"/>
          <w:szCs w:val="24"/>
          <w:u w:color="000000"/>
          <w:bdr w:val="nil"/>
        </w:rPr>
        <w:t xml:space="preserve">atives to facilitate TDM </w:t>
      </w:r>
      <w:r w:rsidR="006D21E9">
        <w:rPr>
          <w:rFonts w:eastAsia="Arial Unicode MS" w:hAnsi="Arial Unicode MS" w:cs="Arial Unicode MS"/>
          <w:color w:val="000000"/>
          <w:szCs w:val="24"/>
          <w:u w:color="000000"/>
          <w:bdr w:val="nil"/>
        </w:rPr>
        <w:t>licensing</w:t>
      </w:r>
      <w:r w:rsidRPr="009127B5">
        <w:rPr>
          <w:rFonts w:eastAsia="Arial Unicode MS" w:hAnsi="Arial Unicode MS" w:cs="Arial Unicode MS"/>
          <w:color w:val="000000"/>
          <w:szCs w:val="24"/>
          <w:u w:color="000000"/>
          <w:bdr w:val="nil"/>
        </w:rPr>
        <w:t xml:space="preserve">, </w:t>
      </w:r>
      <w:r>
        <w:rPr>
          <w:rFonts w:eastAsia="Arial Unicode MS" w:hAnsi="Arial Unicode MS" w:cs="Arial Unicode MS"/>
          <w:color w:val="000000"/>
          <w:szCs w:val="24"/>
          <w:u w:color="000000"/>
          <w:bdr w:val="nil"/>
        </w:rPr>
        <w:t xml:space="preserve">including </w:t>
      </w:r>
      <w:r w:rsidRPr="009127B5">
        <w:rPr>
          <w:rFonts w:eastAsia="Arial Unicode MS" w:hAnsi="Arial Unicode MS" w:cs="Arial Unicode MS"/>
          <w:color w:val="000000"/>
          <w:szCs w:val="24"/>
          <w:u w:color="000000"/>
          <w:bdr w:val="nil"/>
        </w:rPr>
        <w:t xml:space="preserve">following </w:t>
      </w:r>
      <w:r w:rsidRPr="00C32C45">
        <w:rPr>
          <w:rFonts w:eastAsia="Arial Unicode MS" w:hAnsi="Arial Unicode MS" w:cs="Arial Unicode MS"/>
          <w:color w:val="000000"/>
          <w:szCs w:val="24"/>
          <w:u w:color="000000"/>
          <w:bdr w:val="nil"/>
        </w:rPr>
        <w:t xml:space="preserve">the </w:t>
      </w:r>
      <w:r>
        <w:rPr>
          <w:rFonts w:eastAsia="Arial Unicode MS" w:hAnsi="Arial Unicode MS" w:cs="Arial Unicode MS"/>
          <w:color w:val="000000"/>
          <w:szCs w:val="24"/>
          <w:u w:color="000000"/>
          <w:bdr w:val="nil"/>
        </w:rPr>
        <w:t xml:space="preserve">already mentioned </w:t>
      </w:r>
      <w:r w:rsidRPr="00C32C45">
        <w:rPr>
          <w:rFonts w:eastAsia="Arial Unicode MS" w:hAnsi="Arial Unicode MS" w:cs="Arial Unicode MS"/>
          <w:color w:val="000000"/>
          <w:szCs w:val="24"/>
          <w:u w:color="000000"/>
          <w:bdr w:val="nil"/>
        </w:rPr>
        <w:t xml:space="preserve">commitment of STM </w:t>
      </w:r>
      <w:r w:rsidRPr="009127B5">
        <w:rPr>
          <w:rFonts w:eastAsia="Arial Unicode MS" w:hAnsi="Arial Unicode MS" w:cs="Arial Unicode MS"/>
          <w:color w:val="000000"/>
          <w:szCs w:val="24"/>
          <w:u w:color="000000"/>
          <w:bdr w:val="nil"/>
        </w:rPr>
        <w:t>publishers</w:t>
      </w:r>
      <w:r w:rsidRPr="00021503">
        <w:rPr>
          <w:rFonts w:eastAsia="Arial Unicode MS" w:hAnsi="Arial Unicode MS" w:cs="Arial Unicode MS"/>
          <w:color w:val="000000"/>
          <w:szCs w:val="24"/>
          <w:u w:color="000000"/>
          <w:bdr w:val="nil"/>
        </w:rPr>
        <w:t xml:space="preserve"> in the 2013 "Licences for Europe" process</w:t>
      </w:r>
      <w:r>
        <w:rPr>
          <w:rFonts w:eastAsia="Arial Unicode MS" w:hAnsi="Arial Unicode MS" w:cs="Arial Unicode MS"/>
          <w:color w:val="000000"/>
          <w:szCs w:val="24"/>
          <w:u w:color="000000"/>
          <w:bdr w:val="nil"/>
        </w:rPr>
        <w:t>.</w:t>
      </w:r>
      <w:r w:rsidRPr="00EC4FA4">
        <w:rPr>
          <w:rFonts w:eastAsia="Arial Unicode MS" w:hAnsi="Arial Unicode MS" w:cs="Arial Unicode MS"/>
          <w:color w:val="000000"/>
          <w:szCs w:val="24"/>
          <w:u w:color="000000"/>
          <w:bdr w:val="nil"/>
        </w:rPr>
        <w:t xml:space="preserve"> At the same time </w:t>
      </w:r>
      <w:r>
        <w:rPr>
          <w:rFonts w:eastAsia="Arial Unicode MS" w:hAnsi="Arial Unicode MS" w:cs="Arial Unicode MS"/>
          <w:color w:val="000000"/>
          <w:szCs w:val="24"/>
          <w:u w:color="000000"/>
          <w:bdr w:val="nil"/>
        </w:rPr>
        <w:t xml:space="preserve">an increasing number of </w:t>
      </w:r>
      <w:r w:rsidRPr="00EC4FA4">
        <w:rPr>
          <w:rFonts w:eastAsia="Arial Unicode MS" w:hAnsi="Arial Unicode MS" w:cs="Arial Unicode MS"/>
          <w:color w:val="000000"/>
          <w:szCs w:val="24"/>
          <w:u w:color="000000"/>
          <w:bdr w:val="nil"/>
        </w:rPr>
        <w:t xml:space="preserve">MS could decide to adopt national TDM exceptions </w:t>
      </w:r>
      <w:r>
        <w:rPr>
          <w:rFonts w:eastAsia="Arial Unicode MS" w:hAnsi="Arial Unicode MS" w:cs="Arial Unicode MS"/>
          <w:color w:val="000000"/>
          <w:szCs w:val="24"/>
          <w:u w:color="000000"/>
          <w:bdr w:val="nil"/>
        </w:rPr>
        <w:t xml:space="preserve">in the context of </w:t>
      </w:r>
      <w:r w:rsidRPr="00EC4FA4">
        <w:rPr>
          <w:rFonts w:eastAsia="Arial Unicode MS" w:hAnsi="Arial Unicode MS" w:cs="Arial Unicode MS"/>
          <w:color w:val="000000"/>
          <w:szCs w:val="24"/>
          <w:u w:color="000000"/>
          <w:bdr w:val="nil"/>
        </w:rPr>
        <w:t xml:space="preserve">the current research exceptions (Article 5(3)(a) of the InfoSoc Directive and Articles 6(2)(b) and 9(b) of </w:t>
      </w:r>
      <w:r w:rsidR="0069442B">
        <w:rPr>
          <w:rFonts w:eastAsia="Arial Unicode MS" w:hAnsi="Arial Unicode MS" w:cs="Arial Unicode MS"/>
          <w:color w:val="000000"/>
          <w:szCs w:val="24"/>
          <w:u w:color="000000"/>
          <w:bdr w:val="nil"/>
        </w:rPr>
        <w:t xml:space="preserve">the </w:t>
      </w:r>
      <w:r w:rsidRPr="00EC4FA4">
        <w:rPr>
          <w:rFonts w:eastAsia="Arial Unicode MS" w:hAnsi="Arial Unicode MS" w:cs="Arial Unicode MS"/>
          <w:color w:val="000000"/>
          <w:szCs w:val="24"/>
          <w:u w:color="000000"/>
          <w:bdr w:val="nil"/>
        </w:rPr>
        <w:t>Database Directive).</w:t>
      </w:r>
      <w:r w:rsidRPr="00EC4FA4">
        <w:rPr>
          <w:rFonts w:eastAsia="Arial Unicode MS" w:hAnsi="Arial Unicode MS" w:cs="Arial Unicode MS"/>
          <w:color w:val="000000"/>
          <w:szCs w:val="24"/>
          <w:u w:color="000000"/>
          <w:bdr w:val="nil"/>
          <w:vertAlign w:val="superscript"/>
        </w:rPr>
        <w:t xml:space="preserve"> </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sidRPr="00DC00D9">
        <w:rPr>
          <w:rFonts w:ascii="Times New Roman" w:eastAsia="Arial Unicode MS" w:hAnsi="Arial Unicode MS" w:cs="Arial Unicode MS"/>
          <w:i/>
          <w:color w:val="000000"/>
          <w:sz w:val="20"/>
          <w:szCs w:val="20"/>
          <w:u w:color="000000"/>
          <w:bdr w:val="nil"/>
          <w:lang w:eastAsia="en-GB"/>
        </w:rPr>
        <w:t>Stakeholders' views</w:t>
      </w:r>
    </w:p>
    <w:p w:rsidR="00083CE6" w:rsidRPr="00DC00D9" w:rsidRDefault="00007677"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Pr>
          <w:rFonts w:ascii="Times New Roman" w:eastAsia="Arial Unicode MS" w:hAnsi="Arial Unicode MS" w:cs="Arial Unicode MS"/>
          <w:color w:val="000000"/>
          <w:sz w:val="20"/>
          <w:szCs w:val="20"/>
          <w:u w:color="000000"/>
          <w:bdr w:val="nil"/>
          <w:lang w:eastAsia="en-GB"/>
        </w:rPr>
        <w:t>Rightholders</w:t>
      </w:r>
      <w:r w:rsidR="00083CE6" w:rsidRPr="00DC00D9">
        <w:rPr>
          <w:rFonts w:ascii="Times New Roman" w:eastAsia="Arial Unicode MS" w:hAnsi="Arial Unicode MS" w:cs="Arial Unicode MS"/>
          <w:color w:val="000000"/>
          <w:sz w:val="20"/>
          <w:szCs w:val="20"/>
          <w:u w:color="000000"/>
          <w:bdr w:val="nil"/>
          <w:lang w:eastAsia="en-GB"/>
        </w:rPr>
        <w:t xml:space="preserve"> would support the baseline option as they are generally opposed to an intervention in this area. Researchers consider that legislative intervention is needed and would therefore strongly criticise a lack of EU action</w:t>
      </w:r>
      <w:r w:rsidR="00083CE6">
        <w:rPr>
          <w:rFonts w:ascii="Times New Roman" w:eastAsia="Arial Unicode MS" w:hAnsi="Arial Unicode MS" w:cs="Arial Unicode MS"/>
          <w:color w:val="000000"/>
          <w:sz w:val="20"/>
          <w:szCs w:val="20"/>
          <w:u w:color="000000"/>
          <w:bdr w:val="nil"/>
          <w:lang w:eastAsia="en-GB"/>
        </w:rPr>
        <w:t xml:space="preserve"> (See the report on the results of the 2013/14 public consultation on the review of the EU copyright rules in Annex 2B)</w:t>
      </w:r>
      <w:r w:rsidR="00083CE6" w:rsidRPr="00DC00D9">
        <w:rPr>
          <w:rFonts w:ascii="Times New Roman" w:eastAsia="Arial Unicode MS" w:hAnsi="Arial Unicode MS" w:cs="Arial Unicode MS"/>
          <w:color w:val="000000"/>
          <w:sz w:val="20"/>
          <w:szCs w:val="20"/>
          <w:u w:color="000000"/>
          <w:bdr w:val="nil"/>
          <w:lang w:eastAsia="en-GB"/>
        </w:rPr>
        <w:t xml:space="preserve"> </w:t>
      </w:r>
    </w:p>
    <w:p w:rsidR="00083CE6" w:rsidRPr="00DC00D9" w:rsidRDefault="00083CE6" w:rsidP="00083CE6">
      <w:pPr>
        <w:pStyle w:val="Text1"/>
        <w:ind w:left="0"/>
        <w:rPr>
          <w:b/>
          <w:szCs w:val="24"/>
        </w:rPr>
      </w:pPr>
      <w:bookmarkStart w:id="84" w:name="_Toc454351328"/>
      <w:bookmarkStart w:id="85" w:name="_Toc454561744"/>
      <w:r w:rsidRPr="00DC00D9">
        <w:rPr>
          <w:b/>
          <w:szCs w:val="24"/>
        </w:rPr>
        <w:t xml:space="preserve">Option 1 </w:t>
      </w:r>
      <w:r>
        <w:rPr>
          <w:b/>
          <w:szCs w:val="24"/>
        </w:rPr>
        <w:t xml:space="preserve">– Fostering </w:t>
      </w:r>
      <w:r w:rsidRPr="00DC00D9">
        <w:rPr>
          <w:b/>
          <w:szCs w:val="24"/>
        </w:rPr>
        <w:t>industry self-regulation initiatives without changes to the EU legal framework</w:t>
      </w:r>
      <w:bookmarkEnd w:id="84"/>
      <w:bookmarkEnd w:id="85"/>
      <w:r w:rsidRPr="00DC00D9">
        <w:rPr>
          <w:b/>
          <w:szCs w:val="24"/>
        </w:rPr>
        <w:t xml:space="preserve"> </w:t>
      </w:r>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EC4FA4">
        <w:rPr>
          <w:rFonts w:eastAsia="Arial Unicode MS" w:hAnsi="Arial Unicode MS" w:cs="Arial Unicode MS"/>
          <w:color w:val="000000"/>
          <w:szCs w:val="24"/>
          <w:u w:color="000000"/>
          <w:bdr w:val="nil"/>
        </w:rPr>
        <w:t>Non-legislative option. The Commission would encourage stakeholders, notably publishers and researchers, to identify collaborative solutions to facilitate TDM</w:t>
      </w:r>
      <w:r>
        <w:rPr>
          <w:rFonts w:eastAsia="Arial Unicode MS" w:hAnsi="Arial Unicode MS" w:cs="Arial Unicode MS"/>
          <w:color w:val="000000"/>
          <w:szCs w:val="24"/>
          <w:u w:color="000000"/>
          <w:bdr w:val="nil"/>
        </w:rPr>
        <w:t>,</w:t>
      </w:r>
      <w:r w:rsidRPr="00EC4FA4">
        <w:rPr>
          <w:rFonts w:eastAsia="Arial Unicode MS" w:hAnsi="Arial Unicode MS" w:cs="Arial Unicode MS"/>
          <w:color w:val="000000"/>
          <w:szCs w:val="24"/>
          <w:u w:color="000000"/>
          <w:bdr w:val="nil"/>
        </w:rPr>
        <w:t xml:space="preserve"> in particular </w:t>
      </w:r>
      <w:r>
        <w:rPr>
          <w:rFonts w:eastAsia="Arial Unicode MS" w:hAnsi="Arial Unicode MS" w:cs="Arial Unicode MS"/>
          <w:color w:val="000000"/>
          <w:szCs w:val="24"/>
          <w:u w:color="000000"/>
          <w:bdr w:val="nil"/>
        </w:rPr>
        <w:t>for</w:t>
      </w:r>
      <w:r w:rsidRPr="00EC4FA4">
        <w:rPr>
          <w:rFonts w:eastAsia="Arial Unicode MS" w:hAnsi="Arial Unicode MS" w:cs="Arial Unicode MS"/>
          <w:color w:val="000000"/>
          <w:szCs w:val="24"/>
          <w:u w:color="000000"/>
          <w:bdr w:val="nil"/>
        </w:rPr>
        <w:t xml:space="preserve"> content subscribed </w:t>
      </w:r>
      <w:r>
        <w:rPr>
          <w:rFonts w:eastAsia="Arial Unicode MS" w:hAnsi="Arial Unicode MS" w:cs="Arial Unicode MS"/>
          <w:color w:val="000000"/>
          <w:szCs w:val="24"/>
          <w:u w:color="000000"/>
          <w:bdr w:val="nil"/>
        </w:rPr>
        <w:t xml:space="preserve">to </w:t>
      </w:r>
      <w:r w:rsidRPr="00EC4FA4">
        <w:rPr>
          <w:rFonts w:eastAsia="Arial Unicode MS" w:hAnsi="Arial Unicode MS" w:cs="Arial Unicode MS"/>
          <w:color w:val="000000"/>
          <w:szCs w:val="24"/>
          <w:u w:color="000000"/>
          <w:bdr w:val="nil"/>
        </w:rPr>
        <w:t xml:space="preserve">by research </w:t>
      </w:r>
      <w:r>
        <w:rPr>
          <w:rFonts w:eastAsia="Arial Unicode MS" w:hAnsi="Arial Unicode MS" w:cs="Arial Unicode MS"/>
          <w:color w:val="000000"/>
          <w:szCs w:val="24"/>
          <w:u w:color="000000"/>
          <w:bdr w:val="nil"/>
        </w:rPr>
        <w:t>organisations</w:t>
      </w:r>
      <w:r w:rsidRPr="00EC4FA4">
        <w:rPr>
          <w:rFonts w:eastAsia="Arial Unicode MS" w:hAnsi="Arial Unicode MS" w:cs="Arial Unicode MS"/>
          <w:color w:val="000000"/>
          <w:szCs w:val="24"/>
          <w:u w:color="000000"/>
          <w:bdr w:val="nil"/>
        </w:rPr>
        <w:t xml:space="preserve">. </w:t>
      </w:r>
    </w:p>
    <w:p w:rsidR="00083CE6" w:rsidRPr="00430205"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430205">
        <w:rPr>
          <w:rFonts w:eastAsia="Arial Unicode MS" w:hAnsi="Arial Unicode MS" w:cs="Arial Unicode MS"/>
          <w:color w:val="000000"/>
          <w:szCs w:val="24"/>
          <w:u w:color="000000"/>
          <w:bdr w:val="nil"/>
        </w:rPr>
        <w:t xml:space="preserve">Structured dialogues between researchers and publishers would be organised to allow both sides to express their views, notably with regard to researchers' needs and the technical safeguards publishers could use to ensure the protection of their content without creating unnecessary or disproportionate burden for researchers. Building on existing initiatives such as </w:t>
      </w:r>
      <w:r w:rsidR="0060401B">
        <w:rPr>
          <w:rFonts w:eastAsia="Arial Unicode MS" w:hAnsi="Arial Unicode MS" w:cs="Arial Unicode MS"/>
          <w:color w:val="000000"/>
          <w:szCs w:val="24"/>
          <w:u w:color="000000"/>
          <w:bdr w:val="nil"/>
        </w:rPr>
        <w:t>"</w:t>
      </w:r>
      <w:r w:rsidRPr="00430205">
        <w:rPr>
          <w:rFonts w:eastAsia="Arial Unicode MS" w:hAnsi="Arial Unicode MS" w:cs="Arial Unicode MS"/>
          <w:color w:val="000000"/>
          <w:szCs w:val="24"/>
          <w:u w:color="000000"/>
          <w:bdr w:val="nil"/>
        </w:rPr>
        <w:t>Cross Ref</w:t>
      </w:r>
      <w:r w:rsidR="0060401B">
        <w:rPr>
          <w:rFonts w:eastAsia="Arial Unicode MS" w:hAnsi="Arial Unicode MS" w:cs="Arial Unicode MS"/>
          <w:color w:val="000000"/>
          <w:szCs w:val="24"/>
          <w:u w:color="000000"/>
          <w:bdr w:val="nil"/>
        </w:rPr>
        <w:t>"</w:t>
      </w:r>
      <w:r>
        <w:rPr>
          <w:rFonts w:eastAsia="Arial Unicode MS" w:hAnsi="Arial Unicode MS" w:cs="Arial Unicode MS"/>
          <w:color w:val="000000"/>
          <w:szCs w:val="24"/>
          <w:u w:color="000000"/>
          <w:bdr w:val="nil"/>
        </w:rPr>
        <w:t xml:space="preserve"> (see above: problem definition)</w:t>
      </w:r>
      <w:r w:rsidRPr="00430205">
        <w:rPr>
          <w:rFonts w:eastAsia="Arial Unicode MS" w:hAnsi="Arial Unicode MS" w:cs="Arial Unicode MS"/>
          <w:color w:val="000000"/>
          <w:szCs w:val="24"/>
          <w:u w:color="000000"/>
          <w:bdr w:val="nil"/>
        </w:rPr>
        <w:t xml:space="preserve">, this option </w:t>
      </w:r>
      <w:r>
        <w:rPr>
          <w:rFonts w:eastAsia="Arial Unicode MS" w:hAnsi="Arial Unicode MS" w:cs="Arial Unicode MS"/>
          <w:color w:val="000000"/>
          <w:szCs w:val="24"/>
          <w:u w:color="000000"/>
          <w:bdr w:val="nil"/>
        </w:rPr>
        <w:t>c</w:t>
      </w:r>
      <w:r w:rsidRPr="00430205">
        <w:rPr>
          <w:rFonts w:eastAsia="Arial Unicode MS" w:hAnsi="Arial Unicode MS" w:cs="Arial Unicode MS"/>
          <w:color w:val="000000"/>
          <w:szCs w:val="24"/>
          <w:u w:color="000000"/>
          <w:bdr w:val="nil"/>
        </w:rPr>
        <w:t xml:space="preserve">ould also support and promote further technical solutions, such as platforms facilitating TDM in practice to allow researchers to access publishers' data at one go, promoting common standards for data formats or the creation of trusted intermediaries ensuring a safe environment for the mining of content. </w:t>
      </w:r>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EC4FA4">
        <w:rPr>
          <w:rFonts w:eastAsia="Arial Unicode MS" w:hAnsi="Arial Unicode MS" w:cs="Arial Unicode MS"/>
          <w:color w:val="000000"/>
          <w:szCs w:val="24"/>
          <w:u w:color="000000"/>
          <w:bdr w:val="nil"/>
        </w:rPr>
        <w:t xml:space="preserve">The Commission would monitor the implementation of </w:t>
      </w:r>
      <w:r>
        <w:rPr>
          <w:rFonts w:eastAsia="Arial Unicode MS" w:hAnsi="Arial Unicode MS" w:cs="Arial Unicode MS"/>
          <w:color w:val="000000"/>
          <w:szCs w:val="24"/>
          <w:u w:color="000000"/>
          <w:bdr w:val="nil"/>
        </w:rPr>
        <w:t xml:space="preserve">the </w:t>
      </w:r>
      <w:r w:rsidRPr="00EC4FA4">
        <w:rPr>
          <w:rFonts w:eastAsia="Arial Unicode MS" w:hAnsi="Arial Unicode MS" w:cs="Arial Unicode MS"/>
          <w:color w:val="000000"/>
          <w:szCs w:val="24"/>
          <w:u w:color="000000"/>
          <w:bdr w:val="nil"/>
        </w:rPr>
        <w:t>commitments made by publishers to allow TDM for scientific purposes and to amend their licences respectively. If no substantial improvements are achieved in the mid-term</w:t>
      </w:r>
      <w:r>
        <w:rPr>
          <w:rFonts w:eastAsia="Arial Unicode MS" w:hAnsi="Arial Unicode MS" w:cs="Arial Unicode MS"/>
          <w:color w:val="000000"/>
          <w:szCs w:val="24"/>
          <w:u w:color="000000"/>
          <w:bdr w:val="nil"/>
        </w:rPr>
        <w:t>,</w:t>
      </w:r>
      <w:r w:rsidRPr="00EC4FA4">
        <w:rPr>
          <w:rFonts w:eastAsia="Arial Unicode MS" w:hAnsi="Arial Unicode MS" w:cs="Arial Unicode MS"/>
          <w:color w:val="000000"/>
          <w:szCs w:val="24"/>
          <w:u w:color="000000"/>
          <w:bdr w:val="nil"/>
        </w:rPr>
        <w:t xml:space="preserve"> the Commission would consider proposing legislative changes as described in Options 2 to 4. </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sidRPr="00DC00D9">
        <w:rPr>
          <w:rFonts w:ascii="Times New Roman" w:eastAsia="Arial Unicode MS" w:hAnsi="Arial Unicode MS" w:cs="Arial Unicode MS"/>
          <w:i/>
          <w:color w:val="000000"/>
          <w:sz w:val="20"/>
          <w:szCs w:val="20"/>
          <w:u w:color="000000"/>
          <w:bdr w:val="nil"/>
          <w:lang w:eastAsia="en-GB"/>
        </w:rPr>
        <w:t>Stakeholders' views</w:t>
      </w:r>
    </w:p>
    <w:p w:rsidR="00083CE6" w:rsidRPr="00DC00D9" w:rsidRDefault="00007677"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color w:val="000000"/>
          <w:sz w:val="20"/>
          <w:szCs w:val="20"/>
          <w:u w:color="000000"/>
          <w:bdr w:val="nil"/>
          <w:lang w:eastAsia="en-GB"/>
        </w:rPr>
      </w:pPr>
      <w:r>
        <w:rPr>
          <w:rFonts w:ascii="Times New Roman" w:eastAsia="Arial Unicode MS" w:hAnsi="Arial Unicode MS" w:cs="Arial Unicode MS"/>
          <w:color w:val="000000"/>
          <w:sz w:val="20"/>
          <w:szCs w:val="20"/>
          <w:u w:color="000000"/>
          <w:bdr w:val="nil"/>
          <w:lang w:eastAsia="en-GB"/>
        </w:rPr>
        <w:t>Rightholders</w:t>
      </w:r>
      <w:r w:rsidR="00083CE6" w:rsidRPr="00DC00D9">
        <w:rPr>
          <w:rFonts w:ascii="Times New Roman" w:eastAsia="Arial Unicode MS" w:hAnsi="Arial Unicode MS" w:cs="Arial Unicode MS"/>
          <w:color w:val="000000"/>
          <w:sz w:val="20"/>
          <w:szCs w:val="20"/>
          <w:u w:color="000000"/>
          <w:bdr w:val="nil"/>
          <w:lang w:eastAsia="en-GB"/>
        </w:rPr>
        <w:t xml:space="preserve"> would support this non-legislative option. STM publishers in particular have asked the Commission to pursue a self or co-regulatory approach on TDM following up on the Licences for Europe dialogue. They consider that collaborative solutions identified together with non-commercial researchers would be a balanced way forward and could yield concrete results more quickly. On the other hand, researchers are not in favour of additional stakeholder dialogues if not accompanied by legislative changes (researchers' representatives left the dialogue considering that licences-based solutions were not an appropriate way to fully solve the problems and foster the development of TDM).</w:t>
      </w:r>
      <w:r w:rsidR="00083CE6" w:rsidRPr="00DC00D9">
        <w:rPr>
          <w:rStyle w:val="FootnoteReference"/>
          <w:rFonts w:ascii="Times New Roman" w:eastAsia="Arial Unicode MS" w:hAnsi="Arial Unicode MS" w:cs="Arial Unicode MS"/>
          <w:color w:val="000000"/>
          <w:sz w:val="20"/>
          <w:szCs w:val="20"/>
          <w:u w:color="000000"/>
          <w:bdr w:val="nil"/>
          <w:lang w:eastAsia="en-GB"/>
        </w:rPr>
        <w:t xml:space="preserve"> </w:t>
      </w:r>
      <w:r w:rsidR="00083CE6" w:rsidRPr="00DC00D9">
        <w:rPr>
          <w:rStyle w:val="FootnoteReference"/>
          <w:rFonts w:ascii="Times New Roman" w:eastAsia="Arial Unicode MS" w:hAnsi="Arial Unicode MS" w:cs="Arial Unicode MS"/>
          <w:color w:val="000000"/>
          <w:sz w:val="20"/>
          <w:szCs w:val="20"/>
          <w:u w:color="000000"/>
          <w:bdr w:val="nil"/>
          <w:lang w:eastAsia="en-GB"/>
        </w:rPr>
        <w:footnoteReference w:id="340"/>
      </w:r>
    </w:p>
    <w:p w:rsidR="001D5DE0" w:rsidRDefault="001D5DE0">
      <w:pPr>
        <w:rPr>
          <w:rFonts w:ascii="Times New Roman" w:eastAsia="Calibri" w:hAnsi="Times New Roman" w:cs="Times New Roman"/>
          <w:b/>
          <w:sz w:val="24"/>
          <w:szCs w:val="24"/>
          <w:lang w:eastAsia="en-GB"/>
        </w:rPr>
      </w:pPr>
      <w:bookmarkStart w:id="86" w:name="_Toc454351329"/>
      <w:bookmarkStart w:id="87" w:name="_Toc454561745"/>
      <w:r>
        <w:rPr>
          <w:b/>
          <w:szCs w:val="24"/>
        </w:rPr>
        <w:br w:type="page"/>
      </w:r>
    </w:p>
    <w:p w:rsidR="00083CE6" w:rsidRPr="00DC00D9" w:rsidRDefault="00083CE6" w:rsidP="00083CE6">
      <w:pPr>
        <w:pStyle w:val="Text1"/>
        <w:ind w:left="0"/>
        <w:rPr>
          <w:b/>
          <w:szCs w:val="24"/>
        </w:rPr>
      </w:pPr>
      <w:r w:rsidRPr="00DC00D9">
        <w:rPr>
          <w:b/>
          <w:szCs w:val="24"/>
        </w:rPr>
        <w:t>Option 2 – Mandatory exception covering text and data mining for non-commercial scientific research purposes.</w:t>
      </w:r>
      <w:bookmarkEnd w:id="86"/>
      <w:bookmarkEnd w:id="87"/>
    </w:p>
    <w:p w:rsidR="00083CE6" w:rsidRPr="00EC4FA4" w:rsidRDefault="00083CE6" w:rsidP="00083CE6">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en-GB"/>
        </w:rPr>
      </w:pPr>
      <w:r w:rsidRPr="00EC4FA4">
        <w:rPr>
          <w:rFonts w:ascii="Times New Roman" w:eastAsia="Arial Unicode MS" w:hAnsi="Arial Unicode MS" w:cs="Arial Unicode MS"/>
          <w:color w:val="000000"/>
          <w:sz w:val="24"/>
          <w:szCs w:val="24"/>
          <w:u w:color="000000"/>
          <w:bdr w:val="nil"/>
          <w:lang w:eastAsia="en-GB"/>
        </w:rPr>
        <w:t>This option would make mandatory for MS the implementation of an exception to the rights of reproduction and of database extraction</w:t>
      </w:r>
      <w:r>
        <w:rPr>
          <w:rFonts w:ascii="Times New Roman" w:eastAsia="Arial Unicode MS" w:hAnsi="Arial Unicode MS" w:cs="Arial Unicode MS"/>
          <w:color w:val="000000"/>
          <w:sz w:val="24"/>
          <w:szCs w:val="24"/>
          <w:u w:color="000000"/>
          <w:bdr w:val="nil"/>
          <w:lang w:eastAsia="en-GB"/>
        </w:rPr>
        <w:t>,</w:t>
      </w:r>
      <w:r>
        <w:rPr>
          <w:rStyle w:val="FootnoteReference"/>
          <w:rFonts w:ascii="Times New Roman" w:eastAsia="Arial Unicode MS" w:hAnsi="Arial Unicode MS" w:cs="Arial Unicode MS"/>
          <w:color w:val="000000"/>
          <w:sz w:val="24"/>
          <w:szCs w:val="24"/>
          <w:u w:color="000000"/>
          <w:bdr w:val="nil"/>
          <w:lang w:eastAsia="en-GB"/>
        </w:rPr>
        <w:footnoteReference w:id="341"/>
      </w:r>
      <w:r w:rsidRPr="00EC4FA4">
        <w:rPr>
          <w:rFonts w:ascii="Times New Roman" w:eastAsia="Arial Unicode MS" w:hAnsi="Arial Unicode MS" w:cs="Arial Unicode MS"/>
          <w:color w:val="000000"/>
          <w:sz w:val="24"/>
          <w:szCs w:val="24"/>
          <w:u w:color="000000"/>
          <w:bdr w:val="nil"/>
          <w:lang w:eastAsia="en-GB"/>
        </w:rPr>
        <w:t xml:space="preserve"> with the following elements:</w:t>
      </w:r>
    </w:p>
    <w:p w:rsidR="00083CE6" w:rsidRPr="00AC63C8"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EC4FA4">
        <w:rPr>
          <w:rFonts w:eastAsia="Arial Unicode MS" w:hAnsi="Arial Unicode MS" w:cs="Arial Unicode MS"/>
          <w:color w:val="000000"/>
          <w:szCs w:val="24"/>
          <w:u w:color="000000"/>
          <w:bdr w:val="nil"/>
        </w:rPr>
        <w:t xml:space="preserve">Beneficiaries: any user who has lawful access to content protected by copyright or by the </w:t>
      </w:r>
      <w:r w:rsidRPr="00494E2E">
        <w:rPr>
          <w:rFonts w:eastAsia="Arial Unicode MS" w:hAnsi="Arial Unicode MS" w:cs="Arial Unicode MS"/>
          <w:i/>
          <w:color w:val="000000"/>
          <w:szCs w:val="24"/>
          <w:u w:color="000000"/>
          <w:bdr w:val="nil"/>
        </w:rPr>
        <w:t>sui generis</w:t>
      </w:r>
      <w:r w:rsidRPr="00EC4FA4">
        <w:rPr>
          <w:rFonts w:eastAsia="Arial Unicode MS" w:hAnsi="Arial Unicode MS" w:cs="Arial Unicode MS"/>
          <w:color w:val="000000"/>
          <w:szCs w:val="24"/>
          <w:u w:color="000000"/>
          <w:bdr w:val="nil"/>
        </w:rPr>
        <w:t xml:space="preserve"> database right (e.g. a subscription to a scientific journal). Lawful access would cover access to content through authorisation by content owners (e.g. subscriptions to scientific journals) as well as access to </w:t>
      </w:r>
      <w:r>
        <w:rPr>
          <w:rFonts w:eastAsia="Arial Unicode MS" w:hAnsi="Arial Unicode MS" w:cs="Arial Unicode MS"/>
          <w:color w:val="000000"/>
          <w:szCs w:val="24"/>
          <w:u w:color="000000"/>
          <w:bdr w:val="nil"/>
        </w:rPr>
        <w:t xml:space="preserve">publicly available </w:t>
      </w:r>
      <w:r w:rsidRPr="00EC4FA4">
        <w:rPr>
          <w:rFonts w:eastAsia="Arial Unicode MS" w:hAnsi="Arial Unicode MS" w:cs="Arial Unicode MS"/>
          <w:color w:val="000000"/>
          <w:szCs w:val="24"/>
          <w:u w:color="000000"/>
          <w:bdr w:val="nil"/>
        </w:rPr>
        <w:t xml:space="preserve">content (e.g. open access </w:t>
      </w:r>
      <w:r>
        <w:rPr>
          <w:rFonts w:eastAsia="Arial Unicode MS" w:hAnsi="Arial Unicode MS" w:cs="Arial Unicode MS"/>
          <w:color w:val="000000"/>
          <w:szCs w:val="24"/>
          <w:u w:color="000000"/>
          <w:bdr w:val="nil"/>
        </w:rPr>
        <w:t>content</w:t>
      </w:r>
      <w:r w:rsidRPr="00EC4FA4">
        <w:rPr>
          <w:rFonts w:eastAsia="Arial Unicode MS" w:hAnsi="Arial Unicode MS" w:cs="Arial Unicode MS"/>
          <w:color w:val="000000"/>
          <w:szCs w:val="24"/>
          <w:u w:color="000000"/>
          <w:bdr w:val="nil"/>
        </w:rPr>
        <w:t>)</w:t>
      </w:r>
      <w:r>
        <w:rPr>
          <w:rFonts w:eastAsia="Arial Unicode MS" w:hAnsi="Arial Unicode MS" w:cs="Arial Unicode MS"/>
          <w:color w:val="000000"/>
          <w:szCs w:val="24"/>
          <w:u w:color="000000"/>
          <w:bdr w:val="nil"/>
        </w:rPr>
        <w:t xml:space="preserve">. </w:t>
      </w:r>
    </w:p>
    <w:p w:rsidR="00083CE6" w:rsidRPr="003B43AF"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C13ED2">
        <w:rPr>
          <w:rFonts w:eastAsia="Arial Unicode MS" w:hAnsi="Arial Unicode MS" w:cs="Arial Unicode MS"/>
          <w:color w:val="000000"/>
          <w:szCs w:val="24"/>
          <w:u w:color="000000"/>
          <w:bdr w:val="nil"/>
        </w:rPr>
        <w:t xml:space="preserve">Permitted uses: lawful users would be permitted to carry out the reproductions which are necessary </w:t>
      </w:r>
      <w:r w:rsidRPr="003B43AF">
        <w:rPr>
          <w:rFonts w:eastAsia="Arial Unicode MS" w:hAnsi="Arial Unicode MS" w:cs="Arial Unicode MS"/>
          <w:color w:val="000000"/>
          <w:szCs w:val="24"/>
          <w:u w:color="000000"/>
          <w:bdr w:val="nil"/>
        </w:rPr>
        <w:t>for the TDM process, as long as the TDM is carried out for non-commercial scientific research purposes (within the meaning of the current research exceptions in the EU copyright rules which are subject to the "non-commercial purposes" condition).</w:t>
      </w:r>
      <w:r w:rsidRPr="003B43AF">
        <w:rPr>
          <w:rStyle w:val="FootnoteReference"/>
          <w:rFonts w:eastAsia="Arial Unicode MS" w:hAnsi="Arial Unicode MS" w:cs="Arial Unicode MS"/>
          <w:color w:val="000000"/>
          <w:szCs w:val="24"/>
          <w:u w:color="000000"/>
          <w:bdr w:val="nil"/>
        </w:rPr>
        <w:footnoteReference w:id="342"/>
      </w:r>
      <w:r w:rsidRPr="003B43AF">
        <w:rPr>
          <w:rFonts w:eastAsia="Arial Unicode MS" w:hAnsi="Arial Unicode MS" w:cs="Arial Unicode MS"/>
          <w:color w:val="000000"/>
          <w:szCs w:val="24"/>
          <w:u w:color="000000"/>
          <w:bdr w:val="nil"/>
        </w:rPr>
        <w:t xml:space="preserve"> The exception would not permit any communication to the public of the content being mined. </w:t>
      </w:r>
    </w:p>
    <w:p w:rsidR="00083CE6"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EC4FA4">
        <w:rPr>
          <w:rFonts w:eastAsia="Arial Unicode MS" w:hAnsi="Arial Unicode MS" w:cs="Arial Unicode MS"/>
          <w:color w:val="000000"/>
          <w:szCs w:val="24"/>
          <w:u w:color="000000"/>
          <w:bdr w:val="nil"/>
        </w:rPr>
        <w:t xml:space="preserve">Relationship with the </w:t>
      </w:r>
      <w:r w:rsidR="006D21E9">
        <w:rPr>
          <w:rFonts w:eastAsia="Arial Unicode MS" w:hAnsi="Arial Unicode MS" w:cs="Arial Unicode MS"/>
          <w:color w:val="000000"/>
          <w:szCs w:val="24"/>
          <w:u w:color="000000"/>
          <w:bdr w:val="nil"/>
        </w:rPr>
        <w:t>licensing</w:t>
      </w:r>
      <w:r w:rsidRPr="00EC4FA4">
        <w:rPr>
          <w:rFonts w:eastAsia="Arial Unicode MS" w:hAnsi="Arial Unicode MS" w:cs="Arial Unicode MS"/>
          <w:color w:val="000000"/>
          <w:szCs w:val="24"/>
          <w:u w:color="000000"/>
          <w:bdr w:val="nil"/>
        </w:rPr>
        <w:t xml:space="preserve"> market: given that lawful access will often be granted through contracts</w:t>
      </w:r>
      <w:r>
        <w:rPr>
          <w:rFonts w:eastAsia="Arial Unicode MS" w:hAnsi="Arial Unicode MS" w:cs="Arial Unicode MS"/>
          <w:color w:val="000000"/>
          <w:szCs w:val="24"/>
          <w:u w:color="000000"/>
          <w:bdr w:val="nil"/>
        </w:rPr>
        <w:t>,</w:t>
      </w:r>
      <w:r>
        <w:rPr>
          <w:rStyle w:val="FootnoteReference"/>
          <w:rFonts w:eastAsia="Arial Unicode MS" w:hAnsi="Arial Unicode MS" w:cs="Arial Unicode MS"/>
          <w:color w:val="000000"/>
          <w:szCs w:val="24"/>
          <w:u w:color="000000"/>
          <w:bdr w:val="nil"/>
        </w:rPr>
        <w:footnoteReference w:id="343"/>
      </w:r>
      <w:r>
        <w:rPr>
          <w:rFonts w:eastAsia="Arial Unicode MS" w:hAnsi="Arial Unicode MS" w:cs="Arial Unicode MS"/>
          <w:color w:val="000000"/>
          <w:szCs w:val="24"/>
          <w:u w:color="000000"/>
          <w:bdr w:val="nil"/>
        </w:rPr>
        <w:t xml:space="preserve"> </w:t>
      </w:r>
      <w:r w:rsidRPr="00EC4FA4">
        <w:rPr>
          <w:rFonts w:eastAsia="Arial Unicode MS" w:hAnsi="Arial Unicode MS" w:cs="Arial Unicode MS"/>
          <w:color w:val="000000"/>
          <w:szCs w:val="24"/>
          <w:u w:color="000000"/>
          <w:bdr w:val="nil"/>
        </w:rPr>
        <w:t xml:space="preserve">legislative intervention would also make clear that contractual terms that prevent or restrict uses permitted under the exception are null and </w:t>
      </w:r>
      <w:r w:rsidRPr="00AA2328">
        <w:rPr>
          <w:rFonts w:eastAsia="Arial Unicode MS" w:hAnsi="Arial Unicode MS" w:cs="Arial Unicode MS"/>
          <w:color w:val="000000"/>
          <w:szCs w:val="24"/>
          <w:u w:color="000000"/>
          <w:bdr w:val="nil"/>
        </w:rPr>
        <w:t xml:space="preserve">void. At the same time, </w:t>
      </w:r>
      <w:r w:rsidR="0002514A">
        <w:rPr>
          <w:rFonts w:eastAsia="Arial Unicode MS" w:hAnsi="Arial Unicode MS" w:cs="Arial Unicode MS"/>
          <w:color w:val="000000"/>
          <w:szCs w:val="24"/>
          <w:u w:color="000000"/>
          <w:bdr w:val="nil"/>
        </w:rPr>
        <w:t>r</w:t>
      </w:r>
      <w:r w:rsidR="00007677">
        <w:rPr>
          <w:rFonts w:eastAsia="Arial Unicode MS" w:hAnsi="Arial Unicode MS" w:cs="Arial Unicode MS"/>
          <w:color w:val="000000"/>
          <w:szCs w:val="24"/>
          <w:u w:color="000000"/>
          <w:bdr w:val="nil"/>
        </w:rPr>
        <w:t>ightholders</w:t>
      </w:r>
      <w:r>
        <w:rPr>
          <w:rFonts w:eastAsia="Arial Unicode MS" w:hAnsi="Arial Unicode MS" w:cs="Arial Unicode MS"/>
          <w:color w:val="000000"/>
          <w:szCs w:val="24"/>
          <w:u w:color="000000"/>
          <w:bdr w:val="nil"/>
        </w:rPr>
        <w:t xml:space="preserve"> would be </w:t>
      </w:r>
      <w:r w:rsidRPr="00137B49">
        <w:rPr>
          <w:rFonts w:eastAsia="Arial Unicode MS" w:hAnsi="Arial Unicode MS" w:cs="Arial Unicode MS"/>
          <w:color w:val="000000"/>
          <w:szCs w:val="24"/>
          <w:u w:color="000000"/>
          <w:bdr w:val="nil"/>
        </w:rPr>
        <w:t xml:space="preserve">allowed </w:t>
      </w:r>
      <w:r>
        <w:rPr>
          <w:rFonts w:eastAsia="Arial Unicode MS" w:hAnsi="Arial Unicode MS" w:cs="Arial Unicode MS"/>
          <w:color w:val="000000"/>
          <w:szCs w:val="24"/>
          <w:u w:color="000000"/>
          <w:bdr w:val="nil"/>
        </w:rPr>
        <w:t>to apply</w:t>
      </w:r>
      <w:r w:rsidRPr="00494E2E">
        <w:rPr>
          <w:rFonts w:eastAsia="Arial Unicode MS" w:hAnsi="Arial Unicode MS" w:cs="Arial Unicode MS"/>
          <w:color w:val="000000"/>
          <w:szCs w:val="24"/>
          <w:u w:color="000000"/>
          <w:bdr w:val="nil"/>
        </w:rPr>
        <w:t xml:space="preserve"> </w:t>
      </w:r>
      <w:r w:rsidRPr="00AA2328">
        <w:rPr>
          <w:rFonts w:eastAsia="Arial Unicode MS" w:hAnsi="Arial Unicode MS" w:cs="Arial Unicode MS"/>
          <w:color w:val="000000"/>
          <w:szCs w:val="24"/>
          <w:u w:color="000000"/>
          <w:bdr w:val="nil"/>
        </w:rPr>
        <w:t xml:space="preserve">proportionate measures </w:t>
      </w:r>
      <w:r w:rsidRPr="00494E2E">
        <w:rPr>
          <w:rFonts w:eastAsia="Arial Unicode MS" w:hAnsi="Arial Unicode MS" w:cs="Arial Unicode MS"/>
          <w:color w:val="000000"/>
          <w:szCs w:val="24"/>
          <w:u w:color="000000"/>
          <w:bdr w:val="nil"/>
        </w:rPr>
        <w:t>which</w:t>
      </w:r>
      <w:r>
        <w:rPr>
          <w:rFonts w:eastAsia="Arial Unicode MS" w:hAnsi="Arial Unicode MS" w:cs="Arial Unicode MS"/>
          <w:color w:val="000000"/>
          <w:szCs w:val="24"/>
          <w:u w:color="000000"/>
          <w:bdr w:val="nil"/>
        </w:rPr>
        <w:t xml:space="preserve"> are</w:t>
      </w:r>
      <w:r w:rsidRPr="00494E2E">
        <w:rPr>
          <w:rFonts w:eastAsia="Arial Unicode MS" w:hAnsi="Arial Unicode MS" w:cs="Arial Unicode MS"/>
          <w:color w:val="000000"/>
          <w:szCs w:val="24"/>
          <w:u w:color="000000"/>
          <w:bdr w:val="nil"/>
        </w:rPr>
        <w:t xml:space="preserve"> </w:t>
      </w:r>
      <w:r w:rsidRPr="00AA2328">
        <w:rPr>
          <w:rFonts w:eastAsia="Arial Unicode MS" w:hAnsi="Arial Unicode MS" w:cs="Arial Unicode MS"/>
          <w:color w:val="000000"/>
          <w:kern w:val="3"/>
          <w:szCs w:val="24"/>
          <w:u w:color="000000"/>
          <w:bdr w:val="nil"/>
        </w:rPr>
        <w:t xml:space="preserve">necessary to guarantee the security of the </w:t>
      </w:r>
      <w:r w:rsidRPr="00494E2E">
        <w:rPr>
          <w:rFonts w:eastAsia="Arial Unicode MS" w:hAnsi="Arial Unicode MS" w:cs="Arial Unicode MS"/>
          <w:color w:val="000000"/>
          <w:kern w:val="3"/>
          <w:szCs w:val="24"/>
          <w:u w:color="000000"/>
          <w:bdr w:val="nil"/>
        </w:rPr>
        <w:t>content</w:t>
      </w:r>
      <w:r w:rsidRPr="00AA2328">
        <w:rPr>
          <w:rFonts w:eastAsia="Arial Unicode MS" w:hAnsi="Arial Unicode MS" w:cs="Arial Unicode MS"/>
          <w:color w:val="000000"/>
          <w:kern w:val="3"/>
          <w:szCs w:val="24"/>
          <w:u w:color="000000"/>
          <w:bdr w:val="nil"/>
        </w:rPr>
        <w:t xml:space="preserve"> </w:t>
      </w:r>
      <w:r w:rsidRPr="00494E2E">
        <w:rPr>
          <w:rFonts w:eastAsia="Arial Unicode MS" w:hAnsi="Arial Unicode MS" w:cs="Arial Unicode MS"/>
          <w:color w:val="000000"/>
          <w:kern w:val="3"/>
          <w:szCs w:val="24"/>
          <w:u w:color="000000"/>
          <w:bdr w:val="nil"/>
        </w:rPr>
        <w:t xml:space="preserve">as long as this does not </w:t>
      </w:r>
      <w:r w:rsidRPr="00AA2328">
        <w:rPr>
          <w:rFonts w:eastAsia="Arial Unicode MS" w:hAnsi="Arial Unicode MS" w:cs="Arial Unicode MS"/>
          <w:color w:val="000000"/>
          <w:kern w:val="3"/>
          <w:szCs w:val="24"/>
          <w:u w:color="000000"/>
          <w:bdr w:val="nil"/>
        </w:rPr>
        <w:t xml:space="preserve">unduly hamper </w:t>
      </w:r>
      <w:r>
        <w:rPr>
          <w:rFonts w:eastAsia="Arial Unicode MS" w:hAnsi="Arial Unicode MS" w:cs="Arial Unicode MS"/>
          <w:color w:val="000000"/>
          <w:kern w:val="3"/>
          <w:szCs w:val="24"/>
          <w:u w:color="000000"/>
          <w:bdr w:val="nil"/>
        </w:rPr>
        <w:t>u</w:t>
      </w:r>
      <w:r w:rsidRPr="00AA2328">
        <w:rPr>
          <w:rFonts w:eastAsia="Arial Unicode MS" w:hAnsi="Arial Unicode MS" w:cs="Arial Unicode MS"/>
          <w:color w:val="000000"/>
          <w:kern w:val="3"/>
          <w:szCs w:val="24"/>
          <w:u w:color="000000"/>
          <w:bdr w:val="nil"/>
        </w:rPr>
        <w:t>ses covered by the exception</w:t>
      </w:r>
      <w:r w:rsidRPr="00AA2328">
        <w:rPr>
          <w:rFonts w:eastAsia="Arial Unicode MS" w:hAnsi="Arial Unicode MS" w:cs="Arial Unicode MS"/>
          <w:color w:val="000000"/>
          <w:szCs w:val="24"/>
          <w:u w:color="000000"/>
          <w:bdr w:val="nil"/>
        </w:rPr>
        <w:t xml:space="preserve">. </w:t>
      </w:r>
      <w:r>
        <w:rPr>
          <w:rFonts w:eastAsia="Arial Unicode MS" w:hAnsi="Arial Unicode MS" w:cs="Arial Unicode MS"/>
          <w:color w:val="000000"/>
          <w:szCs w:val="24"/>
          <w:u w:color="000000"/>
          <w:bdr w:val="nil"/>
        </w:rPr>
        <w:t>Additionally, t</w:t>
      </w:r>
      <w:r w:rsidRPr="00AA2328">
        <w:rPr>
          <w:rFonts w:eastAsia="Arial Unicode MS" w:hAnsi="Arial Unicode MS" w:cs="Arial Unicode MS"/>
          <w:color w:val="000000"/>
          <w:szCs w:val="24"/>
          <w:u w:color="000000"/>
          <w:bdr w:val="nil"/>
        </w:rPr>
        <w:t xml:space="preserve">he </w:t>
      </w:r>
      <w:r>
        <w:rPr>
          <w:rFonts w:eastAsia="Arial Unicode MS" w:hAnsi="Arial Unicode MS" w:cs="Arial Unicode MS"/>
          <w:color w:val="000000"/>
          <w:szCs w:val="24"/>
          <w:u w:color="000000"/>
          <w:bdr w:val="nil"/>
        </w:rPr>
        <w:t xml:space="preserve">legislative instrument would encourage stakeholder </w:t>
      </w:r>
      <w:r w:rsidRPr="00EC4FA4">
        <w:rPr>
          <w:rFonts w:eastAsia="Arial Unicode MS" w:hAnsi="Arial Unicode MS" w:cs="Arial Unicode MS"/>
          <w:color w:val="000000"/>
          <w:szCs w:val="24"/>
          <w:u w:color="000000"/>
          <w:bdr w:val="nil"/>
        </w:rPr>
        <w:t>dialogue</w:t>
      </w:r>
      <w:r>
        <w:rPr>
          <w:rFonts w:eastAsia="Arial Unicode MS" w:hAnsi="Arial Unicode MS" w:cs="Arial Unicode MS"/>
          <w:color w:val="000000"/>
          <w:szCs w:val="24"/>
          <w:u w:color="000000"/>
          <w:bdr w:val="nil"/>
        </w:rPr>
        <w:t>s</w:t>
      </w:r>
      <w:r w:rsidRPr="00EC4FA4">
        <w:rPr>
          <w:rFonts w:eastAsia="Arial Unicode MS" w:hAnsi="Arial Unicode MS" w:cs="Arial Unicode MS"/>
          <w:color w:val="000000"/>
          <w:szCs w:val="24"/>
          <w:u w:color="000000"/>
          <w:bdr w:val="nil"/>
        </w:rPr>
        <w:t xml:space="preserve"> </w:t>
      </w:r>
      <w:r>
        <w:rPr>
          <w:rFonts w:eastAsia="Arial Unicode MS" w:hAnsi="Arial Unicode MS" w:cs="Arial Unicode MS"/>
          <w:color w:val="000000"/>
          <w:szCs w:val="24"/>
          <w:u w:color="000000"/>
          <w:bdr w:val="nil"/>
        </w:rPr>
        <w:t xml:space="preserve">aiming at </w:t>
      </w:r>
      <w:r w:rsidRPr="00EC4FA4">
        <w:rPr>
          <w:rFonts w:eastAsia="Arial Unicode MS" w:hAnsi="Arial Unicode MS" w:cs="Arial Unicode MS"/>
          <w:color w:val="000000"/>
          <w:szCs w:val="24"/>
          <w:u w:color="000000"/>
          <w:bdr w:val="nil"/>
        </w:rPr>
        <w:t xml:space="preserve">setting up best practices and </w:t>
      </w:r>
      <w:r>
        <w:rPr>
          <w:rFonts w:eastAsia="Arial Unicode MS" w:hAnsi="Arial Unicode MS" w:cs="Arial Unicode MS"/>
          <w:color w:val="000000"/>
          <w:szCs w:val="24"/>
          <w:u w:color="000000"/>
          <w:bdr w:val="nil"/>
        </w:rPr>
        <w:t xml:space="preserve">mutually agreed </w:t>
      </w:r>
      <w:r w:rsidRPr="00EC4FA4">
        <w:rPr>
          <w:rFonts w:eastAsia="Arial Unicode MS" w:hAnsi="Arial Unicode MS" w:cs="Arial Unicode MS"/>
          <w:color w:val="000000"/>
          <w:szCs w:val="24"/>
          <w:u w:color="000000"/>
          <w:bdr w:val="nil"/>
        </w:rPr>
        <w:t>technical solutions</w:t>
      </w:r>
      <w:r w:rsidRPr="00AA2328">
        <w:rPr>
          <w:rFonts w:eastAsia="Arial Unicode MS" w:hAnsi="Arial Unicode MS" w:cs="Arial Unicode MS"/>
          <w:color w:val="000000"/>
          <w:szCs w:val="24"/>
          <w:u w:color="000000"/>
          <w:bdr w:val="nil"/>
        </w:rPr>
        <w:t xml:space="preserve"> </w:t>
      </w:r>
      <w:r w:rsidRPr="00EC4FA4">
        <w:rPr>
          <w:rFonts w:eastAsia="Arial Unicode MS" w:hAnsi="Arial Unicode MS" w:cs="Arial Unicode MS"/>
          <w:color w:val="000000"/>
          <w:szCs w:val="24"/>
          <w:u w:color="000000"/>
          <w:bdr w:val="nil"/>
        </w:rPr>
        <w:t xml:space="preserve">with regard to security aspects. </w:t>
      </w:r>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Pr>
          <w:szCs w:val="24"/>
        </w:rPr>
        <w:t xml:space="preserve">Compensation: the exception would not be subject to the payment of fair compensation to </w:t>
      </w:r>
      <w:r w:rsidR="0002514A">
        <w:rPr>
          <w:szCs w:val="24"/>
        </w:rPr>
        <w:t>r</w:t>
      </w:r>
      <w:r w:rsidR="00007677">
        <w:rPr>
          <w:szCs w:val="24"/>
        </w:rPr>
        <w:t>ightholders</w:t>
      </w:r>
      <w:r>
        <w:rPr>
          <w:szCs w:val="24"/>
        </w:rPr>
        <w:t xml:space="preserve"> as its specific features, notably the lawful access condition, allow </w:t>
      </w:r>
      <w:r w:rsidR="0002514A">
        <w:rPr>
          <w:szCs w:val="24"/>
        </w:rPr>
        <w:t>r</w:t>
      </w:r>
      <w:r w:rsidR="00007677">
        <w:rPr>
          <w:szCs w:val="24"/>
        </w:rPr>
        <w:t>ightholders</w:t>
      </w:r>
      <w:r>
        <w:rPr>
          <w:szCs w:val="24"/>
        </w:rPr>
        <w:t xml:space="preserve"> to keep generating revenues from the access to their content, notably through subscription licences. </w:t>
      </w:r>
    </w:p>
    <w:p w:rsidR="00083CE6"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sidRPr="00EC4FA4">
        <w:rPr>
          <w:rFonts w:eastAsia="Arial Unicode MS" w:hAnsi="Arial Unicode MS" w:cs="Arial Unicode MS"/>
          <w:color w:val="000000"/>
          <w:szCs w:val="24"/>
          <w:u w:color="000000"/>
          <w:bdr w:val="nil"/>
        </w:rPr>
        <w:t>Interaction with the current exceptions: the current research exceptions in the Info</w:t>
      </w:r>
      <w:r w:rsidR="00490192">
        <w:rPr>
          <w:rFonts w:eastAsia="Arial Unicode MS" w:hAnsi="Arial Unicode MS" w:cs="Arial Unicode MS"/>
          <w:color w:val="000000"/>
          <w:szCs w:val="24"/>
          <w:u w:color="000000"/>
          <w:bdr w:val="nil"/>
        </w:rPr>
        <w:t>S</w:t>
      </w:r>
      <w:r w:rsidRPr="00EC4FA4">
        <w:rPr>
          <w:rFonts w:eastAsia="Arial Unicode MS" w:hAnsi="Arial Unicode MS" w:cs="Arial Unicode MS"/>
          <w:color w:val="000000"/>
          <w:szCs w:val="24"/>
          <w:u w:color="000000"/>
          <w:bdr w:val="nil"/>
        </w:rPr>
        <w:t xml:space="preserve">oc and Database </w:t>
      </w:r>
      <w:r>
        <w:rPr>
          <w:rFonts w:eastAsia="Arial Unicode MS" w:hAnsi="Arial Unicode MS" w:cs="Arial Unicode MS"/>
          <w:color w:val="000000"/>
          <w:szCs w:val="24"/>
          <w:u w:color="000000"/>
          <w:bdr w:val="nil"/>
        </w:rPr>
        <w:t>d</w:t>
      </w:r>
      <w:r w:rsidRPr="00EC4FA4">
        <w:rPr>
          <w:rFonts w:eastAsia="Arial Unicode MS" w:hAnsi="Arial Unicode MS" w:cs="Arial Unicode MS"/>
          <w:color w:val="000000"/>
          <w:szCs w:val="24"/>
          <w:u w:color="000000"/>
          <w:bdr w:val="nil"/>
        </w:rPr>
        <w:t>irectives w</w:t>
      </w:r>
      <w:r>
        <w:rPr>
          <w:rFonts w:eastAsia="Arial Unicode MS" w:hAnsi="Arial Unicode MS" w:cs="Arial Unicode MS"/>
          <w:color w:val="000000"/>
          <w:szCs w:val="24"/>
          <w:u w:color="000000"/>
          <w:bdr w:val="nil"/>
        </w:rPr>
        <w:t xml:space="preserve">ould </w:t>
      </w:r>
      <w:r w:rsidRPr="00EC4FA4">
        <w:rPr>
          <w:rFonts w:eastAsia="Arial Unicode MS" w:hAnsi="Arial Unicode MS" w:cs="Arial Unicode MS"/>
          <w:color w:val="000000"/>
          <w:szCs w:val="24"/>
          <w:u w:color="000000"/>
          <w:bdr w:val="nil"/>
        </w:rPr>
        <w:t xml:space="preserve">remain untouched and continue to apply outside the scope of the new TDM exception. </w:t>
      </w:r>
      <w:r>
        <w:rPr>
          <w:rFonts w:eastAsia="Arial Unicode MS" w:hAnsi="Arial Unicode MS" w:cs="Arial Unicode MS"/>
          <w:color w:val="000000"/>
          <w:szCs w:val="24"/>
          <w:u w:color="000000"/>
          <w:bdr w:val="nil"/>
        </w:rPr>
        <w:t>The exception under this option would also be without prejudice to the transient copies exception under Article 5(1) of the Info</w:t>
      </w:r>
      <w:r w:rsidR="00490192">
        <w:rPr>
          <w:rFonts w:eastAsia="Arial Unicode MS" w:hAnsi="Arial Unicode MS" w:cs="Arial Unicode MS"/>
          <w:color w:val="000000"/>
          <w:szCs w:val="24"/>
          <w:u w:color="000000"/>
          <w:bdr w:val="nil"/>
        </w:rPr>
        <w:t>S</w:t>
      </w:r>
      <w:r>
        <w:rPr>
          <w:rFonts w:eastAsia="Arial Unicode MS" w:hAnsi="Arial Unicode MS" w:cs="Arial Unicode MS"/>
          <w:color w:val="000000"/>
          <w:szCs w:val="24"/>
          <w:u w:color="000000"/>
          <w:bdr w:val="nil"/>
        </w:rPr>
        <w:t xml:space="preserve">oc Directive. </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sidRPr="00DC00D9">
        <w:rPr>
          <w:rFonts w:ascii="Times New Roman" w:eastAsia="Arial Unicode MS" w:hAnsi="Arial Unicode MS" w:cs="Arial Unicode MS"/>
          <w:i/>
          <w:color w:val="000000"/>
          <w:sz w:val="20"/>
          <w:szCs w:val="20"/>
          <w:u w:color="000000"/>
          <w:bdr w:val="nil"/>
          <w:lang w:eastAsia="en-GB"/>
        </w:rPr>
        <w:t>Stakeholders' views</w:t>
      </w:r>
    </w:p>
    <w:p w:rsidR="00083CE6" w:rsidRPr="00DC00D9" w:rsidRDefault="00007677"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color w:val="000000"/>
          <w:sz w:val="20"/>
          <w:szCs w:val="20"/>
          <w:u w:color="000000"/>
          <w:bdr w:val="nil"/>
          <w:lang w:eastAsia="en-GB"/>
        </w:rPr>
      </w:pPr>
      <w:r>
        <w:rPr>
          <w:rFonts w:ascii="Times New Roman" w:eastAsia="Arial Unicode MS" w:hAnsi="Arial Unicode MS" w:cs="Arial Unicode MS"/>
          <w:color w:val="000000"/>
          <w:sz w:val="20"/>
          <w:szCs w:val="20"/>
          <w:u w:color="000000"/>
          <w:bdr w:val="nil"/>
          <w:lang w:eastAsia="en-GB"/>
        </w:rPr>
        <w:t>Rightholders</w:t>
      </w:r>
      <w:r w:rsidR="00083CE6" w:rsidRPr="00DC00D9">
        <w:rPr>
          <w:rFonts w:ascii="Times New Roman" w:eastAsia="Arial Unicode MS" w:hAnsi="Arial Unicode MS" w:cs="Arial Unicode MS"/>
          <w:color w:val="000000"/>
          <w:sz w:val="20"/>
          <w:szCs w:val="20"/>
          <w:u w:color="000000"/>
          <w:bdr w:val="nil"/>
          <w:lang w:eastAsia="en-GB"/>
        </w:rPr>
        <w:t>, publishers in particular, are strongly opposed to a legislative intervention introducing a TDM exception at EU level. Their main concern is an exception would facilitate the misuse and piracy of their content and make them lose business opportunities in future.</w:t>
      </w:r>
      <w:r w:rsidR="00083CE6" w:rsidRPr="00DC00D9">
        <w:rPr>
          <w:rFonts w:ascii="Times New Roman" w:eastAsia="Arial Unicode MS" w:hAnsi="Arial Unicode MS" w:cs="Arial Unicode MS"/>
          <w:color w:val="000000"/>
          <w:sz w:val="20"/>
          <w:szCs w:val="20"/>
          <w:u w:val="single" w:color="000000"/>
          <w:bdr w:val="nil"/>
          <w:lang w:eastAsia="en-GB"/>
        </w:rPr>
        <w:t xml:space="preserve"> </w:t>
      </w:r>
      <w:r w:rsidR="00083CE6" w:rsidRPr="00DC00D9">
        <w:rPr>
          <w:rFonts w:ascii="Times New Roman" w:eastAsia="Arial Unicode MS" w:hAnsi="Arial Unicode MS" w:cs="Arial Unicode MS"/>
          <w:color w:val="000000"/>
          <w:sz w:val="20"/>
          <w:szCs w:val="20"/>
          <w:u w:color="000000"/>
          <w:bdr w:val="nil"/>
          <w:lang w:eastAsia="en-GB"/>
        </w:rPr>
        <w:t xml:space="preserve">This option would be the least opposed by </w:t>
      </w:r>
      <w:r w:rsidR="0002514A">
        <w:rPr>
          <w:rFonts w:ascii="Times New Roman" w:eastAsia="Arial Unicode MS" w:hAnsi="Arial Unicode MS" w:cs="Arial Unicode MS"/>
          <w:color w:val="000000"/>
          <w:sz w:val="20"/>
          <w:szCs w:val="20"/>
          <w:u w:color="000000"/>
          <w:bdr w:val="nil"/>
          <w:lang w:eastAsia="en-GB"/>
        </w:rPr>
        <w:t>r</w:t>
      </w:r>
      <w:r>
        <w:rPr>
          <w:rFonts w:ascii="Times New Roman" w:eastAsia="Arial Unicode MS" w:hAnsi="Arial Unicode MS" w:cs="Arial Unicode MS"/>
          <w:color w:val="000000"/>
          <w:sz w:val="20"/>
          <w:szCs w:val="20"/>
          <w:u w:color="000000"/>
          <w:bdr w:val="nil"/>
          <w:lang w:eastAsia="en-GB"/>
        </w:rPr>
        <w:t>ightholders</w:t>
      </w:r>
      <w:r w:rsidR="00083CE6" w:rsidRPr="00DC00D9">
        <w:rPr>
          <w:rFonts w:ascii="Times New Roman" w:eastAsia="Arial Unicode MS" w:hAnsi="Arial Unicode MS" w:cs="Arial Unicode MS"/>
          <w:color w:val="000000"/>
          <w:sz w:val="20"/>
          <w:szCs w:val="20"/>
          <w:u w:color="000000"/>
          <w:bdr w:val="nil"/>
          <w:lang w:eastAsia="en-GB"/>
        </w:rPr>
        <w:t xml:space="preserve"> among the legislative options as it is clearly limited to TDM carried out for non-commercial research purposes. While it would go some way in addressing the problem (and to pursue their the "right to mine is the right to read" objective) researchers are likely to consider it insufficient to provide full legal certainty for TDM because of the "non-commercial" condition, in particular when research projects are carried out by public interest research organisations in partnerships with commercial operators.</w:t>
      </w:r>
      <w:r w:rsidR="00083CE6" w:rsidRPr="00DC00D9">
        <w:rPr>
          <w:rFonts w:ascii="Times New Roman" w:eastAsia="Arial Unicode MS" w:hAnsi="Arial Unicode MS" w:cs="Arial Unicode MS"/>
          <w:color w:val="000000"/>
          <w:sz w:val="20"/>
          <w:szCs w:val="20"/>
          <w:u w:color="000000"/>
          <w:bdr w:val="nil"/>
          <w:vertAlign w:val="superscript"/>
          <w:lang w:eastAsia="en-GB"/>
        </w:rPr>
        <w:footnoteReference w:id="344"/>
      </w:r>
      <w:r w:rsidR="00083CE6" w:rsidRPr="00DC00D9">
        <w:rPr>
          <w:rFonts w:ascii="Times New Roman" w:eastAsia="Arial Unicode MS" w:hAnsi="Arial Unicode MS" w:cs="Arial Unicode MS"/>
          <w:color w:val="000000"/>
          <w:sz w:val="20"/>
          <w:szCs w:val="20"/>
          <w:u w:color="000000"/>
          <w:bdr w:val="nil"/>
          <w:lang w:eastAsia="en-GB"/>
        </w:rPr>
        <w:t xml:space="preserve"> </w:t>
      </w:r>
    </w:p>
    <w:p w:rsidR="00083CE6" w:rsidRPr="0044353F" w:rsidRDefault="00083CE6" w:rsidP="00083CE6">
      <w:pPr>
        <w:pStyle w:val="Text1"/>
        <w:ind w:left="0"/>
        <w:rPr>
          <w:rFonts w:eastAsia="Arial Unicode MS"/>
          <w:b/>
          <w:szCs w:val="24"/>
          <w:bdr w:val="nil"/>
          <w:lang w:val="en-US"/>
        </w:rPr>
      </w:pPr>
      <w:r w:rsidRPr="00190031">
        <w:rPr>
          <w:rFonts w:eastAsia="Times New Roman"/>
          <w:b/>
          <w:szCs w:val="26"/>
        </w:rPr>
        <w:t>Option</w:t>
      </w:r>
      <w:r w:rsidRPr="00EC4FA4">
        <w:rPr>
          <w:rFonts w:eastAsia="Arial Unicode MS"/>
          <w:b/>
          <w:szCs w:val="24"/>
          <w:bdr w:val="nil"/>
          <w:lang w:val="en-US"/>
        </w:rPr>
        <w:t xml:space="preserve"> 3</w:t>
      </w:r>
      <w:r w:rsidRPr="00EC4FA4">
        <w:rPr>
          <w:rFonts w:eastAsia="Arial Unicode MS"/>
          <w:szCs w:val="24"/>
          <w:bdr w:val="nil"/>
          <w:lang w:val="en-US"/>
        </w:rPr>
        <w:t xml:space="preserve"> – </w:t>
      </w:r>
      <w:r w:rsidRPr="00EC4FA4">
        <w:rPr>
          <w:rFonts w:eastAsia="Arial Unicode MS"/>
          <w:b/>
          <w:szCs w:val="24"/>
          <w:bdr w:val="nil"/>
          <w:lang w:val="en-US"/>
        </w:rPr>
        <w:t xml:space="preserve">Mandatory exception applicable to </w:t>
      </w:r>
      <w:r w:rsidRPr="00EC4FA4">
        <w:rPr>
          <w:rFonts w:eastAsia="Arial Unicode MS"/>
          <w:b/>
          <w:szCs w:val="24"/>
          <w:u w:val="single"/>
          <w:bdr w:val="nil"/>
          <w:lang w:val="en-US"/>
        </w:rPr>
        <w:t>public interest research organisations</w:t>
      </w:r>
      <w:r w:rsidRPr="00EC4FA4">
        <w:rPr>
          <w:rFonts w:eastAsia="Arial Unicode MS"/>
          <w:b/>
          <w:szCs w:val="24"/>
          <w:bdr w:val="nil"/>
          <w:lang w:val="en-US"/>
        </w:rPr>
        <w:t xml:space="preserve"> covering text and data mining for the purposes of both </w:t>
      </w:r>
      <w:r w:rsidRPr="00EC4FA4">
        <w:rPr>
          <w:rFonts w:eastAsia="Arial Unicode MS"/>
          <w:b/>
          <w:szCs w:val="24"/>
          <w:u w:val="single"/>
          <w:bdr w:val="nil"/>
          <w:lang w:val="en-US"/>
        </w:rPr>
        <w:t>non-commercial and commercial</w:t>
      </w:r>
      <w:r w:rsidRPr="00EC4FA4">
        <w:rPr>
          <w:rFonts w:eastAsia="Arial Unicode MS"/>
          <w:b/>
          <w:szCs w:val="24"/>
          <w:bdr w:val="nil"/>
          <w:lang w:val="en-US"/>
        </w:rPr>
        <w:t xml:space="preserve"> scientific research</w:t>
      </w:r>
    </w:p>
    <w:p w:rsidR="00083CE6" w:rsidRPr="00EC4FA4" w:rsidRDefault="00083CE6" w:rsidP="00083CE6">
      <w:pPr>
        <w:pBdr>
          <w:top w:val="nil"/>
          <w:left w:val="nil"/>
          <w:bottom w:val="nil"/>
          <w:right w:val="nil"/>
          <w:between w:val="nil"/>
          <w:bar w:val="nil"/>
        </w:pBdr>
        <w:spacing w:after="120" w:line="240" w:lineRule="auto"/>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 xml:space="preserve">As Option 2 for all the </w:t>
      </w:r>
      <w:r w:rsidRPr="00DC00D9">
        <w:rPr>
          <w:rFonts w:ascii="Times New Roman" w:eastAsia="Arial Unicode MS" w:hAnsi="Arial Unicode MS" w:cs="Arial Unicode MS"/>
          <w:color w:val="000000"/>
          <w:sz w:val="24"/>
          <w:szCs w:val="24"/>
          <w:u w:color="000000"/>
          <w:bdr w:val="nil"/>
          <w:lang w:eastAsia="en-GB"/>
        </w:rPr>
        <w:t>points</w:t>
      </w:r>
      <w:r>
        <w:rPr>
          <w:rStyle w:val="FootnoteReference"/>
          <w:rFonts w:ascii="Times New Roman" w:eastAsia="Arial Unicode MS" w:hAnsi="Arial Unicode MS" w:cs="Arial Unicode MS"/>
          <w:color w:val="000000"/>
          <w:sz w:val="24"/>
          <w:szCs w:val="24"/>
          <w:u w:color="000000"/>
          <w:bdr w:val="nil"/>
          <w:lang w:eastAsia="en-GB"/>
        </w:rPr>
        <w:footnoteReference w:id="345"/>
      </w:r>
      <w:r>
        <w:rPr>
          <w:rFonts w:ascii="Times New Roman" w:eastAsia="Arial Unicode MS" w:hAnsi="Times New Roman" w:cs="Times New Roman"/>
          <w:sz w:val="24"/>
          <w:szCs w:val="24"/>
          <w:bdr w:val="nil"/>
          <w:lang w:val="en-US"/>
        </w:rPr>
        <w:t xml:space="preserve"> except for the beneficiaries of the exception and the purpose of the scientific research</w:t>
      </w:r>
      <w:r w:rsidRPr="00AD7CD9">
        <w:rPr>
          <w:rFonts w:ascii="Times New Roman" w:eastAsia="Arial Unicode MS" w:hAnsi="Times New Roman" w:cs="Times New Roman"/>
          <w:sz w:val="24"/>
          <w:szCs w:val="24"/>
          <w:bdr w:val="nil"/>
          <w:lang w:val="en-US"/>
        </w:rPr>
        <w:t xml:space="preserve"> </w:t>
      </w:r>
      <w:r>
        <w:rPr>
          <w:rFonts w:ascii="Times New Roman" w:eastAsia="Arial Unicode MS" w:hAnsi="Times New Roman" w:cs="Times New Roman"/>
          <w:sz w:val="24"/>
          <w:szCs w:val="24"/>
          <w:bdr w:val="nil"/>
          <w:lang w:val="en-US"/>
        </w:rPr>
        <w:t>which would be as follows:</w:t>
      </w:r>
    </w:p>
    <w:p w:rsidR="00083CE6" w:rsidRPr="003B43AF" w:rsidRDefault="00083CE6" w:rsidP="00083CE6">
      <w:pPr>
        <w:pStyle w:val="Text1"/>
        <w:numPr>
          <w:ilvl w:val="0"/>
          <w:numId w:val="37"/>
        </w:numPr>
        <w:ind w:left="426" w:hanging="426"/>
        <w:rPr>
          <w:rFonts w:eastAsia="Arial Unicode MS" w:hAnsi="Arial Unicode MS" w:cs="Arial Unicode MS"/>
          <w:i/>
          <w:color w:val="000000"/>
          <w:szCs w:val="24"/>
          <w:u w:color="000000"/>
          <w:bdr w:val="nil"/>
        </w:rPr>
      </w:pPr>
      <w:r w:rsidRPr="00C13ED2">
        <w:rPr>
          <w:rFonts w:eastAsia="Arial Unicode MS" w:hAnsi="Arial Unicode MS" w:cs="Arial Unicode MS"/>
          <w:color w:val="000000"/>
          <w:szCs w:val="24"/>
          <w:u w:color="000000"/>
          <w:bdr w:val="nil"/>
        </w:rPr>
        <w:t>The exception would only apply to research organisations</w:t>
      </w:r>
      <w:r w:rsidRPr="003B43AF">
        <w:rPr>
          <w:rFonts w:eastAsia="Arial Unicode MS" w:hAnsi="Arial Unicode MS" w:cs="Arial Unicode MS"/>
          <w:color w:val="000000"/>
          <w:szCs w:val="24"/>
          <w:u w:color="000000"/>
          <w:bdr w:val="nil"/>
        </w:rPr>
        <w:t xml:space="preserve"> carrying out research in the public interest as opposed to commercial companies that would not be beneficiaries of the exception under this option. The concept of research organisations would be defined in the legal instrument to encompass different organisations across MS which have as their primary goal to conduct scientific research either on a non-for profit basis or pursuant to a public interest mission. This will cover for example universities</w:t>
      </w:r>
      <w:r w:rsidRPr="00AD57F7">
        <w:rPr>
          <w:rFonts w:eastAsia="Arial Unicode MS" w:hAnsi="Arial Unicode MS" w:cs="Arial Unicode MS"/>
          <w:color w:val="000000"/>
          <w:szCs w:val="24"/>
          <w:u w:color="000000"/>
          <w:bdr w:val="nil"/>
        </w:rPr>
        <w:t>,</w:t>
      </w:r>
      <w:r w:rsidRPr="003B43AF">
        <w:rPr>
          <w:rFonts w:eastAsia="Arial Unicode MS" w:hAnsi="Arial Unicode MS" w:cs="Arial Unicode MS"/>
          <w:color w:val="000000"/>
          <w:szCs w:val="24"/>
          <w:u w:color="000000"/>
          <w:bdr w:val="nil"/>
        </w:rPr>
        <w:t xml:space="preserve"> research institutes</w:t>
      </w:r>
      <w:r w:rsidRPr="00AD57F7">
        <w:rPr>
          <w:rFonts w:eastAsia="Arial Unicode MS" w:hAnsi="Arial Unicode MS" w:cs="Arial Unicode MS"/>
          <w:color w:val="000000"/>
          <w:szCs w:val="24"/>
          <w:u w:color="000000"/>
          <w:bdr w:val="nil"/>
        </w:rPr>
        <w:t xml:space="preserve"> and similar research organisations.</w:t>
      </w:r>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 xml:space="preserve">At the same time, </w:t>
      </w:r>
      <w:r w:rsidRPr="00EC4FA4">
        <w:rPr>
          <w:rFonts w:eastAsia="Arial Unicode MS" w:hAnsi="Arial Unicode MS" w:cs="Arial Unicode MS"/>
          <w:color w:val="000000"/>
          <w:szCs w:val="24"/>
          <w:u w:color="000000"/>
          <w:bdr w:val="nil"/>
        </w:rPr>
        <w:t>the exception would</w:t>
      </w:r>
      <w:r>
        <w:rPr>
          <w:rFonts w:eastAsia="Arial Unicode MS" w:hAnsi="Arial Unicode MS" w:cs="Arial Unicode MS"/>
          <w:color w:val="000000"/>
          <w:szCs w:val="24"/>
          <w:u w:color="000000"/>
          <w:bdr w:val="nil"/>
        </w:rPr>
        <w:t xml:space="preserve"> go beyond </w:t>
      </w:r>
      <w:r w:rsidR="00FA4F47">
        <w:rPr>
          <w:rFonts w:eastAsia="Arial Unicode MS" w:hAnsi="Arial Unicode MS" w:cs="Arial Unicode MS"/>
          <w:color w:val="000000"/>
          <w:szCs w:val="24"/>
          <w:u w:color="000000"/>
          <w:bdr w:val="nil"/>
        </w:rPr>
        <w:t>O</w:t>
      </w:r>
      <w:r>
        <w:rPr>
          <w:rFonts w:eastAsia="Arial Unicode MS" w:hAnsi="Arial Unicode MS" w:cs="Arial Unicode MS"/>
          <w:color w:val="000000"/>
          <w:szCs w:val="24"/>
          <w:u w:color="000000"/>
          <w:bdr w:val="nil"/>
        </w:rPr>
        <w:t>ption 2 in the sense that it would</w:t>
      </w:r>
      <w:r w:rsidRPr="00EC4FA4">
        <w:rPr>
          <w:rFonts w:eastAsia="Arial Unicode MS" w:hAnsi="Arial Unicode MS" w:cs="Arial Unicode MS"/>
          <w:color w:val="000000"/>
          <w:szCs w:val="24"/>
          <w:u w:color="000000"/>
          <w:bdr w:val="nil"/>
        </w:rPr>
        <w:t xml:space="preserve"> permit </w:t>
      </w:r>
      <w:r>
        <w:rPr>
          <w:rFonts w:eastAsia="Arial Unicode MS" w:hAnsi="Arial Unicode MS" w:cs="Arial Unicode MS"/>
          <w:color w:val="000000"/>
          <w:szCs w:val="24"/>
          <w:u w:color="000000"/>
          <w:bdr w:val="nil"/>
        </w:rPr>
        <w:t xml:space="preserve">research organisations as defined above </w:t>
      </w:r>
      <w:r w:rsidRPr="00EC4FA4">
        <w:rPr>
          <w:rFonts w:eastAsia="Arial Unicode MS" w:hAnsi="Arial Unicode MS" w:cs="Arial Unicode MS"/>
          <w:color w:val="000000"/>
          <w:szCs w:val="24"/>
          <w:u w:color="000000"/>
          <w:bdr w:val="nil"/>
        </w:rPr>
        <w:t>to carry out TDM on content they have lawful access to irrespective from the non-commercial or commercial purpose of their scientific research. This would cover notably research projects carried out in the framework of P</w:t>
      </w:r>
      <w:r>
        <w:rPr>
          <w:rFonts w:eastAsia="Arial Unicode MS" w:hAnsi="Arial Unicode MS" w:cs="Arial Unicode MS"/>
          <w:color w:val="000000"/>
          <w:szCs w:val="24"/>
          <w:u w:color="000000"/>
          <w:bdr w:val="nil"/>
        </w:rPr>
        <w:t>ublic-</w:t>
      </w:r>
      <w:r w:rsidRPr="00EC4FA4">
        <w:rPr>
          <w:rFonts w:eastAsia="Arial Unicode MS" w:hAnsi="Arial Unicode MS" w:cs="Arial Unicode MS"/>
          <w:color w:val="000000"/>
          <w:szCs w:val="24"/>
          <w:u w:color="000000"/>
          <w:bdr w:val="nil"/>
        </w:rPr>
        <w:t>P</w:t>
      </w:r>
      <w:r>
        <w:rPr>
          <w:rFonts w:eastAsia="Arial Unicode MS" w:hAnsi="Arial Unicode MS" w:cs="Arial Unicode MS"/>
          <w:color w:val="000000"/>
          <w:szCs w:val="24"/>
          <w:u w:color="000000"/>
          <w:bdr w:val="nil"/>
        </w:rPr>
        <w:t xml:space="preserve">rivate </w:t>
      </w:r>
      <w:r w:rsidRPr="00EC4FA4">
        <w:rPr>
          <w:rFonts w:eastAsia="Arial Unicode MS" w:hAnsi="Arial Unicode MS" w:cs="Arial Unicode MS"/>
          <w:color w:val="000000"/>
          <w:szCs w:val="24"/>
          <w:u w:color="000000"/>
          <w:bdr w:val="nil"/>
        </w:rPr>
        <w:t>P</w:t>
      </w:r>
      <w:r>
        <w:rPr>
          <w:rFonts w:eastAsia="Arial Unicode MS" w:hAnsi="Arial Unicode MS" w:cs="Arial Unicode MS"/>
          <w:color w:val="000000"/>
          <w:szCs w:val="24"/>
          <w:u w:color="000000"/>
          <w:bdr w:val="nil"/>
        </w:rPr>
        <w:t>artnership</w:t>
      </w:r>
      <w:r w:rsidRPr="00EC4FA4">
        <w:rPr>
          <w:rFonts w:eastAsia="Arial Unicode MS" w:hAnsi="Arial Unicode MS" w:cs="Arial Unicode MS"/>
          <w:color w:val="000000"/>
          <w:szCs w:val="24"/>
          <w:u w:color="000000"/>
          <w:bdr w:val="nil"/>
        </w:rPr>
        <w:t>s</w:t>
      </w:r>
      <w:r>
        <w:rPr>
          <w:rFonts w:eastAsia="Arial Unicode MS" w:hAnsi="Arial Unicode MS" w:cs="Arial Unicode MS"/>
          <w:color w:val="000000"/>
          <w:szCs w:val="24"/>
          <w:u w:color="000000"/>
          <w:bdr w:val="nil"/>
        </w:rPr>
        <w:t xml:space="preserve"> (PPPs</w:t>
      </w:r>
      <w:r w:rsidRPr="00EC4FA4">
        <w:rPr>
          <w:rFonts w:eastAsia="Arial Unicode MS" w:hAnsi="Arial Unicode MS" w:cs="Arial Unicode MS"/>
          <w:color w:val="000000"/>
          <w:szCs w:val="24"/>
          <w:u w:color="000000"/>
          <w:bdr w:val="nil"/>
        </w:rPr>
        <w:t>, which may have an ultimate commercial outcome</w:t>
      </w:r>
      <w:r>
        <w:rPr>
          <w:rFonts w:eastAsia="Arial Unicode MS" w:hAnsi="Arial Unicode MS" w:cs="Arial Unicode MS"/>
          <w:color w:val="000000"/>
          <w:szCs w:val="24"/>
          <w:u w:color="000000"/>
          <w:bdr w:val="nil"/>
        </w:rPr>
        <w:t>)</w:t>
      </w:r>
      <w:r w:rsidRPr="00EC4FA4">
        <w:rPr>
          <w:rFonts w:eastAsia="Arial Unicode MS" w:hAnsi="Arial Unicode MS" w:cs="Arial Unicode MS"/>
          <w:color w:val="000000"/>
          <w:szCs w:val="24"/>
          <w:u w:color="000000"/>
          <w:bdr w:val="nil"/>
        </w:rPr>
        <w:t xml:space="preserve">. </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sidRPr="00DC00D9">
        <w:rPr>
          <w:rFonts w:ascii="Times New Roman" w:eastAsia="Arial Unicode MS" w:hAnsi="Arial Unicode MS" w:cs="Arial Unicode MS"/>
          <w:i/>
          <w:color w:val="000000"/>
          <w:sz w:val="20"/>
          <w:szCs w:val="20"/>
          <w:u w:color="000000"/>
          <w:bdr w:val="nil"/>
          <w:lang w:eastAsia="en-GB"/>
        </w:rPr>
        <w:t>Stakeholders' views</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color w:val="000000"/>
          <w:sz w:val="20"/>
          <w:szCs w:val="20"/>
          <w:u w:color="000000"/>
          <w:bdr w:val="nil"/>
          <w:lang w:eastAsia="en-GB"/>
        </w:rPr>
      </w:pPr>
      <w:r w:rsidRPr="00DC00D9">
        <w:rPr>
          <w:rFonts w:ascii="Times New Roman" w:eastAsia="Arial Unicode MS" w:hAnsi="Arial Unicode MS" w:cs="Arial Unicode MS"/>
          <w:color w:val="000000"/>
          <w:sz w:val="20"/>
          <w:szCs w:val="20"/>
          <w:u w:color="000000"/>
          <w:bdr w:val="nil"/>
          <w:lang w:eastAsia="en-GB"/>
        </w:rPr>
        <w:t xml:space="preserve">Researchers generally consider this option favourably as it would increase legal certainty for their organisations to perform TDM, including in the context of PPPs. At the same time part of the research community has expressed the concern that the concept of public interest organisation could be difficult to define and, more generally that a TDM exception should be extended to anybody who has lawful access and covering both non-commercial and commercial research. </w:t>
      </w:r>
      <w:r w:rsidR="00007677">
        <w:rPr>
          <w:rFonts w:ascii="Times New Roman" w:eastAsia="Arial Unicode MS" w:hAnsi="Arial Unicode MS" w:cs="Arial Unicode MS"/>
          <w:color w:val="000000"/>
          <w:sz w:val="20"/>
          <w:szCs w:val="20"/>
          <w:u w:color="000000"/>
          <w:bdr w:val="nil"/>
          <w:lang w:eastAsia="en-GB"/>
        </w:rPr>
        <w:t>Rightholders</w:t>
      </w:r>
      <w:r w:rsidRPr="00DC00D9">
        <w:rPr>
          <w:rFonts w:ascii="Times New Roman" w:eastAsia="Arial Unicode MS" w:hAnsi="Arial Unicode MS" w:cs="Arial Unicode MS"/>
          <w:color w:val="000000"/>
          <w:sz w:val="20"/>
          <w:szCs w:val="20"/>
          <w:u w:color="000000"/>
          <w:bdr w:val="nil"/>
          <w:lang w:eastAsia="en-GB"/>
        </w:rPr>
        <w:t xml:space="preserve"> are against any legal intervention, but they may </w:t>
      </w:r>
      <w:r>
        <w:rPr>
          <w:rFonts w:ascii="Times New Roman" w:eastAsia="Arial Unicode MS" w:hAnsi="Arial Unicode MS" w:cs="Arial Unicode MS"/>
          <w:color w:val="000000"/>
          <w:sz w:val="20"/>
          <w:szCs w:val="20"/>
          <w:u w:color="000000"/>
          <w:bdr w:val="nil"/>
          <w:lang w:eastAsia="en-GB"/>
        </w:rPr>
        <w:t xml:space="preserve">favour </w:t>
      </w:r>
      <w:r w:rsidRPr="00DC00D9">
        <w:rPr>
          <w:rFonts w:ascii="Times New Roman" w:eastAsia="Arial Unicode MS" w:hAnsi="Arial Unicode MS" w:cs="Arial Unicode MS"/>
          <w:color w:val="000000"/>
          <w:sz w:val="20"/>
          <w:szCs w:val="20"/>
          <w:u w:color="000000"/>
          <w:bdr w:val="nil"/>
          <w:lang w:eastAsia="en-GB"/>
        </w:rPr>
        <w:t xml:space="preserve">this option as </w:t>
      </w:r>
      <w:r>
        <w:rPr>
          <w:rFonts w:ascii="Times New Roman" w:eastAsia="Arial Unicode MS" w:hAnsi="Arial Unicode MS" w:cs="Arial Unicode MS"/>
          <w:color w:val="000000"/>
          <w:sz w:val="20"/>
          <w:szCs w:val="20"/>
          <w:u w:color="000000"/>
          <w:bdr w:val="nil"/>
          <w:lang w:eastAsia="en-GB"/>
        </w:rPr>
        <w:t xml:space="preserve">compared to a broader exception as </w:t>
      </w:r>
      <w:r w:rsidRPr="00DC00D9">
        <w:rPr>
          <w:rFonts w:ascii="Times New Roman" w:eastAsia="Arial Unicode MS" w:hAnsi="Arial Unicode MS" w:cs="Arial Unicode MS"/>
          <w:color w:val="000000"/>
          <w:sz w:val="20"/>
          <w:szCs w:val="20"/>
          <w:u w:color="000000"/>
          <w:bdr w:val="nil"/>
          <w:lang w:eastAsia="en-GB"/>
        </w:rPr>
        <w:t>the intervention would be limited to public interest research organisations</w:t>
      </w:r>
      <w:r w:rsidR="00134CF6">
        <w:rPr>
          <w:rFonts w:ascii="Times New Roman" w:eastAsia="Arial Unicode MS" w:hAnsi="Arial Unicode MS" w:cs="Arial Unicode MS"/>
          <w:color w:val="000000"/>
          <w:sz w:val="20"/>
          <w:szCs w:val="20"/>
          <w:u w:color="000000"/>
          <w:bdr w:val="nil"/>
          <w:lang w:eastAsia="en-GB"/>
        </w:rPr>
        <w:t>.</w:t>
      </w:r>
      <w:r w:rsidRPr="00DC00D9">
        <w:rPr>
          <w:rFonts w:ascii="Times New Roman" w:eastAsia="Arial Unicode MS" w:hAnsi="Arial Unicode MS" w:cs="Arial Unicode MS"/>
          <w:color w:val="000000"/>
          <w:sz w:val="20"/>
          <w:szCs w:val="20"/>
          <w:u w:color="000000"/>
          <w:bdr w:val="nil"/>
          <w:lang w:eastAsia="en-GB"/>
        </w:rPr>
        <w:t xml:space="preserve"> </w:t>
      </w:r>
    </w:p>
    <w:p w:rsidR="00083CE6" w:rsidRPr="00EC4FA4" w:rsidRDefault="00083CE6" w:rsidP="00083CE6">
      <w:pPr>
        <w:pStyle w:val="Text1"/>
        <w:ind w:left="0"/>
        <w:rPr>
          <w:rFonts w:eastAsia="Times New Roman"/>
          <w:b/>
          <w:bCs/>
          <w:szCs w:val="26"/>
        </w:rPr>
      </w:pPr>
      <w:bookmarkStart w:id="88" w:name="_Toc454351330"/>
      <w:bookmarkStart w:id="89" w:name="_Toc454561746"/>
      <w:r w:rsidRPr="00EC4FA4">
        <w:rPr>
          <w:rFonts w:eastAsia="Times New Roman"/>
          <w:b/>
          <w:bCs/>
          <w:szCs w:val="26"/>
        </w:rPr>
        <w:t xml:space="preserve">Option 4 – Mandatory exception applicable to </w:t>
      </w:r>
      <w:r w:rsidRPr="00EC4FA4">
        <w:rPr>
          <w:rFonts w:eastAsia="Times New Roman"/>
          <w:b/>
          <w:bCs/>
          <w:szCs w:val="26"/>
          <w:u w:val="single"/>
        </w:rPr>
        <w:t>anybody who has lawful access</w:t>
      </w:r>
      <w:r w:rsidRPr="00EC4FA4">
        <w:rPr>
          <w:rFonts w:eastAsia="Times New Roman"/>
          <w:b/>
          <w:bCs/>
          <w:szCs w:val="26"/>
        </w:rPr>
        <w:t xml:space="preserve"> (</w:t>
      </w:r>
      <w:r>
        <w:rPr>
          <w:rFonts w:eastAsia="Times New Roman"/>
          <w:b/>
          <w:bCs/>
          <w:szCs w:val="26"/>
        </w:rPr>
        <w:t xml:space="preserve">including </w:t>
      </w:r>
      <w:r w:rsidRPr="00EC4FA4">
        <w:rPr>
          <w:rFonts w:eastAsia="Times New Roman"/>
          <w:b/>
          <w:bCs/>
          <w:szCs w:val="26"/>
        </w:rPr>
        <w:t xml:space="preserve">both public interest </w:t>
      </w:r>
      <w:r>
        <w:rPr>
          <w:rFonts w:eastAsia="Times New Roman"/>
          <w:b/>
          <w:bCs/>
          <w:szCs w:val="26"/>
        </w:rPr>
        <w:t xml:space="preserve">research </w:t>
      </w:r>
      <w:r w:rsidRPr="00EC4FA4">
        <w:rPr>
          <w:rFonts w:eastAsia="Times New Roman"/>
          <w:b/>
          <w:bCs/>
          <w:szCs w:val="26"/>
        </w:rPr>
        <w:t>organisations and businesses) covering text and data mining for any scientific research purposes</w:t>
      </w:r>
      <w:r>
        <w:rPr>
          <w:rFonts w:eastAsia="Times New Roman"/>
          <w:b/>
          <w:bCs/>
          <w:szCs w:val="26"/>
        </w:rPr>
        <w:t>.</w:t>
      </w:r>
      <w:bookmarkEnd w:id="88"/>
      <w:bookmarkEnd w:id="89"/>
    </w:p>
    <w:p w:rsidR="00083CE6" w:rsidRPr="00EC4FA4" w:rsidRDefault="00083CE6" w:rsidP="00083CE6">
      <w:pPr>
        <w:pStyle w:val="Text1"/>
        <w:ind w:left="0"/>
        <w:rPr>
          <w:rFonts w:eastAsia="Arial Unicode MS"/>
          <w:i/>
          <w:szCs w:val="24"/>
          <w:bdr w:val="nil"/>
        </w:rPr>
      </w:pPr>
      <w:r w:rsidRPr="00EC4FA4">
        <w:rPr>
          <w:rFonts w:eastAsia="Arial Unicode MS"/>
          <w:i/>
          <w:szCs w:val="24"/>
          <w:bdr w:val="nil"/>
        </w:rPr>
        <w:t>Main elements:</w:t>
      </w:r>
    </w:p>
    <w:p w:rsidR="00083CE6" w:rsidRPr="00EC4FA4" w:rsidRDefault="00083CE6" w:rsidP="00083CE6">
      <w:pPr>
        <w:pStyle w:val="Text1"/>
        <w:numPr>
          <w:ilvl w:val="0"/>
          <w:numId w:val="37"/>
        </w:numPr>
        <w:ind w:left="426" w:hanging="426"/>
        <w:rPr>
          <w:rFonts w:eastAsia="Arial Unicode MS" w:hAnsi="Arial Unicode MS" w:cs="Arial Unicode MS"/>
          <w:color w:val="000000"/>
          <w:szCs w:val="24"/>
          <w:u w:color="000000"/>
          <w:bdr w:val="nil"/>
        </w:rPr>
      </w:pPr>
      <w:r>
        <w:rPr>
          <w:rFonts w:eastAsia="Arial Unicode MS" w:hAnsi="Arial Unicode MS" w:cs="Arial Unicode MS"/>
          <w:color w:val="000000"/>
          <w:szCs w:val="24"/>
          <w:u w:color="000000"/>
          <w:bdr w:val="nil"/>
        </w:rPr>
        <w:t>As O</w:t>
      </w:r>
      <w:r w:rsidRPr="00EC4FA4">
        <w:rPr>
          <w:rFonts w:eastAsia="Arial Unicode MS" w:hAnsi="Arial Unicode MS" w:cs="Arial Unicode MS"/>
          <w:color w:val="000000"/>
          <w:szCs w:val="24"/>
          <w:u w:color="000000"/>
          <w:bdr w:val="nil"/>
        </w:rPr>
        <w:t xml:space="preserve">ption 2 but under this option the exception would permit any user who has lawful access to carry out TDM for the purposes of both non-commercial and commercial scientific research. </w:t>
      </w:r>
      <w:r w:rsidRPr="00EC4FA4">
        <w:rPr>
          <w:rFonts w:eastAsia="Arial Unicode MS"/>
          <w:szCs w:val="24"/>
          <w:u w:color="000000"/>
          <w:bdr w:val="nil"/>
        </w:rPr>
        <w:t>Differently from the other legislative options, the exception would not be limited to non-commercial use</w:t>
      </w:r>
      <w:r>
        <w:rPr>
          <w:rFonts w:eastAsia="Arial Unicode MS"/>
          <w:szCs w:val="24"/>
          <w:u w:color="000000"/>
          <w:bdr w:val="nil"/>
        </w:rPr>
        <w:t xml:space="preserve"> (Option 2) </w:t>
      </w:r>
      <w:r w:rsidRPr="00EC4FA4">
        <w:rPr>
          <w:rFonts w:eastAsia="Arial Unicode MS"/>
          <w:szCs w:val="24"/>
          <w:u w:color="000000"/>
          <w:bdr w:val="nil"/>
        </w:rPr>
        <w:t>nor to specific beneficiaries</w:t>
      </w:r>
      <w:r>
        <w:rPr>
          <w:rFonts w:eastAsia="Arial Unicode MS"/>
          <w:szCs w:val="24"/>
          <w:u w:color="000000"/>
          <w:bdr w:val="nil"/>
        </w:rPr>
        <w:t xml:space="preserve"> (Option 3).</w:t>
      </w:r>
      <w:r w:rsidRPr="00EC4FA4">
        <w:rPr>
          <w:rFonts w:eastAsia="Arial Unicode MS" w:hAnsi="Arial Unicode MS" w:cs="Arial Unicode MS"/>
          <w:color w:val="000000"/>
          <w:szCs w:val="24"/>
          <w:u w:color="000000"/>
          <w:bdr w:val="nil"/>
        </w:rPr>
        <w:t xml:space="preserve"> In practice this intervention would cover TDM for scientific research beyond public research area, notably when carried out by commercial operators such as life science companies. </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0" w:line="240" w:lineRule="auto"/>
        <w:jc w:val="both"/>
        <w:rPr>
          <w:rFonts w:ascii="Times New Roman" w:eastAsia="Arial Unicode MS" w:hAnsi="Arial Unicode MS" w:cs="Arial Unicode MS"/>
          <w:i/>
          <w:color w:val="000000"/>
          <w:sz w:val="20"/>
          <w:szCs w:val="20"/>
          <w:u w:color="000000"/>
          <w:bdr w:val="nil"/>
          <w:lang w:eastAsia="en-GB"/>
        </w:rPr>
      </w:pPr>
      <w:r w:rsidRPr="00DC00D9">
        <w:rPr>
          <w:rFonts w:ascii="Times New Roman" w:eastAsia="Arial Unicode MS" w:hAnsi="Arial Unicode MS" w:cs="Arial Unicode MS"/>
          <w:i/>
          <w:color w:val="000000"/>
          <w:sz w:val="20"/>
          <w:szCs w:val="20"/>
          <w:u w:color="000000"/>
          <w:bdr w:val="nil"/>
          <w:lang w:eastAsia="en-GB"/>
        </w:rPr>
        <w:t>Stakeholders' views</w:t>
      </w:r>
    </w:p>
    <w:p w:rsidR="00083CE6" w:rsidRPr="00DC00D9" w:rsidRDefault="00083CE6" w:rsidP="00083CE6">
      <w:pPr>
        <w:pBdr>
          <w:top w:val="single" w:sz="4" w:space="1" w:color="auto"/>
          <w:left w:val="single" w:sz="4" w:space="1" w:color="auto"/>
          <w:bottom w:val="single" w:sz="4" w:space="1" w:color="auto"/>
          <w:right w:val="single" w:sz="4" w:space="1" w:color="auto"/>
          <w:between w:val="nil"/>
          <w:bar w:val="nil"/>
        </w:pBdr>
        <w:shd w:val="clear" w:color="auto" w:fill="D9D9D9" w:themeFill="background1" w:themeFillShade="D9"/>
        <w:spacing w:after="120" w:line="240" w:lineRule="auto"/>
        <w:jc w:val="both"/>
        <w:rPr>
          <w:rFonts w:ascii="Times New Roman" w:eastAsia="Arial Unicode MS" w:hAnsi="Arial Unicode MS" w:cs="Arial Unicode MS"/>
          <w:color w:val="000000"/>
          <w:sz w:val="20"/>
          <w:szCs w:val="20"/>
          <w:u w:color="000000"/>
          <w:bdr w:val="nil"/>
          <w:lang w:eastAsia="en-GB"/>
        </w:rPr>
      </w:pPr>
      <w:r w:rsidRPr="00DC00D9">
        <w:rPr>
          <w:rFonts w:ascii="Times New Roman" w:eastAsia="Arial Unicode MS" w:hAnsi="Arial Unicode MS" w:cs="Arial Unicode MS"/>
          <w:color w:val="000000"/>
          <w:sz w:val="20"/>
          <w:szCs w:val="20"/>
          <w:u w:color="000000"/>
          <w:bdr w:val="nil"/>
          <w:lang w:eastAsia="en-GB"/>
        </w:rPr>
        <w:t xml:space="preserve">The research community supports this option as it would fully pursue their objective that </w:t>
      </w:r>
      <w:r>
        <w:rPr>
          <w:rFonts w:ascii="Times New Roman" w:eastAsia="Arial Unicode MS" w:hAnsi="Arial Unicode MS" w:cs="Arial Unicode MS"/>
          <w:color w:val="000000"/>
          <w:sz w:val="20"/>
          <w:szCs w:val="20"/>
          <w:u w:color="000000"/>
          <w:bdr w:val="nil"/>
          <w:lang w:eastAsia="en-GB"/>
        </w:rPr>
        <w:t>anybody who has lawful access should be entitled to mine the content without additional authorisation or conditions</w:t>
      </w:r>
      <w:r w:rsidRPr="00DC00D9">
        <w:rPr>
          <w:rFonts w:ascii="Times New Roman" w:eastAsia="Arial Unicode MS" w:hAnsi="Arial Unicode MS" w:cs="Arial Unicode MS"/>
          <w:color w:val="000000"/>
          <w:sz w:val="20"/>
          <w:szCs w:val="20"/>
          <w:u w:color="000000"/>
          <w:bdr w:val="nil"/>
          <w:lang w:eastAsia="en-GB"/>
        </w:rPr>
        <w:t xml:space="preserve">. This option would be strongly opposed by </w:t>
      </w:r>
      <w:r w:rsidR="0002514A">
        <w:rPr>
          <w:rFonts w:ascii="Times New Roman" w:eastAsia="Arial Unicode MS" w:hAnsi="Arial Unicode MS" w:cs="Arial Unicode MS"/>
          <w:color w:val="000000"/>
          <w:sz w:val="20"/>
          <w:szCs w:val="20"/>
          <w:u w:color="000000"/>
          <w:bdr w:val="nil"/>
          <w:lang w:eastAsia="en-GB"/>
        </w:rPr>
        <w:t>r</w:t>
      </w:r>
      <w:r w:rsidR="00007677">
        <w:rPr>
          <w:rFonts w:ascii="Times New Roman" w:eastAsia="Arial Unicode MS" w:hAnsi="Arial Unicode MS" w:cs="Arial Unicode MS"/>
          <w:color w:val="000000"/>
          <w:sz w:val="20"/>
          <w:szCs w:val="20"/>
          <w:u w:color="000000"/>
          <w:bdr w:val="nil"/>
          <w:lang w:eastAsia="en-GB"/>
        </w:rPr>
        <w:t>ightholders</w:t>
      </w:r>
      <w:r w:rsidRPr="00DC00D9">
        <w:rPr>
          <w:rFonts w:ascii="Times New Roman" w:eastAsia="Arial Unicode MS" w:hAnsi="Arial Unicode MS" w:cs="Arial Unicode MS"/>
          <w:color w:val="000000"/>
          <w:sz w:val="20"/>
          <w:szCs w:val="20"/>
          <w:u w:color="000000"/>
          <w:bdr w:val="nil"/>
          <w:lang w:eastAsia="en-GB"/>
        </w:rPr>
        <w:t xml:space="preserve">. Publishers in particular take the view that such a large exception would significantly interfere with the TDM </w:t>
      </w:r>
      <w:r w:rsidR="006D21E9">
        <w:rPr>
          <w:rFonts w:ascii="Times New Roman" w:eastAsia="Arial Unicode MS" w:hAnsi="Arial Unicode MS" w:cs="Arial Unicode MS"/>
          <w:color w:val="000000"/>
          <w:sz w:val="20"/>
          <w:szCs w:val="20"/>
          <w:u w:color="000000"/>
          <w:bdr w:val="nil"/>
          <w:lang w:eastAsia="en-GB"/>
        </w:rPr>
        <w:t>licensing</w:t>
      </w:r>
      <w:r w:rsidRPr="00DC00D9">
        <w:rPr>
          <w:rFonts w:ascii="Times New Roman" w:eastAsia="Arial Unicode MS" w:hAnsi="Arial Unicode MS" w:cs="Arial Unicode MS"/>
          <w:color w:val="000000"/>
          <w:sz w:val="20"/>
          <w:szCs w:val="20"/>
          <w:u w:color="000000"/>
          <w:bdr w:val="nil"/>
          <w:lang w:eastAsia="en-GB"/>
        </w:rPr>
        <w:t xml:space="preserve"> market in the commercial sector, mainly in the area of life science. Commercial companies carrying out scientific research have generally not raised problems with commercial TDM licences, nor have generally requested the Commission to take action in this area. </w:t>
      </w:r>
    </w:p>
    <w:p w:rsidR="009D59CB" w:rsidRDefault="009D59CB">
      <w:pPr>
        <w:rPr>
          <w:rFonts w:ascii="Times New Roman" w:eastAsia="Times New Roman" w:hAnsi="Times New Roman" w:cs="Times New Roman"/>
          <w:b/>
          <w:bCs/>
          <w:sz w:val="24"/>
          <w:szCs w:val="24"/>
          <w:lang w:eastAsia="en-GB"/>
        </w:rPr>
      </w:pPr>
      <w:r>
        <w:br w:type="page"/>
      </w:r>
    </w:p>
    <w:p w:rsidR="00952EB0" w:rsidRPr="00EC4FA4" w:rsidRDefault="00952EB0" w:rsidP="00CF38F1">
      <w:pPr>
        <w:pStyle w:val="Heading3"/>
      </w:pPr>
      <w:bookmarkStart w:id="90" w:name="_Toc461114733"/>
      <w:r w:rsidRPr="00A3217F">
        <w:t>What are the impacts of the different policy options and who will be affected</w:t>
      </w:r>
      <w:r w:rsidRPr="00E720C4">
        <w:t>?</w:t>
      </w:r>
      <w:bookmarkEnd w:id="90"/>
    </w:p>
    <w:p w:rsidR="00952EB0" w:rsidRPr="00DC00D9" w:rsidRDefault="00952EB0" w:rsidP="00952EB0">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Times New Roman" w:eastAsia="Arial Unicode MS" w:hAnsi="Times New Roman" w:cs="Times New Roman"/>
          <w:b/>
          <w:i/>
          <w:sz w:val="20"/>
          <w:szCs w:val="20"/>
          <w:bdr w:val="nil"/>
          <w:lang w:val="en-US" w:eastAsia="en-GB"/>
        </w:rPr>
      </w:pPr>
      <w:r w:rsidRPr="00DC00D9">
        <w:rPr>
          <w:rFonts w:ascii="Times New Roman" w:eastAsia="Arial Unicode MS" w:hAnsi="Times New Roman" w:cs="Times New Roman"/>
          <w:b/>
          <w:i/>
          <w:sz w:val="20"/>
          <w:szCs w:val="20"/>
          <w:bdr w:val="nil"/>
          <w:lang w:val="en-US" w:eastAsia="en-GB"/>
        </w:rPr>
        <w:t>Approach</w:t>
      </w:r>
    </w:p>
    <w:p w:rsidR="00E74BF2" w:rsidRPr="00DC00D9" w:rsidRDefault="00E74BF2" w:rsidP="00E74BF2">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Times New Roman" w:eastAsia="Arial Unicode MS" w:hAnsi="Times New Roman" w:cs="Times New Roman"/>
          <w:sz w:val="20"/>
          <w:szCs w:val="20"/>
          <w:bdr w:val="nil"/>
          <w:lang w:val="en-US" w:eastAsia="en-GB"/>
        </w:rPr>
      </w:pPr>
      <w:r w:rsidRPr="00DC00D9">
        <w:rPr>
          <w:rFonts w:ascii="Times New Roman" w:eastAsia="Arial Unicode MS" w:hAnsi="Times New Roman" w:cs="Times New Roman"/>
          <w:color w:val="000000"/>
          <w:sz w:val="20"/>
          <w:szCs w:val="20"/>
          <w:bdr w:val="nil"/>
          <w:lang w:val="en"/>
        </w:rPr>
        <w:t xml:space="preserve">The assessment below is mainly qualitative. Quantitative market data have been provided by stakeholders with regard in particular to costs for researchers arising from legal uncertainty and current licensing practices of </w:t>
      </w:r>
      <w:r w:rsidR="0002514A">
        <w:rPr>
          <w:rFonts w:ascii="Times New Roman" w:eastAsia="Arial Unicode MS" w:hAnsi="Times New Roman" w:cs="Times New Roman"/>
          <w:color w:val="000000"/>
          <w:sz w:val="20"/>
          <w:szCs w:val="20"/>
          <w:bdr w:val="nil"/>
          <w:lang w:val="en"/>
        </w:rPr>
        <w:t>r</w:t>
      </w:r>
      <w:r w:rsidR="00007677">
        <w:rPr>
          <w:rFonts w:ascii="Times New Roman" w:eastAsia="Arial Unicode MS" w:hAnsi="Times New Roman" w:cs="Times New Roman"/>
          <w:color w:val="000000"/>
          <w:sz w:val="20"/>
          <w:szCs w:val="20"/>
          <w:bdr w:val="nil"/>
          <w:lang w:val="en"/>
        </w:rPr>
        <w:t>ightholders</w:t>
      </w:r>
      <w:r w:rsidRPr="00DC00D9">
        <w:rPr>
          <w:rFonts w:ascii="Times New Roman" w:eastAsia="Arial Unicode MS" w:hAnsi="Times New Roman" w:cs="Times New Roman"/>
          <w:color w:val="000000"/>
          <w:sz w:val="20"/>
          <w:szCs w:val="20"/>
          <w:bdr w:val="nil"/>
          <w:lang w:val="en"/>
        </w:rPr>
        <w:t xml:space="preserve"> (in particular</w:t>
      </w:r>
      <w:r w:rsidRPr="00DC00D9">
        <w:rPr>
          <w:rFonts w:ascii="Times New Roman" w:eastAsia="Arial Unicode MS" w:hAnsi="Times New Roman" w:cs="Times New Roman"/>
          <w:sz w:val="20"/>
          <w:szCs w:val="20"/>
          <w:bdr w:val="nil"/>
          <w:lang w:val="en-US" w:eastAsia="en-GB"/>
        </w:rPr>
        <w:t xml:space="preserve"> scientific</w:t>
      </w:r>
      <w:r w:rsidRPr="00DC00D9">
        <w:rPr>
          <w:rFonts w:ascii="Times New Roman" w:eastAsia="Arial Unicode MS" w:hAnsi="Times New Roman" w:cs="Times New Roman"/>
          <w:color w:val="000000"/>
          <w:sz w:val="20"/>
          <w:szCs w:val="20"/>
          <w:bdr w:val="nil"/>
          <w:lang w:val="en"/>
        </w:rPr>
        <w:t xml:space="preserve"> and press publishers).</w:t>
      </w:r>
      <w:r w:rsidRPr="00DC00D9">
        <w:rPr>
          <w:rFonts w:ascii="Times New Roman" w:eastAsia="Arial Unicode MS" w:hAnsi="Times New Roman" w:cs="Times New Roman"/>
          <w:sz w:val="20"/>
          <w:szCs w:val="20"/>
          <w:bdr w:val="nil"/>
          <w:lang w:val="en-US" w:eastAsia="en-GB"/>
        </w:rPr>
        <w:t xml:space="preserve"> The options are assessed both as regards their economic and social impacts. They are expected to mainly affect two majors groups of stakeholders - researchers seeking to carry out TDM and </w:t>
      </w:r>
      <w:r w:rsidR="0002514A">
        <w:rPr>
          <w:rFonts w:ascii="Times New Roman" w:eastAsia="Arial Unicode MS" w:hAnsi="Times New Roman" w:cs="Times New Roman"/>
          <w:sz w:val="20"/>
          <w:szCs w:val="20"/>
          <w:bdr w:val="nil"/>
          <w:lang w:val="en-US" w:eastAsia="en-GB"/>
        </w:rPr>
        <w:t>r</w:t>
      </w:r>
      <w:r w:rsidR="00007677">
        <w:rPr>
          <w:rFonts w:ascii="Times New Roman" w:eastAsia="Arial Unicode MS" w:hAnsi="Times New Roman" w:cs="Times New Roman"/>
          <w:sz w:val="20"/>
          <w:szCs w:val="20"/>
          <w:bdr w:val="nil"/>
          <w:lang w:val="en-US" w:eastAsia="en-GB"/>
        </w:rPr>
        <w:t>ightholders</w:t>
      </w:r>
      <w:r w:rsidRPr="00DC00D9">
        <w:rPr>
          <w:rFonts w:ascii="Times New Roman" w:eastAsia="Arial Unicode MS" w:hAnsi="Times New Roman" w:cs="Times New Roman"/>
          <w:sz w:val="20"/>
          <w:szCs w:val="20"/>
          <w:bdr w:val="nil"/>
          <w:lang w:val="en-US" w:eastAsia="en-GB"/>
        </w:rPr>
        <w:t xml:space="preserve"> whose content is analysed through TDM. The impacts affecting these two groups are presented separately and focusing on most significant and likely impacts for each category. The impacts on technology companies (data analytics service providers) are not specifically described below as these services are deemed not to be directly affected by the options proposed</w:t>
      </w:r>
      <w:r w:rsidRPr="00DC00D9">
        <w:rPr>
          <w:rFonts w:ascii="Times New Roman" w:eastAsia="Arial Unicode MS" w:hAnsi="Times New Roman" w:cs="Times New Roman"/>
          <w:sz w:val="20"/>
          <w:szCs w:val="20"/>
          <w:bdr w:val="nil"/>
          <w:lang w:eastAsia="en-GB"/>
        </w:rPr>
        <w:t>. Indirectly, intervention on TDM is expected to have a positive impact on technology service providers, including SMEs and start-ups, notably as the proposed intervention aims at creating a better legal framework for TDM in the EU which in turns should increase the market opportunities for these players as technology partners or service providers of research organisations performing TDM. SMEs performing research activities will also</w:t>
      </w:r>
      <w:r w:rsidR="006D4292" w:rsidRPr="00DC00D9">
        <w:rPr>
          <w:rFonts w:ascii="Times New Roman" w:eastAsia="Arial Unicode MS" w:hAnsi="Times New Roman" w:cs="Times New Roman"/>
          <w:sz w:val="20"/>
          <w:szCs w:val="20"/>
          <w:bdr w:val="nil"/>
          <w:lang w:eastAsia="en-GB"/>
        </w:rPr>
        <w:t xml:space="preserve"> indirectly</w:t>
      </w:r>
      <w:r w:rsidRPr="00DC00D9">
        <w:rPr>
          <w:rFonts w:ascii="Times New Roman" w:eastAsia="Arial Unicode MS" w:hAnsi="Times New Roman" w:cs="Times New Roman"/>
          <w:sz w:val="20"/>
          <w:szCs w:val="20"/>
          <w:bdr w:val="nil"/>
          <w:lang w:eastAsia="en-GB"/>
        </w:rPr>
        <w:t xml:space="preserve"> benefit from the intervention as private partners in PPPs with "public interest" research organisations.</w:t>
      </w:r>
    </w:p>
    <w:p w:rsidR="00952EB0" w:rsidRPr="00DC00D9" w:rsidRDefault="00952EB0" w:rsidP="00952EB0">
      <w:pPr>
        <w:pBdr>
          <w:top w:val="single" w:sz="4" w:space="1" w:color="auto"/>
          <w:left w:val="single" w:sz="4" w:space="1" w:color="auto"/>
          <w:bottom w:val="single" w:sz="4" w:space="1" w:color="auto"/>
          <w:right w:val="single" w:sz="4" w:space="1" w:color="auto"/>
          <w:between w:val="nil"/>
          <w:bar w:val="nil"/>
        </w:pBdr>
        <w:spacing w:before="120" w:after="0" w:line="240" w:lineRule="auto"/>
        <w:jc w:val="both"/>
        <w:rPr>
          <w:rFonts w:ascii="Times New Roman" w:eastAsia="Arial Unicode MS" w:hAnsi="Times New Roman" w:cs="Times New Roman"/>
          <w:sz w:val="20"/>
          <w:szCs w:val="20"/>
          <w:bdr w:val="nil"/>
          <w:lang w:val="en-US" w:eastAsia="en-GB"/>
        </w:rPr>
      </w:pPr>
      <w:r w:rsidRPr="00DC00D9">
        <w:rPr>
          <w:rFonts w:ascii="Times New Roman" w:eastAsia="Arial Unicode MS" w:hAnsi="Times New Roman" w:cs="Times New Roman"/>
          <w:sz w:val="20"/>
          <w:szCs w:val="20"/>
          <w:u w:val="single"/>
          <w:bdr w:val="nil"/>
          <w:lang w:val="en-US" w:eastAsia="en-GB"/>
        </w:rPr>
        <w:t>For researchers</w:t>
      </w:r>
      <w:r w:rsidRPr="00DC00D9">
        <w:rPr>
          <w:rFonts w:ascii="Times New Roman" w:eastAsia="Arial Unicode MS" w:hAnsi="Times New Roman" w:cs="Times New Roman"/>
          <w:sz w:val="20"/>
          <w:szCs w:val="20"/>
          <w:bdr w:val="nil"/>
          <w:lang w:val="en-US" w:eastAsia="en-GB"/>
        </w:rPr>
        <w:t>, the impacts assessed relate to the legal uncertainty around the use of TDM for scientific research purposes and the related transaction costs, notably finding out what is permissible under existing licen</w:t>
      </w:r>
      <w:r w:rsidR="006D21E9">
        <w:rPr>
          <w:rFonts w:ascii="Times New Roman" w:eastAsia="Arial Unicode MS" w:hAnsi="Times New Roman" w:cs="Times New Roman"/>
          <w:sz w:val="20"/>
          <w:szCs w:val="20"/>
          <w:bdr w:val="nil"/>
          <w:lang w:val="en-US" w:eastAsia="en-GB"/>
        </w:rPr>
        <w:t>c</w:t>
      </w:r>
      <w:r w:rsidRPr="00DC00D9">
        <w:rPr>
          <w:rFonts w:ascii="Times New Roman" w:eastAsia="Arial Unicode MS" w:hAnsi="Times New Roman" w:cs="Times New Roman"/>
          <w:sz w:val="20"/>
          <w:szCs w:val="20"/>
          <w:bdr w:val="nil"/>
          <w:lang w:val="en-US" w:eastAsia="en-GB"/>
        </w:rPr>
        <w:t>es or under national law, including the laws of different MS for cross-border projects. The assessment mainly covers researchers in "public interest" research organisations which have been identified as those for whom there is the strongest evidence of a problem.</w:t>
      </w:r>
      <w:r w:rsidRPr="00DC00D9">
        <w:rPr>
          <w:rFonts w:ascii="Times New Roman" w:eastAsia="Arial Unicode MS" w:hAnsi="Times New Roman" w:cs="Times New Roman"/>
          <w:sz w:val="20"/>
          <w:szCs w:val="20"/>
          <w:bdr w:val="nil"/>
          <w:vertAlign w:val="superscript"/>
          <w:lang w:val="en-US" w:eastAsia="en-GB"/>
        </w:rPr>
        <w:footnoteReference w:id="346"/>
      </w:r>
      <w:r w:rsidRPr="00DC00D9">
        <w:rPr>
          <w:rFonts w:ascii="Times New Roman" w:eastAsia="Arial Unicode MS" w:hAnsi="Times New Roman" w:cs="Times New Roman"/>
          <w:sz w:val="20"/>
          <w:szCs w:val="20"/>
          <w:bdr w:val="nil"/>
          <w:lang w:val="en-US" w:eastAsia="en-GB"/>
        </w:rPr>
        <w:t xml:space="preserve"> The impacts on the usage of TDM for in-house scientific research by commercial companies such as life science or technology ones are described only for the option that affects them indi</w:t>
      </w:r>
      <w:r w:rsidR="00996BBA">
        <w:rPr>
          <w:rFonts w:ascii="Times New Roman" w:eastAsia="Arial Unicode MS" w:hAnsi="Times New Roman" w:cs="Times New Roman"/>
          <w:sz w:val="20"/>
          <w:szCs w:val="20"/>
          <w:bdr w:val="nil"/>
          <w:lang w:val="en-US" w:eastAsia="en-GB"/>
        </w:rPr>
        <w:t>rectly (Option 3) or directly (O</w:t>
      </w:r>
      <w:r w:rsidRPr="00DC00D9">
        <w:rPr>
          <w:rFonts w:ascii="Times New Roman" w:eastAsia="Arial Unicode MS" w:hAnsi="Times New Roman" w:cs="Times New Roman"/>
          <w:sz w:val="20"/>
          <w:szCs w:val="20"/>
          <w:bdr w:val="nil"/>
          <w:lang w:val="en-US" w:eastAsia="en-GB"/>
        </w:rPr>
        <w:t>ption 4).</w:t>
      </w:r>
    </w:p>
    <w:p w:rsidR="00952EB0" w:rsidRPr="00DC00D9" w:rsidRDefault="00952EB0" w:rsidP="00952EB0">
      <w:pPr>
        <w:pBdr>
          <w:top w:val="single" w:sz="4" w:space="1" w:color="auto"/>
          <w:left w:val="single" w:sz="4" w:space="1" w:color="auto"/>
          <w:bottom w:val="single" w:sz="4" w:space="1" w:color="auto"/>
          <w:right w:val="single" w:sz="4" w:space="1" w:color="auto"/>
          <w:between w:val="nil"/>
          <w:bar w:val="nil"/>
        </w:pBdr>
        <w:spacing w:before="120" w:after="0" w:line="240" w:lineRule="auto"/>
        <w:jc w:val="both"/>
        <w:rPr>
          <w:rFonts w:ascii="Times New Roman" w:eastAsia="Arial Unicode MS" w:hAnsi="Times New Roman" w:cs="Times New Roman"/>
          <w:sz w:val="20"/>
          <w:szCs w:val="20"/>
          <w:bdr w:val="nil"/>
          <w:lang w:val="en-US" w:eastAsia="en-GB"/>
        </w:rPr>
      </w:pPr>
      <w:r w:rsidRPr="00DC00D9">
        <w:rPr>
          <w:rFonts w:ascii="Times New Roman" w:eastAsia="Arial Unicode MS" w:hAnsi="Times New Roman" w:cs="Times New Roman"/>
          <w:sz w:val="20"/>
          <w:szCs w:val="20"/>
          <w:u w:val="single"/>
          <w:bdr w:val="nil"/>
          <w:lang w:val="en-US" w:eastAsia="en-GB"/>
        </w:rPr>
        <w:t xml:space="preserve">For </w:t>
      </w:r>
      <w:r w:rsidR="0002514A">
        <w:rPr>
          <w:rFonts w:ascii="Times New Roman" w:eastAsia="Arial Unicode MS" w:hAnsi="Times New Roman" w:cs="Times New Roman"/>
          <w:sz w:val="20"/>
          <w:szCs w:val="20"/>
          <w:u w:val="single"/>
          <w:bdr w:val="nil"/>
          <w:lang w:val="en-US" w:eastAsia="en-GB"/>
        </w:rPr>
        <w:t>r</w:t>
      </w:r>
      <w:r w:rsidR="00007677">
        <w:rPr>
          <w:rFonts w:ascii="Times New Roman" w:eastAsia="Arial Unicode MS" w:hAnsi="Times New Roman" w:cs="Times New Roman"/>
          <w:sz w:val="20"/>
          <w:szCs w:val="20"/>
          <w:u w:val="single"/>
          <w:bdr w:val="nil"/>
          <w:lang w:val="en-US" w:eastAsia="en-GB"/>
        </w:rPr>
        <w:t>ightholders</w:t>
      </w:r>
      <w:r w:rsidRPr="00DC00D9">
        <w:rPr>
          <w:rFonts w:ascii="Times New Roman" w:eastAsia="Arial Unicode MS" w:hAnsi="Times New Roman" w:cs="Times New Roman"/>
          <w:sz w:val="20"/>
          <w:szCs w:val="20"/>
          <w:bdr w:val="nil"/>
          <w:lang w:val="en-US" w:eastAsia="en-GB"/>
        </w:rPr>
        <w:t>, the impacts assessed are mainly on their licensing revenues and on the security and protection of their content. The impacts on the licensing revenues comprise TDM licen</w:t>
      </w:r>
      <w:r w:rsidR="006D21E9">
        <w:rPr>
          <w:rFonts w:ascii="Times New Roman" w:eastAsia="Arial Unicode MS" w:hAnsi="Times New Roman" w:cs="Times New Roman"/>
          <w:sz w:val="20"/>
          <w:szCs w:val="20"/>
          <w:bdr w:val="nil"/>
          <w:lang w:val="en-US" w:eastAsia="en-GB"/>
        </w:rPr>
        <w:t>c</w:t>
      </w:r>
      <w:r w:rsidRPr="00DC00D9">
        <w:rPr>
          <w:rFonts w:ascii="Times New Roman" w:eastAsia="Arial Unicode MS" w:hAnsi="Times New Roman" w:cs="Times New Roman"/>
          <w:sz w:val="20"/>
          <w:szCs w:val="20"/>
          <w:bdr w:val="nil"/>
          <w:lang w:val="en-US" w:eastAsia="en-GB"/>
        </w:rPr>
        <w:t xml:space="preserve">es, both for commercial and non-commercial use, as well as impact on revenues from the subscriptions market. Impacts are mainly assessed as regards </w:t>
      </w:r>
      <w:r w:rsidR="0002514A">
        <w:rPr>
          <w:rFonts w:ascii="Times New Roman" w:eastAsia="Arial Unicode MS" w:hAnsi="Times New Roman" w:cs="Times New Roman"/>
          <w:sz w:val="20"/>
          <w:szCs w:val="20"/>
          <w:bdr w:val="nil"/>
          <w:lang w:val="en-US" w:eastAsia="en-GB"/>
        </w:rPr>
        <w:t>r</w:t>
      </w:r>
      <w:r w:rsidR="00007677">
        <w:rPr>
          <w:rFonts w:ascii="Times New Roman" w:eastAsia="Arial Unicode MS" w:hAnsi="Times New Roman" w:cs="Times New Roman"/>
          <w:sz w:val="20"/>
          <w:szCs w:val="20"/>
          <w:bdr w:val="nil"/>
          <w:lang w:val="en-US" w:eastAsia="en-GB"/>
        </w:rPr>
        <w:t>ightholders</w:t>
      </w:r>
      <w:r w:rsidRPr="00DC00D9">
        <w:rPr>
          <w:rFonts w:ascii="Times New Roman" w:eastAsia="Arial Unicode MS" w:hAnsi="Times New Roman" w:cs="Times New Roman"/>
          <w:sz w:val="20"/>
          <w:szCs w:val="20"/>
          <w:bdr w:val="nil"/>
          <w:lang w:val="en-US" w:eastAsia="en-GB"/>
        </w:rPr>
        <w:t xml:space="preserve"> in the publishing sector, since this is currently by far the main area for TDM carried out for scientific research purposes. This includes in particular </w:t>
      </w:r>
      <w:r w:rsidRPr="00DC00D9">
        <w:rPr>
          <w:rFonts w:ascii="Times New Roman" w:eastAsia="Arial Unicode MS" w:hAnsi="Times New Roman" w:cs="Times New Roman"/>
          <w:b/>
          <w:sz w:val="20"/>
          <w:szCs w:val="20"/>
          <w:bdr w:val="nil"/>
          <w:lang w:val="en-US" w:eastAsia="en-GB"/>
        </w:rPr>
        <w:t>scientific publishers</w:t>
      </w:r>
      <w:r w:rsidRPr="00DC00D9">
        <w:rPr>
          <w:rFonts w:ascii="Times New Roman" w:eastAsia="Arial Unicode MS" w:hAnsi="Times New Roman" w:cs="Times New Roman"/>
          <w:sz w:val="20"/>
          <w:szCs w:val="20"/>
          <w:bdr w:val="nil"/>
          <w:lang w:val="en-US" w:eastAsia="en-GB"/>
        </w:rPr>
        <w:t>, who largely generate revenues from access to their content via subscriptions agreements which may allow or not TDM</w:t>
      </w:r>
      <w:r w:rsidRPr="00DC00D9">
        <w:rPr>
          <w:rStyle w:val="FootnoteReference"/>
          <w:rFonts w:ascii="Times New Roman" w:eastAsia="Arial Unicode MS" w:hAnsi="Times New Roman" w:cs="Times New Roman"/>
          <w:sz w:val="20"/>
          <w:szCs w:val="20"/>
          <w:bdr w:val="nil"/>
          <w:lang w:val="en-US" w:eastAsia="en-GB"/>
        </w:rPr>
        <w:footnoteReference w:id="347"/>
      </w:r>
      <w:r w:rsidRPr="00DC00D9">
        <w:rPr>
          <w:rFonts w:ascii="Times New Roman" w:eastAsia="Arial Unicode MS" w:hAnsi="Times New Roman" w:cs="Times New Roman"/>
          <w:sz w:val="20"/>
          <w:szCs w:val="20"/>
          <w:bdr w:val="nil"/>
          <w:lang w:val="en-US" w:eastAsia="en-GB"/>
        </w:rPr>
        <w:t xml:space="preserve">. Other relevant </w:t>
      </w:r>
      <w:r w:rsidR="0002514A">
        <w:rPr>
          <w:rFonts w:ascii="Times New Roman" w:eastAsia="Arial Unicode MS" w:hAnsi="Times New Roman" w:cs="Times New Roman"/>
          <w:sz w:val="20"/>
          <w:szCs w:val="20"/>
          <w:bdr w:val="nil"/>
          <w:lang w:val="en-US" w:eastAsia="en-GB"/>
        </w:rPr>
        <w:t>r</w:t>
      </w:r>
      <w:r w:rsidR="00007677">
        <w:rPr>
          <w:rFonts w:ascii="Times New Roman" w:eastAsia="Arial Unicode MS" w:hAnsi="Times New Roman" w:cs="Times New Roman"/>
          <w:sz w:val="20"/>
          <w:szCs w:val="20"/>
          <w:bdr w:val="nil"/>
          <w:lang w:val="en-US" w:eastAsia="en-GB"/>
        </w:rPr>
        <w:t>ightholders</w:t>
      </w:r>
      <w:r w:rsidRPr="00DC00D9">
        <w:rPr>
          <w:rFonts w:ascii="Times New Roman" w:eastAsia="Arial Unicode MS" w:hAnsi="Times New Roman" w:cs="Times New Roman"/>
          <w:sz w:val="20"/>
          <w:szCs w:val="20"/>
          <w:bdr w:val="nil"/>
          <w:lang w:val="en-US" w:eastAsia="en-GB"/>
        </w:rPr>
        <w:t xml:space="preserve"> include </w:t>
      </w:r>
      <w:r w:rsidRPr="00DC00D9">
        <w:rPr>
          <w:rFonts w:ascii="Times New Roman" w:eastAsia="Arial Unicode MS" w:hAnsi="Times New Roman" w:cs="Times New Roman"/>
          <w:b/>
          <w:sz w:val="20"/>
          <w:szCs w:val="20"/>
          <w:bdr w:val="nil"/>
          <w:lang w:val="en-US" w:eastAsia="en-GB"/>
        </w:rPr>
        <w:t>news publishers</w:t>
      </w:r>
      <w:r w:rsidRPr="00DC00D9">
        <w:rPr>
          <w:rFonts w:ascii="Times New Roman" w:eastAsia="Arial Unicode MS" w:hAnsi="Times New Roman" w:cs="Times New Roman"/>
          <w:sz w:val="20"/>
          <w:szCs w:val="20"/>
          <w:bdr w:val="nil"/>
          <w:lang w:val="en-US" w:eastAsia="en-GB"/>
        </w:rPr>
        <w:t xml:space="preserve"> who possess important databases, notably archives, which may be of importance for certain areas of research (notably languages and humanities). However, the commercial value of the press archives and other news content is expected to remain untouched due to the "lawful access" condition and the fact that none of the options considered in the IA allows the communication to the public of the mined content.  TDM-based research may in some cases be carried out also on copyright protected content other than text-based publications (i.e. </w:t>
      </w:r>
      <w:r w:rsidR="00F506EA">
        <w:rPr>
          <w:rFonts w:ascii="Times New Roman" w:eastAsia="Arial Unicode MS" w:hAnsi="Times New Roman" w:cs="Times New Roman"/>
          <w:sz w:val="20"/>
          <w:szCs w:val="20"/>
          <w:bdr w:val="nil"/>
          <w:lang w:val="en-US" w:eastAsia="en-GB"/>
        </w:rPr>
        <w:t xml:space="preserve">AV </w:t>
      </w:r>
      <w:r w:rsidRPr="00DC00D9">
        <w:rPr>
          <w:rFonts w:ascii="Times New Roman" w:eastAsia="Arial Unicode MS" w:hAnsi="Times New Roman" w:cs="Times New Roman"/>
          <w:sz w:val="20"/>
          <w:szCs w:val="20"/>
          <w:bdr w:val="nil"/>
          <w:lang w:val="en-US" w:eastAsia="en-GB"/>
        </w:rPr>
        <w:t>and music</w:t>
      </w:r>
      <w:r w:rsidRPr="00DC00D9">
        <w:rPr>
          <w:rStyle w:val="FootnoteReference"/>
          <w:rFonts w:ascii="Times New Roman" w:eastAsia="Arial Unicode MS" w:hAnsi="Times New Roman" w:cs="Times New Roman"/>
          <w:sz w:val="20"/>
          <w:szCs w:val="20"/>
          <w:bdr w:val="nil"/>
          <w:lang w:val="en-US" w:eastAsia="en-GB"/>
        </w:rPr>
        <w:footnoteReference w:id="348"/>
      </w:r>
      <w:r w:rsidRPr="00DC00D9">
        <w:rPr>
          <w:rFonts w:ascii="Times New Roman" w:eastAsia="Arial Unicode MS" w:hAnsi="Times New Roman" w:cs="Times New Roman"/>
          <w:sz w:val="20"/>
          <w:szCs w:val="20"/>
          <w:bdr w:val="nil"/>
          <w:lang w:val="en-US" w:eastAsia="en-GB"/>
        </w:rPr>
        <w:t>) However, we have not yet found evidence of significant impact in these areas, which are therefore not specifically analysed in</w:t>
      </w:r>
      <w:r w:rsidR="00DA4A18">
        <w:rPr>
          <w:rFonts w:ascii="Times New Roman" w:eastAsia="Arial Unicode MS" w:hAnsi="Times New Roman" w:cs="Times New Roman"/>
          <w:sz w:val="20"/>
          <w:szCs w:val="20"/>
          <w:bdr w:val="nil"/>
          <w:lang w:val="en-US" w:eastAsia="en-GB"/>
        </w:rPr>
        <w:t xml:space="preserve"> the</w:t>
      </w:r>
      <w:r w:rsidRPr="00DC00D9">
        <w:rPr>
          <w:rFonts w:ascii="Times New Roman" w:eastAsia="Arial Unicode MS" w:hAnsi="Times New Roman" w:cs="Times New Roman"/>
          <w:sz w:val="20"/>
          <w:szCs w:val="20"/>
          <w:bdr w:val="nil"/>
          <w:lang w:val="en-US" w:eastAsia="en-GB"/>
        </w:rPr>
        <w:t xml:space="preserve"> </w:t>
      </w:r>
      <w:r w:rsidR="0060401B">
        <w:rPr>
          <w:rFonts w:ascii="Times New Roman" w:eastAsia="Arial Unicode MS" w:hAnsi="Times New Roman" w:cs="Times New Roman"/>
          <w:sz w:val="20"/>
          <w:szCs w:val="20"/>
          <w:bdr w:val="nil"/>
          <w:lang w:val="en-US" w:eastAsia="en-GB"/>
        </w:rPr>
        <w:t>IA</w:t>
      </w:r>
      <w:r w:rsidRPr="00DC00D9">
        <w:rPr>
          <w:rFonts w:ascii="Times New Roman" w:eastAsia="Arial Unicode MS" w:hAnsi="Times New Roman" w:cs="Times New Roman"/>
          <w:sz w:val="20"/>
          <w:szCs w:val="20"/>
          <w:bdr w:val="nil"/>
          <w:lang w:val="en-US" w:eastAsia="en-GB"/>
        </w:rPr>
        <w:t xml:space="preserve">. Open access publications are an increasingly important channel of scholarly publications. Since open access licences generally do not limit TDM, the impact on "pure" </w:t>
      </w:r>
      <w:r w:rsidRPr="00DC00D9">
        <w:rPr>
          <w:rFonts w:ascii="Times New Roman" w:eastAsia="Arial Unicode MS" w:hAnsi="Times New Roman" w:cs="Times New Roman"/>
          <w:b/>
          <w:sz w:val="20"/>
          <w:szCs w:val="20"/>
          <w:bdr w:val="nil"/>
          <w:lang w:val="en-US" w:eastAsia="en-GB"/>
        </w:rPr>
        <w:t>open access publishers</w:t>
      </w:r>
      <w:r w:rsidRPr="00DC00D9">
        <w:rPr>
          <w:rFonts w:ascii="Times New Roman" w:eastAsia="Arial Unicode MS" w:hAnsi="Times New Roman" w:cs="Times New Roman"/>
          <w:sz w:val="20"/>
          <w:szCs w:val="20"/>
          <w:bdr w:val="nil"/>
          <w:lang w:val="en-US" w:eastAsia="en-GB"/>
        </w:rPr>
        <w:t xml:space="preserve"> is not discussed in detail either (see below on the coherence of the options with EU open access policy). Finally, TDM could be used by researchers on copyright protected content publicly accessible on the internet. The impact on </w:t>
      </w:r>
      <w:r w:rsidR="0002514A">
        <w:rPr>
          <w:rFonts w:ascii="Times New Roman" w:eastAsia="Arial Unicode MS" w:hAnsi="Times New Roman" w:cs="Times New Roman"/>
          <w:sz w:val="20"/>
          <w:szCs w:val="20"/>
          <w:bdr w:val="nil"/>
          <w:lang w:val="en-US" w:eastAsia="en-GB"/>
        </w:rPr>
        <w:t>r</w:t>
      </w:r>
      <w:r w:rsidR="00007677">
        <w:rPr>
          <w:rFonts w:ascii="Times New Roman" w:eastAsia="Arial Unicode MS" w:hAnsi="Times New Roman" w:cs="Times New Roman"/>
          <w:sz w:val="20"/>
          <w:szCs w:val="20"/>
          <w:bdr w:val="nil"/>
          <w:lang w:val="en-US" w:eastAsia="en-GB"/>
        </w:rPr>
        <w:t>ightholders</w:t>
      </w:r>
      <w:r w:rsidRPr="00DC00D9">
        <w:rPr>
          <w:rFonts w:ascii="Times New Roman" w:eastAsia="Arial Unicode MS" w:hAnsi="Times New Roman" w:cs="Times New Roman"/>
          <w:sz w:val="20"/>
          <w:szCs w:val="20"/>
          <w:bdr w:val="nil"/>
          <w:lang w:val="en-US" w:eastAsia="en-GB"/>
        </w:rPr>
        <w:t xml:space="preserve"> in content freely available online is not discussed as it is considered to be marginal since all the options relate to content to which the user has lawful access. </w:t>
      </w:r>
    </w:p>
    <w:p w:rsidR="00952EB0" w:rsidRPr="00C32C45" w:rsidRDefault="00952EB0" w:rsidP="00952EB0">
      <w:pPr>
        <w:pBdr>
          <w:top w:val="single" w:sz="4" w:space="1" w:color="auto"/>
          <w:left w:val="single" w:sz="4" w:space="1" w:color="auto"/>
          <w:bottom w:val="single" w:sz="4" w:space="1" w:color="auto"/>
          <w:right w:val="single" w:sz="4" w:space="1" w:color="auto"/>
          <w:between w:val="nil"/>
          <w:bar w:val="nil"/>
        </w:pBdr>
        <w:spacing w:before="120" w:after="0" w:line="240" w:lineRule="auto"/>
        <w:jc w:val="both"/>
        <w:rPr>
          <w:rFonts w:ascii="Times New Roman" w:eastAsia="Arial Unicode MS" w:hAnsi="Times New Roman" w:cs="Times New Roman"/>
          <w:sz w:val="20"/>
          <w:szCs w:val="20"/>
          <w:bdr w:val="nil"/>
          <w:lang w:val="en-US" w:eastAsia="en-GB"/>
        </w:rPr>
      </w:pPr>
      <w:r w:rsidRPr="00DC00D9">
        <w:rPr>
          <w:rFonts w:ascii="Times New Roman" w:eastAsia="Arial Unicode MS" w:hAnsi="Times New Roman" w:cs="Times New Roman"/>
          <w:sz w:val="20"/>
          <w:szCs w:val="20"/>
          <w:u w:val="single"/>
          <w:bdr w:val="nil"/>
          <w:lang w:val="en-US" w:eastAsia="en-GB"/>
        </w:rPr>
        <w:t>Social impacts</w:t>
      </w:r>
      <w:r w:rsidRPr="00D1507D">
        <w:rPr>
          <w:rFonts w:ascii="Times New Roman" w:hAnsi="Times New Roman"/>
          <w:sz w:val="20"/>
          <w:bdr w:val="nil"/>
          <w:lang w:val="en-US"/>
        </w:rPr>
        <w:t xml:space="preserve"> </w:t>
      </w:r>
      <w:r w:rsidRPr="00DC00D9">
        <w:rPr>
          <w:rFonts w:ascii="Times New Roman" w:eastAsia="Arial Unicode MS" w:hAnsi="Times New Roman" w:cs="Times New Roman"/>
          <w:sz w:val="20"/>
          <w:szCs w:val="20"/>
          <w:bdr w:val="nil"/>
          <w:lang w:val="en-US" w:eastAsia="en-GB"/>
        </w:rPr>
        <w:t>are examined in relation to the benefits of European research for society and to the EU attr</w:t>
      </w:r>
      <w:r w:rsidR="00603DAA">
        <w:rPr>
          <w:rFonts w:ascii="Times New Roman" w:eastAsia="Arial Unicode MS" w:hAnsi="Times New Roman" w:cs="Times New Roman"/>
          <w:sz w:val="20"/>
          <w:szCs w:val="20"/>
          <w:bdr w:val="nil"/>
          <w:lang w:val="en-US" w:eastAsia="en-GB"/>
        </w:rPr>
        <w:t xml:space="preserve">activeness as a research area. </w:t>
      </w:r>
      <w:r w:rsidRPr="00DC00D9">
        <w:rPr>
          <w:rFonts w:ascii="Times New Roman" w:eastAsia="Arial Unicode MS" w:hAnsi="Times New Roman" w:cs="Times New Roman"/>
          <w:sz w:val="20"/>
          <w:szCs w:val="20"/>
          <w:bdr w:val="nil"/>
          <w:lang w:val="en-US" w:eastAsia="en-GB"/>
        </w:rPr>
        <w:t>The policy options presented are coherent with and support another important area of EU policy, i.e. open access policy that aims at greater</w:t>
      </w:r>
      <w:r w:rsidRPr="00DC00D9">
        <w:rPr>
          <w:rFonts w:ascii="Times New Roman" w:eastAsia="Arial Unicode MS" w:hAnsi="Times New Roman" w:cs="Times New Roman"/>
          <w:color w:val="000000"/>
          <w:sz w:val="20"/>
          <w:szCs w:val="20"/>
          <w:bdr w:val="nil"/>
          <w:lang w:val="en"/>
        </w:rPr>
        <w:t xml:space="preserve"> sharing of public-funded research results and thereby improve scientific research, as well as </w:t>
      </w:r>
      <w:r w:rsidRPr="00DC00D9">
        <w:rPr>
          <w:rFonts w:ascii="Times New Roman" w:eastAsia="Arial Unicode MS" w:hAnsi="Times New Roman" w:cs="Times New Roman"/>
          <w:kern w:val="3"/>
          <w:sz w:val="20"/>
          <w:szCs w:val="20"/>
          <w:bdr w:val="nil"/>
          <w:lang w:eastAsia="zh-CN"/>
        </w:rPr>
        <w:t>the European Open Science Cloud and Innovation Union</w:t>
      </w:r>
      <w:r w:rsidRPr="00DC00D9">
        <w:rPr>
          <w:rFonts w:ascii="Times New Roman" w:eastAsia="Arial Unicode MS" w:hAnsi="Times New Roman" w:cs="Times New Roman"/>
          <w:color w:val="000000"/>
          <w:sz w:val="20"/>
          <w:szCs w:val="20"/>
          <w:bdr w:val="nil"/>
          <w:lang w:val="en"/>
        </w:rPr>
        <w:t>.</w:t>
      </w:r>
      <w:r w:rsidRPr="00DC00D9">
        <w:rPr>
          <w:rFonts w:ascii="Times New Roman" w:eastAsia="Arial Unicode MS" w:hAnsi="Times New Roman" w:cs="Times New Roman"/>
          <w:color w:val="000000"/>
          <w:sz w:val="20"/>
          <w:szCs w:val="20"/>
          <w:bdr w:val="nil"/>
          <w:vertAlign w:val="superscript"/>
          <w:lang w:val="en"/>
        </w:rPr>
        <w:footnoteReference w:id="349"/>
      </w:r>
      <w:r w:rsidRPr="00DC00D9">
        <w:rPr>
          <w:rFonts w:ascii="Times New Roman" w:eastAsia="Arial Unicode MS" w:hAnsi="Times New Roman" w:cs="Times New Roman"/>
          <w:color w:val="000000"/>
          <w:sz w:val="20"/>
          <w:szCs w:val="20"/>
          <w:bdr w:val="nil"/>
          <w:lang w:val="en"/>
        </w:rPr>
        <w:t xml:space="preserve"> </w:t>
      </w:r>
      <w:r w:rsidRPr="00DC00D9">
        <w:rPr>
          <w:rFonts w:ascii="Times New Roman" w:eastAsia="Arial Unicode MS" w:hAnsi="Times New Roman" w:cs="Times New Roman"/>
          <w:sz w:val="20"/>
          <w:szCs w:val="20"/>
          <w:bdr w:val="nil"/>
          <w:lang w:val="en-US" w:eastAsia="en-GB"/>
        </w:rPr>
        <w:t xml:space="preserve">The options all concern scientific research and are not expected to affect cultural diversity. </w:t>
      </w:r>
      <w:r w:rsidRPr="00DC00D9">
        <w:rPr>
          <w:rFonts w:ascii="Times New Roman" w:eastAsia="Arial Unicode MS" w:hAnsi="Times New Roman" w:cs="Times New Roman"/>
          <w:color w:val="000000"/>
          <w:sz w:val="20"/>
          <w:szCs w:val="20"/>
          <w:bdr w:val="nil"/>
          <w:lang w:val="en"/>
        </w:rPr>
        <w:t>Impact on fundamental rights is explained for relevant options and with regard to fundamental freedoms which would be impacted</w:t>
      </w:r>
      <w:r w:rsidR="00603DAA">
        <w:rPr>
          <w:rFonts w:ascii="Times New Roman" w:eastAsia="Arial Unicode MS" w:hAnsi="Times New Roman" w:cs="Times New Roman"/>
          <w:color w:val="000000"/>
          <w:sz w:val="20"/>
          <w:szCs w:val="20"/>
          <w:bdr w:val="nil"/>
          <w:lang w:val="en"/>
        </w:rPr>
        <w:t>.</w:t>
      </w:r>
      <w:r w:rsidRPr="00DC00D9">
        <w:rPr>
          <w:rStyle w:val="FootnoteReference"/>
          <w:rFonts w:ascii="Times New Roman" w:eastAsia="Arial Unicode MS" w:hAnsi="Times New Roman" w:cs="Times New Roman"/>
          <w:color w:val="000000"/>
          <w:sz w:val="20"/>
          <w:szCs w:val="20"/>
          <w:bdr w:val="nil"/>
          <w:lang w:val="en"/>
        </w:rPr>
        <w:footnoteReference w:id="350"/>
      </w:r>
      <w:r w:rsidRPr="00C32C45">
        <w:rPr>
          <w:rFonts w:ascii="Times New Roman" w:eastAsia="Arial Unicode MS" w:hAnsi="Times New Roman" w:cs="Times New Roman"/>
          <w:color w:val="000000"/>
          <w:sz w:val="20"/>
          <w:szCs w:val="24"/>
          <w:bdr w:val="nil"/>
          <w:lang w:val="en"/>
        </w:rPr>
        <w:t xml:space="preserve">  </w:t>
      </w:r>
    </w:p>
    <w:p w:rsidR="00083CE6" w:rsidRPr="00EF4BBE" w:rsidRDefault="00083CE6" w:rsidP="00083CE6">
      <w:pPr>
        <w:pStyle w:val="Text1"/>
        <w:ind w:left="0"/>
        <w:rPr>
          <w:rFonts w:eastAsia="Arial Unicode MS"/>
          <w:b/>
          <w:bCs/>
          <w:color w:val="000000"/>
          <w:szCs w:val="24"/>
          <w:u w:val="single"/>
          <w:bdr w:val="nil"/>
        </w:rPr>
      </w:pPr>
      <w:r w:rsidRPr="00EF4BBE">
        <w:rPr>
          <w:rFonts w:eastAsia="Arial Unicode MS"/>
          <w:b/>
          <w:bCs/>
          <w:color w:val="000000"/>
          <w:szCs w:val="24"/>
          <w:u w:val="single"/>
          <w:bdr w:val="nil"/>
        </w:rPr>
        <w:t xml:space="preserve">Baseline </w:t>
      </w:r>
    </w:p>
    <w:p w:rsidR="00083CE6" w:rsidRPr="00123CFF" w:rsidRDefault="00083CE6" w:rsidP="00083CE6">
      <w:pPr>
        <w:pStyle w:val="Text1"/>
        <w:ind w:left="0"/>
        <w:rPr>
          <w:rFonts w:ascii="Times New Roman Bold" w:eastAsia="Arial Unicode MS" w:hAnsi="Times New Roman Bold" w:hint="eastAsia"/>
          <w:b/>
          <w:smallCaps/>
          <w:szCs w:val="24"/>
          <w:bdr w:val="nil"/>
        </w:rPr>
      </w:pPr>
      <w:r w:rsidRPr="00123CFF">
        <w:rPr>
          <w:rFonts w:ascii="Times New Roman Bold" w:eastAsia="Arial Unicode MS" w:hAnsi="Times New Roman Bold"/>
          <w:b/>
          <w:smallCaps/>
          <w:szCs w:val="24"/>
          <w:bdr w:val="nil"/>
        </w:rPr>
        <w:t xml:space="preserve">Impacts on </w:t>
      </w:r>
      <w:r w:rsidRPr="00EF4BBE">
        <w:rPr>
          <w:rFonts w:ascii="Times New Roman Bold" w:eastAsia="Arial Unicode MS" w:hAnsi="Times New Roman Bold"/>
          <w:b/>
          <w:smallCaps/>
          <w:szCs w:val="24"/>
          <w:bdr w:val="none" w:sz="0" w:space="0" w:color="auto" w:frame="1"/>
        </w:rPr>
        <w:t>stakeholders</w:t>
      </w:r>
    </w:p>
    <w:p w:rsidR="00083CE6" w:rsidRPr="00123CFF" w:rsidRDefault="00083CE6" w:rsidP="00083CE6">
      <w:pPr>
        <w:pStyle w:val="Text1"/>
        <w:ind w:left="0"/>
        <w:rPr>
          <w:rFonts w:eastAsia="Arial Unicode MS"/>
          <w:i/>
          <w:kern w:val="3"/>
          <w:szCs w:val="24"/>
          <w:bdr w:val="nil"/>
        </w:rPr>
      </w:pPr>
      <w:r w:rsidRPr="00123CFF">
        <w:rPr>
          <w:rFonts w:eastAsia="Arial Unicode MS"/>
          <w:b/>
          <w:kern w:val="3"/>
          <w:szCs w:val="24"/>
          <w:bdr w:val="nil"/>
        </w:rPr>
        <w:t>Researchers</w:t>
      </w:r>
      <w:r w:rsidRPr="00123CFF">
        <w:rPr>
          <w:rFonts w:eastAsia="Arial Unicode MS"/>
          <w:kern w:val="3"/>
          <w:szCs w:val="24"/>
          <w:bdr w:val="nil"/>
        </w:rPr>
        <w:t xml:space="preserve"> </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123CFF">
        <w:rPr>
          <w:rFonts w:ascii="Times New Roman" w:eastAsia="Arial Unicode MS" w:hAnsi="Times New Roman" w:cs="Times New Roman"/>
          <w:kern w:val="3"/>
          <w:sz w:val="24"/>
          <w:szCs w:val="24"/>
          <w:u w:val="single"/>
          <w:bdr w:val="nil"/>
          <w:lang w:eastAsia="en-GB"/>
        </w:rPr>
        <w:t>Impact on legal certainty and transaction costs</w:t>
      </w:r>
      <w:r w:rsidRPr="00123CFF">
        <w:rPr>
          <w:rFonts w:ascii="Times New Roman" w:eastAsia="Arial Unicode MS" w:hAnsi="Times New Roman" w:cs="Times New Roman"/>
          <w:i/>
          <w:kern w:val="3"/>
          <w:sz w:val="24"/>
          <w:szCs w:val="24"/>
          <w:bdr w:val="nil"/>
          <w:lang w:eastAsia="en-GB"/>
        </w:rPr>
        <w:t xml:space="preserve">: </w:t>
      </w:r>
      <w:r w:rsidRPr="00123CFF">
        <w:rPr>
          <w:rFonts w:ascii="Times New Roman" w:eastAsia="Arial Unicode MS" w:hAnsi="Times New Roman" w:cs="Times New Roman"/>
          <w:kern w:val="3"/>
          <w:sz w:val="24"/>
          <w:szCs w:val="24"/>
          <w:bdr w:val="nil"/>
          <w:lang w:eastAsia="en-GB"/>
        </w:rPr>
        <w:t>problems faced by public interest research organisations are likely to remain largely unsolved under this option</w:t>
      </w:r>
      <w:r w:rsidRPr="00EC4FA4">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Publishers' market driven initiatives aiming at facilitating mining for non-commercial purposes on the basis of licences will continue to be </w:t>
      </w:r>
      <w:r w:rsidRPr="00F0152B">
        <w:rPr>
          <w:rFonts w:ascii="Times New Roman" w:eastAsia="Arial Unicode MS" w:hAnsi="Times New Roman" w:cs="Times New Roman"/>
          <w:kern w:val="3"/>
          <w:sz w:val="24"/>
          <w:szCs w:val="24"/>
          <w:bdr w:val="nil"/>
          <w:lang w:eastAsia="en-GB"/>
        </w:rPr>
        <w:t>developed.</w:t>
      </w:r>
      <w:r w:rsidRPr="00F0152B">
        <w:rPr>
          <w:rFonts w:ascii="Times New Roman" w:eastAsia="Arial Unicode MS" w:hAnsi="Times New Roman" w:cs="Times New Roman"/>
          <w:kern w:val="3"/>
          <w:sz w:val="24"/>
          <w:szCs w:val="24"/>
          <w:bdr w:val="nil"/>
          <w:shd w:val="clear" w:color="auto" w:fill="FFFFFF"/>
          <w:vertAlign w:val="superscript"/>
          <w:lang w:eastAsia="en-GB"/>
        </w:rPr>
        <w:footnoteReference w:id="351"/>
      </w:r>
      <w:r w:rsidRPr="00F0152B">
        <w:rPr>
          <w:rFonts w:ascii="Times New Roman" w:eastAsia="Arial Unicode MS" w:hAnsi="Times New Roman" w:cs="Times New Roman"/>
          <w:kern w:val="3"/>
          <w:sz w:val="24"/>
          <w:szCs w:val="24"/>
          <w:bdr w:val="nil"/>
          <w:lang w:eastAsia="en-GB"/>
        </w:rPr>
        <w:t xml:space="preserve"> Over time</w:t>
      </w:r>
      <w:r>
        <w:rPr>
          <w:rFonts w:ascii="Times New Roman" w:eastAsia="Arial Unicode MS" w:hAnsi="Times New Roman" w:cs="Times New Roman"/>
          <w:kern w:val="3"/>
          <w:sz w:val="24"/>
          <w:szCs w:val="24"/>
          <w:bdr w:val="nil"/>
          <w:lang w:eastAsia="en-GB"/>
        </w:rPr>
        <w:t xml:space="preserve"> more publishers are likely to include TDM clauses in their subscriptions</w:t>
      </w:r>
      <w:r w:rsidRPr="00523A44">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or provide open access solutions.</w:t>
      </w:r>
      <w:r w:rsidRPr="00EC4FA4">
        <w:rPr>
          <w:rFonts w:ascii="Times New Roman" w:eastAsia="Arial Unicode MS" w:hAnsi="Times New Roman" w:cs="Times New Roman"/>
          <w:kern w:val="3"/>
          <w:sz w:val="24"/>
          <w:szCs w:val="24"/>
          <w:bdr w:val="nil"/>
          <w:vertAlign w:val="superscript"/>
          <w:lang w:eastAsia="en-GB"/>
        </w:rPr>
        <w:footnoteReference w:id="352"/>
      </w:r>
      <w:r>
        <w:rPr>
          <w:rFonts w:ascii="Times New Roman" w:eastAsia="Arial Unicode MS" w:hAnsi="Times New Roman" w:cs="Times New Roman"/>
          <w:kern w:val="3"/>
          <w:sz w:val="24"/>
          <w:szCs w:val="24"/>
          <w:bdr w:val="nil"/>
          <w:lang w:eastAsia="en-GB"/>
        </w:rPr>
        <w:t xml:space="preserve"> This would improve legal certainty for researchers to some extent. However </w:t>
      </w:r>
      <w:r w:rsidRPr="00EC4FA4">
        <w:rPr>
          <w:rFonts w:ascii="Times New Roman" w:eastAsia="Arial Unicode MS" w:hAnsi="Times New Roman" w:cs="Times New Roman"/>
          <w:kern w:val="3"/>
          <w:sz w:val="24"/>
          <w:szCs w:val="24"/>
          <w:bdr w:val="nil"/>
          <w:lang w:eastAsia="en-GB"/>
        </w:rPr>
        <w:t>different licensing terms and conditions</w:t>
      </w:r>
      <w:r>
        <w:rPr>
          <w:rFonts w:ascii="Times New Roman" w:eastAsia="Arial Unicode MS" w:hAnsi="Times New Roman" w:cs="Times New Roman"/>
          <w:kern w:val="3"/>
          <w:sz w:val="24"/>
          <w:szCs w:val="24"/>
          <w:bdr w:val="nil"/>
          <w:lang w:eastAsia="en-GB"/>
        </w:rPr>
        <w:t xml:space="preserve"> would stay at least in part.</w:t>
      </w:r>
      <w:r>
        <w:rPr>
          <w:rStyle w:val="FootnoteReference"/>
          <w:rFonts w:ascii="Times New Roman" w:eastAsia="Arial Unicode MS" w:hAnsi="Times New Roman" w:cs="Times New Roman"/>
          <w:kern w:val="3"/>
          <w:sz w:val="24"/>
          <w:szCs w:val="24"/>
          <w:bdr w:val="nil"/>
          <w:lang w:eastAsia="en-GB"/>
        </w:rPr>
        <w:footnoteReference w:id="353"/>
      </w:r>
      <w:r>
        <w:rPr>
          <w:rFonts w:ascii="Times New Roman" w:eastAsia="Arial Unicode MS" w:hAnsi="Times New Roman" w:cs="Times New Roman"/>
          <w:kern w:val="3"/>
          <w:sz w:val="24"/>
          <w:szCs w:val="24"/>
          <w:bdr w:val="nil"/>
          <w:lang w:eastAsia="en-GB"/>
        </w:rPr>
        <w:t xml:space="preserve"> Researchers' resistance to TDM offers based on licences is likely to continue for the reasons mentioned above (see problem definition): Fragmentation in the single market as a result of different TDM laws across MS would also remain unsolved and is likely to worsen as more MS are likely to adopting national TDM exceptions in the absence of EU intervention.</w:t>
      </w:r>
      <w:r w:rsidRPr="00EC4FA4">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Overall,</w:t>
      </w:r>
      <w:r w:rsidRPr="00EC4FA4">
        <w:rPr>
          <w:rFonts w:ascii="Times New Roman" w:eastAsia="Arial Unicode MS" w:hAnsi="Times New Roman" w:cs="Times New Roman"/>
          <w:kern w:val="3"/>
          <w:sz w:val="24"/>
          <w:szCs w:val="24"/>
          <w:bdr w:val="nil"/>
          <w:lang w:eastAsia="en-GB"/>
        </w:rPr>
        <w:t xml:space="preserve"> the objective of ensuring full legal certainty for researchers </w:t>
      </w:r>
      <w:r>
        <w:rPr>
          <w:rFonts w:ascii="Times New Roman" w:eastAsia="Arial Unicode MS" w:hAnsi="Times New Roman" w:cs="Times New Roman"/>
          <w:kern w:val="3"/>
          <w:sz w:val="24"/>
          <w:szCs w:val="24"/>
          <w:bdr w:val="nil"/>
          <w:lang w:eastAsia="en-GB"/>
        </w:rPr>
        <w:t>seeking</w:t>
      </w:r>
      <w:r w:rsidRPr="00EC4FA4">
        <w:rPr>
          <w:rFonts w:ascii="Times New Roman" w:eastAsia="Arial Unicode MS" w:hAnsi="Times New Roman" w:cs="Times New Roman"/>
          <w:kern w:val="3"/>
          <w:sz w:val="24"/>
          <w:szCs w:val="24"/>
          <w:bdr w:val="nil"/>
          <w:lang w:eastAsia="en-GB"/>
        </w:rPr>
        <w:t xml:space="preserve"> to mine</w:t>
      </w:r>
      <w:r>
        <w:rPr>
          <w:rFonts w:ascii="Times New Roman" w:eastAsia="Arial Unicode MS" w:hAnsi="Times New Roman" w:cs="Times New Roman"/>
          <w:kern w:val="3"/>
          <w:sz w:val="24"/>
          <w:szCs w:val="24"/>
          <w:bdr w:val="nil"/>
          <w:lang w:eastAsia="en-GB"/>
        </w:rPr>
        <w:t xml:space="preserve"> the</w:t>
      </w:r>
      <w:r w:rsidRPr="00EC4FA4">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copyright-protected </w:t>
      </w:r>
      <w:r w:rsidRPr="00EC4FA4">
        <w:rPr>
          <w:rFonts w:ascii="Times New Roman" w:eastAsia="Arial Unicode MS" w:hAnsi="Times New Roman" w:cs="Times New Roman"/>
          <w:kern w:val="3"/>
          <w:sz w:val="24"/>
          <w:szCs w:val="24"/>
          <w:bdr w:val="nil"/>
          <w:lang w:eastAsia="en-GB"/>
        </w:rPr>
        <w:t>content they have lawful access to would not be achieved.</w:t>
      </w:r>
    </w:p>
    <w:p w:rsidR="00083CE6" w:rsidRPr="00EC4FA4" w:rsidRDefault="00007677" w:rsidP="00083CE6">
      <w:pPr>
        <w:pStyle w:val="Text1"/>
        <w:ind w:left="0"/>
        <w:rPr>
          <w:rFonts w:eastAsia="Arial Unicode MS"/>
          <w:b/>
          <w:i/>
          <w:kern w:val="3"/>
          <w:szCs w:val="24"/>
          <w:bdr w:val="nil"/>
        </w:rPr>
      </w:pPr>
      <w:r>
        <w:rPr>
          <w:rFonts w:eastAsia="Arial Unicode MS"/>
          <w:b/>
          <w:kern w:val="3"/>
          <w:szCs w:val="24"/>
          <w:bdr w:val="nil"/>
        </w:rPr>
        <w:t>Rightholders</w:t>
      </w:r>
      <w:r w:rsidR="00083CE6" w:rsidRPr="00EC4FA4">
        <w:rPr>
          <w:rFonts w:eastAsia="Arial Unicode MS"/>
          <w:b/>
          <w:i/>
          <w:kern w:val="3"/>
          <w:szCs w:val="24"/>
          <w:bdr w:val="nil"/>
        </w:rPr>
        <w:t xml:space="preserve"> </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zh-CN"/>
        </w:rPr>
      </w:pPr>
      <w:r w:rsidRPr="00EC4FA4">
        <w:rPr>
          <w:rFonts w:ascii="Times New Roman" w:eastAsia="Arial Unicode MS" w:hAnsi="Times New Roman" w:cs="Times New Roman"/>
          <w:kern w:val="3"/>
          <w:sz w:val="24"/>
          <w:szCs w:val="24"/>
          <w:u w:val="single"/>
          <w:bdr w:val="nil"/>
          <w:lang w:eastAsia="en-GB"/>
        </w:rPr>
        <w:t>Impact on TDM licensing market and the revenues thereof:</w:t>
      </w:r>
      <w:r w:rsidRPr="00EC4FA4">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TDM may increasingly be included in subscription licences that scientific publishers conclude </w:t>
      </w:r>
      <w:r w:rsidRPr="00327DE0">
        <w:rPr>
          <w:rFonts w:ascii="Times New Roman" w:eastAsia="Arial Unicode MS" w:hAnsi="Times New Roman" w:cs="Times New Roman"/>
          <w:kern w:val="3"/>
          <w:sz w:val="24"/>
          <w:szCs w:val="24"/>
          <w:bdr w:val="nil"/>
          <w:lang w:eastAsia="en-GB"/>
        </w:rPr>
        <w:t xml:space="preserve">with </w:t>
      </w:r>
      <w:r w:rsidRPr="00C32C45">
        <w:rPr>
          <w:rFonts w:ascii="Times New Roman" w:eastAsia="Arial Unicode MS" w:hAnsi="Times New Roman" w:cs="Times New Roman"/>
          <w:kern w:val="3"/>
          <w:sz w:val="24"/>
          <w:szCs w:val="24"/>
          <w:bdr w:val="nil"/>
          <w:lang w:eastAsia="en-GB"/>
        </w:rPr>
        <w:t xml:space="preserve">public interest organisations </w:t>
      </w:r>
      <w:r w:rsidRPr="00327DE0">
        <w:rPr>
          <w:rFonts w:ascii="Times New Roman" w:eastAsia="Arial Unicode MS" w:hAnsi="Times New Roman" w:cs="Times New Roman"/>
          <w:kern w:val="3"/>
          <w:sz w:val="24"/>
          <w:szCs w:val="24"/>
          <w:bdr w:val="nil"/>
          <w:lang w:eastAsia="en-GB"/>
        </w:rPr>
        <w:t>such as universities and</w:t>
      </w:r>
      <w:r>
        <w:rPr>
          <w:rFonts w:ascii="Times New Roman" w:eastAsia="Arial Unicode MS" w:hAnsi="Times New Roman" w:cs="Times New Roman"/>
          <w:kern w:val="3"/>
          <w:sz w:val="24"/>
          <w:szCs w:val="24"/>
          <w:bdr w:val="nil"/>
          <w:lang w:eastAsia="en-GB"/>
        </w:rPr>
        <w:t xml:space="preserve"> </w:t>
      </w:r>
      <w:r w:rsidR="006D21E9">
        <w:rPr>
          <w:rFonts w:ascii="Times New Roman" w:eastAsia="Arial Unicode MS" w:hAnsi="Times New Roman" w:cs="Times New Roman"/>
          <w:kern w:val="3"/>
          <w:sz w:val="24"/>
          <w:szCs w:val="24"/>
          <w:bdr w:val="nil"/>
          <w:lang w:eastAsia="en-GB"/>
        </w:rPr>
        <w:t>licensing</w:t>
      </w:r>
      <w:r>
        <w:rPr>
          <w:rFonts w:ascii="Times New Roman" w:eastAsia="Arial Unicode MS" w:hAnsi="Times New Roman" w:cs="Times New Roman"/>
          <w:kern w:val="3"/>
          <w:sz w:val="24"/>
          <w:szCs w:val="24"/>
          <w:bdr w:val="nil"/>
          <w:lang w:eastAsia="en-GB"/>
        </w:rPr>
        <w:t xml:space="preserve">-based tools may be developed further (see above). However, these developments are not likely to result in substantial increase in revenues for publishers, given on the one hand the resistance of researchers to these offers and on the other hand the unlikely increase of </w:t>
      </w:r>
      <w:r w:rsidR="006D21E9">
        <w:rPr>
          <w:rFonts w:ascii="Times New Roman" w:eastAsia="Arial Unicode MS" w:hAnsi="Times New Roman" w:cs="Times New Roman"/>
          <w:kern w:val="3"/>
          <w:sz w:val="24"/>
          <w:szCs w:val="24"/>
          <w:bdr w:val="nil"/>
          <w:lang w:eastAsia="en-GB"/>
        </w:rPr>
        <w:t>licensing</w:t>
      </w:r>
      <w:r>
        <w:rPr>
          <w:rFonts w:ascii="Times New Roman" w:eastAsia="Arial Unicode MS" w:hAnsi="Times New Roman" w:cs="Times New Roman"/>
          <w:kern w:val="3"/>
          <w:sz w:val="24"/>
          <w:szCs w:val="24"/>
          <w:bdr w:val="nil"/>
          <w:lang w:eastAsia="en-GB"/>
        </w:rPr>
        <w:t xml:space="preserve"> fees due to</w:t>
      </w:r>
      <w:r w:rsidDel="00F457A1">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the inclusion of TDM in subscription licences.</w:t>
      </w:r>
      <w:r w:rsidRPr="00EC4FA4">
        <w:rPr>
          <w:rFonts w:ascii="Times New Roman" w:eastAsia="Arial Unicode MS" w:hAnsi="Times New Roman" w:cs="Times New Roman"/>
          <w:kern w:val="3"/>
          <w:sz w:val="24"/>
          <w:szCs w:val="24"/>
          <w:bdr w:val="nil"/>
          <w:vertAlign w:val="superscript"/>
          <w:lang w:eastAsia="zh-CN"/>
        </w:rPr>
        <w:footnoteReference w:id="354"/>
      </w:r>
      <w:r>
        <w:rPr>
          <w:rFonts w:ascii="Times New Roman" w:eastAsia="Arial Unicode MS" w:hAnsi="Times New Roman" w:cs="Times New Roman"/>
          <w:kern w:val="3"/>
          <w:sz w:val="24"/>
          <w:szCs w:val="24"/>
          <w:bdr w:val="nil"/>
          <w:lang w:eastAsia="en-GB"/>
        </w:rPr>
        <w:t xml:space="preserve"> The adoption of national TDM exceptions by an increasing number of MS could progressively erode publishers' ability to licence TDM across the EU. However national exceptions would have to be limited by the "non-commercial" condition set out in the current EU rules and, if drafted along the lines of the 2014 UK precedent ("lawful access" condition, exception limited to the reproduction right) they would not directly affect the publishers' subscription market.</w:t>
      </w:r>
      <w:r>
        <w:rPr>
          <w:rFonts w:ascii="Times New Roman" w:eastAsia="Arial Unicode MS" w:hAnsi="Times New Roman" w:cs="Times New Roman"/>
          <w:kern w:val="3"/>
          <w:sz w:val="24"/>
          <w:szCs w:val="24"/>
          <w:bdr w:val="nil"/>
          <w:lang w:eastAsia="zh-CN"/>
        </w:rPr>
        <w:t xml:space="preserve"> Under the baseline scenario, </w:t>
      </w:r>
      <w:r>
        <w:rPr>
          <w:rFonts w:ascii="Times New Roman" w:eastAsia="Arial Unicode MS" w:hAnsi="Times New Roman" w:cs="Times New Roman"/>
          <w:kern w:val="3"/>
          <w:sz w:val="24"/>
          <w:szCs w:val="24"/>
          <w:bdr w:val="nil"/>
          <w:lang w:eastAsia="en-GB"/>
        </w:rPr>
        <w:t xml:space="preserve">scientific </w:t>
      </w:r>
      <w:r w:rsidRPr="00EC4FA4">
        <w:rPr>
          <w:rFonts w:ascii="Times New Roman" w:eastAsia="Arial Unicode MS" w:hAnsi="Times New Roman" w:cs="Times New Roman"/>
          <w:kern w:val="3"/>
          <w:sz w:val="24"/>
          <w:szCs w:val="24"/>
          <w:bdr w:val="nil"/>
          <w:lang w:eastAsia="en-GB"/>
        </w:rPr>
        <w:t>publishers</w:t>
      </w:r>
      <w:r>
        <w:rPr>
          <w:rFonts w:ascii="Times New Roman" w:eastAsia="Arial Unicode MS" w:hAnsi="Times New Roman" w:cs="Times New Roman"/>
          <w:kern w:val="3"/>
          <w:sz w:val="24"/>
          <w:szCs w:val="24"/>
          <w:bdr w:val="nil"/>
          <w:lang w:eastAsia="en-GB"/>
        </w:rPr>
        <w:t xml:space="preserve"> are likely to continue to expand the TDM </w:t>
      </w:r>
      <w:r w:rsidR="006D21E9">
        <w:rPr>
          <w:rFonts w:ascii="Times New Roman" w:eastAsia="Arial Unicode MS" w:hAnsi="Times New Roman" w:cs="Times New Roman"/>
          <w:kern w:val="3"/>
          <w:sz w:val="24"/>
          <w:szCs w:val="24"/>
          <w:bdr w:val="nil"/>
          <w:lang w:eastAsia="en-GB"/>
        </w:rPr>
        <w:t>licensing</w:t>
      </w:r>
      <w:r>
        <w:rPr>
          <w:rFonts w:ascii="Times New Roman" w:eastAsia="Arial Unicode MS" w:hAnsi="Times New Roman" w:cs="Times New Roman"/>
          <w:kern w:val="3"/>
          <w:sz w:val="24"/>
          <w:szCs w:val="24"/>
          <w:bdr w:val="nil"/>
          <w:lang w:eastAsia="en-GB"/>
        </w:rPr>
        <w:t xml:space="preserve"> offers for the commercial market (e.g. pharmaceutical and life-science companies) – often in the context of added value packages including not only TDM as such but also providing additional facilities (e.g. pre-formatting of data, direct injections into existing databases etc.). Revenues from commercial licences are likely to increase substantially over time (see Option 4).</w:t>
      </w:r>
      <w:r w:rsidRPr="00EC4FA4">
        <w:rPr>
          <w:rFonts w:ascii="Times New Roman" w:eastAsia="Arial Unicode MS" w:hAnsi="Times New Roman" w:cs="Times New Roman"/>
          <w:kern w:val="3"/>
          <w:sz w:val="24"/>
          <w:szCs w:val="24"/>
          <w:bdr w:val="nil"/>
          <w:lang w:eastAsia="zh-CN"/>
        </w:rPr>
        <w:t xml:space="preserve"> </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EC4FA4">
        <w:rPr>
          <w:rFonts w:ascii="Times New Roman" w:eastAsia="Arial Unicode MS" w:hAnsi="Times New Roman" w:cs="Times New Roman"/>
          <w:kern w:val="3"/>
          <w:sz w:val="24"/>
          <w:szCs w:val="24"/>
          <w:u w:val="single"/>
          <w:bdr w:val="nil"/>
          <w:lang w:eastAsia="en-GB"/>
        </w:rPr>
        <w:t xml:space="preserve">Impact on the </w:t>
      </w:r>
      <w:r>
        <w:rPr>
          <w:rFonts w:ascii="Times New Roman" w:eastAsia="Arial Unicode MS" w:hAnsi="Times New Roman" w:cs="Times New Roman"/>
          <w:kern w:val="3"/>
          <w:sz w:val="24"/>
          <w:szCs w:val="24"/>
          <w:u w:val="single"/>
          <w:bdr w:val="nil"/>
          <w:lang w:eastAsia="en-GB"/>
        </w:rPr>
        <w:t xml:space="preserve">protection </w:t>
      </w:r>
      <w:r w:rsidRPr="00EC4FA4">
        <w:rPr>
          <w:rFonts w:ascii="Times New Roman" w:eastAsia="Arial Unicode MS" w:hAnsi="Times New Roman" w:cs="Times New Roman"/>
          <w:kern w:val="3"/>
          <w:sz w:val="24"/>
          <w:szCs w:val="24"/>
          <w:u w:val="single"/>
          <w:bdr w:val="nil"/>
          <w:lang w:eastAsia="en-GB"/>
        </w:rPr>
        <w:t>of content</w:t>
      </w:r>
      <w:r>
        <w:rPr>
          <w:rFonts w:ascii="Times New Roman" w:eastAsia="Arial Unicode MS" w:hAnsi="Times New Roman" w:cs="Times New Roman"/>
          <w:i/>
          <w:sz w:val="24"/>
          <w:szCs w:val="20"/>
          <w:bdr w:val="nil"/>
          <w:lang w:val="en-US" w:eastAsia="en-GB"/>
        </w:rPr>
        <w:t>:</w:t>
      </w:r>
      <w:r w:rsidRPr="00EC4FA4">
        <w:rPr>
          <w:rFonts w:ascii="Times New Roman" w:eastAsia="Arial Unicode MS" w:hAnsi="Times New Roman" w:cs="Times New Roman"/>
          <w:sz w:val="24"/>
          <w:szCs w:val="20"/>
          <w:bdr w:val="nil"/>
          <w:lang w:val="en-US" w:eastAsia="en-GB"/>
        </w:rPr>
        <w:t xml:space="preserve"> </w:t>
      </w:r>
      <w:r>
        <w:rPr>
          <w:rFonts w:ascii="Times New Roman" w:eastAsia="Arial Unicode MS" w:hAnsi="Times New Roman" w:cs="Times New Roman"/>
          <w:sz w:val="24"/>
          <w:szCs w:val="20"/>
          <w:bdr w:val="nil"/>
          <w:lang w:val="en-US" w:eastAsia="en-GB"/>
        </w:rPr>
        <w:t>publishers would continue to be able to use licen</w:t>
      </w:r>
      <w:r w:rsidR="006D21E9">
        <w:rPr>
          <w:rFonts w:ascii="Times New Roman" w:eastAsia="Arial Unicode MS" w:hAnsi="Times New Roman" w:cs="Times New Roman"/>
          <w:sz w:val="24"/>
          <w:szCs w:val="20"/>
          <w:bdr w:val="nil"/>
          <w:lang w:val="en-US" w:eastAsia="en-GB"/>
        </w:rPr>
        <w:t>c</w:t>
      </w:r>
      <w:r>
        <w:rPr>
          <w:rFonts w:ascii="Times New Roman" w:eastAsia="Arial Unicode MS" w:hAnsi="Times New Roman" w:cs="Times New Roman"/>
          <w:sz w:val="24"/>
          <w:szCs w:val="20"/>
          <w:bdr w:val="nil"/>
          <w:lang w:val="en-US" w:eastAsia="en-GB"/>
        </w:rPr>
        <w:t xml:space="preserve">es as a mean to impose technical and contractual </w:t>
      </w:r>
      <w:r w:rsidRPr="00EC4FA4">
        <w:rPr>
          <w:rFonts w:ascii="Times New Roman" w:eastAsia="Arial Unicode MS" w:hAnsi="Times New Roman" w:cs="Times New Roman"/>
          <w:kern w:val="3"/>
          <w:sz w:val="24"/>
          <w:szCs w:val="24"/>
          <w:bdr w:val="nil"/>
          <w:lang w:eastAsia="en-GB"/>
        </w:rPr>
        <w:t xml:space="preserve">means to </w:t>
      </w:r>
      <w:r>
        <w:rPr>
          <w:rFonts w:ascii="Times New Roman" w:eastAsia="Arial Unicode MS" w:hAnsi="Times New Roman" w:cs="Times New Roman"/>
          <w:kern w:val="3"/>
          <w:sz w:val="24"/>
          <w:szCs w:val="24"/>
          <w:bdr w:val="nil"/>
          <w:lang w:eastAsia="en-GB"/>
        </w:rPr>
        <w:t>protect their content (</w:t>
      </w:r>
      <w:r w:rsidRPr="00EC4FA4">
        <w:rPr>
          <w:rFonts w:ascii="Times New Roman" w:eastAsia="Arial Unicode MS" w:hAnsi="Times New Roman" w:cs="Times New Roman"/>
          <w:kern w:val="3"/>
          <w:sz w:val="24"/>
          <w:szCs w:val="24"/>
          <w:bdr w:val="nil"/>
          <w:lang w:eastAsia="en-GB"/>
        </w:rPr>
        <w:t>ensure that only authorised users can access and carry out TDM</w:t>
      </w:r>
      <w:r>
        <w:rPr>
          <w:rFonts w:ascii="Times New Roman" w:eastAsia="Arial Unicode MS" w:hAnsi="Times New Roman" w:cs="Times New Roman"/>
          <w:kern w:val="3"/>
          <w:sz w:val="24"/>
          <w:szCs w:val="24"/>
          <w:bdr w:val="nil"/>
          <w:lang w:eastAsia="en-GB"/>
        </w:rPr>
        <w:t xml:space="preserve"> and protect their databases from massive downloads)</w:t>
      </w:r>
      <w:r w:rsidRPr="00EC4FA4">
        <w:rPr>
          <w:rFonts w:ascii="Times New Roman" w:eastAsia="Arial Unicode MS" w:hAnsi="Times New Roman" w:cs="Times New Roman"/>
          <w:kern w:val="3"/>
          <w:sz w:val="24"/>
          <w:szCs w:val="24"/>
          <w:bdr w:val="nil"/>
          <w:lang w:eastAsia="en-GB"/>
        </w:rPr>
        <w:t xml:space="preserve">. </w:t>
      </w:r>
    </w:p>
    <w:p w:rsidR="00083CE6" w:rsidRDefault="00083CE6" w:rsidP="00083CE6">
      <w:pPr>
        <w:pStyle w:val="Text1"/>
        <w:ind w:left="0"/>
        <w:rPr>
          <w:rFonts w:ascii="Times New Roman Bold" w:eastAsia="Arial Unicode MS" w:hAnsi="Times New Roman Bold" w:hint="eastAsia"/>
          <w:b/>
          <w:smallCaps/>
          <w:szCs w:val="24"/>
          <w:bdr w:val="nil"/>
        </w:rPr>
      </w:pPr>
      <w:r w:rsidRPr="00286B6E">
        <w:rPr>
          <w:rFonts w:ascii="Times New Roman Bold" w:eastAsia="Arial Unicode MS" w:hAnsi="Times New Roman Bold"/>
          <w:b/>
          <w:smallCaps/>
          <w:szCs w:val="24"/>
          <w:bdr w:val="nil"/>
        </w:rPr>
        <w:t>Social impact</w:t>
      </w:r>
      <w:r>
        <w:rPr>
          <w:rFonts w:ascii="Times New Roman Bold" w:eastAsia="Arial Unicode MS" w:hAnsi="Times New Roman Bold"/>
          <w:b/>
          <w:smallCaps/>
          <w:szCs w:val="24"/>
          <w:bdr w:val="nil"/>
        </w:rPr>
        <w:t>s</w:t>
      </w:r>
    </w:p>
    <w:p w:rsidR="00083CE6" w:rsidRDefault="00083CE6" w:rsidP="00083CE6">
      <w:pPr>
        <w:pStyle w:val="Text1"/>
        <w:ind w:left="0"/>
        <w:rPr>
          <w:rFonts w:eastAsia="Arial Unicode MS"/>
          <w:kern w:val="3"/>
          <w:szCs w:val="24"/>
          <w:bdr w:val="nil"/>
          <w:lang w:eastAsia="zh-CN"/>
        </w:rPr>
      </w:pPr>
      <w:r>
        <w:rPr>
          <w:rFonts w:eastAsia="Arial Unicode MS"/>
          <w:kern w:val="3"/>
          <w:szCs w:val="24"/>
          <w:bdr w:val="nil"/>
          <w:lang w:eastAsia="zh-CN"/>
        </w:rPr>
        <w:t>T</w:t>
      </w:r>
      <w:r w:rsidRPr="007F7D22">
        <w:rPr>
          <w:rFonts w:eastAsia="Arial Unicode MS"/>
          <w:kern w:val="3"/>
          <w:szCs w:val="24"/>
          <w:bdr w:val="nil"/>
          <w:lang w:eastAsia="zh-CN"/>
        </w:rPr>
        <w:t xml:space="preserve">he </w:t>
      </w:r>
      <w:r>
        <w:rPr>
          <w:rFonts w:eastAsia="Arial Unicode MS"/>
          <w:kern w:val="3"/>
          <w:szCs w:val="24"/>
          <w:bdr w:val="nil"/>
          <w:lang w:eastAsia="zh-CN"/>
        </w:rPr>
        <w:t xml:space="preserve">persisting copyright related problem slowing down the development of TDM in European research would, at least in part, remain unsolved. This could contribute to Europe losing attractiveness as a research area on a worldwide scale, for example as regards EU universities' ability to attract and retain top quality scientists. </w:t>
      </w:r>
    </w:p>
    <w:p w:rsidR="00083CE6" w:rsidRDefault="00083CE6" w:rsidP="00083CE6">
      <w:pPr>
        <w:pStyle w:val="Text1"/>
        <w:ind w:left="0"/>
        <w:rPr>
          <w:rFonts w:eastAsia="Arial Unicode MS"/>
          <w:kern w:val="3"/>
          <w:szCs w:val="24"/>
          <w:bdr w:val="nil"/>
          <w:lang w:eastAsia="zh-CN"/>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undamental rights</w:t>
      </w:r>
    </w:p>
    <w:p w:rsidR="00083CE6" w:rsidRPr="00EC4FA4" w:rsidRDefault="00083CE6" w:rsidP="00083CE6">
      <w:pPr>
        <w:pStyle w:val="Text1"/>
        <w:ind w:left="0"/>
        <w:rPr>
          <w:rFonts w:eastAsia="Arial Unicode MS"/>
          <w:kern w:val="3"/>
          <w:szCs w:val="24"/>
          <w:bdr w:val="nil"/>
          <w:lang w:eastAsia="zh-CN"/>
        </w:rPr>
      </w:pPr>
      <w:r>
        <w:rPr>
          <w:rFonts w:eastAsia="Arial Unicode MS"/>
          <w:kern w:val="3"/>
          <w:szCs w:val="24"/>
          <w:bdr w:val="nil"/>
          <w:lang w:eastAsia="zh-CN"/>
        </w:rPr>
        <w:t xml:space="preserve">The baseline would have no impact resulting from EU action on copyright as a fundamental right and on </w:t>
      </w:r>
      <w:r w:rsidRPr="00EC4FA4">
        <w:rPr>
          <w:rFonts w:eastAsia="Arial Unicode MS"/>
          <w:kern w:val="3"/>
          <w:szCs w:val="24"/>
          <w:bdr w:val="nil"/>
          <w:lang w:val="en-US"/>
        </w:rPr>
        <w:t xml:space="preserve">research, protected under the fundamental right of freedom of art and science under Article 13 of the </w:t>
      </w:r>
      <w:r w:rsidR="00BE5314">
        <w:rPr>
          <w:rFonts w:eastAsia="Arial Unicode MS"/>
          <w:kern w:val="3"/>
          <w:szCs w:val="24"/>
          <w:bdr w:val="nil"/>
          <w:lang w:val="en-US"/>
        </w:rPr>
        <w:t>C</w:t>
      </w:r>
      <w:r w:rsidRPr="00EC4FA4">
        <w:rPr>
          <w:rFonts w:eastAsia="Arial Unicode MS"/>
          <w:kern w:val="3"/>
          <w:szCs w:val="24"/>
          <w:bdr w:val="nil"/>
          <w:lang w:val="en-US"/>
        </w:rPr>
        <w:t>harter</w:t>
      </w:r>
      <w:r>
        <w:rPr>
          <w:rFonts w:eastAsia="Arial Unicode MS"/>
          <w:kern w:val="3"/>
          <w:szCs w:val="24"/>
          <w:bdr w:val="nil"/>
          <w:lang w:eastAsia="zh-CN"/>
        </w:rPr>
        <w:t>.</w:t>
      </w:r>
    </w:p>
    <w:p w:rsidR="00083CE6" w:rsidRPr="00EF4BBE" w:rsidRDefault="00083CE6" w:rsidP="00083CE6">
      <w:pPr>
        <w:pStyle w:val="Text1"/>
        <w:ind w:left="0"/>
        <w:rPr>
          <w:rFonts w:eastAsia="Arial Unicode MS"/>
          <w:b/>
          <w:bCs/>
          <w:color w:val="000000"/>
          <w:szCs w:val="24"/>
          <w:u w:val="single"/>
          <w:bdr w:val="nil"/>
        </w:rPr>
      </w:pPr>
      <w:bookmarkStart w:id="91" w:name="_Toc454351332"/>
      <w:bookmarkStart w:id="92" w:name="_Toc454561748"/>
      <w:r w:rsidRPr="00EF4BBE">
        <w:rPr>
          <w:rFonts w:eastAsia="Arial Unicode MS"/>
          <w:b/>
          <w:bCs/>
          <w:color w:val="000000"/>
          <w:szCs w:val="24"/>
          <w:u w:val="single"/>
          <w:bdr w:val="nil"/>
        </w:rPr>
        <w:t>Option 1 – Fostering industry self-regulation initiatives without changes to EU legal framework</w:t>
      </w:r>
      <w:bookmarkEnd w:id="91"/>
      <w:bookmarkEnd w:id="92"/>
    </w:p>
    <w:p w:rsidR="00083CE6" w:rsidRDefault="00083CE6" w:rsidP="00083CE6">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083CE6" w:rsidRPr="00EC4FA4" w:rsidRDefault="00083CE6" w:rsidP="00083CE6">
      <w:pPr>
        <w:pStyle w:val="Text1"/>
        <w:ind w:left="0"/>
        <w:rPr>
          <w:rFonts w:eastAsia="Arial Unicode MS"/>
          <w:b/>
          <w:kern w:val="3"/>
          <w:szCs w:val="24"/>
          <w:bdr w:val="nil"/>
          <w:lang w:eastAsia="zh-CN"/>
        </w:rPr>
      </w:pPr>
      <w:r w:rsidRPr="00EC4FA4">
        <w:rPr>
          <w:rFonts w:eastAsia="Arial Unicode MS"/>
          <w:b/>
          <w:kern w:val="3"/>
          <w:szCs w:val="24"/>
          <w:bdr w:val="nil"/>
        </w:rPr>
        <w:t>Researchers</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zh-CN"/>
        </w:rPr>
      </w:pPr>
      <w:r w:rsidRPr="00EC4FA4">
        <w:rPr>
          <w:rFonts w:ascii="Times New Roman" w:eastAsia="Arial Unicode MS" w:hAnsi="Times New Roman" w:cs="Times New Roman"/>
          <w:kern w:val="3"/>
          <w:sz w:val="24"/>
          <w:szCs w:val="24"/>
          <w:u w:val="single"/>
          <w:bdr w:val="nil"/>
          <w:lang w:eastAsia="en-GB"/>
        </w:rPr>
        <w:t xml:space="preserve">Impact on legal certainty and </w:t>
      </w:r>
      <w:r w:rsidRPr="00123CFF">
        <w:rPr>
          <w:rFonts w:ascii="Times New Roman" w:eastAsia="Arial Unicode MS" w:hAnsi="Times New Roman" w:cs="Times New Roman"/>
          <w:kern w:val="3"/>
          <w:sz w:val="24"/>
          <w:szCs w:val="24"/>
          <w:u w:val="single"/>
          <w:bdr w:val="nil"/>
          <w:lang w:eastAsia="en-GB"/>
        </w:rPr>
        <w:t>transaction</w:t>
      </w:r>
      <w:r w:rsidRPr="00EC4FA4">
        <w:rPr>
          <w:rFonts w:ascii="Times New Roman" w:eastAsia="Arial Unicode MS" w:hAnsi="Times New Roman" w:cs="Times New Roman"/>
          <w:kern w:val="3"/>
          <w:sz w:val="24"/>
          <w:szCs w:val="24"/>
          <w:u w:val="single"/>
          <w:bdr w:val="nil"/>
          <w:lang w:eastAsia="en-GB"/>
        </w:rPr>
        <w:t xml:space="preserve"> costs</w:t>
      </w:r>
      <w:r w:rsidRPr="00EC4FA4">
        <w:rPr>
          <w:rFonts w:ascii="Times New Roman" w:eastAsia="Arial Unicode MS" w:hAnsi="Times New Roman" w:cs="Times New Roman"/>
          <w:kern w:val="3"/>
          <w:sz w:val="24"/>
          <w:szCs w:val="24"/>
          <w:bdr w:val="nil"/>
          <w:lang w:eastAsia="zh-CN"/>
        </w:rPr>
        <w:t>:</w:t>
      </w:r>
      <w:r w:rsidR="00304D5D">
        <w:rPr>
          <w:rFonts w:ascii="Times New Roman" w:eastAsia="Arial Unicode MS" w:hAnsi="Times New Roman" w:cs="Times New Roman"/>
          <w:kern w:val="3"/>
          <w:sz w:val="24"/>
          <w:szCs w:val="24"/>
          <w:bdr w:val="nil"/>
          <w:lang w:eastAsia="zh-CN"/>
        </w:rPr>
        <w:t xml:space="preserve"> </w:t>
      </w:r>
      <w:r w:rsidRPr="00EC4FA4">
        <w:rPr>
          <w:rFonts w:ascii="Times New Roman" w:eastAsia="Arial Unicode MS" w:hAnsi="Times New Roman" w:cs="Times New Roman"/>
          <w:kern w:val="3"/>
          <w:sz w:val="24"/>
          <w:szCs w:val="24"/>
          <w:bdr w:val="nil"/>
          <w:lang w:eastAsia="zh-CN"/>
        </w:rPr>
        <w:t xml:space="preserve">Public interest research </w:t>
      </w:r>
      <w:r>
        <w:rPr>
          <w:rFonts w:ascii="Times New Roman" w:eastAsia="Arial Unicode MS" w:hAnsi="Times New Roman" w:cs="Times New Roman"/>
          <w:kern w:val="3"/>
          <w:sz w:val="24"/>
          <w:szCs w:val="24"/>
          <w:bdr w:val="nil"/>
          <w:lang w:eastAsia="zh-CN"/>
        </w:rPr>
        <w:t>organisations</w:t>
      </w:r>
      <w:r w:rsidRPr="00EC4FA4">
        <w:rPr>
          <w:rFonts w:ascii="Times New Roman" w:eastAsia="Arial Unicode MS" w:hAnsi="Times New Roman" w:cs="Times New Roman"/>
          <w:kern w:val="3"/>
          <w:sz w:val="24"/>
          <w:szCs w:val="24"/>
          <w:bdr w:val="nil"/>
          <w:lang w:eastAsia="zh-CN"/>
        </w:rPr>
        <w:t xml:space="preserve"> could potentially benefit from more legal certainty as a result of a convergent industry approach to TDM</w:t>
      </w:r>
      <w:r>
        <w:rPr>
          <w:rFonts w:ascii="Times New Roman" w:eastAsia="Arial Unicode MS" w:hAnsi="Times New Roman" w:cs="Times New Roman"/>
          <w:kern w:val="3"/>
          <w:sz w:val="24"/>
          <w:szCs w:val="24"/>
          <w:bdr w:val="nil"/>
          <w:lang w:eastAsia="zh-CN"/>
        </w:rPr>
        <w:t xml:space="preserve"> fostered by the Commission through structured stakeholder dialogues</w:t>
      </w:r>
      <w:r w:rsidRPr="00EC4FA4">
        <w:rPr>
          <w:rFonts w:ascii="Times New Roman" w:eastAsia="Arial Unicode MS" w:hAnsi="Times New Roman" w:cs="Times New Roman"/>
          <w:kern w:val="3"/>
          <w:sz w:val="24"/>
          <w:szCs w:val="24"/>
          <w:bdr w:val="nil"/>
          <w:lang w:eastAsia="zh-CN"/>
        </w:rPr>
        <w:t xml:space="preserve">. This could also limit to some extent the right-clearance costs. </w:t>
      </w:r>
      <w:r>
        <w:rPr>
          <w:rFonts w:ascii="Times New Roman" w:eastAsia="Arial Unicode MS" w:hAnsi="Times New Roman" w:cs="Times New Roman"/>
          <w:kern w:val="3"/>
          <w:sz w:val="24"/>
          <w:szCs w:val="24"/>
          <w:bdr w:val="nil"/>
          <w:lang w:eastAsia="zh-CN"/>
        </w:rPr>
        <w:t>However, the effectiveness of this option  is largely dependent on the willingness of the different parties to reach mutually satisfactory solutions. A voluntary approach to TDM was already tried at the time of "Licences for Europe" without achieving satisfactory results for researchers as explained in the problem definition. Despite market-related progresses following the commitments taken by STM publishers as a result of Licences for Europe there is no indication that a voluntary approach would be more successful now, given the substantial reluctance of researchers' representatives to engage in discussions based on a licences-based approach to TDM for the reasons explained above (potential persistence of different TDM conditions required by different publishers in the face of the large scale of content which has to be mined in the context of research)In addition, problems related to the risk of increasing fragmentation in the single market as a consequence of MS adoption TDM exceptions, under different conditions, at national level cannot be solved by a voluntary approach and require, by definition, legislative intervention at EU level.</w:t>
      </w:r>
    </w:p>
    <w:p w:rsidR="00083CE6" w:rsidRPr="00EC4FA4" w:rsidRDefault="00007677" w:rsidP="00083CE6">
      <w:pPr>
        <w:pStyle w:val="Text1"/>
        <w:ind w:left="0"/>
        <w:rPr>
          <w:rFonts w:eastAsia="Arial Unicode MS"/>
          <w:b/>
          <w:kern w:val="3"/>
          <w:szCs w:val="24"/>
          <w:bdr w:val="nil"/>
        </w:rPr>
      </w:pPr>
      <w:r>
        <w:rPr>
          <w:rFonts w:eastAsia="Arial Unicode MS"/>
          <w:b/>
          <w:szCs w:val="24"/>
          <w:bdr w:val="nil"/>
          <w:lang w:val="en-US"/>
        </w:rPr>
        <w:t>Rightholders</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val="en-US" w:eastAsia="zh-CN"/>
        </w:rPr>
      </w:pPr>
      <w:r w:rsidRPr="00EC4FA4">
        <w:rPr>
          <w:rFonts w:ascii="Times New Roman" w:eastAsia="Arial Unicode MS" w:hAnsi="Times New Roman" w:cs="Times New Roman"/>
          <w:kern w:val="3"/>
          <w:sz w:val="24"/>
          <w:szCs w:val="24"/>
          <w:u w:val="single"/>
          <w:bdr w:val="nil"/>
          <w:lang w:eastAsia="en-GB"/>
        </w:rPr>
        <w:t>Impact on TDM licensing market and the revenues thereof</w:t>
      </w:r>
      <w:r w:rsidRPr="00EC4FA4">
        <w:rPr>
          <w:rFonts w:ascii="Times New Roman" w:eastAsia="Arial Unicode MS" w:hAnsi="Times New Roman" w:cs="Times New Roman"/>
          <w:i/>
          <w:kern w:val="3"/>
          <w:sz w:val="24"/>
          <w:szCs w:val="24"/>
          <w:bdr w:val="nil"/>
          <w:lang w:eastAsia="en-GB"/>
        </w:rPr>
        <w:t>:</w:t>
      </w:r>
      <w:r w:rsidRPr="00EC4FA4">
        <w:rPr>
          <w:rFonts w:ascii="Times New Roman" w:eastAsia="Arial Unicode MS" w:hAnsi="Times New Roman" w:cs="Times New Roman"/>
          <w:b/>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this option is likely to result in some increase in costs for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Pr>
          <w:rFonts w:ascii="Times New Roman" w:eastAsia="Arial Unicode MS" w:hAnsi="Times New Roman" w:cs="Times New Roman"/>
          <w:kern w:val="3"/>
          <w:sz w:val="24"/>
          <w:szCs w:val="24"/>
          <w:bdr w:val="nil"/>
          <w:lang w:eastAsia="en-GB"/>
        </w:rPr>
        <w:t xml:space="preserve"> (notably publishers) because of the additional efforts they would have to undertake under a structured self-regulatory approach to develop mining infrastructures (notably </w:t>
      </w:r>
      <w:r w:rsidR="0060401B">
        <w:rPr>
          <w:rFonts w:ascii="Times New Roman" w:eastAsia="Arial Unicode MS" w:hAnsi="Times New Roman" w:cs="Times New Roman"/>
          <w:kern w:val="3"/>
          <w:sz w:val="24"/>
          <w:szCs w:val="24"/>
          <w:bdr w:val="nil"/>
          <w:lang w:eastAsia="en-GB"/>
        </w:rPr>
        <w:t>"</w:t>
      </w:r>
      <w:r>
        <w:rPr>
          <w:rFonts w:ascii="Times New Roman" w:eastAsia="Arial Unicode MS" w:hAnsi="Times New Roman" w:cs="Times New Roman"/>
          <w:kern w:val="3"/>
          <w:sz w:val="24"/>
          <w:szCs w:val="24"/>
          <w:bdr w:val="nil"/>
          <w:lang w:eastAsia="en-GB"/>
        </w:rPr>
        <w:t>Cross Ref</w:t>
      </w:r>
      <w:r w:rsidR="0060401B">
        <w:rPr>
          <w:rFonts w:ascii="Times New Roman" w:eastAsia="Arial Unicode MS" w:hAnsi="Times New Roman" w:cs="Times New Roman"/>
          <w:kern w:val="3"/>
          <w:sz w:val="24"/>
          <w:szCs w:val="24"/>
          <w:bdr w:val="nil"/>
          <w:lang w:eastAsia="en-GB"/>
        </w:rPr>
        <w:t>"</w:t>
      </w:r>
      <w:r>
        <w:rPr>
          <w:rFonts w:ascii="Times New Roman" w:eastAsia="Arial Unicode MS" w:hAnsi="Times New Roman" w:cs="Times New Roman"/>
          <w:kern w:val="3"/>
          <w:sz w:val="24"/>
          <w:szCs w:val="24"/>
          <w:bdr w:val="nil"/>
          <w:lang w:eastAsia="en-GB"/>
        </w:rPr>
        <w:t xml:space="preserve">) and </w:t>
      </w:r>
      <w:r w:rsidR="006D21E9">
        <w:rPr>
          <w:rFonts w:ascii="Times New Roman" w:eastAsia="Arial Unicode MS" w:hAnsi="Times New Roman" w:cs="Times New Roman"/>
          <w:kern w:val="3"/>
          <w:sz w:val="24"/>
          <w:szCs w:val="24"/>
          <w:bdr w:val="nil"/>
          <w:lang w:eastAsia="en-GB"/>
        </w:rPr>
        <w:t>licensing</w:t>
      </w:r>
      <w:r>
        <w:rPr>
          <w:rFonts w:ascii="Times New Roman" w:eastAsia="Arial Unicode MS" w:hAnsi="Times New Roman" w:cs="Times New Roman"/>
          <w:kern w:val="3"/>
          <w:sz w:val="24"/>
          <w:szCs w:val="24"/>
          <w:bdr w:val="nil"/>
          <w:lang w:eastAsia="en-GB"/>
        </w:rPr>
        <w:t xml:space="preserve"> offers. However, since public interest research organisations are not likely to react favourably to these efforts (see above), this option is not likely to bring about additional licensing opportunities for publishers</w:t>
      </w:r>
      <w:r>
        <w:rPr>
          <w:rFonts w:ascii="Times New Roman" w:eastAsia="Arial Unicode MS" w:hAnsi="Times New Roman" w:cs="Times New Roman"/>
          <w:kern w:val="3"/>
          <w:sz w:val="24"/>
          <w:szCs w:val="24"/>
          <w:bdr w:val="nil"/>
          <w:lang w:eastAsia="zh-CN"/>
        </w:rPr>
        <w:t>. The commercial market would not be addressed by stakeholder dialogues and therefore the impact on publishers as regards commercial revenues would remain the same as for the baseline.</w:t>
      </w:r>
      <w:r w:rsidRPr="00EC4FA4">
        <w:rPr>
          <w:rFonts w:ascii="Times New Roman" w:eastAsia="Arial Unicode MS" w:hAnsi="Times New Roman" w:cs="Times New Roman"/>
          <w:kern w:val="3"/>
          <w:sz w:val="24"/>
          <w:szCs w:val="24"/>
          <w:bdr w:val="nil"/>
          <w:lang w:eastAsia="zh-CN"/>
        </w:rPr>
        <w:t xml:space="preserve"> </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sz w:val="24"/>
          <w:szCs w:val="20"/>
          <w:bdr w:val="nil"/>
          <w:lang w:val="en-US" w:eastAsia="en-GB"/>
        </w:rPr>
      </w:pPr>
      <w:r w:rsidRPr="00EC4FA4">
        <w:rPr>
          <w:rFonts w:ascii="Times New Roman" w:eastAsia="Arial Unicode MS" w:hAnsi="Times New Roman" w:cs="Times New Roman"/>
          <w:kern w:val="3"/>
          <w:sz w:val="24"/>
          <w:szCs w:val="24"/>
          <w:u w:val="single"/>
          <w:bdr w:val="nil"/>
          <w:lang w:eastAsia="en-GB"/>
        </w:rPr>
        <w:t xml:space="preserve">Impact on </w:t>
      </w:r>
      <w:r w:rsidRPr="00EC4FA4">
        <w:rPr>
          <w:rFonts w:ascii="Times New Roman" w:eastAsia="Arial Unicode MS" w:hAnsi="Times New Roman" w:cs="Times New Roman"/>
          <w:sz w:val="24"/>
          <w:szCs w:val="20"/>
          <w:u w:val="single"/>
          <w:bdr w:val="nil"/>
          <w:lang w:eastAsia="en-GB"/>
        </w:rPr>
        <w:t>t</w:t>
      </w:r>
      <w:r w:rsidRPr="00EC4FA4">
        <w:rPr>
          <w:rFonts w:ascii="Times New Roman" w:eastAsia="Arial Unicode MS" w:hAnsi="Times New Roman" w:cs="Times New Roman"/>
          <w:sz w:val="24"/>
          <w:szCs w:val="20"/>
          <w:u w:val="single"/>
          <w:bdr w:val="nil"/>
          <w:lang w:val="en-US" w:eastAsia="en-GB"/>
        </w:rPr>
        <w:t xml:space="preserve">he </w:t>
      </w:r>
      <w:r>
        <w:rPr>
          <w:rFonts w:ascii="Times New Roman" w:eastAsia="Arial Unicode MS" w:hAnsi="Times New Roman" w:cs="Times New Roman"/>
          <w:sz w:val="24"/>
          <w:szCs w:val="20"/>
          <w:u w:val="single"/>
          <w:bdr w:val="nil"/>
          <w:lang w:val="en-US" w:eastAsia="en-GB"/>
        </w:rPr>
        <w:t>protection</w:t>
      </w:r>
      <w:r w:rsidRPr="00EC4FA4">
        <w:rPr>
          <w:rFonts w:ascii="Times New Roman" w:eastAsia="Arial Unicode MS" w:hAnsi="Times New Roman" w:cs="Times New Roman"/>
          <w:sz w:val="24"/>
          <w:szCs w:val="20"/>
          <w:u w:val="single"/>
          <w:bdr w:val="nil"/>
          <w:lang w:val="en-US" w:eastAsia="en-GB"/>
        </w:rPr>
        <w:t xml:space="preserve"> of content</w:t>
      </w:r>
      <w:r w:rsidRPr="00EC4FA4">
        <w:rPr>
          <w:rFonts w:ascii="Times New Roman" w:eastAsia="Arial Unicode MS" w:hAnsi="Times New Roman" w:cs="Times New Roman"/>
          <w:i/>
          <w:sz w:val="24"/>
          <w:szCs w:val="20"/>
          <w:bdr w:val="nil"/>
          <w:lang w:val="en-US" w:eastAsia="en-GB"/>
        </w:rPr>
        <w:t xml:space="preserve">: </w:t>
      </w:r>
      <w:r w:rsidRPr="00EC4FA4">
        <w:rPr>
          <w:rFonts w:ascii="Times New Roman" w:eastAsia="Arial Unicode MS" w:hAnsi="Times New Roman" w:cs="Times New Roman"/>
          <w:kern w:val="3"/>
          <w:sz w:val="24"/>
          <w:szCs w:val="24"/>
          <w:bdr w:val="nil"/>
          <w:lang w:eastAsia="zh-CN"/>
        </w:rPr>
        <w:t xml:space="preserve">Cooperation with researchers in the context of structured stakeholder dialogues may improve to some extent </w:t>
      </w:r>
      <w:r>
        <w:rPr>
          <w:rFonts w:ascii="Times New Roman" w:eastAsia="Arial Unicode MS" w:hAnsi="Times New Roman" w:cs="Times New Roman"/>
          <w:kern w:val="3"/>
          <w:sz w:val="24"/>
          <w:szCs w:val="24"/>
          <w:bdr w:val="nil"/>
          <w:lang w:eastAsia="zh-CN"/>
        </w:rPr>
        <w:t xml:space="preserve">the </w:t>
      </w:r>
      <w:r w:rsidRPr="00EC4FA4">
        <w:rPr>
          <w:rFonts w:ascii="Times New Roman" w:eastAsia="Arial Unicode MS" w:hAnsi="Times New Roman" w:cs="Times New Roman"/>
          <w:kern w:val="3"/>
          <w:sz w:val="24"/>
          <w:szCs w:val="24"/>
          <w:bdr w:val="nil"/>
          <w:lang w:eastAsia="zh-CN"/>
        </w:rPr>
        <w:t xml:space="preserve">convergence and users' acceptance of </w:t>
      </w:r>
      <w:r>
        <w:rPr>
          <w:rFonts w:ascii="Times New Roman" w:eastAsia="Arial Unicode MS" w:hAnsi="Times New Roman" w:cs="Times New Roman"/>
          <w:kern w:val="3"/>
          <w:sz w:val="24"/>
          <w:szCs w:val="24"/>
          <w:bdr w:val="nil"/>
          <w:lang w:eastAsia="zh-CN"/>
        </w:rPr>
        <w:t xml:space="preserve">technical safeguards applied by </w:t>
      </w:r>
      <w:r>
        <w:rPr>
          <w:rFonts w:ascii="Times New Roman" w:eastAsia="Arial Unicode MS" w:hAnsi="Times New Roman" w:cs="Times New Roman"/>
          <w:kern w:val="3"/>
          <w:sz w:val="24"/>
          <w:szCs w:val="24"/>
          <w:bdr w:val="nil"/>
          <w:lang w:eastAsia="en-GB"/>
        </w:rPr>
        <w:t>p</w:t>
      </w:r>
      <w:r>
        <w:rPr>
          <w:rFonts w:ascii="Times New Roman" w:eastAsia="Arial Unicode MS" w:hAnsi="Times New Roman" w:cs="Times New Roman"/>
          <w:kern w:val="3"/>
          <w:sz w:val="24"/>
          <w:szCs w:val="24"/>
          <w:bdr w:val="nil"/>
          <w:lang w:eastAsia="zh-CN"/>
        </w:rPr>
        <w:t xml:space="preserve">ublishers in the context of licences. As above, publishers may incur additional costs arising from the technical safeguards acceptable to the researchers. However, given the fact that the voluntary approach is not likely to result in commonly agreed solutions as explained above, the overall impact of this option on the protection of content is likely to be </w:t>
      </w:r>
      <w:r w:rsidRPr="00EC4FA4">
        <w:rPr>
          <w:rFonts w:ascii="Times New Roman" w:eastAsia="Arial Unicode MS" w:hAnsi="Times New Roman" w:cs="Times New Roman"/>
          <w:sz w:val="24"/>
          <w:szCs w:val="20"/>
          <w:bdr w:val="nil"/>
          <w:lang w:val="en-US" w:eastAsia="en-GB"/>
        </w:rPr>
        <w:t>similar to the baseline.</w:t>
      </w:r>
      <w:r w:rsidRPr="00EC4FA4">
        <w:rPr>
          <w:rFonts w:ascii="Times New Roman" w:eastAsia="Arial Unicode MS" w:hAnsi="Times New Roman" w:cs="Times New Roman"/>
          <w:kern w:val="3"/>
          <w:sz w:val="24"/>
          <w:szCs w:val="24"/>
          <w:bdr w:val="nil"/>
          <w:lang w:eastAsia="zh-CN"/>
        </w:rPr>
        <w:t xml:space="preserve"> </w:t>
      </w:r>
    </w:p>
    <w:p w:rsidR="00083CE6" w:rsidRDefault="00083CE6" w:rsidP="00083CE6">
      <w:pPr>
        <w:pStyle w:val="Text1"/>
        <w:ind w:left="0"/>
        <w:rPr>
          <w:rFonts w:eastAsia="Arial Unicode MS"/>
          <w:kern w:val="3"/>
          <w:szCs w:val="24"/>
          <w:bdr w:val="nil"/>
          <w:lang w:eastAsia="zh-CN"/>
        </w:rPr>
      </w:pPr>
      <w:r w:rsidRPr="00C32C45">
        <w:rPr>
          <w:rFonts w:ascii="Times New Roman Bold" w:eastAsia="Arial Unicode MS" w:hAnsi="Times New Roman Bold"/>
          <w:b/>
          <w:smallCaps/>
          <w:szCs w:val="24"/>
          <w:bdr w:val="nil"/>
        </w:rPr>
        <w:t>Social impact</w:t>
      </w:r>
      <w:r>
        <w:rPr>
          <w:rFonts w:ascii="Times New Roman Bold" w:eastAsia="Arial Unicode MS" w:hAnsi="Times New Roman Bold"/>
          <w:b/>
          <w:smallCaps/>
          <w:szCs w:val="24"/>
          <w:bdr w:val="nil"/>
        </w:rPr>
        <w:t>s</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zh-CN"/>
        </w:rPr>
      </w:pPr>
      <w:r>
        <w:rPr>
          <w:rFonts w:ascii="Times New Roman" w:eastAsia="Arial Unicode MS" w:hAnsi="Times New Roman" w:cs="Times New Roman"/>
          <w:kern w:val="3"/>
          <w:sz w:val="24"/>
          <w:szCs w:val="24"/>
          <w:bdr w:val="nil"/>
          <w:lang w:eastAsia="zh-CN"/>
        </w:rPr>
        <w:t xml:space="preserve">Similar to the baseline as measures under this option have a voluntary character and are therefore not expected to fully solve the legal uncertainty faced by researchers as regards TDM. </w:t>
      </w:r>
    </w:p>
    <w:p w:rsidR="00083CE6" w:rsidRDefault="00083CE6" w:rsidP="00083CE6">
      <w:pPr>
        <w:pStyle w:val="Text1"/>
        <w:ind w:left="0"/>
        <w:rPr>
          <w:rFonts w:eastAsia="Arial Unicode MS"/>
          <w:kern w:val="3"/>
          <w:szCs w:val="24"/>
          <w:bdr w:val="nil"/>
          <w:lang w:eastAsia="zh-CN"/>
        </w:rPr>
      </w:pPr>
      <w:r>
        <w:rPr>
          <w:rFonts w:ascii="Times New Roman Bold" w:eastAsia="Arial Unicode MS" w:hAnsi="Times New Roman Bold"/>
          <w:b/>
          <w:smallCaps/>
          <w:szCs w:val="24"/>
          <w:bdr w:val="nil"/>
        </w:rPr>
        <w:t>Impacts on F</w:t>
      </w:r>
      <w:r w:rsidRPr="00C32C45">
        <w:rPr>
          <w:rFonts w:ascii="Times New Roman Bold" w:eastAsia="Arial Unicode MS" w:hAnsi="Times New Roman Bold"/>
          <w:b/>
          <w:smallCaps/>
          <w:szCs w:val="24"/>
          <w:bdr w:val="nil"/>
        </w:rPr>
        <w:t>undamental rights</w:t>
      </w:r>
    </w:p>
    <w:p w:rsidR="00083CE6" w:rsidRPr="00EC4FA4"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sz w:val="24"/>
          <w:szCs w:val="24"/>
          <w:bdr w:val="nil"/>
          <w:lang w:val="en-US"/>
        </w:rPr>
      </w:pPr>
      <w:r w:rsidRPr="00EC4FA4">
        <w:rPr>
          <w:rFonts w:ascii="Times New Roman" w:eastAsia="Arial Unicode MS" w:hAnsi="Times New Roman" w:cs="Times New Roman"/>
          <w:kern w:val="3"/>
          <w:sz w:val="24"/>
          <w:szCs w:val="24"/>
          <w:bdr w:val="nil"/>
          <w:lang w:eastAsia="zh-CN"/>
        </w:rPr>
        <w:t xml:space="preserve">Impact on copyright is the same as for </w:t>
      </w:r>
      <w:r>
        <w:rPr>
          <w:rFonts w:ascii="Times New Roman" w:eastAsia="Arial Unicode MS" w:hAnsi="Times New Roman" w:cs="Times New Roman"/>
          <w:kern w:val="3"/>
          <w:sz w:val="24"/>
          <w:szCs w:val="24"/>
          <w:bdr w:val="nil"/>
          <w:lang w:eastAsia="zh-CN"/>
        </w:rPr>
        <w:t xml:space="preserve">the </w:t>
      </w:r>
      <w:r w:rsidRPr="00EC4FA4">
        <w:rPr>
          <w:rFonts w:ascii="Times New Roman" w:eastAsia="Arial Unicode MS" w:hAnsi="Times New Roman" w:cs="Times New Roman"/>
          <w:kern w:val="3"/>
          <w:sz w:val="24"/>
          <w:szCs w:val="24"/>
          <w:bdr w:val="nil"/>
          <w:lang w:eastAsia="zh-CN"/>
        </w:rPr>
        <w:t xml:space="preserve">baseline. </w:t>
      </w:r>
      <w:r w:rsidRPr="00EC4FA4">
        <w:rPr>
          <w:rFonts w:ascii="Times New Roman" w:eastAsia="Arial Unicode MS" w:hAnsi="Times New Roman" w:cs="Times New Roman"/>
          <w:kern w:val="3"/>
          <w:sz w:val="24"/>
          <w:szCs w:val="24"/>
          <w:bdr w:val="nil"/>
          <w:lang w:val="en-US" w:eastAsia="en-GB"/>
        </w:rPr>
        <w:t>The impact on the right of freedom of art and science would</w:t>
      </w:r>
      <w:r>
        <w:rPr>
          <w:rFonts w:ascii="Times New Roman" w:eastAsia="Arial Unicode MS" w:hAnsi="Times New Roman" w:cs="Times New Roman"/>
          <w:kern w:val="3"/>
          <w:sz w:val="24"/>
          <w:szCs w:val="24"/>
          <w:bdr w:val="nil"/>
          <w:lang w:val="en-US" w:eastAsia="en-GB"/>
        </w:rPr>
        <w:t xml:space="preserve"> </w:t>
      </w:r>
      <w:r w:rsidRPr="00EC4FA4">
        <w:rPr>
          <w:rFonts w:ascii="Times New Roman" w:eastAsia="Arial Unicode MS" w:hAnsi="Times New Roman" w:cs="Times New Roman"/>
          <w:kern w:val="3"/>
          <w:sz w:val="24"/>
          <w:szCs w:val="24"/>
          <w:bdr w:val="nil"/>
          <w:lang w:val="en-US" w:eastAsia="en-GB"/>
        </w:rPr>
        <w:t xml:space="preserve">be </w:t>
      </w:r>
      <w:r>
        <w:rPr>
          <w:rFonts w:ascii="Times New Roman" w:eastAsia="Arial Unicode MS" w:hAnsi="Times New Roman" w:cs="Times New Roman"/>
          <w:kern w:val="3"/>
          <w:sz w:val="24"/>
          <w:szCs w:val="24"/>
          <w:bdr w:val="nil"/>
          <w:lang w:val="en-US" w:eastAsia="en-GB"/>
        </w:rPr>
        <w:t xml:space="preserve">only </w:t>
      </w:r>
      <w:r w:rsidRPr="00190031">
        <w:rPr>
          <w:rFonts w:ascii="Times New Roman" w:eastAsia="Arial Unicode MS" w:hAnsi="Times New Roman" w:cs="Times New Roman"/>
          <w:kern w:val="3"/>
          <w:sz w:val="24"/>
          <w:szCs w:val="24"/>
          <w:bdr w:val="nil"/>
          <w:lang w:eastAsia="zh-CN"/>
        </w:rPr>
        <w:t>slightly</w:t>
      </w:r>
      <w:r w:rsidRPr="0062350B">
        <w:rPr>
          <w:rFonts w:ascii="Times New Roman" w:eastAsia="Arial Unicode MS" w:hAnsi="Times New Roman" w:cs="Times New Roman"/>
          <w:kern w:val="3"/>
          <w:sz w:val="24"/>
          <w:szCs w:val="24"/>
          <w:bdr w:val="nil"/>
          <w:lang w:val="en-US" w:eastAsia="en-GB"/>
        </w:rPr>
        <w:t xml:space="preserve"> positive.</w:t>
      </w:r>
      <w:r w:rsidRPr="00EC4FA4">
        <w:rPr>
          <w:rFonts w:ascii="Times New Roman" w:eastAsia="Arial Unicode MS" w:hAnsi="Times New Roman" w:cs="Times New Roman"/>
          <w:kern w:val="3"/>
          <w:sz w:val="24"/>
          <w:szCs w:val="24"/>
          <w:bdr w:val="nil"/>
          <w:lang w:val="en-US" w:eastAsia="en-GB"/>
        </w:rPr>
        <w:t xml:space="preserve"> </w:t>
      </w:r>
    </w:p>
    <w:p w:rsidR="00083CE6" w:rsidRPr="00C32C45" w:rsidRDefault="00083CE6" w:rsidP="00083CE6">
      <w:pPr>
        <w:pBdr>
          <w:top w:val="nil"/>
          <w:left w:val="nil"/>
          <w:bottom w:val="nil"/>
          <w:right w:val="nil"/>
          <w:between w:val="nil"/>
          <w:bar w:val="nil"/>
        </w:pBdr>
        <w:spacing w:after="120" w:line="240" w:lineRule="auto"/>
        <w:jc w:val="both"/>
        <w:rPr>
          <w:rFonts w:ascii="Times New Roman" w:eastAsia="Arial Unicode MS" w:hAnsi="Times New Roman" w:cs="Times New Roman"/>
          <w:b/>
          <w:bCs/>
          <w:color w:val="000000"/>
          <w:sz w:val="24"/>
          <w:szCs w:val="24"/>
          <w:u w:val="single"/>
          <w:bdr w:val="nil"/>
          <w:lang w:eastAsia="en-GB"/>
        </w:rPr>
      </w:pPr>
      <w:r w:rsidRPr="00C32C45">
        <w:rPr>
          <w:rFonts w:ascii="Times New Roman" w:eastAsia="Arial Unicode MS" w:hAnsi="Times New Roman" w:cs="Times New Roman"/>
          <w:b/>
          <w:bCs/>
          <w:color w:val="000000"/>
          <w:sz w:val="24"/>
          <w:szCs w:val="24"/>
          <w:u w:val="single"/>
          <w:bdr w:val="nil"/>
          <w:lang w:eastAsia="en-GB"/>
        </w:rPr>
        <w:t xml:space="preserve">Option 2 </w:t>
      </w:r>
      <w:r w:rsidRPr="00C32C45">
        <w:rPr>
          <w:rFonts w:ascii="Times New Roman" w:eastAsia="Arial Unicode MS" w:hAnsi="Times New Roman" w:cs="Times New Roman"/>
          <w:bCs/>
          <w:color w:val="000000"/>
          <w:sz w:val="24"/>
          <w:szCs w:val="24"/>
          <w:u w:val="single"/>
          <w:bdr w:val="nil"/>
          <w:lang w:eastAsia="en-GB"/>
        </w:rPr>
        <w:t xml:space="preserve">– </w:t>
      </w:r>
      <w:r w:rsidRPr="00C32C45">
        <w:rPr>
          <w:rFonts w:ascii="Times New Roman" w:eastAsia="Times New Roman" w:hAnsi="Times New Roman" w:cs="Times New Roman"/>
          <w:b/>
          <w:sz w:val="24"/>
          <w:szCs w:val="26"/>
          <w:u w:val="single"/>
          <w:lang w:eastAsia="en-GB"/>
        </w:rPr>
        <w:t>Mandatory exception covering text and data mining for non-commercial scientific research purposes</w:t>
      </w:r>
      <w:r w:rsidRPr="00C32C45">
        <w:rPr>
          <w:rFonts w:ascii="Times New Roman" w:eastAsia="Arial Unicode MS" w:hAnsi="Arial Unicode MS" w:cs="Arial Unicode MS"/>
          <w:b/>
          <w:color w:val="000000"/>
          <w:sz w:val="24"/>
          <w:szCs w:val="24"/>
          <w:u w:val="single"/>
          <w:bdr w:val="nil"/>
          <w:lang w:eastAsia="en-GB"/>
        </w:rPr>
        <w:t xml:space="preserve"> </w:t>
      </w:r>
    </w:p>
    <w:p w:rsidR="00083CE6" w:rsidRDefault="00083CE6" w:rsidP="00083CE6">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083CE6" w:rsidRPr="00B35211" w:rsidRDefault="00083CE6" w:rsidP="00083CE6">
      <w:pPr>
        <w:pStyle w:val="Text1"/>
        <w:ind w:left="0"/>
        <w:rPr>
          <w:rFonts w:eastAsia="Droid Sans Fallback"/>
          <w:b/>
          <w:kern w:val="3"/>
          <w:szCs w:val="24"/>
          <w:bdr w:val="nil"/>
          <w:lang w:eastAsia="zh-CN" w:bidi="hi-IN"/>
        </w:rPr>
      </w:pPr>
      <w:r w:rsidRPr="00EF4BBE">
        <w:rPr>
          <w:rFonts w:eastAsia="Arial Unicode MS"/>
          <w:b/>
          <w:kern w:val="3"/>
          <w:szCs w:val="24"/>
          <w:bdr w:val="nil"/>
        </w:rPr>
        <w:t>Researchers</w:t>
      </w:r>
    </w:p>
    <w:p w:rsidR="00083CE6" w:rsidRPr="00B35211"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Droid Sans Fallback" w:hAnsi="Times New Roman" w:cs="FreeSans"/>
          <w:kern w:val="3"/>
          <w:sz w:val="24"/>
          <w:szCs w:val="24"/>
          <w:bdr w:val="nil"/>
          <w:lang w:eastAsia="en-GB" w:bidi="hi-IN"/>
        </w:rPr>
      </w:pPr>
      <w:r w:rsidRPr="00B35211">
        <w:rPr>
          <w:rFonts w:ascii="Times New Roman" w:eastAsia="Arial Unicode MS" w:hAnsi="Times New Roman" w:cs="Times New Roman"/>
          <w:sz w:val="24"/>
          <w:szCs w:val="24"/>
          <w:u w:val="single"/>
          <w:bdr w:val="nil"/>
        </w:rPr>
        <w:t xml:space="preserve">Impact on legal certainty and </w:t>
      </w:r>
      <w:r w:rsidRPr="00123CFF">
        <w:rPr>
          <w:rFonts w:ascii="Times New Roman" w:eastAsia="Arial Unicode MS" w:hAnsi="Times New Roman" w:cs="Times New Roman"/>
          <w:sz w:val="24"/>
          <w:szCs w:val="24"/>
          <w:u w:val="single"/>
          <w:bdr w:val="nil"/>
        </w:rPr>
        <w:t>transaction</w:t>
      </w:r>
      <w:r w:rsidRPr="00B35211">
        <w:rPr>
          <w:rFonts w:ascii="Times New Roman" w:eastAsia="Arial Unicode MS" w:hAnsi="Times New Roman" w:cs="Times New Roman"/>
          <w:sz w:val="24"/>
          <w:szCs w:val="24"/>
          <w:u w:val="single"/>
          <w:bdr w:val="nil"/>
        </w:rPr>
        <w:t xml:space="preserve"> costs</w:t>
      </w:r>
      <w:r w:rsidRPr="00B35211">
        <w:rPr>
          <w:rFonts w:ascii="Times New Roman" w:eastAsia="Arial Unicode MS" w:hAnsi="Times New Roman" w:cs="Times New Roman"/>
          <w:i/>
          <w:sz w:val="24"/>
          <w:szCs w:val="24"/>
          <w:bdr w:val="nil"/>
        </w:rPr>
        <w:t xml:space="preserve">: </w:t>
      </w:r>
      <w:r w:rsidRPr="00B35211">
        <w:rPr>
          <w:rFonts w:ascii="Times New Roman" w:eastAsia="Arial Unicode MS" w:hAnsi="Times New Roman" w:cs="Times New Roman"/>
          <w:sz w:val="24"/>
          <w:szCs w:val="24"/>
          <w:bdr w:val="nil"/>
          <w:lang w:bidi="hi-IN"/>
        </w:rPr>
        <w:t xml:space="preserve">positive impact on researchers as legislative intervention introducing a harmonised exception would increase legal certainty and reduce rights clearance costs. Researchers would be able to mine scientific publications subscribed to by their institution in full legal certainty as long as this is done for non-commercial scientific research. </w:t>
      </w:r>
      <w:r w:rsidRPr="00B35211">
        <w:rPr>
          <w:rFonts w:ascii="Times New Roman" w:eastAsia="Arial Unicode MS" w:hAnsi="Times New Roman" w:cs="Times New Roman"/>
          <w:sz w:val="24"/>
          <w:szCs w:val="24"/>
          <w:bdr w:val="nil"/>
        </w:rPr>
        <w:t xml:space="preserve">In addition, transaction costs for public interest research organisations could be considerably reduced. Comprehensive </w:t>
      </w:r>
      <w:r w:rsidRPr="00EF4BBE">
        <w:rPr>
          <w:rFonts w:ascii="Times New Roman" w:eastAsia="Arial Unicode MS" w:hAnsi="Times New Roman" w:cs="Times New Roman"/>
          <w:kern w:val="3"/>
          <w:sz w:val="24"/>
          <w:szCs w:val="24"/>
          <w:bdr w:val="nil"/>
          <w:lang w:eastAsia="zh-CN"/>
        </w:rPr>
        <w:t>quantitative</w:t>
      </w:r>
      <w:r w:rsidRPr="00B35211">
        <w:rPr>
          <w:rFonts w:ascii="Times New Roman" w:eastAsia="Arial Unicode MS" w:hAnsi="Times New Roman" w:cs="Times New Roman"/>
          <w:sz w:val="24"/>
          <w:szCs w:val="24"/>
          <w:bdr w:val="nil"/>
        </w:rPr>
        <w:t xml:space="preserve"> data on the transaction costs incurred by research organisations seeking authorisation for TDM are not available. However, some quantitative estimation of the costs saving can be generated on the basis of case-studies provided by researchers' representatives</w:t>
      </w:r>
      <w:r>
        <w:rPr>
          <w:rFonts w:ascii="Times New Roman" w:eastAsia="Arial Unicode MS" w:hAnsi="Times New Roman" w:cs="Times New Roman"/>
          <w:sz w:val="24"/>
          <w:szCs w:val="24"/>
          <w:bdr w:val="nil"/>
        </w:rPr>
        <w:t>.</w:t>
      </w:r>
      <w:r w:rsidRPr="00B35211">
        <w:rPr>
          <w:rFonts w:ascii="Times New Roman" w:eastAsia="Droid Sans Fallback" w:hAnsi="Times New Roman" w:cs="Times New Roman"/>
          <w:kern w:val="3"/>
          <w:sz w:val="24"/>
          <w:szCs w:val="24"/>
          <w:bdr w:val="nil"/>
          <w:vertAlign w:val="superscript"/>
          <w:lang w:eastAsia="zh-CN" w:bidi="hi-IN"/>
        </w:rPr>
        <w:footnoteReference w:id="355"/>
      </w:r>
      <w:r>
        <w:rPr>
          <w:rFonts w:ascii="Times New Roman" w:eastAsia="Arial Unicode MS" w:hAnsi="Times New Roman" w:cs="Times New Roman"/>
          <w:sz w:val="24"/>
          <w:szCs w:val="24"/>
          <w:bdr w:val="nil"/>
        </w:rPr>
        <w:t xml:space="preserve"> </w:t>
      </w:r>
      <w:r w:rsidRPr="00B35211">
        <w:rPr>
          <w:rFonts w:ascii="Times New Roman" w:eastAsia="Droid Sans Fallback" w:hAnsi="Times New Roman" w:cs="Times New Roman"/>
          <w:kern w:val="3"/>
          <w:sz w:val="24"/>
          <w:szCs w:val="24"/>
          <w:bdr w:val="nil"/>
          <w:lang w:eastAsia="zh-CN" w:bidi="hi-IN"/>
        </w:rPr>
        <w:t>These examples point to costs ranging between 3</w:t>
      </w:r>
      <w:r w:rsidR="00304D5D">
        <w:rPr>
          <w:rFonts w:ascii="Times New Roman" w:eastAsia="Droid Sans Fallback" w:hAnsi="Times New Roman" w:cs="Times New Roman"/>
          <w:kern w:val="3"/>
          <w:sz w:val="24"/>
          <w:szCs w:val="24"/>
          <w:bdr w:val="nil"/>
          <w:lang w:eastAsia="zh-CN" w:bidi="hi-IN"/>
        </w:rPr>
        <w:t>,</w:t>
      </w:r>
      <w:r w:rsidRPr="00B35211">
        <w:rPr>
          <w:rFonts w:ascii="Times New Roman" w:eastAsia="Droid Sans Fallback" w:hAnsi="Times New Roman" w:cs="Times New Roman"/>
          <w:kern w:val="3"/>
          <w:sz w:val="24"/>
          <w:szCs w:val="24"/>
          <w:bdr w:val="nil"/>
          <w:lang w:eastAsia="zh-CN" w:bidi="hi-IN"/>
        </w:rPr>
        <w:t>399 and 18</w:t>
      </w:r>
      <w:r w:rsidR="00304D5D">
        <w:rPr>
          <w:rFonts w:ascii="Times New Roman" w:eastAsia="Droid Sans Fallback" w:hAnsi="Times New Roman" w:cs="Times New Roman"/>
          <w:kern w:val="3"/>
          <w:sz w:val="24"/>
          <w:szCs w:val="24"/>
          <w:bdr w:val="nil"/>
          <w:lang w:eastAsia="zh-CN" w:bidi="hi-IN"/>
        </w:rPr>
        <w:t>,</w:t>
      </w:r>
      <w:r w:rsidRPr="00B35211">
        <w:rPr>
          <w:rFonts w:ascii="Times New Roman" w:eastAsia="Droid Sans Fallback" w:hAnsi="Times New Roman" w:cs="Times New Roman"/>
          <w:kern w:val="3"/>
          <w:sz w:val="24"/>
          <w:szCs w:val="24"/>
          <w:bdr w:val="nil"/>
          <w:lang w:eastAsia="zh-CN" w:bidi="hi-IN"/>
        </w:rPr>
        <w:t>630 GBP for a research project based on mining 3</w:t>
      </w:r>
      <w:r w:rsidR="00304D5D">
        <w:rPr>
          <w:rFonts w:ascii="Times New Roman" w:eastAsia="Droid Sans Fallback" w:hAnsi="Times New Roman" w:cs="Times New Roman"/>
          <w:kern w:val="3"/>
          <w:sz w:val="24"/>
          <w:szCs w:val="24"/>
          <w:bdr w:val="nil"/>
          <w:lang w:eastAsia="zh-CN" w:bidi="hi-IN"/>
        </w:rPr>
        <w:t>,</w:t>
      </w:r>
      <w:r w:rsidRPr="00B35211">
        <w:rPr>
          <w:rFonts w:ascii="Times New Roman" w:eastAsia="Droid Sans Fallback" w:hAnsi="Times New Roman" w:cs="Times New Roman"/>
          <w:kern w:val="3"/>
          <w:sz w:val="24"/>
          <w:szCs w:val="24"/>
          <w:bdr w:val="nil"/>
          <w:lang w:eastAsia="zh-CN" w:bidi="hi-IN"/>
        </w:rPr>
        <w:t>000 articles published in 187 journals by 75 different publishers</w:t>
      </w:r>
      <w:r>
        <w:rPr>
          <w:rFonts w:ascii="Times New Roman" w:eastAsia="Droid Sans Fallback" w:hAnsi="Times New Roman" w:cs="Times New Roman"/>
          <w:kern w:val="3"/>
          <w:sz w:val="24"/>
          <w:szCs w:val="24"/>
          <w:bdr w:val="nil"/>
          <w:lang w:eastAsia="zh-CN" w:bidi="hi-IN"/>
        </w:rPr>
        <w:t>.</w:t>
      </w:r>
      <w:r w:rsidRPr="00B35211">
        <w:rPr>
          <w:rFonts w:ascii="Times New Roman" w:eastAsia="Arial Unicode MS" w:hAnsi="Times New Roman" w:cs="Times New Roman"/>
          <w:sz w:val="24"/>
          <w:szCs w:val="24"/>
          <w:bdr w:val="nil"/>
          <w:vertAlign w:val="superscript"/>
          <w:lang w:val="en-US"/>
        </w:rPr>
        <w:footnoteReference w:id="356"/>
      </w:r>
      <w:r>
        <w:rPr>
          <w:rFonts w:ascii="Times New Roman" w:eastAsia="Arial Unicode MS" w:hAnsi="Times New Roman" w:cs="Times New Roman"/>
          <w:sz w:val="24"/>
          <w:szCs w:val="24"/>
          <w:bdr w:val="nil"/>
          <w:lang w:val="en-US"/>
        </w:rPr>
        <w:t xml:space="preserve"> </w:t>
      </w:r>
      <w:r w:rsidRPr="00B35211">
        <w:rPr>
          <w:rFonts w:ascii="Times New Roman" w:eastAsia="Droid Sans Fallback" w:hAnsi="Times New Roman" w:cs="Times New Roman"/>
          <w:kern w:val="3"/>
          <w:sz w:val="24"/>
          <w:szCs w:val="24"/>
          <w:bdr w:val="nil"/>
          <w:lang w:eastAsia="zh-CN" w:bidi="hi-IN"/>
        </w:rPr>
        <w:t xml:space="preserve">On a yearly basis, these transaction costs (and the related savings) have been estimated to go up </w:t>
      </w:r>
      <w:r w:rsidRPr="00B35211">
        <w:rPr>
          <w:rFonts w:ascii="Times New Roman" w:eastAsia="Droid Sans Fallback" w:hAnsi="Times New Roman" w:cs="FreeSans"/>
          <w:kern w:val="3"/>
          <w:sz w:val="24"/>
          <w:szCs w:val="24"/>
          <w:bdr w:val="nil"/>
          <w:lang w:eastAsia="en-GB" w:bidi="hi-IN"/>
        </w:rPr>
        <w:t>to 500</w:t>
      </w:r>
      <w:r w:rsidR="0060401B">
        <w:rPr>
          <w:rFonts w:ascii="Times New Roman" w:eastAsia="Droid Sans Fallback" w:hAnsi="Times New Roman" w:cs="FreeSans"/>
          <w:kern w:val="3"/>
          <w:sz w:val="24"/>
          <w:szCs w:val="24"/>
          <w:bdr w:val="nil"/>
          <w:lang w:eastAsia="en-GB" w:bidi="hi-IN"/>
        </w:rPr>
        <w:t>,</w:t>
      </w:r>
      <w:r w:rsidRPr="00B35211">
        <w:rPr>
          <w:rFonts w:ascii="Times New Roman" w:eastAsia="Droid Sans Fallback" w:hAnsi="Times New Roman" w:cs="FreeSans"/>
          <w:kern w:val="3"/>
          <w:sz w:val="24"/>
          <w:szCs w:val="24"/>
          <w:bdr w:val="nil"/>
          <w:lang w:eastAsia="en-GB" w:bidi="hi-IN"/>
        </w:rPr>
        <w:t>000 GBP for a large research university</w:t>
      </w:r>
      <w:r w:rsidRPr="00B35211">
        <w:rPr>
          <w:rFonts w:ascii="Times New Roman" w:eastAsia="Droid Sans Fallback" w:hAnsi="Times New Roman" w:cs="FreeSans"/>
          <w:b/>
          <w:kern w:val="3"/>
          <w:sz w:val="24"/>
          <w:szCs w:val="24"/>
          <w:bdr w:val="nil"/>
          <w:lang w:eastAsia="en-GB" w:bidi="hi-IN"/>
        </w:rPr>
        <w:t>.</w:t>
      </w:r>
      <w:r w:rsidRPr="00B35211">
        <w:rPr>
          <w:rFonts w:ascii="Times New Roman" w:eastAsia="Droid Sans Fallback" w:hAnsi="Times New Roman" w:cs="FreeSans"/>
          <w:kern w:val="3"/>
          <w:sz w:val="24"/>
          <w:szCs w:val="24"/>
          <w:bdr w:val="nil"/>
          <w:vertAlign w:val="superscript"/>
          <w:lang w:eastAsia="en-GB" w:bidi="hi-IN"/>
        </w:rPr>
        <w:footnoteReference w:id="357"/>
      </w:r>
      <w:r w:rsidRPr="00B35211">
        <w:rPr>
          <w:rFonts w:ascii="Times New Roman" w:eastAsia="Droid Sans Fallback" w:hAnsi="Times New Roman" w:cs="FreeSans"/>
          <w:kern w:val="3"/>
          <w:sz w:val="24"/>
          <w:szCs w:val="24"/>
          <w:bdr w:val="nil"/>
          <w:lang w:eastAsia="en-GB" w:bidi="hi-IN"/>
        </w:rPr>
        <w:t xml:space="preserve"> There is also some first indication of a positive impact on scientific research projects based on TDM of the exception for non-commercial TDM introduced in the UK</w:t>
      </w:r>
      <w:r>
        <w:rPr>
          <w:rFonts w:ascii="Times New Roman" w:eastAsia="Droid Sans Fallback" w:hAnsi="Times New Roman" w:cs="FreeSans"/>
          <w:kern w:val="3"/>
          <w:sz w:val="24"/>
          <w:szCs w:val="24"/>
          <w:bdr w:val="nil"/>
          <w:lang w:eastAsia="en-GB" w:bidi="hi-IN"/>
        </w:rPr>
        <w:t xml:space="preserve"> </w:t>
      </w:r>
      <w:r w:rsidRPr="00B35211">
        <w:rPr>
          <w:rFonts w:ascii="Times New Roman" w:eastAsia="Droid Sans Fallback" w:hAnsi="Times New Roman" w:cs="FreeSans"/>
          <w:kern w:val="3"/>
          <w:sz w:val="24"/>
          <w:szCs w:val="24"/>
          <w:bdr w:val="nil"/>
          <w:lang w:eastAsia="en-GB" w:bidi="hi-IN"/>
        </w:rPr>
        <w:t>in 2014,</w:t>
      </w:r>
      <w:r w:rsidRPr="00B35211">
        <w:rPr>
          <w:rFonts w:ascii="Times New Roman" w:eastAsia="Droid Sans Fallback" w:hAnsi="Times New Roman" w:cs="FreeSans"/>
          <w:kern w:val="3"/>
          <w:sz w:val="24"/>
          <w:szCs w:val="24"/>
          <w:bdr w:val="nil"/>
          <w:vertAlign w:val="superscript"/>
          <w:lang w:eastAsia="en-GB" w:bidi="hi-IN"/>
        </w:rPr>
        <w:footnoteReference w:id="358"/>
      </w:r>
      <w:r w:rsidRPr="00B35211">
        <w:rPr>
          <w:rFonts w:ascii="Times New Roman" w:eastAsia="Droid Sans Fallback" w:hAnsi="Times New Roman" w:cs="FreeSans"/>
          <w:kern w:val="3"/>
          <w:sz w:val="24"/>
          <w:szCs w:val="24"/>
          <w:bdr w:val="nil"/>
          <w:lang w:eastAsia="en-GB" w:bidi="hi-IN"/>
        </w:rPr>
        <w:t xml:space="preserve"> which has comparable features to the exception considered under this option. Quantitative data on </w:t>
      </w:r>
      <w:r w:rsidRPr="00190031">
        <w:rPr>
          <w:rFonts w:ascii="Times New Roman" w:eastAsia="Arial Unicode MS" w:hAnsi="Times New Roman" w:cs="Times New Roman"/>
          <w:kern w:val="3"/>
          <w:sz w:val="24"/>
          <w:szCs w:val="24"/>
          <w:bdr w:val="nil"/>
          <w:lang w:eastAsia="zh-CN"/>
        </w:rPr>
        <w:t>the</w:t>
      </w:r>
      <w:r w:rsidRPr="00B35211">
        <w:rPr>
          <w:rFonts w:ascii="Times New Roman" w:eastAsia="Droid Sans Fallback" w:hAnsi="Times New Roman" w:cs="FreeSans"/>
          <w:kern w:val="3"/>
          <w:sz w:val="24"/>
          <w:szCs w:val="24"/>
          <w:bdr w:val="nil"/>
          <w:lang w:eastAsia="en-GB" w:bidi="hi-IN"/>
        </w:rPr>
        <w:t xml:space="preserve"> impact of the UK law are not available yet. </w:t>
      </w:r>
    </w:p>
    <w:p w:rsidR="00083CE6" w:rsidRPr="00B35211" w:rsidRDefault="00083CE6" w:rsidP="00083CE6">
      <w:pPr>
        <w:widowControl w:val="0"/>
        <w:pBdr>
          <w:top w:val="nil"/>
          <w:left w:val="nil"/>
          <w:bottom w:val="nil"/>
          <w:right w:val="nil"/>
          <w:between w:val="nil"/>
          <w:bar w:val="nil"/>
        </w:pBdr>
        <w:suppressAutoHyphens/>
        <w:overflowPunct w:val="0"/>
        <w:autoSpaceDN w:val="0"/>
        <w:spacing w:after="120" w:line="240" w:lineRule="auto"/>
        <w:jc w:val="both"/>
        <w:textAlignment w:val="baseline"/>
        <w:rPr>
          <w:rFonts w:ascii="Times New Roman" w:eastAsia="Droid Sans Fallback" w:hAnsi="Times New Roman" w:cs="FreeSans"/>
          <w:kern w:val="3"/>
          <w:sz w:val="24"/>
          <w:szCs w:val="24"/>
          <w:bdr w:val="nil"/>
          <w:lang w:eastAsia="en-GB" w:bidi="hi-IN"/>
        </w:rPr>
      </w:pPr>
      <w:r w:rsidRPr="00B35211">
        <w:rPr>
          <w:rFonts w:ascii="Times New Roman" w:eastAsia="Droid Sans Fallback" w:hAnsi="Times New Roman" w:cs="FreeSans"/>
          <w:kern w:val="3"/>
          <w:sz w:val="24"/>
          <w:szCs w:val="24"/>
          <w:bdr w:val="nil"/>
          <w:lang w:eastAsia="en-GB" w:bidi="hi-IN"/>
        </w:rPr>
        <w:t>In spite of the positive impact of this option for</w:t>
      </w:r>
      <w:r>
        <w:rPr>
          <w:rFonts w:ascii="Times New Roman" w:eastAsia="Droid Sans Fallback" w:hAnsi="Times New Roman" w:cs="FreeSans"/>
          <w:kern w:val="3"/>
          <w:sz w:val="24"/>
          <w:szCs w:val="24"/>
          <w:bdr w:val="nil"/>
          <w:lang w:eastAsia="en-GB" w:bidi="hi-IN"/>
        </w:rPr>
        <w:t xml:space="preserve"> public interest </w:t>
      </w:r>
      <w:r w:rsidRPr="00B35211">
        <w:rPr>
          <w:rFonts w:ascii="Times New Roman" w:eastAsia="Droid Sans Fallback" w:hAnsi="Times New Roman" w:cs="FreeSans"/>
          <w:kern w:val="3"/>
          <w:sz w:val="24"/>
          <w:szCs w:val="24"/>
          <w:bdr w:val="nil"/>
          <w:lang w:eastAsia="en-GB" w:bidi="hi-IN"/>
        </w:rPr>
        <w:t xml:space="preserve">research organisations, some legal uncertainty could remain because of the "non-commercial scientific research purposes" condition. Researchers have raised the concern that a significant grey area would remain as regards research projects carried out by public </w:t>
      </w:r>
      <w:r>
        <w:rPr>
          <w:rFonts w:ascii="Times New Roman" w:eastAsia="Droid Sans Fallback" w:hAnsi="Times New Roman" w:cs="FreeSans"/>
          <w:kern w:val="3"/>
          <w:sz w:val="24"/>
          <w:szCs w:val="24"/>
          <w:bdr w:val="nil"/>
          <w:lang w:eastAsia="en-GB" w:bidi="hi-IN"/>
        </w:rPr>
        <w:t xml:space="preserve">interest </w:t>
      </w:r>
      <w:r w:rsidRPr="00B35211">
        <w:rPr>
          <w:rFonts w:ascii="Times New Roman" w:eastAsia="Droid Sans Fallback" w:hAnsi="Times New Roman" w:cs="FreeSans"/>
          <w:kern w:val="3"/>
          <w:sz w:val="24"/>
          <w:szCs w:val="24"/>
          <w:bdr w:val="nil"/>
          <w:lang w:eastAsia="en-GB" w:bidi="hi-IN"/>
        </w:rPr>
        <w:t xml:space="preserve">research organisations </w:t>
      </w:r>
      <w:r>
        <w:rPr>
          <w:rFonts w:ascii="Times New Roman" w:eastAsia="Droid Sans Fallback" w:hAnsi="Times New Roman" w:cs="FreeSans"/>
          <w:kern w:val="3"/>
          <w:sz w:val="24"/>
          <w:szCs w:val="24"/>
          <w:bdr w:val="nil"/>
          <w:lang w:eastAsia="en-GB" w:bidi="hi-IN"/>
        </w:rPr>
        <w:t xml:space="preserve">which  </w:t>
      </w:r>
      <w:r w:rsidRPr="00B35211">
        <w:rPr>
          <w:rFonts w:ascii="Times New Roman" w:eastAsia="Droid Sans Fallback" w:hAnsi="Times New Roman" w:cs="FreeSans"/>
          <w:kern w:val="3"/>
          <w:sz w:val="24"/>
          <w:szCs w:val="24"/>
          <w:bdr w:val="nil"/>
          <w:lang w:eastAsia="en-GB" w:bidi="hi-IN"/>
        </w:rPr>
        <w:t xml:space="preserve">may eventually have a commercial outcome (as a result of a transfer of technology agreement or other). This grey area may cast doubts in particular </w:t>
      </w:r>
      <w:r w:rsidR="002859DE">
        <w:rPr>
          <w:rFonts w:ascii="Times New Roman" w:eastAsia="Droid Sans Fallback" w:hAnsi="Times New Roman" w:cs="FreeSans"/>
          <w:kern w:val="3"/>
          <w:sz w:val="24"/>
          <w:szCs w:val="24"/>
          <w:bdr w:val="nil"/>
          <w:lang w:eastAsia="en-GB" w:bidi="hi-IN"/>
        </w:rPr>
        <w:t xml:space="preserve">on </w:t>
      </w:r>
      <w:r>
        <w:rPr>
          <w:rFonts w:ascii="Times New Roman" w:eastAsia="Droid Sans Fallback" w:hAnsi="Times New Roman" w:cs="FreeSans"/>
          <w:kern w:val="3"/>
          <w:sz w:val="24"/>
          <w:szCs w:val="24"/>
          <w:bdr w:val="nil"/>
          <w:lang w:eastAsia="en-GB" w:bidi="hi-IN"/>
        </w:rPr>
        <w:t xml:space="preserve">research organisations' </w:t>
      </w:r>
      <w:r w:rsidRPr="00DA4A18">
        <w:rPr>
          <w:rFonts w:ascii="Times New Roman" w:eastAsia="Droid Sans Fallback" w:hAnsi="Times New Roman" w:cs="FreeSans"/>
          <w:kern w:val="3"/>
          <w:sz w:val="24"/>
          <w:szCs w:val="24"/>
          <w:bdr w:val="nil"/>
          <w:lang w:eastAsia="en-GB" w:bidi="hi-IN"/>
        </w:rPr>
        <w:t>partnerships with private operators (PPPs) which represent a large part of publicly funded (at EU or national level) research projects.</w:t>
      </w:r>
      <w:r w:rsidRPr="00DA4A18">
        <w:rPr>
          <w:rFonts w:ascii="Times New Roman" w:eastAsia="Arial Unicode MS" w:hAnsi="Times New Roman" w:cs="Times New Roman"/>
          <w:kern w:val="3"/>
          <w:sz w:val="24"/>
          <w:szCs w:val="24"/>
          <w:bdr w:val="nil"/>
          <w:vertAlign w:val="superscript"/>
          <w:lang w:eastAsia="zh-CN"/>
        </w:rPr>
        <w:footnoteReference w:id="359"/>
      </w:r>
    </w:p>
    <w:p w:rsidR="00083CE6" w:rsidRPr="00B35211"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B35211">
        <w:rPr>
          <w:rFonts w:ascii="Times New Roman" w:eastAsia="Arial Unicode MS" w:hAnsi="Times New Roman" w:cs="Times New Roman"/>
          <w:kern w:val="3"/>
          <w:sz w:val="24"/>
          <w:szCs w:val="24"/>
          <w:bdr w:val="nil"/>
          <w:lang w:eastAsia="en-GB"/>
        </w:rPr>
        <w:t>This option may in theory lead to an increase in subscription fees for public interest research organisation</w:t>
      </w:r>
      <w:r>
        <w:rPr>
          <w:rFonts w:ascii="Times New Roman" w:eastAsia="Arial Unicode MS" w:hAnsi="Times New Roman" w:cs="Times New Roman"/>
          <w:kern w:val="3"/>
          <w:sz w:val="24"/>
          <w:szCs w:val="24"/>
          <w:bdr w:val="nil"/>
          <w:lang w:eastAsia="en-GB"/>
        </w:rPr>
        <w:t>s</w:t>
      </w:r>
      <w:r w:rsidRPr="00B35211">
        <w:rPr>
          <w:rFonts w:ascii="Times New Roman" w:eastAsia="Arial Unicode MS" w:hAnsi="Times New Roman" w:cs="Times New Roman"/>
          <w:kern w:val="3"/>
          <w:sz w:val="24"/>
          <w:szCs w:val="24"/>
          <w:bdr w:val="nil"/>
          <w:lang w:eastAsia="en-GB"/>
        </w:rPr>
        <w:t xml:space="preserve"> if publishers raise the subscription fees</w:t>
      </w:r>
      <w:r>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to compensate for possible losses caused by the exception (i.e. publishers may try to absorb the value of TDM in the subscription fee). However, the</w:t>
      </w:r>
      <w:r>
        <w:rPr>
          <w:rFonts w:ascii="Times New Roman" w:eastAsia="Arial Unicode MS" w:hAnsi="Times New Roman" w:cs="Times New Roman"/>
          <w:kern w:val="3"/>
          <w:sz w:val="24"/>
          <w:szCs w:val="24"/>
          <w:bdr w:val="nil"/>
          <w:lang w:eastAsia="en-GB"/>
        </w:rPr>
        <w:t>re is</w:t>
      </w:r>
      <w:r w:rsidRPr="00B35211">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no</w:t>
      </w:r>
      <w:r w:rsidRPr="00B35211">
        <w:rPr>
          <w:rFonts w:ascii="Times New Roman" w:eastAsia="Arial Unicode MS" w:hAnsi="Times New Roman" w:cs="Times New Roman"/>
          <w:kern w:val="3"/>
          <w:sz w:val="24"/>
          <w:szCs w:val="24"/>
          <w:bdr w:val="nil"/>
          <w:lang w:eastAsia="en-GB"/>
        </w:rPr>
        <w:t xml:space="preserve"> evidence of </w:t>
      </w:r>
      <w:r>
        <w:rPr>
          <w:rFonts w:ascii="Times New Roman" w:eastAsia="Arial Unicode MS" w:hAnsi="Times New Roman" w:cs="Times New Roman"/>
          <w:kern w:val="3"/>
          <w:sz w:val="24"/>
          <w:szCs w:val="24"/>
          <w:bdr w:val="nil"/>
          <w:lang w:eastAsia="en-GB"/>
        </w:rPr>
        <w:t xml:space="preserve">any </w:t>
      </w:r>
      <w:r w:rsidRPr="00B35211">
        <w:rPr>
          <w:rFonts w:ascii="Times New Roman" w:eastAsia="Arial Unicode MS" w:hAnsi="Times New Roman" w:cs="Times New Roman"/>
          <w:kern w:val="3"/>
          <w:sz w:val="24"/>
          <w:szCs w:val="24"/>
          <w:bdr w:val="nil"/>
          <w:lang w:eastAsia="en-GB"/>
        </w:rPr>
        <w:t>significant rise in the fees of subscription licences which have included TDM over the last few years.</w:t>
      </w:r>
      <w:r w:rsidRPr="00B35211">
        <w:rPr>
          <w:rFonts w:ascii="Times New Roman" w:eastAsia="Arial Unicode MS" w:hAnsi="Times New Roman" w:cs="Times New Roman"/>
          <w:kern w:val="3"/>
          <w:sz w:val="24"/>
          <w:szCs w:val="24"/>
          <w:bdr w:val="nil"/>
          <w:vertAlign w:val="superscript"/>
          <w:lang w:eastAsia="en-GB"/>
        </w:rPr>
        <w:footnoteReference w:id="360"/>
      </w:r>
      <w:r w:rsidRPr="00B35211">
        <w:rPr>
          <w:rFonts w:ascii="Times New Roman" w:eastAsia="Arial Unicode MS" w:hAnsi="Times New Roman" w:cs="Times New Roman"/>
          <w:kern w:val="3"/>
          <w:sz w:val="24"/>
          <w:szCs w:val="24"/>
          <w:bdr w:val="nil"/>
          <w:lang w:eastAsia="en-GB"/>
        </w:rPr>
        <w:t xml:space="preserve"> </w:t>
      </w:r>
    </w:p>
    <w:p w:rsidR="00083CE6" w:rsidRPr="00B35211" w:rsidRDefault="00007677" w:rsidP="00083CE6">
      <w:pPr>
        <w:pStyle w:val="Text1"/>
        <w:ind w:left="0"/>
        <w:rPr>
          <w:rFonts w:eastAsia="Arial Unicode MS"/>
          <w:b/>
          <w:kern w:val="3"/>
          <w:szCs w:val="24"/>
          <w:bdr w:val="nil"/>
          <w:lang w:val="en-US"/>
        </w:rPr>
      </w:pPr>
      <w:r>
        <w:rPr>
          <w:rFonts w:eastAsia="Arial Unicode MS"/>
          <w:b/>
          <w:szCs w:val="24"/>
          <w:bdr w:val="nil"/>
          <w:lang w:val="en-US"/>
        </w:rPr>
        <w:t>Rightholders</w:t>
      </w:r>
    </w:p>
    <w:p w:rsidR="00083CE6" w:rsidRPr="00B35211" w:rsidRDefault="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B35211">
        <w:rPr>
          <w:rFonts w:ascii="Times New Roman" w:eastAsia="Arial Unicode MS" w:hAnsi="Times New Roman" w:cs="Times New Roman"/>
          <w:kern w:val="3"/>
          <w:sz w:val="24"/>
          <w:szCs w:val="24"/>
          <w:u w:val="single"/>
          <w:bdr w:val="nil"/>
          <w:lang w:eastAsia="en-GB"/>
        </w:rPr>
        <w:t>Impact on TDM licensing market and the revenues thereof</w:t>
      </w:r>
      <w:r w:rsidRPr="00B35211">
        <w:rPr>
          <w:rFonts w:ascii="Times New Roman" w:eastAsia="Arial Unicode MS" w:hAnsi="Times New Roman" w:cs="Times New Roman"/>
          <w:kern w:val="3"/>
          <w:sz w:val="24"/>
          <w:szCs w:val="24"/>
          <w:bdr w:val="nil"/>
          <w:lang w:eastAsia="en-GB"/>
        </w:rPr>
        <w:t>:</w:t>
      </w:r>
      <w:r w:rsidRPr="00B35211">
        <w:rPr>
          <w:rFonts w:ascii="Times New Roman" w:eastAsia="Arial Unicode MS" w:hAnsi="Times New Roman" w:cs="Times New Roman"/>
          <w:i/>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Under this option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Pr>
          <w:rFonts w:ascii="Times New Roman" w:eastAsia="Arial Unicode MS" w:hAnsi="Times New Roman" w:cs="Times New Roman"/>
          <w:kern w:val="3"/>
          <w:sz w:val="24"/>
          <w:szCs w:val="24"/>
          <w:bdr w:val="nil"/>
          <w:lang w:eastAsia="en-GB"/>
        </w:rPr>
        <w:t>, notably scientific publishers would</w:t>
      </w:r>
      <w:r w:rsidRPr="00B35211">
        <w:rPr>
          <w:rFonts w:ascii="Times New Roman" w:eastAsia="Arial Unicode MS" w:hAnsi="Times New Roman" w:cs="Times New Roman"/>
          <w:kern w:val="3"/>
          <w:sz w:val="24"/>
          <w:szCs w:val="24"/>
          <w:bdr w:val="nil"/>
          <w:lang w:eastAsia="en-GB"/>
        </w:rPr>
        <w:t xml:space="preserve"> no longer be able to authorise or prohibit TDM of the content they give research</w:t>
      </w:r>
      <w:r>
        <w:rPr>
          <w:rFonts w:ascii="Times New Roman" w:eastAsia="Arial Unicode MS" w:hAnsi="Times New Roman" w:cs="Times New Roman"/>
          <w:kern w:val="3"/>
          <w:sz w:val="24"/>
          <w:szCs w:val="24"/>
          <w:bdr w:val="nil"/>
          <w:lang w:eastAsia="en-GB"/>
        </w:rPr>
        <w:t>ers</w:t>
      </w:r>
      <w:r w:rsidRPr="00B35211">
        <w:rPr>
          <w:rFonts w:ascii="Times New Roman" w:eastAsia="Arial Unicode MS" w:hAnsi="Times New Roman" w:cs="Times New Roman"/>
          <w:kern w:val="3"/>
          <w:sz w:val="24"/>
          <w:szCs w:val="24"/>
          <w:bdr w:val="nil"/>
          <w:lang w:eastAsia="en-GB"/>
        </w:rPr>
        <w:t xml:space="preserve"> access to</w:t>
      </w:r>
      <w:r>
        <w:rPr>
          <w:rFonts w:ascii="Times New Roman" w:eastAsia="Arial Unicode MS" w:hAnsi="Times New Roman" w:cs="Times New Roman"/>
          <w:kern w:val="3"/>
          <w:sz w:val="24"/>
          <w:szCs w:val="24"/>
          <w:bdr w:val="nil"/>
          <w:lang w:eastAsia="en-GB"/>
        </w:rPr>
        <w:t xml:space="preserve"> (as long as this is done</w:t>
      </w:r>
      <w:r w:rsidR="00C20A59">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for non-commercial scientific purposes</w:t>
      </w:r>
      <w:r>
        <w:rPr>
          <w:rFonts w:ascii="Times New Roman" w:eastAsia="Arial Unicode MS" w:hAnsi="Times New Roman" w:cs="Times New Roman"/>
          <w:kern w:val="3"/>
          <w:sz w:val="24"/>
          <w:szCs w:val="24"/>
          <w:bdr w:val="nil"/>
          <w:lang w:eastAsia="en-GB"/>
        </w:rPr>
        <w:t>)</w:t>
      </w:r>
      <w:r w:rsidRPr="00B35211">
        <w:rPr>
          <w:rFonts w:ascii="Times New Roman" w:eastAsia="Arial Unicode MS" w:hAnsi="Times New Roman" w:cs="Times New Roman"/>
          <w:kern w:val="3"/>
          <w:sz w:val="24"/>
          <w:szCs w:val="24"/>
          <w:bdr w:val="nil"/>
          <w:lang w:eastAsia="en-GB"/>
        </w:rPr>
        <w:t>. However, th</w:t>
      </w:r>
      <w:r>
        <w:rPr>
          <w:rFonts w:ascii="Times New Roman" w:eastAsia="Arial Unicode MS" w:hAnsi="Times New Roman" w:cs="Times New Roman"/>
          <w:kern w:val="3"/>
          <w:sz w:val="24"/>
          <w:szCs w:val="24"/>
          <w:bdr w:val="nil"/>
          <w:lang w:eastAsia="en-GB"/>
        </w:rPr>
        <w:t xml:space="preserve">is </w:t>
      </w:r>
      <w:r w:rsidRPr="00B35211">
        <w:rPr>
          <w:rFonts w:ascii="Times New Roman" w:eastAsia="Arial Unicode MS" w:hAnsi="Times New Roman" w:cs="Times New Roman"/>
          <w:kern w:val="3"/>
          <w:sz w:val="24"/>
          <w:szCs w:val="24"/>
          <w:bdr w:val="nil"/>
          <w:lang w:eastAsia="en-GB"/>
        </w:rPr>
        <w:t>impact would largely be</w:t>
      </w:r>
      <w:r>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reduced by the "lawful access" condition,</w:t>
      </w:r>
      <w:r>
        <w:rPr>
          <w:rStyle w:val="FootnoteReference"/>
          <w:rFonts w:ascii="Times New Roman" w:eastAsia="Arial Unicode MS" w:hAnsi="Times New Roman" w:cs="Times New Roman"/>
          <w:kern w:val="3"/>
          <w:sz w:val="24"/>
          <w:szCs w:val="24"/>
          <w:bdr w:val="nil"/>
          <w:lang w:eastAsia="en-GB"/>
        </w:rPr>
        <w:footnoteReference w:id="361"/>
      </w:r>
      <w:r w:rsidRPr="00B35211">
        <w:rPr>
          <w:rFonts w:ascii="Times New Roman" w:eastAsia="Arial Unicode MS" w:hAnsi="Times New Roman" w:cs="Times New Roman"/>
          <w:kern w:val="3"/>
          <w:sz w:val="24"/>
          <w:szCs w:val="24"/>
          <w:bdr w:val="nil"/>
          <w:lang w:eastAsia="en-GB"/>
        </w:rPr>
        <w:t xml:space="preserve"> i.e. by the fact that the exception would not affect publishers' ability to continue to authorise or prohibit </w:t>
      </w:r>
      <w:r>
        <w:rPr>
          <w:rFonts w:ascii="Times New Roman" w:eastAsia="Arial Unicode MS" w:hAnsi="Times New Roman" w:cs="Times New Roman"/>
          <w:kern w:val="3"/>
          <w:sz w:val="24"/>
          <w:szCs w:val="24"/>
          <w:bdr w:val="nil"/>
          <w:lang w:eastAsia="en-GB"/>
        </w:rPr>
        <w:t xml:space="preserve">access to their content </w:t>
      </w:r>
      <w:r w:rsidRPr="00B35211">
        <w:rPr>
          <w:rFonts w:ascii="Times New Roman" w:eastAsia="Arial Unicode MS" w:hAnsi="Times New Roman" w:cs="Times New Roman"/>
          <w:kern w:val="3"/>
          <w:sz w:val="24"/>
          <w:szCs w:val="24"/>
          <w:bdr w:val="nil"/>
          <w:lang w:eastAsia="en-GB"/>
        </w:rPr>
        <w:t>and to generate revenues from selling subscriptions to universities and other research organisations</w:t>
      </w:r>
      <w:r w:rsidRPr="00C13ED2">
        <w:rPr>
          <w:rFonts w:ascii="Times New Roman" w:eastAsia="Arial Unicode MS" w:hAnsi="Times New Roman" w:cs="Times New Roman"/>
          <w:kern w:val="3"/>
          <w:sz w:val="24"/>
          <w:szCs w:val="24"/>
          <w:bdr w:val="nil"/>
          <w:lang w:eastAsia="en-GB"/>
        </w:rPr>
        <w:t>.</w:t>
      </w:r>
      <w:r w:rsidRPr="00E6710A">
        <w:rPr>
          <w:rFonts w:ascii="Times New Roman" w:eastAsia="Arial Unicode MS" w:hAnsi="Times New Roman" w:cs="Times New Roman"/>
          <w:kern w:val="3"/>
          <w:sz w:val="24"/>
          <w:szCs w:val="24"/>
          <w:bdr w:val="nil"/>
          <w:vertAlign w:val="superscript"/>
          <w:lang w:eastAsia="en-GB"/>
        </w:rPr>
        <w:footnoteReference w:id="362"/>
      </w:r>
      <w:r w:rsidRPr="00E6710A">
        <w:rPr>
          <w:rFonts w:ascii="Times New Roman" w:eastAsia="Arial Unicode MS" w:hAnsi="Times New Roman" w:cs="Times New Roman"/>
          <w:kern w:val="3"/>
          <w:sz w:val="24"/>
          <w:szCs w:val="24"/>
          <w:bdr w:val="nil"/>
          <w:lang w:eastAsia="en-GB"/>
        </w:rPr>
        <w:t xml:space="preserve"> </w:t>
      </w:r>
      <w:r w:rsidRPr="00C13ED2">
        <w:rPr>
          <w:rFonts w:ascii="Times New Roman" w:eastAsia="Arial Unicode MS" w:hAnsi="Times New Roman" w:cs="Times New Roman"/>
          <w:kern w:val="3"/>
          <w:sz w:val="24"/>
          <w:szCs w:val="24"/>
          <w:bdr w:val="nil"/>
          <w:lang w:eastAsia="en-GB"/>
        </w:rPr>
        <w:t>As a consequence this option is not likely to result in substantial changes to the publishers' business model, in particular as regards their subscriptions market. Publishers</w:t>
      </w:r>
      <w:r w:rsidRPr="00B35211">
        <w:rPr>
          <w:rFonts w:ascii="Times New Roman" w:eastAsia="Arial Unicode MS" w:hAnsi="Times New Roman" w:cs="Times New Roman"/>
          <w:kern w:val="3"/>
          <w:sz w:val="24"/>
          <w:szCs w:val="24"/>
          <w:bdr w:val="nil"/>
          <w:lang w:eastAsia="en-GB"/>
        </w:rPr>
        <w:t xml:space="preserve"> would </w:t>
      </w:r>
      <w:r>
        <w:rPr>
          <w:rFonts w:ascii="Times New Roman" w:eastAsia="Arial Unicode MS" w:hAnsi="Times New Roman" w:cs="Times New Roman"/>
          <w:kern w:val="3"/>
          <w:sz w:val="24"/>
          <w:szCs w:val="24"/>
          <w:bdr w:val="nil"/>
          <w:lang w:eastAsia="en-GB"/>
        </w:rPr>
        <w:t xml:space="preserve">in principle </w:t>
      </w:r>
      <w:r w:rsidRPr="00B35211">
        <w:rPr>
          <w:rFonts w:ascii="Times New Roman" w:eastAsia="Arial Unicode MS" w:hAnsi="Times New Roman" w:cs="Times New Roman"/>
          <w:kern w:val="3"/>
          <w:sz w:val="24"/>
          <w:szCs w:val="24"/>
          <w:bdr w:val="nil"/>
          <w:lang w:eastAsia="en-GB"/>
        </w:rPr>
        <w:t>lose the ability to licence TDM as a self-standing use; however there is currently no evidence of a specific TDM market separate from the subscription market in the academic/non-commercial context</w:t>
      </w:r>
      <w:r>
        <w:rPr>
          <w:rFonts w:ascii="Times New Roman" w:eastAsia="Arial Unicode MS" w:hAnsi="Times New Roman" w:cs="Times New Roman"/>
          <w:kern w:val="3"/>
          <w:sz w:val="24"/>
          <w:szCs w:val="24"/>
          <w:bdr w:val="nil"/>
          <w:lang w:eastAsia="en-GB"/>
        </w:rPr>
        <w:t>.</w:t>
      </w:r>
      <w:r>
        <w:rPr>
          <w:rStyle w:val="FootnoteReference"/>
          <w:rFonts w:ascii="Times New Roman" w:eastAsia="Arial Unicode MS" w:hAnsi="Times New Roman" w:cs="Times New Roman"/>
          <w:kern w:val="3"/>
          <w:sz w:val="24"/>
          <w:szCs w:val="24"/>
          <w:bdr w:val="nil"/>
          <w:lang w:eastAsia="en-GB"/>
        </w:rPr>
        <w:footnoteReference w:id="363"/>
      </w:r>
      <w:r w:rsidRPr="00B35211">
        <w:rPr>
          <w:rFonts w:ascii="Times New Roman" w:eastAsia="Arial Unicode MS" w:hAnsi="Times New Roman" w:cs="Times New Roman"/>
          <w:kern w:val="3"/>
          <w:sz w:val="24"/>
          <w:szCs w:val="24"/>
          <w:bdr w:val="nil"/>
          <w:lang w:eastAsia="en-GB"/>
        </w:rPr>
        <w:t xml:space="preserve"> The trend over the last few years has been for STM publishers to gradually include TDM in the subscription licences without significant increase of licences fees</w:t>
      </w:r>
      <w:r>
        <w:rPr>
          <w:rFonts w:ascii="Times New Roman" w:eastAsia="Arial Unicode MS" w:hAnsi="Times New Roman" w:cs="Times New Roman"/>
          <w:kern w:val="3"/>
          <w:sz w:val="24"/>
          <w:szCs w:val="24"/>
          <w:bdr w:val="nil"/>
          <w:lang w:eastAsia="en-GB"/>
        </w:rPr>
        <w:t xml:space="preserve"> (as mentioned above). This seems to confirm the</w:t>
      </w:r>
      <w:r w:rsidRPr="00B35211">
        <w:rPr>
          <w:rFonts w:ascii="Times New Roman" w:eastAsia="Arial Unicode MS" w:hAnsi="Times New Roman" w:cs="Times New Roman"/>
          <w:kern w:val="3"/>
          <w:sz w:val="24"/>
          <w:szCs w:val="24"/>
          <w:bdr w:val="nil"/>
          <w:lang w:eastAsia="en-GB"/>
        </w:rPr>
        <w:t xml:space="preserve"> absence of a s</w:t>
      </w:r>
      <w:r>
        <w:rPr>
          <w:rFonts w:ascii="Times New Roman" w:eastAsia="Arial Unicode MS" w:hAnsi="Times New Roman" w:cs="Times New Roman"/>
          <w:kern w:val="3"/>
          <w:sz w:val="24"/>
          <w:szCs w:val="24"/>
          <w:bdr w:val="nil"/>
          <w:lang w:eastAsia="en-GB"/>
        </w:rPr>
        <w:t>ignificant</w:t>
      </w:r>
      <w:r w:rsidRPr="00B35211">
        <w:rPr>
          <w:rFonts w:ascii="Times New Roman" w:eastAsia="Arial Unicode MS" w:hAnsi="Times New Roman" w:cs="Times New Roman"/>
          <w:kern w:val="3"/>
          <w:sz w:val="24"/>
          <w:szCs w:val="24"/>
          <w:bdr w:val="nil"/>
          <w:lang w:eastAsia="en-GB"/>
        </w:rPr>
        <w:t xml:space="preserve"> extra value of TDM in the context of </w:t>
      </w:r>
      <w:r>
        <w:rPr>
          <w:rFonts w:ascii="Times New Roman" w:eastAsia="Arial Unicode MS" w:hAnsi="Times New Roman" w:cs="Times New Roman"/>
          <w:kern w:val="3"/>
          <w:sz w:val="24"/>
          <w:szCs w:val="24"/>
          <w:bdr w:val="nil"/>
          <w:lang w:eastAsia="en-GB"/>
        </w:rPr>
        <w:t xml:space="preserve">current </w:t>
      </w:r>
      <w:r w:rsidRPr="00B35211">
        <w:rPr>
          <w:rFonts w:ascii="Times New Roman" w:eastAsia="Arial Unicode MS" w:hAnsi="Times New Roman" w:cs="Times New Roman"/>
          <w:kern w:val="3"/>
          <w:sz w:val="24"/>
          <w:szCs w:val="24"/>
          <w:bdr w:val="nil"/>
          <w:lang w:eastAsia="en-GB"/>
        </w:rPr>
        <w:t xml:space="preserve">subscription licences. Similarly </w:t>
      </w:r>
      <w:r>
        <w:rPr>
          <w:rFonts w:ascii="Times New Roman" w:eastAsia="Arial Unicode MS" w:hAnsi="Times New Roman" w:cs="Times New Roman"/>
          <w:kern w:val="3"/>
          <w:sz w:val="24"/>
          <w:szCs w:val="24"/>
          <w:bdr w:val="nil"/>
          <w:lang w:eastAsia="en-GB"/>
        </w:rPr>
        <w:t>to</w:t>
      </w:r>
      <w:r w:rsidRPr="00B35211">
        <w:rPr>
          <w:rFonts w:ascii="Times New Roman" w:eastAsia="Arial Unicode MS" w:hAnsi="Times New Roman" w:cs="Times New Roman"/>
          <w:kern w:val="3"/>
          <w:sz w:val="24"/>
          <w:szCs w:val="24"/>
          <w:bdr w:val="nil"/>
          <w:lang w:eastAsia="en-GB"/>
        </w:rPr>
        <w:t xml:space="preserve"> STM publishers, the "lawful access" condition would substantially mitigate the impact on other </w:t>
      </w:r>
      <w:r w:rsidR="0002514A">
        <w:rPr>
          <w:rFonts w:ascii="Times New Roman" w:eastAsia="Arial Unicode MS" w:hAnsi="Times New Roman" w:cs="Times New Roman"/>
          <w:kern w:val="3"/>
          <w:sz w:val="24"/>
          <w:szCs w:val="24"/>
          <w:bdr w:val="nil"/>
          <w:lang w:eastAsia="en-GB"/>
        </w:rPr>
        <w:t>rightholders</w:t>
      </w:r>
      <w:r w:rsidRPr="00B35211">
        <w:rPr>
          <w:rFonts w:ascii="Times New Roman" w:eastAsia="Arial Unicode MS" w:hAnsi="Times New Roman" w:cs="Times New Roman"/>
          <w:kern w:val="3"/>
          <w:sz w:val="24"/>
          <w:szCs w:val="24"/>
          <w:bdr w:val="nil"/>
          <w:lang w:eastAsia="en-GB"/>
        </w:rPr>
        <w:t xml:space="preserve"> whose content could be relevant for mining purposes. Press publishers have brought forward some examples of licences with research organisations permitting TDM in addition </w:t>
      </w:r>
      <w:r>
        <w:rPr>
          <w:rFonts w:ascii="Times New Roman" w:eastAsia="Arial Unicode MS" w:hAnsi="Times New Roman" w:cs="Times New Roman"/>
          <w:kern w:val="3"/>
          <w:sz w:val="24"/>
          <w:szCs w:val="24"/>
          <w:bdr w:val="nil"/>
          <w:lang w:eastAsia="en-GB"/>
        </w:rPr>
        <w:t>to</w:t>
      </w:r>
      <w:r w:rsidRPr="00B35211">
        <w:rPr>
          <w:rFonts w:ascii="Times New Roman" w:eastAsia="Arial Unicode MS" w:hAnsi="Times New Roman" w:cs="Times New Roman"/>
          <w:kern w:val="3"/>
          <w:sz w:val="24"/>
          <w:szCs w:val="24"/>
          <w:bdr w:val="nil"/>
          <w:lang w:eastAsia="en-GB"/>
        </w:rPr>
        <w:t xml:space="preserve"> access to their content.</w:t>
      </w:r>
      <w:r w:rsidRPr="00B35211">
        <w:rPr>
          <w:rFonts w:ascii="Times New Roman" w:eastAsia="Arial Unicode MS" w:hAnsi="Times New Roman" w:cs="Times New Roman"/>
          <w:sz w:val="24"/>
          <w:szCs w:val="20"/>
          <w:bdr w:val="nil"/>
          <w:vertAlign w:val="superscript"/>
          <w:lang w:eastAsia="en-GB"/>
        </w:rPr>
        <w:footnoteReference w:id="364"/>
      </w:r>
      <w:r w:rsidRPr="00B35211">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In some fields, such as linguistic</w:t>
      </w:r>
      <w:r w:rsidRPr="00B35211">
        <w:rPr>
          <w:rFonts w:ascii="Times New Roman" w:eastAsia="Arial Unicode MS" w:hAnsi="Times New Roman" w:cs="Times New Roman"/>
          <w:kern w:val="3"/>
          <w:sz w:val="24"/>
          <w:szCs w:val="24"/>
          <w:bdr w:val="nil"/>
          <w:lang w:eastAsia="en-GB"/>
        </w:rPr>
        <w:t xml:space="preserve"> research</w:t>
      </w:r>
      <w:r>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 xml:space="preserve">newspapers </w:t>
      </w:r>
      <w:r>
        <w:rPr>
          <w:rFonts w:ascii="Times New Roman" w:eastAsia="Arial Unicode MS" w:hAnsi="Times New Roman" w:cs="Times New Roman"/>
          <w:kern w:val="3"/>
          <w:sz w:val="24"/>
          <w:szCs w:val="24"/>
          <w:bdr w:val="nil"/>
          <w:lang w:eastAsia="en-GB"/>
        </w:rPr>
        <w:t>may be an important</w:t>
      </w:r>
      <w:r w:rsidRPr="00B35211">
        <w:rPr>
          <w:rFonts w:ascii="Times New Roman" w:eastAsia="Arial Unicode MS" w:hAnsi="Times New Roman" w:cs="Times New Roman"/>
          <w:kern w:val="3"/>
          <w:sz w:val="24"/>
          <w:szCs w:val="24"/>
          <w:bdr w:val="nil"/>
          <w:lang w:eastAsia="en-GB"/>
        </w:rPr>
        <w:t xml:space="preserve"> source</w:t>
      </w:r>
      <w:r>
        <w:rPr>
          <w:rFonts w:ascii="Times New Roman" w:eastAsia="Arial Unicode MS" w:hAnsi="Times New Roman" w:cs="Times New Roman"/>
          <w:kern w:val="3"/>
          <w:sz w:val="24"/>
          <w:szCs w:val="24"/>
          <w:bdr w:val="nil"/>
          <w:lang w:eastAsia="en-GB"/>
        </w:rPr>
        <w:t xml:space="preserve"> for analysis</w:t>
      </w:r>
      <w:r w:rsidRPr="00B35211">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and </w:t>
      </w:r>
      <w:r w:rsidRPr="00B35211">
        <w:rPr>
          <w:rFonts w:ascii="Times New Roman" w:eastAsia="Arial Unicode MS" w:hAnsi="Times New Roman" w:cs="Times New Roman"/>
          <w:kern w:val="3"/>
          <w:sz w:val="24"/>
          <w:szCs w:val="24"/>
          <w:bdr w:val="nil"/>
          <w:lang w:eastAsia="en-GB"/>
        </w:rPr>
        <w:t>TDM may</w:t>
      </w:r>
      <w:r>
        <w:rPr>
          <w:rFonts w:ascii="Times New Roman" w:eastAsia="Arial Unicode MS" w:hAnsi="Times New Roman" w:cs="Times New Roman"/>
          <w:kern w:val="3"/>
          <w:sz w:val="24"/>
          <w:szCs w:val="24"/>
          <w:bdr w:val="nil"/>
          <w:lang w:eastAsia="en-GB"/>
        </w:rPr>
        <w:t xml:space="preserve"> be the main feature of </w:t>
      </w:r>
      <w:r w:rsidRPr="00B35211">
        <w:rPr>
          <w:rFonts w:ascii="Times New Roman" w:eastAsia="Arial Unicode MS" w:hAnsi="Times New Roman" w:cs="Times New Roman"/>
          <w:kern w:val="3"/>
          <w:sz w:val="24"/>
          <w:szCs w:val="24"/>
          <w:bdr w:val="nil"/>
          <w:lang w:eastAsia="en-GB"/>
        </w:rPr>
        <w:t xml:space="preserve">licences (i.e. users primarily want to mine the content rather than to read it). In these cases newspaper publishers (and other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sidRPr="00B35211">
        <w:rPr>
          <w:rFonts w:ascii="Times New Roman" w:eastAsia="Arial Unicode MS" w:hAnsi="Times New Roman" w:cs="Times New Roman"/>
          <w:kern w:val="3"/>
          <w:sz w:val="24"/>
          <w:szCs w:val="24"/>
          <w:bdr w:val="nil"/>
          <w:lang w:eastAsia="en-GB"/>
        </w:rPr>
        <w:t xml:space="preserve"> that may be in a comparable situation) would in any case be able to factor in the value of TDM in the licence fee, given that they would remain in control of the decision whether authorise or prohibit access to the content. </w:t>
      </w:r>
    </w:p>
    <w:p w:rsidR="00083CE6" w:rsidRPr="00B35211" w:rsidRDefault="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B35211">
        <w:rPr>
          <w:rFonts w:ascii="Times New Roman" w:eastAsia="Arial Unicode MS" w:hAnsi="Times New Roman" w:cs="Times New Roman"/>
          <w:kern w:val="3"/>
          <w:sz w:val="24"/>
          <w:szCs w:val="24"/>
          <w:u w:val="single"/>
          <w:bdr w:val="nil"/>
          <w:lang w:eastAsia="en-GB"/>
        </w:rPr>
        <w:t xml:space="preserve">Impact on </w:t>
      </w:r>
      <w:r w:rsidRPr="00B35211">
        <w:rPr>
          <w:rFonts w:ascii="Times New Roman" w:eastAsia="Arial Unicode MS" w:hAnsi="Times New Roman" w:cs="Times New Roman"/>
          <w:sz w:val="24"/>
          <w:szCs w:val="20"/>
          <w:u w:val="single"/>
          <w:bdr w:val="nil"/>
          <w:lang w:eastAsia="en-GB"/>
        </w:rPr>
        <w:t>t</w:t>
      </w:r>
      <w:r w:rsidRPr="00B35211">
        <w:rPr>
          <w:rFonts w:ascii="Times New Roman" w:eastAsia="Arial Unicode MS" w:hAnsi="Times New Roman" w:cs="Times New Roman"/>
          <w:sz w:val="24"/>
          <w:szCs w:val="20"/>
          <w:u w:val="single"/>
          <w:bdr w:val="nil"/>
          <w:lang w:val="en-US" w:eastAsia="en-GB"/>
        </w:rPr>
        <w:t>he protection of content:</w:t>
      </w:r>
      <w:r w:rsidRPr="00B35211" w:rsidDel="002A4CE1">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 xml:space="preserve">Today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sidRPr="00B35211">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may </w:t>
      </w:r>
      <w:r w:rsidRPr="00B35211">
        <w:rPr>
          <w:rFonts w:ascii="Times New Roman" w:eastAsia="Arial Unicode MS" w:hAnsi="Times New Roman" w:cs="Times New Roman"/>
          <w:kern w:val="3"/>
          <w:sz w:val="24"/>
          <w:szCs w:val="24"/>
          <w:bdr w:val="nil"/>
          <w:lang w:eastAsia="en-GB"/>
        </w:rPr>
        <w:t>impose</w:t>
      </w:r>
      <w:r>
        <w:rPr>
          <w:rFonts w:ascii="Times New Roman" w:eastAsia="Arial Unicode MS" w:hAnsi="Times New Roman" w:cs="Times New Roman"/>
          <w:kern w:val="3"/>
          <w:sz w:val="24"/>
          <w:szCs w:val="24"/>
          <w:bdr w:val="nil"/>
          <w:lang w:eastAsia="en-GB"/>
        </w:rPr>
        <w:t xml:space="preserve"> on users,</w:t>
      </w:r>
      <w:r w:rsidRPr="00B35211">
        <w:rPr>
          <w:rFonts w:ascii="Times New Roman" w:eastAsia="Arial Unicode MS" w:hAnsi="Times New Roman" w:cs="Times New Roman"/>
          <w:kern w:val="3"/>
          <w:sz w:val="24"/>
          <w:szCs w:val="24"/>
          <w:bdr w:val="nil"/>
          <w:lang w:eastAsia="en-GB"/>
        </w:rPr>
        <w:t xml:space="preserve"> through TDM licences clauses</w:t>
      </w:r>
      <w:r>
        <w:rPr>
          <w:rFonts w:ascii="Times New Roman" w:eastAsia="Arial Unicode MS" w:hAnsi="Times New Roman" w:cs="Times New Roman"/>
          <w:kern w:val="3"/>
          <w:sz w:val="24"/>
          <w:szCs w:val="24"/>
          <w:bdr w:val="nil"/>
          <w:lang w:eastAsia="en-GB"/>
        </w:rPr>
        <w:t>,</w:t>
      </w:r>
      <w:r w:rsidRPr="00B35211">
        <w:rPr>
          <w:rFonts w:ascii="Times New Roman" w:eastAsia="Arial Unicode MS" w:hAnsi="Times New Roman" w:cs="Times New Roman"/>
          <w:kern w:val="3"/>
          <w:sz w:val="24"/>
          <w:szCs w:val="24"/>
          <w:bdr w:val="nil"/>
          <w:lang w:eastAsia="en-GB"/>
        </w:rPr>
        <w:t xml:space="preserve"> technical conditions which they consider important</w:t>
      </w:r>
      <w:r>
        <w:rPr>
          <w:rFonts w:ascii="Times New Roman" w:eastAsia="Arial Unicode MS" w:hAnsi="Times New Roman" w:cs="Times New Roman"/>
          <w:kern w:val="3"/>
          <w:sz w:val="24"/>
          <w:szCs w:val="24"/>
          <w:bdr w:val="nil"/>
          <w:lang w:eastAsia="en-GB"/>
        </w:rPr>
        <w:t>, among other things,</w:t>
      </w:r>
      <w:r w:rsidRPr="00B35211">
        <w:rPr>
          <w:rFonts w:ascii="Times New Roman" w:eastAsia="Arial Unicode MS" w:hAnsi="Times New Roman" w:cs="Times New Roman"/>
          <w:kern w:val="3"/>
          <w:sz w:val="24"/>
          <w:szCs w:val="24"/>
          <w:bdr w:val="nil"/>
          <w:lang w:eastAsia="en-GB"/>
        </w:rPr>
        <w:t xml:space="preserve"> to prevent unauthorised uses </w:t>
      </w:r>
      <w:r>
        <w:rPr>
          <w:rFonts w:ascii="Times New Roman" w:eastAsia="Arial Unicode MS" w:hAnsi="Times New Roman" w:cs="Times New Roman"/>
          <w:kern w:val="3"/>
          <w:sz w:val="24"/>
          <w:szCs w:val="24"/>
          <w:bdr w:val="nil"/>
          <w:lang w:eastAsia="en-GB"/>
        </w:rPr>
        <w:t>of the content being mined</w:t>
      </w:r>
      <w:r w:rsidRPr="00B35211">
        <w:rPr>
          <w:rFonts w:ascii="Times New Roman" w:eastAsia="Arial Unicode MS" w:hAnsi="Times New Roman" w:cs="Times New Roman"/>
          <w:kern w:val="3"/>
          <w:sz w:val="24"/>
          <w:szCs w:val="24"/>
          <w:bdr w:val="nil"/>
          <w:lang w:eastAsia="en-GB"/>
        </w:rPr>
        <w:t xml:space="preserve"> and protect the</w:t>
      </w:r>
      <w:r>
        <w:rPr>
          <w:rFonts w:ascii="Times New Roman" w:eastAsia="Arial Unicode MS" w:hAnsi="Times New Roman" w:cs="Times New Roman"/>
          <w:kern w:val="3"/>
          <w:sz w:val="24"/>
          <w:szCs w:val="24"/>
          <w:bdr w:val="nil"/>
          <w:lang w:eastAsia="en-GB"/>
        </w:rPr>
        <w:t xml:space="preserve"> technical stability of the</w:t>
      </w:r>
      <w:r w:rsidRPr="00B35211">
        <w:rPr>
          <w:rFonts w:ascii="Times New Roman" w:eastAsia="Arial Unicode MS" w:hAnsi="Times New Roman" w:cs="Times New Roman"/>
          <w:kern w:val="3"/>
          <w:sz w:val="24"/>
          <w:szCs w:val="24"/>
          <w:bdr w:val="nil"/>
          <w:lang w:eastAsia="en-GB"/>
        </w:rPr>
        <w:t>ir databases</w:t>
      </w:r>
      <w:r>
        <w:rPr>
          <w:rFonts w:ascii="Times New Roman" w:eastAsia="Arial Unicode MS" w:hAnsi="Times New Roman" w:cs="Times New Roman"/>
          <w:kern w:val="3"/>
          <w:sz w:val="24"/>
          <w:szCs w:val="24"/>
          <w:bdr w:val="nil"/>
          <w:lang w:eastAsia="en-GB"/>
        </w:rPr>
        <w:t xml:space="preserve">. As described in Annex 11B, </w:t>
      </w:r>
      <w:r w:rsidRPr="00B35211">
        <w:rPr>
          <w:rFonts w:ascii="Times New Roman" w:eastAsia="Arial Unicode MS" w:hAnsi="Times New Roman" w:cs="Times New Roman"/>
          <w:kern w:val="3"/>
          <w:sz w:val="24"/>
          <w:szCs w:val="24"/>
          <w:bdr w:val="nil"/>
          <w:lang w:eastAsia="en-GB"/>
        </w:rPr>
        <w:t xml:space="preserve">these </w:t>
      </w:r>
      <w:r>
        <w:rPr>
          <w:rFonts w:ascii="Times New Roman" w:eastAsia="Arial Unicode MS" w:hAnsi="Times New Roman" w:cs="Times New Roman"/>
          <w:kern w:val="3"/>
          <w:sz w:val="24"/>
          <w:szCs w:val="24"/>
          <w:bdr w:val="nil"/>
          <w:lang w:eastAsia="en-GB"/>
        </w:rPr>
        <w:t xml:space="preserve">measures are, for example, </w:t>
      </w:r>
      <w:r w:rsidRPr="00B35211">
        <w:rPr>
          <w:rFonts w:ascii="Times New Roman" w:eastAsia="Arial Unicode MS" w:hAnsi="Times New Roman" w:cs="Times New Roman"/>
          <w:kern w:val="3"/>
          <w:sz w:val="24"/>
          <w:szCs w:val="24"/>
          <w:bdr w:val="nil"/>
          <w:lang w:eastAsia="en-GB"/>
        </w:rPr>
        <w:t xml:space="preserve">APIs for automated downloading, access </w:t>
      </w:r>
      <w:r>
        <w:rPr>
          <w:rFonts w:ascii="Times New Roman" w:eastAsia="Arial Unicode MS" w:hAnsi="Times New Roman" w:cs="Times New Roman"/>
          <w:kern w:val="3"/>
          <w:sz w:val="24"/>
          <w:szCs w:val="24"/>
          <w:bdr w:val="nil"/>
          <w:lang w:eastAsia="en-GB"/>
        </w:rPr>
        <w:t xml:space="preserve">limited </w:t>
      </w:r>
      <w:r w:rsidRPr="00B35211">
        <w:rPr>
          <w:rFonts w:ascii="Times New Roman" w:eastAsia="Arial Unicode MS" w:hAnsi="Times New Roman" w:cs="Times New Roman"/>
          <w:kern w:val="3"/>
          <w:sz w:val="24"/>
          <w:szCs w:val="24"/>
          <w:bdr w:val="nil"/>
          <w:lang w:eastAsia="en-GB"/>
        </w:rPr>
        <w:t>to a determined range of IP addresses</w:t>
      </w:r>
      <w:r>
        <w:rPr>
          <w:rFonts w:ascii="Times New Roman" w:eastAsia="Arial Unicode MS" w:hAnsi="Times New Roman" w:cs="Times New Roman"/>
          <w:kern w:val="3"/>
          <w:sz w:val="24"/>
          <w:szCs w:val="24"/>
          <w:bdr w:val="nil"/>
          <w:lang w:eastAsia="en-GB"/>
        </w:rPr>
        <w:t xml:space="preserve"> or other</w:t>
      </w:r>
      <w:r w:rsidRPr="00B35211">
        <w:rPr>
          <w:rFonts w:ascii="Times New Roman" w:eastAsia="Arial Unicode MS" w:hAnsi="Times New Roman" w:cs="Times New Roman"/>
          <w:kern w:val="3"/>
          <w:sz w:val="24"/>
          <w:szCs w:val="24"/>
          <w:bdr w:val="nil"/>
          <w:lang w:eastAsia="en-GB"/>
        </w:rPr>
        <w:t xml:space="preserve"> user authentication measures, limits on the speed or number of downloads</w:t>
      </w:r>
      <w:r>
        <w:rPr>
          <w:rFonts w:ascii="Times New Roman" w:eastAsia="Arial Unicode MS" w:hAnsi="Times New Roman" w:cs="Times New Roman"/>
          <w:kern w:val="3"/>
          <w:sz w:val="24"/>
          <w:szCs w:val="24"/>
          <w:bdr w:val="nil"/>
          <w:lang w:eastAsia="en-GB"/>
        </w:rPr>
        <w:t>, etc</w:t>
      </w:r>
      <w:r w:rsidR="0002514A">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In view of the current limited self-standing economic value of TDM in</w:t>
      </w:r>
      <w:r>
        <w:rPr>
          <w:rFonts w:ascii="Times New Roman" w:eastAsia="Arial Unicode MS" w:hAnsi="Times New Roman" w:cs="Times New Roman"/>
          <w:kern w:val="3"/>
          <w:sz w:val="24"/>
          <w:szCs w:val="24"/>
          <w:bdr w:val="nil"/>
          <w:lang w:eastAsia="en-GB"/>
        </w:rPr>
        <w:t xml:space="preserve"> licen</w:t>
      </w:r>
      <w:r w:rsidR="006D21E9">
        <w:rPr>
          <w:rFonts w:ascii="Times New Roman" w:eastAsia="Arial Unicode MS" w:hAnsi="Times New Roman" w:cs="Times New Roman"/>
          <w:kern w:val="3"/>
          <w:sz w:val="24"/>
          <w:szCs w:val="24"/>
          <w:bdr w:val="nil"/>
          <w:lang w:eastAsia="en-GB"/>
        </w:rPr>
        <w:t>c</w:t>
      </w:r>
      <w:r>
        <w:rPr>
          <w:rFonts w:ascii="Times New Roman" w:eastAsia="Arial Unicode MS" w:hAnsi="Times New Roman" w:cs="Times New Roman"/>
          <w:kern w:val="3"/>
          <w:sz w:val="24"/>
          <w:szCs w:val="24"/>
          <w:bdr w:val="nil"/>
          <w:lang w:eastAsia="en-GB"/>
        </w:rPr>
        <w:t>es with</w:t>
      </w:r>
      <w:r w:rsidRPr="00B35211">
        <w:rPr>
          <w:rFonts w:ascii="Times New Roman" w:eastAsia="Arial Unicode MS" w:hAnsi="Times New Roman" w:cs="Times New Roman"/>
          <w:kern w:val="3"/>
          <w:sz w:val="24"/>
          <w:szCs w:val="24"/>
          <w:bdr w:val="nil"/>
          <w:lang w:eastAsia="en-GB"/>
        </w:rPr>
        <w:t xml:space="preserve"> universit</w:t>
      </w:r>
      <w:r>
        <w:rPr>
          <w:rFonts w:ascii="Times New Roman" w:eastAsia="Arial Unicode MS" w:hAnsi="Times New Roman" w:cs="Times New Roman"/>
          <w:kern w:val="3"/>
          <w:sz w:val="24"/>
          <w:szCs w:val="24"/>
          <w:bdr w:val="nil"/>
          <w:lang w:eastAsia="en-GB"/>
        </w:rPr>
        <w:t>ies/public research organisations</w:t>
      </w:r>
      <w:r w:rsidRPr="00B35211">
        <w:rPr>
          <w:rFonts w:ascii="Times New Roman" w:eastAsia="Arial Unicode MS" w:hAnsi="Times New Roman" w:cs="Times New Roman"/>
          <w:kern w:val="3"/>
          <w:sz w:val="24"/>
          <w:szCs w:val="24"/>
          <w:bdr w:val="nil"/>
          <w:lang w:eastAsia="en-GB"/>
        </w:rPr>
        <w:t xml:space="preserve"> (see above), the </w:t>
      </w:r>
      <w:r>
        <w:rPr>
          <w:rFonts w:ascii="Times New Roman" w:eastAsia="Arial Unicode MS" w:hAnsi="Times New Roman" w:cs="Times New Roman"/>
          <w:kern w:val="3"/>
          <w:sz w:val="24"/>
          <w:szCs w:val="24"/>
          <w:bdr w:val="nil"/>
          <w:lang w:eastAsia="en-GB"/>
        </w:rPr>
        <w:t>possibility</w:t>
      </w:r>
      <w:r w:rsidRPr="00B35211">
        <w:rPr>
          <w:rFonts w:ascii="Times New Roman" w:eastAsia="Arial Unicode MS" w:hAnsi="Times New Roman" w:cs="Times New Roman"/>
          <w:kern w:val="3"/>
          <w:sz w:val="24"/>
          <w:szCs w:val="24"/>
          <w:bdr w:val="nil"/>
          <w:lang w:eastAsia="en-GB"/>
        </w:rPr>
        <w:t xml:space="preserve"> for STM publishers to impose such conditions is </w:t>
      </w:r>
      <w:r>
        <w:rPr>
          <w:rFonts w:ascii="Times New Roman" w:eastAsia="Arial Unicode MS" w:hAnsi="Times New Roman" w:cs="Times New Roman"/>
          <w:kern w:val="3"/>
          <w:sz w:val="24"/>
          <w:szCs w:val="24"/>
          <w:bdr w:val="nil"/>
          <w:lang w:eastAsia="en-GB"/>
        </w:rPr>
        <w:t xml:space="preserve">often invoked as </w:t>
      </w:r>
      <w:r w:rsidRPr="00B35211">
        <w:rPr>
          <w:rFonts w:ascii="Times New Roman" w:eastAsia="Arial Unicode MS" w:hAnsi="Times New Roman" w:cs="Times New Roman"/>
          <w:kern w:val="3"/>
          <w:sz w:val="24"/>
          <w:szCs w:val="24"/>
          <w:bdr w:val="nil"/>
          <w:lang w:eastAsia="en-GB"/>
        </w:rPr>
        <w:t xml:space="preserve">a key reason </w:t>
      </w:r>
      <w:r>
        <w:rPr>
          <w:rFonts w:ascii="Times New Roman" w:eastAsia="Arial Unicode MS" w:hAnsi="Times New Roman" w:cs="Times New Roman"/>
          <w:kern w:val="3"/>
          <w:sz w:val="24"/>
          <w:szCs w:val="24"/>
          <w:bdr w:val="nil"/>
          <w:lang w:eastAsia="en-GB"/>
        </w:rPr>
        <w:t>for them to</w:t>
      </w:r>
      <w:r w:rsidRPr="00B35211">
        <w:rPr>
          <w:rFonts w:ascii="Times New Roman" w:eastAsia="Arial Unicode MS" w:hAnsi="Times New Roman" w:cs="Times New Roman"/>
          <w:kern w:val="3"/>
          <w:sz w:val="24"/>
          <w:szCs w:val="24"/>
          <w:bdr w:val="nil"/>
          <w:lang w:eastAsia="en-GB"/>
        </w:rPr>
        <w:t xml:space="preserve"> retain the ability to licence TDM. </w:t>
      </w:r>
    </w:p>
    <w:p w:rsidR="00083CE6" w:rsidRPr="00B35211" w:rsidRDefault="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val="en-US" w:eastAsia="zh-CN"/>
        </w:rPr>
      </w:pPr>
      <w:r w:rsidRPr="00B35211">
        <w:rPr>
          <w:rFonts w:ascii="Times New Roman" w:eastAsia="Arial Unicode MS" w:hAnsi="Times New Roman" w:cs="Times New Roman"/>
          <w:kern w:val="3"/>
          <w:sz w:val="24"/>
          <w:szCs w:val="24"/>
          <w:bdr w:val="nil"/>
          <w:lang w:eastAsia="en-GB"/>
        </w:rPr>
        <w:t xml:space="preserve">These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concerns would be mitigated by the introduction in legislation of a provision allowing content owners to apply proportionate measures necessary to guarantee the security of their systems without unduly hampering TDM. Additionally, stakeholder dialogues would encourage the identification of mutually agreed technical solutions and best practices (see</w:t>
      </w:r>
      <w:r>
        <w:rPr>
          <w:rFonts w:ascii="Times New Roman" w:eastAsia="Arial Unicode MS" w:hAnsi="Times New Roman" w:cs="Times New Roman"/>
          <w:kern w:val="3"/>
          <w:sz w:val="24"/>
          <w:szCs w:val="24"/>
          <w:bdr w:val="nil"/>
          <w:lang w:eastAsia="en-GB"/>
        </w:rPr>
        <w:t xml:space="preserve"> the</w:t>
      </w:r>
      <w:r w:rsidRPr="00B35211">
        <w:rPr>
          <w:rFonts w:ascii="Times New Roman" w:eastAsia="Arial Unicode MS" w:hAnsi="Times New Roman" w:cs="Times New Roman"/>
          <w:kern w:val="3"/>
          <w:sz w:val="24"/>
          <w:szCs w:val="24"/>
          <w:bdr w:val="nil"/>
          <w:lang w:eastAsia="en-GB"/>
        </w:rPr>
        <w:t xml:space="preserve"> description</w:t>
      </w:r>
      <w:r>
        <w:rPr>
          <w:rFonts w:ascii="Times New Roman" w:eastAsia="Arial Unicode MS" w:hAnsi="Times New Roman" w:cs="Times New Roman"/>
          <w:kern w:val="3"/>
          <w:sz w:val="24"/>
          <w:szCs w:val="24"/>
          <w:bdr w:val="nil"/>
          <w:lang w:eastAsia="en-GB"/>
        </w:rPr>
        <w:t xml:space="preserve"> of the option above</w:t>
      </w:r>
      <w:r w:rsidRPr="00B35211">
        <w:rPr>
          <w:rFonts w:ascii="Times New Roman" w:eastAsia="Arial Unicode MS" w:hAnsi="Times New Roman" w:cs="Times New Roman"/>
          <w:kern w:val="3"/>
          <w:sz w:val="24"/>
          <w:szCs w:val="24"/>
          <w:bdr w:val="nil"/>
          <w:lang w:eastAsia="en-GB"/>
        </w:rPr>
        <w:t xml:space="preserve">). </w:t>
      </w:r>
    </w:p>
    <w:p w:rsidR="00083CE6" w:rsidRPr="00EF4BBE" w:rsidRDefault="00083CE6" w:rsidP="00083CE6">
      <w:pPr>
        <w:pStyle w:val="Text1"/>
        <w:ind w:left="0"/>
        <w:rPr>
          <w:rFonts w:ascii="Times New Roman Bold" w:eastAsia="Arial Unicode MS" w:hAnsi="Times New Roman Bold" w:hint="eastAsia"/>
          <w:b/>
          <w:smallCaps/>
          <w:szCs w:val="24"/>
          <w:bdr w:val="nil"/>
        </w:rPr>
      </w:pPr>
      <w:r w:rsidRPr="00EF4BBE">
        <w:rPr>
          <w:rFonts w:ascii="Times New Roman Bold" w:eastAsia="Arial Unicode MS" w:hAnsi="Times New Roman Bold"/>
          <w:b/>
          <w:smallCaps/>
          <w:szCs w:val="24"/>
          <w:bdr w:val="nil"/>
        </w:rPr>
        <w:t xml:space="preserve">Social impacts </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sz w:val="24"/>
          <w:szCs w:val="24"/>
          <w:bdr w:val="none" w:sz="0" w:space="0" w:color="auto" w:frame="1"/>
          <w:lang w:val="en-US" w:eastAsia="en-GB"/>
        </w:rPr>
      </w:pPr>
      <w:r>
        <w:rPr>
          <w:rFonts w:ascii="Times New Roman" w:eastAsia="Arial Unicode MS" w:hAnsi="Times New Roman" w:cs="Times New Roman"/>
          <w:kern w:val="3"/>
          <w:sz w:val="24"/>
          <w:szCs w:val="24"/>
          <w:bdr w:val="nil"/>
          <w:lang w:eastAsia="zh-CN"/>
        </w:rPr>
        <w:t xml:space="preserve">Positive impact as the </w:t>
      </w:r>
      <w:r w:rsidRPr="00FA5C3B">
        <w:rPr>
          <w:rFonts w:ascii="Times New Roman" w:eastAsia="Arial Unicode MS" w:hAnsi="Times New Roman" w:cs="Times New Roman"/>
          <w:kern w:val="3"/>
          <w:sz w:val="24"/>
          <w:szCs w:val="24"/>
          <w:bdr w:val="nil"/>
          <w:lang w:eastAsia="zh-CN"/>
        </w:rPr>
        <w:t xml:space="preserve">harmonisation of the </w:t>
      </w:r>
      <w:r>
        <w:rPr>
          <w:rFonts w:ascii="Times New Roman" w:eastAsia="Arial Unicode MS" w:hAnsi="Times New Roman" w:cs="Times New Roman"/>
          <w:kern w:val="3"/>
          <w:sz w:val="24"/>
          <w:szCs w:val="24"/>
          <w:bdr w:val="nil"/>
          <w:lang w:eastAsia="zh-CN"/>
        </w:rPr>
        <w:t xml:space="preserve">EU </w:t>
      </w:r>
      <w:r w:rsidRPr="00FA5C3B">
        <w:rPr>
          <w:rFonts w:ascii="Times New Roman" w:eastAsia="Arial Unicode MS" w:hAnsi="Times New Roman" w:cs="Times New Roman"/>
          <w:kern w:val="3"/>
          <w:sz w:val="24"/>
          <w:szCs w:val="24"/>
          <w:bdr w:val="nil"/>
          <w:lang w:eastAsia="zh-CN"/>
        </w:rPr>
        <w:t>legal framework for researchers carrying</w:t>
      </w:r>
      <w:r>
        <w:rPr>
          <w:rFonts w:ascii="Times New Roman" w:eastAsia="Arial Unicode MS" w:hAnsi="Times New Roman" w:cs="Times New Roman"/>
          <w:kern w:val="3"/>
          <w:sz w:val="24"/>
          <w:szCs w:val="24"/>
          <w:bdr w:val="nil"/>
          <w:lang w:eastAsia="zh-CN"/>
        </w:rPr>
        <w:t xml:space="preserve"> out TDM is </w:t>
      </w:r>
      <w:r>
        <w:rPr>
          <w:rFonts w:ascii="Times New Roman" w:eastAsia="Arial Unicode MS" w:hAnsi="Times New Roman" w:cs="Times New Roman"/>
          <w:kern w:val="3"/>
          <w:sz w:val="24"/>
          <w:szCs w:val="24"/>
          <w:bdr w:val="nil"/>
          <w:lang w:eastAsia="en-GB"/>
        </w:rPr>
        <w:t>expected</w:t>
      </w:r>
      <w:r>
        <w:rPr>
          <w:rFonts w:ascii="Times New Roman" w:eastAsia="Arial Unicode MS" w:hAnsi="Times New Roman" w:cs="Times New Roman"/>
          <w:kern w:val="3"/>
          <w:sz w:val="24"/>
          <w:szCs w:val="24"/>
          <w:bdr w:val="nil"/>
          <w:lang w:eastAsia="zh-CN"/>
        </w:rPr>
        <w:t xml:space="preserve"> to contribute to improving Europe's potential as a research area on the worldwide scale, including its ability to retain and attract top quality researchers, with the ensuing positive consequences in terms of scientific and societal progress. </w:t>
      </w:r>
      <w:r w:rsidRPr="00286B6E">
        <w:rPr>
          <w:rFonts w:ascii="Times New Roman" w:eastAsia="Arial Unicode MS" w:hAnsi="Times New Roman" w:cs="Times New Roman"/>
          <w:sz w:val="24"/>
          <w:szCs w:val="24"/>
          <w:bdr w:val="none" w:sz="0" w:space="0" w:color="auto" w:frame="1"/>
          <w:lang w:val="en-US" w:eastAsia="en-GB"/>
        </w:rPr>
        <w:t>The research productivity gains</w:t>
      </w:r>
      <w:r>
        <w:rPr>
          <w:rFonts w:ascii="Times New Roman" w:eastAsia="Arial Unicode MS" w:hAnsi="Times New Roman" w:cs="Times New Roman"/>
          <w:sz w:val="24"/>
          <w:szCs w:val="24"/>
          <w:bdr w:val="none" w:sz="0" w:space="0" w:color="auto" w:frame="1"/>
          <w:lang w:val="en-US" w:eastAsia="en-GB"/>
        </w:rPr>
        <w:t xml:space="preserve"> which could be triggered by a clarification of the EU rules applicable to TDM</w:t>
      </w:r>
      <w:r w:rsidRPr="00286B6E">
        <w:rPr>
          <w:rFonts w:ascii="Times New Roman" w:eastAsia="Arial Unicode MS" w:hAnsi="Times New Roman" w:cs="Times New Roman"/>
          <w:sz w:val="24"/>
          <w:szCs w:val="24"/>
          <w:bdr w:val="none" w:sz="0" w:space="0" w:color="auto" w:frame="1"/>
          <w:lang w:val="en-US" w:eastAsia="en-GB"/>
        </w:rPr>
        <w:t xml:space="preserve"> have been estimated </w:t>
      </w:r>
      <w:r>
        <w:rPr>
          <w:rFonts w:ascii="Times New Roman" w:eastAsia="Arial Unicode MS" w:hAnsi="Times New Roman" w:cs="Times New Roman"/>
          <w:sz w:val="24"/>
          <w:szCs w:val="24"/>
          <w:bdr w:val="none" w:sz="0" w:space="0" w:color="auto" w:frame="1"/>
          <w:lang w:val="en-US" w:eastAsia="en-GB"/>
        </w:rPr>
        <w:t xml:space="preserve">by </w:t>
      </w:r>
      <w:r w:rsidRPr="00190031">
        <w:rPr>
          <w:rFonts w:ascii="Times New Roman" w:eastAsia="Droid Sans Fallback" w:hAnsi="Times New Roman" w:cs="FreeSans"/>
          <w:kern w:val="3"/>
          <w:sz w:val="24"/>
          <w:szCs w:val="24"/>
          <w:bdr w:val="nil"/>
          <w:lang w:eastAsia="en-GB" w:bidi="hi-IN"/>
        </w:rPr>
        <w:t>some</w:t>
      </w:r>
      <w:r>
        <w:rPr>
          <w:rFonts w:ascii="Times New Roman" w:eastAsia="Arial Unicode MS" w:hAnsi="Times New Roman" w:cs="Times New Roman"/>
          <w:sz w:val="24"/>
          <w:szCs w:val="24"/>
          <w:bdr w:val="none" w:sz="0" w:space="0" w:color="auto" w:frame="1"/>
          <w:lang w:val="en-US" w:eastAsia="en-GB"/>
        </w:rPr>
        <w:t xml:space="preserve"> </w:t>
      </w:r>
      <w:r w:rsidRPr="00286B6E">
        <w:rPr>
          <w:rFonts w:ascii="Times New Roman" w:eastAsia="Arial Unicode MS" w:hAnsi="Times New Roman" w:cs="Times New Roman"/>
          <w:sz w:val="24"/>
          <w:szCs w:val="24"/>
          <w:bdr w:val="none" w:sz="0" w:space="0" w:color="auto" w:frame="1"/>
          <w:lang w:val="en-US" w:eastAsia="en-GB"/>
        </w:rPr>
        <w:t>at 2</w:t>
      </w:r>
      <w:r w:rsidR="0060401B">
        <w:rPr>
          <w:rFonts w:ascii="Times New Roman" w:eastAsia="Arial Unicode MS" w:hAnsi="Times New Roman" w:cs="Times New Roman"/>
          <w:sz w:val="24"/>
          <w:szCs w:val="24"/>
          <w:bdr w:val="none" w:sz="0" w:space="0" w:color="auto" w:frame="1"/>
          <w:lang w:val="en-US" w:eastAsia="en-GB"/>
        </w:rPr>
        <w:t xml:space="preserve"> </w:t>
      </w:r>
      <w:r w:rsidRPr="00286B6E">
        <w:rPr>
          <w:rFonts w:ascii="Times New Roman" w:eastAsia="Arial Unicode MS" w:hAnsi="Times New Roman" w:cs="Times New Roman"/>
          <w:sz w:val="24"/>
          <w:szCs w:val="24"/>
          <w:bdr w:val="none" w:sz="0" w:space="0" w:color="auto" w:frame="1"/>
          <w:lang w:val="en-US" w:eastAsia="en-GB"/>
        </w:rPr>
        <w:t>% and the impact on GDP growth at 0.26</w:t>
      </w:r>
      <w:r w:rsidR="0060401B">
        <w:rPr>
          <w:rFonts w:ascii="Times New Roman" w:eastAsia="Arial Unicode MS" w:hAnsi="Times New Roman" w:cs="Times New Roman"/>
          <w:sz w:val="24"/>
          <w:szCs w:val="24"/>
          <w:bdr w:val="none" w:sz="0" w:space="0" w:color="auto" w:frame="1"/>
          <w:lang w:val="en-US" w:eastAsia="en-GB"/>
        </w:rPr>
        <w:t xml:space="preserve"> </w:t>
      </w:r>
      <w:r w:rsidRPr="00286B6E">
        <w:rPr>
          <w:rFonts w:ascii="Times New Roman" w:eastAsia="Arial Unicode MS" w:hAnsi="Times New Roman" w:cs="Times New Roman"/>
          <w:sz w:val="24"/>
          <w:szCs w:val="24"/>
          <w:bdr w:val="none" w:sz="0" w:space="0" w:color="auto" w:frame="1"/>
          <w:lang w:val="en-US" w:eastAsia="en-GB"/>
        </w:rPr>
        <w:t>%.</w:t>
      </w:r>
      <w:r w:rsidRPr="00D1507D">
        <w:rPr>
          <w:rFonts w:ascii="Times New Roman" w:hAnsi="Times New Roman"/>
          <w:sz w:val="24"/>
          <w:vertAlign w:val="superscript"/>
        </w:rPr>
        <w:footnoteReference w:id="365"/>
      </w:r>
      <w:r w:rsidRPr="007F7D22">
        <w:rPr>
          <w:rFonts w:ascii="Times New Roman" w:eastAsia="Arial Unicode MS" w:hAnsi="Times New Roman" w:cs="Times New Roman"/>
          <w:sz w:val="24"/>
          <w:szCs w:val="24"/>
          <w:bdr w:val="none" w:sz="0" w:space="0" w:color="auto" w:frame="1"/>
          <w:lang w:val="en-US" w:eastAsia="en-GB"/>
        </w:rPr>
        <w:t xml:space="preserve"> </w:t>
      </w:r>
    </w:p>
    <w:p w:rsidR="00083CE6" w:rsidRPr="00EF4BBE" w:rsidRDefault="00083CE6" w:rsidP="00083CE6">
      <w:pPr>
        <w:pStyle w:val="Text1"/>
        <w:ind w:left="0"/>
        <w:rPr>
          <w:rFonts w:ascii="Times New Roman Bold" w:eastAsia="Arial Unicode MS" w:hAnsi="Times New Roman Bold" w:hint="eastAsia"/>
          <w:b/>
          <w:smallCaps/>
          <w:szCs w:val="24"/>
          <w:bdr w:val="nil"/>
        </w:rPr>
      </w:pPr>
      <w:r w:rsidRPr="00EF4BBE">
        <w:rPr>
          <w:rFonts w:ascii="Times New Roman Bold" w:eastAsia="Arial Unicode MS" w:hAnsi="Times New Roman Bold"/>
          <w:b/>
          <w:smallCaps/>
          <w:szCs w:val="24"/>
          <w:bdr w:val="nil"/>
        </w:rPr>
        <w:t>Impacts on fundamental rights</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zh-CN"/>
        </w:rPr>
      </w:pPr>
      <w:r>
        <w:rPr>
          <w:rFonts w:ascii="Times New Roman" w:eastAsia="Arial Unicode MS" w:hAnsi="Times New Roman" w:cs="Times New Roman"/>
          <w:kern w:val="3"/>
          <w:sz w:val="24"/>
          <w:szCs w:val="24"/>
          <w:bdr w:val="nil"/>
          <w:lang w:eastAsia="zh-CN"/>
        </w:rPr>
        <w:t>T</w:t>
      </w:r>
      <w:r w:rsidRPr="00B35211">
        <w:rPr>
          <w:rFonts w:ascii="Times New Roman" w:eastAsia="Arial Unicode MS" w:hAnsi="Times New Roman" w:cs="Times New Roman"/>
          <w:kern w:val="3"/>
          <w:sz w:val="24"/>
          <w:szCs w:val="24"/>
          <w:bdr w:val="nil"/>
          <w:lang w:eastAsia="zh-CN"/>
        </w:rPr>
        <w:t>he</w:t>
      </w:r>
      <w:r>
        <w:rPr>
          <w:rFonts w:ascii="Times New Roman" w:eastAsia="Arial Unicode MS" w:hAnsi="Times New Roman" w:cs="Times New Roman"/>
          <w:kern w:val="3"/>
          <w:sz w:val="24"/>
          <w:szCs w:val="24"/>
          <w:bdr w:val="nil"/>
          <w:lang w:eastAsia="zh-CN"/>
        </w:rPr>
        <w:t>re would be an impact on copyright as a fundamental right but the</w:t>
      </w:r>
      <w:r w:rsidRPr="00B35211">
        <w:rPr>
          <w:rFonts w:ascii="Times New Roman" w:eastAsia="Arial Unicode MS" w:hAnsi="Times New Roman" w:cs="Times New Roman"/>
          <w:kern w:val="3"/>
          <w:sz w:val="24"/>
          <w:szCs w:val="24"/>
          <w:bdr w:val="nil"/>
          <w:lang w:eastAsia="zh-CN"/>
        </w:rPr>
        <w:t xml:space="preserve"> current balance between rights and exceptions will not be substantially altered by this option, as EU law already contains exceptions </w:t>
      </w:r>
      <w:r w:rsidRPr="00B35211">
        <w:rPr>
          <w:rFonts w:ascii="Times New Roman" w:eastAsia="Arial Unicode MS" w:hAnsi="Times New Roman" w:cs="Times New Roman"/>
          <w:kern w:val="3"/>
          <w:sz w:val="24"/>
          <w:szCs w:val="24"/>
          <w:bdr w:val="nil"/>
          <w:lang w:eastAsia="en-GB"/>
        </w:rPr>
        <w:t>allowing</w:t>
      </w:r>
      <w:r w:rsidRPr="00B35211">
        <w:rPr>
          <w:rFonts w:ascii="Times New Roman" w:eastAsia="Arial Unicode MS" w:hAnsi="Times New Roman" w:cs="Times New Roman"/>
          <w:kern w:val="3"/>
          <w:sz w:val="24"/>
          <w:szCs w:val="24"/>
          <w:bdr w:val="nil"/>
          <w:lang w:eastAsia="zh-CN"/>
        </w:rPr>
        <w:t xml:space="preserve"> uses of IP protected content for the purposes of non-commercial scientific research.</w:t>
      </w:r>
      <w:r w:rsidRPr="00B35211">
        <w:rPr>
          <w:rFonts w:ascii="Times New Roman" w:eastAsia="Arial Unicode MS" w:hAnsi="Times New Roman" w:cs="Times New Roman"/>
          <w:kern w:val="3"/>
          <w:sz w:val="24"/>
          <w:szCs w:val="24"/>
          <w:bdr w:val="nil"/>
          <w:lang w:eastAsia="en-GB"/>
        </w:rPr>
        <w:t xml:space="preserve"> The impact on freedom of art and science</w:t>
      </w:r>
      <w:r>
        <w:rPr>
          <w:rFonts w:ascii="Times New Roman" w:eastAsia="Arial Unicode MS" w:hAnsi="Times New Roman" w:cs="Times New Roman"/>
          <w:kern w:val="3"/>
          <w:sz w:val="24"/>
          <w:szCs w:val="24"/>
          <w:bdr w:val="nil"/>
          <w:lang w:eastAsia="en-GB"/>
        </w:rPr>
        <w:t xml:space="preserve"> </w:t>
      </w:r>
      <w:r w:rsidRPr="00B35211">
        <w:rPr>
          <w:rFonts w:ascii="Times New Roman" w:eastAsia="Arial Unicode MS" w:hAnsi="Times New Roman" w:cs="Times New Roman"/>
          <w:kern w:val="3"/>
          <w:sz w:val="24"/>
          <w:szCs w:val="24"/>
          <w:bdr w:val="nil"/>
          <w:lang w:eastAsia="en-GB"/>
        </w:rPr>
        <w:t xml:space="preserve">would be positive. </w:t>
      </w:r>
      <w:r w:rsidRPr="00B35211">
        <w:rPr>
          <w:rFonts w:ascii="Times New Roman" w:eastAsia="Arial Unicode MS" w:hAnsi="Times New Roman" w:cs="Times New Roman"/>
          <w:kern w:val="3"/>
          <w:sz w:val="24"/>
          <w:szCs w:val="24"/>
          <w:bdr w:val="nil"/>
          <w:lang w:eastAsia="zh-CN"/>
        </w:rPr>
        <w:t xml:space="preserve"> </w:t>
      </w:r>
    </w:p>
    <w:p w:rsidR="009D59CB" w:rsidRDefault="009D59CB">
      <w:pPr>
        <w:rPr>
          <w:rFonts w:ascii="Times New Roman" w:eastAsia="Times New Roman" w:hAnsi="Times New Roman" w:cs="Times New Roman"/>
          <w:b/>
          <w:sz w:val="24"/>
          <w:szCs w:val="26"/>
          <w:u w:val="single"/>
          <w:lang w:eastAsia="en-GB"/>
        </w:rPr>
      </w:pPr>
      <w:r>
        <w:rPr>
          <w:rFonts w:ascii="Times New Roman" w:eastAsia="Times New Roman" w:hAnsi="Times New Roman" w:cs="Times New Roman"/>
          <w:b/>
          <w:sz w:val="24"/>
          <w:szCs w:val="26"/>
          <w:u w:val="single"/>
          <w:lang w:eastAsia="en-GB"/>
        </w:rPr>
        <w:br w:type="page"/>
      </w:r>
    </w:p>
    <w:p w:rsidR="00083CE6" w:rsidRPr="00EF4BBE" w:rsidRDefault="00083CE6" w:rsidP="00083CE6">
      <w:pPr>
        <w:pBdr>
          <w:top w:val="nil"/>
          <w:left w:val="nil"/>
          <w:bottom w:val="nil"/>
          <w:right w:val="nil"/>
          <w:between w:val="nil"/>
          <w:bar w:val="nil"/>
        </w:pBdr>
        <w:spacing w:after="120" w:line="240" w:lineRule="auto"/>
        <w:jc w:val="both"/>
        <w:rPr>
          <w:rFonts w:ascii="Times New Roman" w:eastAsia="Times New Roman" w:hAnsi="Times New Roman" w:cs="Times New Roman"/>
          <w:b/>
          <w:sz w:val="24"/>
          <w:szCs w:val="26"/>
          <w:u w:val="single"/>
          <w:lang w:eastAsia="en-GB"/>
        </w:rPr>
      </w:pPr>
      <w:r w:rsidRPr="00EF4BBE">
        <w:rPr>
          <w:rFonts w:ascii="Times New Roman" w:eastAsia="Times New Roman" w:hAnsi="Times New Roman" w:cs="Times New Roman"/>
          <w:b/>
          <w:sz w:val="24"/>
          <w:szCs w:val="26"/>
          <w:u w:val="single"/>
          <w:lang w:eastAsia="en-GB"/>
        </w:rPr>
        <w:t>Option 3 – Mandatory exception applicable to public interest research organisations covering text and data mining for the purposes of both non-commercial and commercial scientific research</w:t>
      </w:r>
    </w:p>
    <w:p w:rsidR="00083CE6" w:rsidRPr="00C32C45" w:rsidRDefault="00083CE6" w:rsidP="00083CE6">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083CE6" w:rsidRPr="00AA2C4A" w:rsidRDefault="00083CE6" w:rsidP="00083CE6">
      <w:pPr>
        <w:pStyle w:val="Text1"/>
        <w:ind w:left="0"/>
        <w:rPr>
          <w:rFonts w:eastAsia="Arial Unicode MS"/>
          <w:b/>
          <w:kern w:val="3"/>
          <w:szCs w:val="24"/>
          <w:bdr w:val="nil"/>
        </w:rPr>
      </w:pPr>
      <w:r w:rsidRPr="00AA2C4A">
        <w:rPr>
          <w:rFonts w:eastAsia="Arial Unicode MS"/>
          <w:b/>
          <w:kern w:val="3"/>
          <w:szCs w:val="24"/>
          <w:bdr w:val="nil"/>
        </w:rPr>
        <w:t>Researchers</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AA2C4A">
        <w:rPr>
          <w:rFonts w:ascii="Times New Roman" w:eastAsia="Arial Unicode MS" w:hAnsi="Times New Roman" w:cs="Times New Roman"/>
          <w:kern w:val="3"/>
          <w:sz w:val="24"/>
          <w:szCs w:val="24"/>
          <w:u w:val="single"/>
          <w:bdr w:val="nil"/>
          <w:lang w:eastAsia="en-GB"/>
        </w:rPr>
        <w:t xml:space="preserve">Impact on legal certainty and </w:t>
      </w:r>
      <w:r w:rsidRPr="00123CFF">
        <w:rPr>
          <w:rFonts w:ascii="Times New Roman" w:eastAsia="Arial Unicode MS" w:hAnsi="Times New Roman" w:cs="Times New Roman"/>
          <w:kern w:val="3"/>
          <w:sz w:val="24"/>
          <w:szCs w:val="24"/>
          <w:u w:val="single"/>
          <w:bdr w:val="nil"/>
          <w:lang w:eastAsia="en-GB"/>
        </w:rPr>
        <w:t>transaction</w:t>
      </w:r>
      <w:r w:rsidRPr="00AA2C4A">
        <w:rPr>
          <w:rFonts w:ascii="Times New Roman" w:eastAsia="Arial Unicode MS" w:hAnsi="Times New Roman" w:cs="Times New Roman"/>
          <w:kern w:val="3"/>
          <w:sz w:val="24"/>
          <w:szCs w:val="24"/>
          <w:u w:val="single"/>
          <w:bdr w:val="nil"/>
          <w:lang w:eastAsia="en-GB"/>
        </w:rPr>
        <w:t xml:space="preserve"> costs</w:t>
      </w:r>
      <w:r w:rsidRPr="00AA2C4A">
        <w:rPr>
          <w:rFonts w:ascii="Times New Roman" w:eastAsia="Arial Unicode MS" w:hAnsi="Times New Roman" w:cs="Times New Roman"/>
          <w:i/>
          <w:kern w:val="3"/>
          <w:sz w:val="24"/>
          <w:szCs w:val="24"/>
          <w:bdr w:val="nil"/>
          <w:lang w:eastAsia="en-GB"/>
        </w:rPr>
        <w:t xml:space="preserve">: </w:t>
      </w:r>
      <w:r w:rsidRPr="00AA2C4A">
        <w:rPr>
          <w:rFonts w:ascii="Times New Roman" w:eastAsia="Arial Unicode MS" w:hAnsi="Times New Roman" w:cs="Times New Roman"/>
          <w:kern w:val="3"/>
          <w:sz w:val="24"/>
          <w:szCs w:val="24"/>
          <w:bdr w:val="nil"/>
          <w:lang w:eastAsia="en-GB"/>
        </w:rPr>
        <w:t>Similar positive impact as under Option 2 as regards both legal certainty and reduction</w:t>
      </w:r>
      <w:r>
        <w:rPr>
          <w:rFonts w:ascii="Times New Roman" w:eastAsia="Arial Unicode MS" w:hAnsi="Times New Roman" w:cs="Times New Roman"/>
          <w:kern w:val="3"/>
          <w:sz w:val="24"/>
          <w:szCs w:val="24"/>
          <w:bdr w:val="nil"/>
          <w:lang w:eastAsia="en-GB"/>
        </w:rPr>
        <w:t xml:space="preserve"> of transaction cost</w:t>
      </w:r>
      <w:r w:rsidRPr="00AA2C4A">
        <w:rPr>
          <w:rFonts w:ascii="Times New Roman" w:eastAsia="Arial Unicode MS" w:hAnsi="Times New Roman" w:cs="Times New Roman"/>
          <w:kern w:val="3"/>
          <w:sz w:val="24"/>
          <w:szCs w:val="24"/>
          <w:bdr w:val="nil"/>
          <w:lang w:eastAsia="en-GB"/>
        </w:rPr>
        <w:t>s</w:t>
      </w:r>
      <w:r>
        <w:rPr>
          <w:rFonts w:ascii="Times New Roman" w:eastAsia="Arial Unicode MS" w:hAnsi="Times New Roman" w:cs="Times New Roman"/>
          <w:kern w:val="3"/>
          <w:sz w:val="24"/>
          <w:szCs w:val="24"/>
          <w:bdr w:val="nil"/>
          <w:lang w:eastAsia="en-GB"/>
        </w:rPr>
        <w:t>,</w:t>
      </w:r>
      <w:r w:rsidRPr="00AA2C4A">
        <w:rPr>
          <w:rFonts w:ascii="Times New Roman" w:eastAsia="Arial Unicode MS" w:hAnsi="Times New Roman" w:cs="Times New Roman"/>
          <w:kern w:val="3"/>
          <w:sz w:val="24"/>
          <w:szCs w:val="24"/>
          <w:bdr w:val="nil"/>
          <w:lang w:eastAsia="en-GB"/>
        </w:rPr>
        <w:t xml:space="preserve"> as a </w:t>
      </w:r>
      <w:r>
        <w:rPr>
          <w:rFonts w:ascii="Times New Roman" w:eastAsia="Arial Unicode MS" w:hAnsi="Times New Roman" w:cs="Times New Roman"/>
          <w:kern w:val="3"/>
          <w:sz w:val="24"/>
          <w:szCs w:val="24"/>
          <w:bdr w:val="nil"/>
          <w:lang w:eastAsia="en-GB"/>
        </w:rPr>
        <w:t xml:space="preserve">result </w:t>
      </w:r>
      <w:r w:rsidRPr="00AA2C4A">
        <w:rPr>
          <w:rFonts w:ascii="Times New Roman" w:eastAsia="Arial Unicode MS" w:hAnsi="Times New Roman" w:cs="Times New Roman"/>
          <w:kern w:val="3"/>
          <w:sz w:val="24"/>
          <w:szCs w:val="24"/>
          <w:bdr w:val="nil"/>
          <w:lang w:eastAsia="en-GB"/>
        </w:rPr>
        <w:t xml:space="preserve">of the introduction of an exception harmonised at EU level. Additional positive impact as this option would remove the legal uncertainty and the grey area as regards </w:t>
      </w:r>
      <w:r>
        <w:rPr>
          <w:rFonts w:ascii="Times New Roman" w:eastAsia="Arial Unicode MS" w:hAnsi="Times New Roman" w:cs="Times New Roman"/>
          <w:kern w:val="3"/>
          <w:sz w:val="24"/>
          <w:szCs w:val="24"/>
          <w:bdr w:val="nil"/>
          <w:lang w:eastAsia="en-GB"/>
        </w:rPr>
        <w:t xml:space="preserve">the </w:t>
      </w:r>
      <w:r w:rsidRPr="00AA2C4A">
        <w:rPr>
          <w:rFonts w:ascii="Times New Roman" w:eastAsia="Arial Unicode MS" w:hAnsi="Times New Roman" w:cs="Times New Roman"/>
          <w:kern w:val="3"/>
          <w:sz w:val="24"/>
          <w:szCs w:val="24"/>
          <w:bdr w:val="nil"/>
          <w:lang w:eastAsia="en-GB"/>
        </w:rPr>
        <w:t>research projects carried out by public organisations with a possible commercial outcome</w:t>
      </w:r>
      <w:r>
        <w:rPr>
          <w:rFonts w:ascii="Times New Roman" w:eastAsia="Arial Unicode MS" w:hAnsi="Times New Roman" w:cs="Times New Roman"/>
          <w:kern w:val="3"/>
          <w:sz w:val="24"/>
          <w:szCs w:val="24"/>
          <w:bdr w:val="nil"/>
          <w:lang w:eastAsia="en-GB"/>
        </w:rPr>
        <w:t xml:space="preserve">, including in </w:t>
      </w:r>
      <w:r w:rsidRPr="00AA2C4A">
        <w:rPr>
          <w:rFonts w:ascii="Times New Roman" w:eastAsia="Arial Unicode MS" w:hAnsi="Times New Roman" w:cs="Times New Roman"/>
          <w:kern w:val="3"/>
          <w:sz w:val="24"/>
          <w:szCs w:val="24"/>
          <w:bdr w:val="nil"/>
          <w:lang w:eastAsia="en-GB"/>
        </w:rPr>
        <w:t xml:space="preserve">cooperation </w:t>
      </w:r>
      <w:r>
        <w:rPr>
          <w:rFonts w:ascii="Times New Roman" w:eastAsia="Arial Unicode MS" w:hAnsi="Times New Roman" w:cs="Times New Roman"/>
          <w:kern w:val="3"/>
          <w:sz w:val="24"/>
          <w:szCs w:val="24"/>
          <w:bdr w:val="nil"/>
          <w:lang w:eastAsia="en-GB"/>
        </w:rPr>
        <w:t xml:space="preserve">of </w:t>
      </w:r>
      <w:r w:rsidRPr="00AA2C4A">
        <w:rPr>
          <w:rFonts w:ascii="Times New Roman" w:eastAsia="Arial Unicode MS" w:hAnsi="Times New Roman" w:cs="Times New Roman"/>
          <w:kern w:val="3"/>
          <w:sz w:val="24"/>
          <w:szCs w:val="24"/>
          <w:bdr w:val="nil"/>
          <w:lang w:eastAsia="en-GB"/>
        </w:rPr>
        <w:t xml:space="preserve">these organisations </w:t>
      </w:r>
      <w:r>
        <w:rPr>
          <w:rFonts w:ascii="Times New Roman" w:eastAsia="Arial Unicode MS" w:hAnsi="Times New Roman" w:cs="Times New Roman"/>
          <w:kern w:val="3"/>
          <w:sz w:val="24"/>
          <w:szCs w:val="24"/>
          <w:bdr w:val="nil"/>
          <w:lang w:eastAsia="en-GB"/>
        </w:rPr>
        <w:t>with</w:t>
      </w:r>
      <w:r w:rsidRPr="00AA2C4A">
        <w:rPr>
          <w:rFonts w:ascii="Times New Roman" w:eastAsia="Arial Unicode MS" w:hAnsi="Times New Roman" w:cs="Times New Roman"/>
          <w:kern w:val="3"/>
          <w:sz w:val="24"/>
          <w:szCs w:val="24"/>
          <w:bdr w:val="nil"/>
          <w:lang w:eastAsia="en-GB"/>
        </w:rPr>
        <w:t xml:space="preserve"> private partners </w:t>
      </w:r>
      <w:r>
        <w:rPr>
          <w:rFonts w:ascii="Times New Roman" w:eastAsia="Arial Unicode MS" w:hAnsi="Times New Roman" w:cs="Times New Roman"/>
          <w:kern w:val="3"/>
          <w:sz w:val="24"/>
          <w:szCs w:val="24"/>
          <w:bdr w:val="nil"/>
          <w:lang w:eastAsia="en-GB"/>
        </w:rPr>
        <w:t>(</w:t>
      </w:r>
      <w:r w:rsidRPr="00AA2C4A">
        <w:rPr>
          <w:rFonts w:ascii="Times New Roman" w:eastAsia="Arial Unicode MS" w:hAnsi="Times New Roman" w:cs="Times New Roman"/>
          <w:kern w:val="3"/>
          <w:sz w:val="24"/>
          <w:szCs w:val="24"/>
          <w:bdr w:val="nil"/>
          <w:lang w:eastAsia="en-GB"/>
        </w:rPr>
        <w:t>PPPs</w:t>
      </w:r>
      <w:r>
        <w:rPr>
          <w:rFonts w:ascii="Times New Roman" w:eastAsia="Arial Unicode MS" w:hAnsi="Times New Roman" w:cs="Times New Roman"/>
          <w:kern w:val="3"/>
          <w:sz w:val="24"/>
          <w:szCs w:val="24"/>
          <w:bdr w:val="nil"/>
          <w:lang w:eastAsia="en-GB"/>
        </w:rPr>
        <w:t>)</w:t>
      </w:r>
      <w:r w:rsidRPr="00AA2C4A">
        <w:rPr>
          <w:rFonts w:ascii="Times New Roman" w:eastAsia="Arial Unicode MS" w:hAnsi="Times New Roman" w:cs="Times New Roman"/>
          <w:kern w:val="3"/>
          <w:sz w:val="24"/>
          <w:szCs w:val="24"/>
          <w:bdr w:val="nil"/>
          <w:lang w:eastAsia="en-GB"/>
        </w:rPr>
        <w:t>.</w:t>
      </w:r>
    </w:p>
    <w:p w:rsidR="00083CE6" w:rsidRPr="00AA2C4A" w:rsidRDefault="00083CE6" w:rsidP="00083CE6">
      <w:pPr>
        <w:pStyle w:val="Text1"/>
        <w:ind w:left="0"/>
        <w:rPr>
          <w:rFonts w:eastAsia="Arial Unicode MS"/>
          <w:b/>
          <w:kern w:val="3"/>
          <w:szCs w:val="24"/>
          <w:bdr w:val="nil"/>
          <w:lang w:eastAsia="zh-CN"/>
        </w:rPr>
      </w:pPr>
      <w:r w:rsidRPr="00E720C4">
        <w:rPr>
          <w:rFonts w:eastAsia="Arial Unicode MS"/>
          <w:b/>
          <w:kern w:val="3"/>
          <w:szCs w:val="24"/>
          <w:bdr w:val="nil"/>
          <w:lang w:eastAsia="zh-CN"/>
        </w:rPr>
        <w:t xml:space="preserve">Corporate </w:t>
      </w:r>
      <w:r w:rsidRPr="00E720C4">
        <w:rPr>
          <w:rFonts w:eastAsia="Arial Unicode MS"/>
          <w:b/>
          <w:kern w:val="3"/>
          <w:szCs w:val="24"/>
          <w:bdr w:val="nil"/>
        </w:rPr>
        <w:t>research</w:t>
      </w:r>
      <w:r w:rsidRPr="00E720C4">
        <w:rPr>
          <w:rFonts w:eastAsia="Arial Unicode MS"/>
          <w:b/>
          <w:kern w:val="3"/>
          <w:szCs w:val="24"/>
          <w:bdr w:val="nil"/>
          <w:lang w:eastAsia="zh-CN"/>
        </w:rPr>
        <w:t xml:space="preserve"> users</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Pr>
          <w:rFonts w:ascii="Times New Roman" w:eastAsia="Arial Unicode MS" w:hAnsi="Times New Roman" w:cs="Times New Roman"/>
          <w:kern w:val="3"/>
          <w:sz w:val="24"/>
          <w:szCs w:val="24"/>
          <w:bdr w:val="nil"/>
          <w:lang w:eastAsia="en-GB"/>
        </w:rPr>
        <w:t xml:space="preserve">Commercial companies are not among the beneficiaries of the exception under this option. They have generally not asked EU intervention in this area as a B2B </w:t>
      </w:r>
      <w:r w:rsidR="006D21E9">
        <w:rPr>
          <w:rFonts w:ascii="Times New Roman" w:eastAsia="Arial Unicode MS" w:hAnsi="Times New Roman" w:cs="Times New Roman"/>
          <w:kern w:val="3"/>
          <w:sz w:val="24"/>
          <w:szCs w:val="24"/>
          <w:bdr w:val="nil"/>
          <w:lang w:eastAsia="en-GB"/>
        </w:rPr>
        <w:t>licensing</w:t>
      </w:r>
      <w:r>
        <w:rPr>
          <w:rFonts w:ascii="Times New Roman" w:eastAsia="Arial Unicode MS" w:hAnsi="Times New Roman" w:cs="Times New Roman"/>
          <w:kern w:val="3"/>
          <w:sz w:val="24"/>
          <w:szCs w:val="24"/>
          <w:bdr w:val="nil"/>
          <w:lang w:eastAsia="en-GB"/>
        </w:rPr>
        <w:t xml:space="preserve"> market exist</w:t>
      </w:r>
      <w:r w:rsidR="00E74375">
        <w:rPr>
          <w:rFonts w:ascii="Times New Roman" w:eastAsia="Arial Unicode MS" w:hAnsi="Times New Roman" w:cs="Times New Roman"/>
          <w:kern w:val="3"/>
          <w:sz w:val="24"/>
          <w:szCs w:val="24"/>
          <w:bdr w:val="nil"/>
          <w:lang w:eastAsia="en-GB"/>
        </w:rPr>
        <w:t>s</w:t>
      </w:r>
      <w:r>
        <w:rPr>
          <w:rFonts w:ascii="Times New Roman" w:eastAsia="Arial Unicode MS" w:hAnsi="Times New Roman" w:cs="Times New Roman"/>
          <w:kern w:val="3"/>
          <w:sz w:val="24"/>
          <w:szCs w:val="24"/>
          <w:bdr w:val="nil"/>
          <w:lang w:eastAsia="en-GB"/>
        </w:rPr>
        <w:t xml:space="preserve"> (see Option 4). This option is not expected to have a significant indirect impact on these players as their needs in relation to TDM are generally different than those of universities and other public interest research organisations (see Option 4).</w:t>
      </w:r>
    </w:p>
    <w:p w:rsidR="00083CE6" w:rsidRPr="00AA2C4A" w:rsidRDefault="00007677" w:rsidP="00083CE6">
      <w:pPr>
        <w:pStyle w:val="Text1"/>
        <w:ind w:left="0"/>
        <w:rPr>
          <w:rFonts w:eastAsia="Arial Unicode MS"/>
          <w:kern w:val="3"/>
          <w:szCs w:val="24"/>
          <w:u w:val="single"/>
          <w:bdr w:val="nil"/>
          <w:lang w:val="en-US" w:eastAsia="zh-CN"/>
        </w:rPr>
      </w:pPr>
      <w:r>
        <w:rPr>
          <w:rFonts w:eastAsia="Arial Unicode MS"/>
          <w:b/>
          <w:szCs w:val="24"/>
          <w:bdr w:val="nil"/>
          <w:lang w:val="en-US"/>
        </w:rPr>
        <w:t>Rightholders</w:t>
      </w:r>
    </w:p>
    <w:p w:rsidR="00083CE6" w:rsidRDefault="00083CE6" w:rsidP="00083CE6">
      <w:pPr>
        <w:pBdr>
          <w:top w:val="nil"/>
          <w:left w:val="nil"/>
          <w:bottom w:val="nil"/>
          <w:right w:val="nil"/>
          <w:between w:val="nil"/>
          <w:bar w:val="nil"/>
        </w:pBdr>
        <w:suppressAutoHyphens/>
        <w:autoSpaceDN w:val="0"/>
        <w:spacing w:after="120" w:line="240" w:lineRule="auto"/>
        <w:jc w:val="both"/>
        <w:textAlignment w:val="baseline"/>
        <w:rPr>
          <w:rFonts w:ascii="Times New Roman" w:eastAsia="Droid Sans Fallback" w:hAnsi="Times New Roman" w:cs="FreeSans"/>
          <w:kern w:val="3"/>
          <w:sz w:val="24"/>
          <w:szCs w:val="24"/>
          <w:bdr w:val="nil"/>
          <w:lang w:eastAsia="en-GB" w:bidi="hi-IN"/>
        </w:rPr>
      </w:pPr>
      <w:r w:rsidRPr="00AA2C4A">
        <w:rPr>
          <w:rFonts w:ascii="Times New Roman" w:eastAsia="Arial Unicode MS" w:hAnsi="Times New Roman" w:cs="Times New Roman"/>
          <w:kern w:val="3"/>
          <w:sz w:val="24"/>
          <w:szCs w:val="24"/>
          <w:u w:val="single"/>
          <w:bdr w:val="nil"/>
          <w:lang w:eastAsia="en-GB"/>
        </w:rPr>
        <w:t>Impact on TDM licensing market and the revenues thereof</w:t>
      </w:r>
      <w:r w:rsidRPr="00AA2C4A">
        <w:rPr>
          <w:rFonts w:ascii="Times New Roman" w:eastAsia="Arial Unicode MS" w:hAnsi="Times New Roman" w:cs="Times New Roman"/>
          <w:i/>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T</w:t>
      </w:r>
      <w:r w:rsidRPr="00AA2C4A">
        <w:rPr>
          <w:rFonts w:ascii="Times New Roman" w:eastAsia="Arial Unicode MS" w:hAnsi="Times New Roman" w:cs="Times New Roman"/>
          <w:kern w:val="3"/>
          <w:sz w:val="24"/>
          <w:szCs w:val="24"/>
          <w:bdr w:val="nil"/>
          <w:lang w:eastAsia="en-GB"/>
        </w:rPr>
        <w:t xml:space="preserve">he legal technique to define the scope of the exception is different, </w:t>
      </w:r>
      <w:r>
        <w:rPr>
          <w:rFonts w:ascii="Times New Roman" w:eastAsia="Arial Unicode MS" w:hAnsi="Times New Roman" w:cs="Times New Roman"/>
          <w:kern w:val="3"/>
          <w:sz w:val="24"/>
          <w:szCs w:val="24"/>
          <w:bdr w:val="nil"/>
          <w:lang w:eastAsia="en-GB"/>
        </w:rPr>
        <w:t xml:space="preserve">however </w:t>
      </w:r>
      <w:r w:rsidRPr="00AA2C4A">
        <w:rPr>
          <w:rFonts w:ascii="Times New Roman" w:eastAsia="Arial Unicode MS" w:hAnsi="Times New Roman" w:cs="Times New Roman"/>
          <w:kern w:val="3"/>
          <w:sz w:val="24"/>
          <w:szCs w:val="24"/>
          <w:bdr w:val="nil"/>
          <w:lang w:eastAsia="en-GB"/>
        </w:rPr>
        <w:t xml:space="preserve">this option is not expected to have a substantially different impact on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Pr>
          <w:rFonts w:ascii="Times New Roman" w:eastAsia="Arial Unicode MS" w:hAnsi="Times New Roman" w:cs="Times New Roman"/>
          <w:kern w:val="3"/>
          <w:sz w:val="24"/>
          <w:szCs w:val="24"/>
          <w:bdr w:val="nil"/>
          <w:lang w:eastAsia="en-GB"/>
        </w:rPr>
        <w:t xml:space="preserve"> than O</w:t>
      </w:r>
      <w:r w:rsidRPr="00AA2C4A">
        <w:rPr>
          <w:rFonts w:ascii="Times New Roman" w:eastAsia="Arial Unicode MS" w:hAnsi="Times New Roman" w:cs="Times New Roman"/>
          <w:kern w:val="3"/>
          <w:sz w:val="24"/>
          <w:szCs w:val="24"/>
          <w:bdr w:val="nil"/>
          <w:lang w:eastAsia="en-GB"/>
        </w:rPr>
        <w:t xml:space="preserve">ption 2. In particular, the fact that the exception would not be subject to the "non-commercial purposes" condition is compensated by the application of the exception only to research organisations. The mitigating effect of "lawful access" condition would </w:t>
      </w:r>
      <w:r>
        <w:rPr>
          <w:rFonts w:ascii="Times New Roman" w:eastAsia="Arial Unicode MS" w:hAnsi="Times New Roman" w:cs="Times New Roman"/>
          <w:kern w:val="3"/>
          <w:sz w:val="24"/>
          <w:szCs w:val="24"/>
          <w:bdr w:val="nil"/>
          <w:lang w:eastAsia="en-GB"/>
        </w:rPr>
        <w:t>apply</w:t>
      </w:r>
      <w:r w:rsidRPr="00AA2C4A">
        <w:rPr>
          <w:rFonts w:ascii="Times New Roman" w:eastAsia="Arial Unicode MS" w:hAnsi="Times New Roman" w:cs="Times New Roman"/>
          <w:kern w:val="3"/>
          <w:sz w:val="24"/>
          <w:szCs w:val="24"/>
          <w:bdr w:val="nil"/>
          <w:lang w:eastAsia="en-GB"/>
        </w:rPr>
        <w:t xml:space="preserve"> also under this option (see above)</w:t>
      </w:r>
      <w:r>
        <w:rPr>
          <w:rFonts w:ascii="Times New Roman" w:eastAsia="Arial Unicode MS" w:hAnsi="Times New Roman" w:cs="Times New Roman"/>
          <w:kern w:val="3"/>
          <w:sz w:val="24"/>
          <w:szCs w:val="24"/>
          <w:bdr w:val="nil"/>
          <w:lang w:eastAsia="en-GB"/>
        </w:rPr>
        <w:t xml:space="preserve"> and as a result the intervention is not expected to result in significant changes to the publishers' business models, in particular as regards their subscription market</w:t>
      </w:r>
      <w:r w:rsidRPr="00AA2C4A">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L</w:t>
      </w:r>
      <w:r w:rsidRPr="00AA2C4A">
        <w:rPr>
          <w:rFonts w:ascii="Times New Roman" w:eastAsia="Arial Unicode MS" w:hAnsi="Times New Roman" w:cs="Times New Roman"/>
          <w:kern w:val="3"/>
          <w:sz w:val="24"/>
          <w:szCs w:val="24"/>
          <w:bdr w:val="nil"/>
          <w:lang w:eastAsia="en-GB"/>
        </w:rPr>
        <w:t>ike</w:t>
      </w:r>
      <w:r>
        <w:rPr>
          <w:rFonts w:ascii="Times New Roman" w:eastAsia="Arial Unicode MS" w:hAnsi="Times New Roman" w:cs="Times New Roman"/>
          <w:kern w:val="3"/>
          <w:sz w:val="24"/>
          <w:szCs w:val="24"/>
          <w:bdr w:val="nil"/>
          <w:lang w:eastAsia="en-GB"/>
        </w:rPr>
        <w:t xml:space="preserve"> Option 2</w:t>
      </w:r>
      <w:r w:rsidRPr="00AA2C4A">
        <w:rPr>
          <w:rFonts w:ascii="Times New Roman" w:eastAsia="Arial Unicode MS" w:hAnsi="Times New Roman" w:cs="Times New Roman"/>
          <w:kern w:val="3"/>
          <w:sz w:val="24"/>
          <w:szCs w:val="24"/>
          <w:bdr w:val="nil"/>
          <w:lang w:eastAsia="en-GB"/>
        </w:rPr>
        <w:t xml:space="preserve">, this option would leave untouched the purely commercial TDM market which constitutes an important source of </w:t>
      </w:r>
      <w:r w:rsidR="006D21E9">
        <w:rPr>
          <w:rFonts w:ascii="Times New Roman" w:eastAsia="Arial Unicode MS" w:hAnsi="Times New Roman" w:cs="Times New Roman"/>
          <w:kern w:val="3"/>
          <w:sz w:val="24"/>
          <w:szCs w:val="24"/>
          <w:bdr w:val="nil"/>
          <w:lang w:eastAsia="en-GB"/>
        </w:rPr>
        <w:t>licensing</w:t>
      </w:r>
      <w:r w:rsidRPr="00AA2C4A">
        <w:rPr>
          <w:rFonts w:ascii="Times New Roman" w:eastAsia="Arial Unicode MS" w:hAnsi="Times New Roman" w:cs="Times New Roman"/>
          <w:kern w:val="3"/>
          <w:sz w:val="24"/>
          <w:szCs w:val="24"/>
          <w:bdr w:val="nil"/>
          <w:lang w:eastAsia="en-GB"/>
        </w:rPr>
        <w:t xml:space="preserve"> revenues for STM publishers (e</w:t>
      </w:r>
      <w:r>
        <w:rPr>
          <w:rFonts w:ascii="Times New Roman" w:eastAsia="Arial Unicode MS" w:hAnsi="Times New Roman" w:cs="Times New Roman"/>
          <w:kern w:val="3"/>
          <w:sz w:val="24"/>
          <w:szCs w:val="24"/>
          <w:bdr w:val="nil"/>
          <w:lang w:eastAsia="en-GB"/>
        </w:rPr>
        <w:t>.</w:t>
      </w:r>
      <w:r w:rsidRPr="00AA2C4A">
        <w:rPr>
          <w:rFonts w:ascii="Times New Roman" w:eastAsia="Arial Unicode MS" w:hAnsi="Times New Roman" w:cs="Times New Roman"/>
          <w:kern w:val="3"/>
          <w:sz w:val="24"/>
          <w:szCs w:val="24"/>
          <w:bdr w:val="nil"/>
          <w:lang w:eastAsia="en-GB"/>
        </w:rPr>
        <w:t xml:space="preserve">g. licences with life science companies- see </w:t>
      </w:r>
      <w:r>
        <w:rPr>
          <w:rFonts w:ascii="Times New Roman" w:eastAsia="Arial Unicode MS" w:hAnsi="Times New Roman" w:cs="Times New Roman"/>
          <w:kern w:val="3"/>
          <w:sz w:val="24"/>
          <w:szCs w:val="24"/>
          <w:bdr w:val="nil"/>
          <w:lang w:eastAsia="en-GB"/>
        </w:rPr>
        <w:t>O</w:t>
      </w:r>
      <w:r w:rsidRPr="00AA2C4A">
        <w:rPr>
          <w:rFonts w:ascii="Times New Roman" w:eastAsia="Arial Unicode MS" w:hAnsi="Times New Roman" w:cs="Times New Roman"/>
          <w:kern w:val="3"/>
          <w:sz w:val="24"/>
          <w:szCs w:val="24"/>
          <w:bdr w:val="nil"/>
          <w:lang w:eastAsia="en-GB"/>
        </w:rPr>
        <w:t>ption 4)</w:t>
      </w:r>
      <w:r w:rsidRPr="00AA2C4A">
        <w:rPr>
          <w:rFonts w:ascii="Times New Roman" w:eastAsia="Droid Sans Fallback" w:hAnsi="Times New Roman" w:cs="FreeSans"/>
          <w:kern w:val="3"/>
          <w:sz w:val="24"/>
          <w:szCs w:val="24"/>
          <w:bdr w:val="nil"/>
          <w:lang w:eastAsia="en-GB" w:bidi="hi-IN"/>
        </w:rPr>
        <w:t xml:space="preserve">. </w:t>
      </w:r>
    </w:p>
    <w:p w:rsidR="00083CE6" w:rsidRPr="00AA2C4A"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AA2C4A">
        <w:rPr>
          <w:rFonts w:ascii="Times New Roman" w:eastAsia="Arial Unicode MS" w:hAnsi="Times New Roman" w:cs="Times New Roman"/>
          <w:kern w:val="3"/>
          <w:sz w:val="24"/>
          <w:szCs w:val="24"/>
          <w:u w:val="single"/>
          <w:bdr w:val="nil"/>
          <w:lang w:eastAsia="en-GB"/>
        </w:rPr>
        <w:t xml:space="preserve">Impact on </w:t>
      </w:r>
      <w:r w:rsidRPr="00AA2C4A">
        <w:rPr>
          <w:rFonts w:ascii="Times New Roman" w:eastAsia="Arial Unicode MS" w:hAnsi="Times New Roman" w:cs="Times New Roman"/>
          <w:sz w:val="24"/>
          <w:szCs w:val="20"/>
          <w:u w:val="single"/>
          <w:bdr w:val="nil"/>
          <w:lang w:eastAsia="en-GB"/>
        </w:rPr>
        <w:t>t</w:t>
      </w:r>
      <w:r w:rsidRPr="00AA2C4A">
        <w:rPr>
          <w:rFonts w:ascii="Times New Roman" w:eastAsia="Arial Unicode MS" w:hAnsi="Times New Roman" w:cs="Times New Roman"/>
          <w:sz w:val="24"/>
          <w:szCs w:val="20"/>
          <w:u w:val="single"/>
          <w:bdr w:val="nil"/>
          <w:lang w:val="en-US" w:eastAsia="en-GB"/>
        </w:rPr>
        <w:t>he protection of their content</w:t>
      </w:r>
      <w:r w:rsidRPr="00AA2C4A">
        <w:rPr>
          <w:rFonts w:ascii="Times New Roman" w:eastAsia="Arial Unicode MS" w:hAnsi="Times New Roman" w:cs="Times New Roman"/>
          <w:i/>
          <w:sz w:val="24"/>
          <w:szCs w:val="20"/>
          <w:bdr w:val="nil"/>
          <w:lang w:val="en-US" w:eastAsia="en-GB"/>
        </w:rPr>
        <w:t xml:space="preserve">: </w:t>
      </w:r>
      <w:r>
        <w:rPr>
          <w:rFonts w:ascii="Times New Roman" w:eastAsia="Arial Unicode MS" w:hAnsi="Times New Roman" w:cs="Times New Roman"/>
          <w:sz w:val="24"/>
          <w:szCs w:val="20"/>
          <w:bdr w:val="nil"/>
          <w:lang w:val="en-US" w:eastAsia="en-GB"/>
        </w:rPr>
        <w:t>S</w:t>
      </w:r>
      <w:r w:rsidRPr="00AA2C4A">
        <w:rPr>
          <w:rFonts w:ascii="Times New Roman" w:eastAsia="Arial Unicode MS" w:hAnsi="Times New Roman" w:cs="Times New Roman"/>
          <w:sz w:val="24"/>
          <w:szCs w:val="20"/>
          <w:bdr w:val="nil"/>
          <w:lang w:val="en-US" w:eastAsia="en-GB"/>
        </w:rPr>
        <w:t>imilar to Option 2.</w:t>
      </w:r>
    </w:p>
    <w:p w:rsidR="00083CE6" w:rsidRDefault="00083CE6" w:rsidP="00083CE6">
      <w:pPr>
        <w:pStyle w:val="Text1"/>
        <w:ind w:left="0"/>
        <w:rPr>
          <w:rFonts w:eastAsia="Arial Unicode MS"/>
          <w:b/>
          <w:kern w:val="3"/>
          <w:szCs w:val="24"/>
          <w:bdr w:val="nil"/>
        </w:rPr>
      </w:pPr>
      <w:r w:rsidRPr="00C32C45">
        <w:rPr>
          <w:rFonts w:ascii="Times New Roman Bold" w:eastAsia="Arial Unicode MS" w:hAnsi="Times New Roman Bold"/>
          <w:b/>
          <w:smallCaps/>
          <w:kern w:val="3"/>
          <w:szCs w:val="24"/>
          <w:bdr w:val="nil"/>
        </w:rPr>
        <w:t xml:space="preserve">Social </w:t>
      </w:r>
      <w:r w:rsidRPr="00D742CB">
        <w:rPr>
          <w:rFonts w:ascii="Times New Roman Bold" w:eastAsia="Arial Unicode MS" w:hAnsi="Times New Roman Bold"/>
          <w:b/>
          <w:smallCaps/>
          <w:szCs w:val="24"/>
          <w:bdr w:val="nil"/>
        </w:rPr>
        <w:t>impacts</w:t>
      </w:r>
    </w:p>
    <w:p w:rsidR="00083CE6" w:rsidRPr="00C32C45"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sz w:val="24"/>
          <w:szCs w:val="24"/>
          <w:bdr w:val="none" w:sz="0" w:space="0" w:color="auto" w:frame="1"/>
          <w:lang w:val="en-US" w:eastAsia="en-GB"/>
        </w:rPr>
      </w:pPr>
      <w:r w:rsidRPr="00C32C45">
        <w:rPr>
          <w:rFonts w:ascii="Times New Roman" w:eastAsia="Arial Unicode MS" w:hAnsi="Times New Roman" w:cs="Times New Roman"/>
          <w:kern w:val="3"/>
          <w:sz w:val="24"/>
          <w:szCs w:val="24"/>
          <w:bdr w:val="nil"/>
          <w:lang w:eastAsia="en-GB"/>
        </w:rPr>
        <w:t xml:space="preserve">Similar or </w:t>
      </w:r>
      <w:r>
        <w:rPr>
          <w:rFonts w:ascii="Times New Roman" w:eastAsia="Arial Unicode MS" w:hAnsi="Times New Roman" w:cs="Times New Roman"/>
          <w:kern w:val="3"/>
          <w:sz w:val="24"/>
          <w:szCs w:val="24"/>
          <w:bdr w:val="nil"/>
          <w:lang w:eastAsia="en-GB"/>
        </w:rPr>
        <w:t xml:space="preserve">larger positive impacts than under Option 2 because of increased legal certainty for researchers under this option. </w:t>
      </w:r>
    </w:p>
    <w:p w:rsidR="00083CE6" w:rsidRDefault="00083CE6" w:rsidP="00083CE6">
      <w:pPr>
        <w:pStyle w:val="Text1"/>
        <w:ind w:left="0"/>
        <w:rPr>
          <w:rFonts w:eastAsia="Arial Unicode MS"/>
          <w:b/>
          <w:kern w:val="3"/>
          <w:szCs w:val="24"/>
          <w:bdr w:val="nil"/>
        </w:rPr>
      </w:pPr>
      <w:r>
        <w:rPr>
          <w:rFonts w:ascii="Times New Roman Bold" w:eastAsia="Arial Unicode MS" w:hAnsi="Times New Roman Bold"/>
          <w:b/>
          <w:smallCaps/>
          <w:kern w:val="3"/>
          <w:szCs w:val="24"/>
          <w:bdr w:val="nil"/>
        </w:rPr>
        <w:t xml:space="preserve">Impacts on </w:t>
      </w:r>
      <w:r w:rsidRPr="00D742CB">
        <w:rPr>
          <w:rFonts w:ascii="Times New Roman Bold" w:eastAsia="Arial Unicode MS" w:hAnsi="Times New Roman Bold"/>
          <w:b/>
          <w:smallCaps/>
          <w:szCs w:val="24"/>
          <w:bdr w:val="nil"/>
        </w:rPr>
        <w:t>fundamental</w:t>
      </w:r>
      <w:r w:rsidRPr="00C32C45">
        <w:rPr>
          <w:rFonts w:ascii="Times New Roman Bold" w:eastAsia="Arial Unicode MS" w:hAnsi="Times New Roman Bold"/>
          <w:b/>
          <w:smallCaps/>
          <w:kern w:val="3"/>
          <w:szCs w:val="24"/>
          <w:bdr w:val="nil"/>
        </w:rPr>
        <w:t xml:space="preserve"> rights</w:t>
      </w:r>
    </w:p>
    <w:p w:rsidR="00083CE6"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AA2C4A">
        <w:rPr>
          <w:rFonts w:ascii="Times New Roman" w:eastAsia="Arial Unicode MS" w:hAnsi="Times New Roman" w:cs="Times New Roman"/>
          <w:kern w:val="3"/>
          <w:sz w:val="24"/>
          <w:szCs w:val="24"/>
          <w:bdr w:val="nil"/>
          <w:lang w:eastAsia="en-GB"/>
        </w:rPr>
        <w:t>Increased impact on copyright since the present option is not limited to non-commercial purposes. However, the impact is mitigated by the “lawful access” condition and the fact that the beneficiaries would not include commercial operators.</w:t>
      </w:r>
      <w:r>
        <w:rPr>
          <w:rFonts w:ascii="Times New Roman" w:eastAsia="Arial Unicode MS" w:hAnsi="Times New Roman" w:cs="Times New Roman"/>
          <w:kern w:val="3"/>
          <w:sz w:val="24"/>
          <w:szCs w:val="24"/>
          <w:bdr w:val="nil"/>
          <w:lang w:eastAsia="en-GB"/>
        </w:rPr>
        <w:t xml:space="preserve"> In all the current balance between right</w:t>
      </w:r>
      <w:r w:rsidR="001620B3">
        <w:rPr>
          <w:rFonts w:ascii="Times New Roman" w:eastAsia="Arial Unicode MS" w:hAnsi="Times New Roman" w:cs="Times New Roman"/>
          <w:kern w:val="3"/>
          <w:sz w:val="24"/>
          <w:szCs w:val="24"/>
          <w:bdr w:val="nil"/>
          <w:lang w:eastAsia="en-GB"/>
        </w:rPr>
        <w:t>s</w:t>
      </w:r>
      <w:r>
        <w:rPr>
          <w:rFonts w:ascii="Times New Roman" w:eastAsia="Arial Unicode MS" w:hAnsi="Times New Roman" w:cs="Times New Roman"/>
          <w:kern w:val="3"/>
          <w:sz w:val="24"/>
          <w:szCs w:val="24"/>
          <w:bdr w:val="nil"/>
          <w:lang w:eastAsia="en-GB"/>
        </w:rPr>
        <w:t xml:space="preserve"> and exception</w:t>
      </w:r>
      <w:r w:rsidR="001620B3">
        <w:rPr>
          <w:rFonts w:ascii="Times New Roman" w:eastAsia="Arial Unicode MS" w:hAnsi="Times New Roman" w:cs="Times New Roman"/>
          <w:kern w:val="3"/>
          <w:sz w:val="24"/>
          <w:szCs w:val="24"/>
          <w:bdr w:val="nil"/>
          <w:lang w:eastAsia="en-GB"/>
        </w:rPr>
        <w:t>s</w:t>
      </w:r>
      <w:r>
        <w:rPr>
          <w:rFonts w:ascii="Times New Roman" w:eastAsia="Arial Unicode MS" w:hAnsi="Times New Roman" w:cs="Times New Roman"/>
          <w:kern w:val="3"/>
          <w:sz w:val="24"/>
          <w:szCs w:val="24"/>
          <w:bdr w:val="nil"/>
          <w:lang w:eastAsia="en-GB"/>
        </w:rPr>
        <w:t xml:space="preserve"> in the area of research is only going to be altered in the margins by this option.</w:t>
      </w:r>
      <w:r w:rsidRPr="00AA2C4A">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On the other hand this option would have an incremental p</w:t>
      </w:r>
      <w:r w:rsidRPr="00AA2C4A">
        <w:rPr>
          <w:rFonts w:ascii="Times New Roman" w:eastAsia="Arial Unicode MS" w:hAnsi="Times New Roman" w:cs="Times New Roman"/>
          <w:kern w:val="3"/>
          <w:sz w:val="24"/>
          <w:szCs w:val="24"/>
          <w:bdr w:val="nil"/>
          <w:lang w:eastAsia="en-GB"/>
        </w:rPr>
        <w:t xml:space="preserve">ositive impact on the freedom of art and science. </w:t>
      </w:r>
    </w:p>
    <w:p w:rsidR="009D59CB" w:rsidRDefault="009D59CB">
      <w:pPr>
        <w:rPr>
          <w:rFonts w:ascii="Times New Roman" w:eastAsia="Times New Roman" w:hAnsi="Times New Roman" w:cs="Times New Roman"/>
          <w:b/>
          <w:sz w:val="24"/>
          <w:szCs w:val="26"/>
          <w:u w:val="single"/>
          <w:lang w:eastAsia="en-GB"/>
        </w:rPr>
      </w:pPr>
      <w:bookmarkStart w:id="93" w:name="_Toc454351333"/>
      <w:r>
        <w:rPr>
          <w:rFonts w:ascii="Times New Roman" w:eastAsia="Times New Roman" w:hAnsi="Times New Roman" w:cs="Times New Roman"/>
          <w:b/>
          <w:sz w:val="24"/>
          <w:szCs w:val="26"/>
          <w:u w:val="single"/>
          <w:lang w:eastAsia="en-GB"/>
        </w:rPr>
        <w:br w:type="page"/>
      </w:r>
    </w:p>
    <w:p w:rsidR="00083CE6" w:rsidRPr="00D742CB" w:rsidRDefault="00083CE6" w:rsidP="00083CE6">
      <w:pPr>
        <w:pBdr>
          <w:top w:val="nil"/>
          <w:left w:val="nil"/>
          <w:bottom w:val="nil"/>
          <w:right w:val="nil"/>
          <w:between w:val="nil"/>
          <w:bar w:val="nil"/>
        </w:pBdr>
        <w:spacing w:after="120" w:line="240" w:lineRule="auto"/>
        <w:jc w:val="both"/>
        <w:rPr>
          <w:rFonts w:ascii="Times New Roman" w:eastAsia="Times New Roman" w:hAnsi="Times New Roman" w:cs="Times New Roman"/>
          <w:b/>
          <w:sz w:val="24"/>
          <w:szCs w:val="26"/>
          <w:u w:val="single"/>
          <w:lang w:eastAsia="en-GB"/>
        </w:rPr>
      </w:pPr>
      <w:r w:rsidRPr="00D742CB">
        <w:rPr>
          <w:rFonts w:ascii="Times New Roman" w:eastAsia="Times New Roman" w:hAnsi="Times New Roman" w:cs="Times New Roman"/>
          <w:b/>
          <w:sz w:val="24"/>
          <w:szCs w:val="26"/>
          <w:u w:val="single"/>
          <w:lang w:eastAsia="en-GB"/>
        </w:rPr>
        <w:t>Option 4</w:t>
      </w:r>
      <w:r>
        <w:rPr>
          <w:rFonts w:ascii="Times New Roman" w:eastAsia="Times New Roman" w:hAnsi="Times New Roman" w:cs="Times New Roman"/>
          <w:b/>
          <w:sz w:val="24"/>
          <w:szCs w:val="26"/>
          <w:u w:val="single"/>
          <w:lang w:eastAsia="en-GB"/>
        </w:rPr>
        <w:t xml:space="preserve"> – Mandatory </w:t>
      </w:r>
      <w:r w:rsidRPr="00D742CB">
        <w:rPr>
          <w:rFonts w:ascii="Times New Roman" w:eastAsia="Times New Roman" w:hAnsi="Times New Roman" w:cs="Times New Roman"/>
          <w:b/>
          <w:sz w:val="24"/>
          <w:szCs w:val="26"/>
          <w:u w:val="single"/>
          <w:lang w:eastAsia="en-GB"/>
        </w:rPr>
        <w:t>exception covering applicable to anybody who has lawful access (including both public interest research organisations and businesses) covering text and data mining for non-commercial and commercial scientific research purposes.</w:t>
      </w:r>
      <w:bookmarkEnd w:id="93"/>
    </w:p>
    <w:p w:rsidR="00083CE6" w:rsidRDefault="00083CE6" w:rsidP="00083CE6">
      <w:pPr>
        <w:pStyle w:val="Text1"/>
        <w:ind w:left="0"/>
        <w:rPr>
          <w:rFonts w:ascii="Times New Roman Bold" w:eastAsia="Arial Unicode MS" w:hAnsi="Times New Roman Bold" w:hint="eastAsia"/>
          <w:b/>
          <w:smallCaps/>
          <w:szCs w:val="24"/>
          <w:bdr w:val="nil"/>
        </w:rPr>
      </w:pPr>
      <w:r w:rsidRPr="001413D3">
        <w:rPr>
          <w:rFonts w:ascii="Times New Roman Bold" w:eastAsia="Arial Unicode MS" w:hAnsi="Times New Roman Bold"/>
          <w:b/>
          <w:smallCaps/>
          <w:szCs w:val="24"/>
          <w:bdr w:val="nil"/>
        </w:rPr>
        <w:t>Impacts on stakeholders</w:t>
      </w:r>
    </w:p>
    <w:p w:rsidR="00083CE6" w:rsidRPr="00AA2C4A" w:rsidRDefault="00083CE6" w:rsidP="00083CE6">
      <w:pPr>
        <w:pStyle w:val="Text1"/>
        <w:ind w:left="0"/>
        <w:rPr>
          <w:rFonts w:eastAsia="Arial Unicode MS"/>
          <w:b/>
          <w:kern w:val="3"/>
          <w:szCs w:val="24"/>
          <w:bdr w:val="nil"/>
          <w:lang w:eastAsia="zh-CN"/>
        </w:rPr>
      </w:pPr>
      <w:r w:rsidRPr="00AA2C4A">
        <w:rPr>
          <w:rFonts w:eastAsia="Arial Unicode MS"/>
          <w:b/>
          <w:kern w:val="3"/>
          <w:szCs w:val="24"/>
          <w:bdr w:val="nil"/>
        </w:rPr>
        <w:t>Researchers</w:t>
      </w:r>
    </w:p>
    <w:p w:rsidR="00083CE6" w:rsidRPr="00AA2C4A"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kern w:val="3"/>
          <w:sz w:val="24"/>
          <w:szCs w:val="24"/>
          <w:bdr w:val="nil"/>
          <w:lang w:eastAsia="en-GB"/>
        </w:rPr>
      </w:pPr>
      <w:r w:rsidRPr="00AA2C4A">
        <w:rPr>
          <w:rFonts w:ascii="Times New Roman" w:eastAsia="Arial Unicode MS" w:hAnsi="Times New Roman" w:cs="Times New Roman"/>
          <w:kern w:val="3"/>
          <w:sz w:val="24"/>
          <w:szCs w:val="24"/>
          <w:u w:val="single"/>
          <w:bdr w:val="nil"/>
          <w:lang w:eastAsia="en-GB"/>
        </w:rPr>
        <w:t xml:space="preserve">Impact on legal certainty and </w:t>
      </w:r>
      <w:r w:rsidRPr="00123CFF">
        <w:rPr>
          <w:rFonts w:ascii="Times New Roman" w:eastAsia="Arial Unicode MS" w:hAnsi="Times New Roman" w:cs="Times New Roman"/>
          <w:kern w:val="3"/>
          <w:sz w:val="24"/>
          <w:szCs w:val="24"/>
          <w:u w:val="single"/>
          <w:bdr w:val="nil"/>
          <w:lang w:eastAsia="en-GB"/>
        </w:rPr>
        <w:t>transaction</w:t>
      </w:r>
      <w:r>
        <w:rPr>
          <w:rFonts w:ascii="Times New Roman" w:eastAsia="Arial Unicode MS" w:hAnsi="Times New Roman" w:cs="Times New Roman"/>
          <w:kern w:val="3"/>
          <w:sz w:val="24"/>
          <w:szCs w:val="24"/>
          <w:u w:val="single"/>
          <w:bdr w:val="nil"/>
          <w:lang w:eastAsia="en-GB"/>
        </w:rPr>
        <w:t xml:space="preserve"> </w:t>
      </w:r>
      <w:r w:rsidRPr="00AA2C4A">
        <w:rPr>
          <w:rFonts w:ascii="Times New Roman" w:eastAsia="Arial Unicode MS" w:hAnsi="Times New Roman" w:cs="Times New Roman"/>
          <w:kern w:val="3"/>
          <w:sz w:val="24"/>
          <w:szCs w:val="24"/>
          <w:u w:val="single"/>
          <w:bdr w:val="nil"/>
          <w:lang w:eastAsia="en-GB"/>
        </w:rPr>
        <w:t>costs</w:t>
      </w:r>
      <w:r w:rsidR="002432E8">
        <w:rPr>
          <w:rFonts w:ascii="Times New Roman" w:eastAsia="Arial Unicode MS" w:hAnsi="Times New Roman" w:cs="Times New Roman"/>
          <w:kern w:val="3"/>
          <w:sz w:val="24"/>
          <w:szCs w:val="24"/>
          <w:bdr w:val="nil"/>
          <w:lang w:eastAsia="en-GB"/>
        </w:rPr>
        <w:t>:</w:t>
      </w:r>
      <w:r w:rsidRPr="00AA2C4A">
        <w:rPr>
          <w:rFonts w:ascii="Times New Roman" w:eastAsia="Arial Unicode MS" w:hAnsi="Times New Roman" w:cs="Times New Roman"/>
          <w:i/>
          <w:kern w:val="3"/>
          <w:sz w:val="24"/>
          <w:szCs w:val="24"/>
          <w:bdr w:val="nil"/>
          <w:lang w:eastAsia="en-GB"/>
        </w:rPr>
        <w:t xml:space="preserve"> </w:t>
      </w:r>
      <w:r w:rsidRPr="00AA2C4A">
        <w:rPr>
          <w:rFonts w:ascii="Times New Roman" w:eastAsia="Arial Unicode MS" w:hAnsi="Times New Roman" w:cs="Times New Roman"/>
          <w:kern w:val="3"/>
          <w:sz w:val="24"/>
          <w:szCs w:val="24"/>
          <w:bdr w:val="nil"/>
          <w:lang w:eastAsia="en-GB"/>
        </w:rPr>
        <w:t xml:space="preserve">The </w:t>
      </w:r>
      <w:r w:rsidRPr="00D742CB">
        <w:rPr>
          <w:rFonts w:ascii="Times New Roman" w:eastAsia="Arial Unicode MS" w:hAnsi="Times New Roman" w:cs="Times New Roman"/>
          <w:sz w:val="24"/>
          <w:szCs w:val="20"/>
          <w:bdr w:val="nil"/>
          <w:lang w:val="en-US" w:eastAsia="en-GB"/>
        </w:rPr>
        <w:t>impact</w:t>
      </w:r>
      <w:r>
        <w:rPr>
          <w:rFonts w:ascii="Times New Roman" w:eastAsia="Arial Unicode MS" w:hAnsi="Times New Roman" w:cs="Times New Roman"/>
          <w:kern w:val="3"/>
          <w:sz w:val="24"/>
          <w:szCs w:val="24"/>
          <w:bdr w:val="nil"/>
          <w:lang w:eastAsia="en-GB"/>
        </w:rPr>
        <w:t xml:space="preserve"> of O</w:t>
      </w:r>
      <w:r w:rsidRPr="00AA2C4A">
        <w:rPr>
          <w:rFonts w:ascii="Times New Roman" w:eastAsia="Arial Unicode MS" w:hAnsi="Times New Roman" w:cs="Times New Roman"/>
          <w:kern w:val="3"/>
          <w:sz w:val="24"/>
          <w:szCs w:val="24"/>
          <w:bdr w:val="nil"/>
          <w:lang w:eastAsia="en-GB"/>
        </w:rPr>
        <w:t xml:space="preserve">ption 4 on research </w:t>
      </w:r>
      <w:r>
        <w:rPr>
          <w:rFonts w:ascii="Times New Roman" w:eastAsia="Arial Unicode MS" w:hAnsi="Times New Roman" w:cs="Times New Roman"/>
          <w:kern w:val="3"/>
          <w:sz w:val="24"/>
          <w:szCs w:val="24"/>
          <w:bdr w:val="nil"/>
          <w:lang w:eastAsia="en-GB"/>
        </w:rPr>
        <w:t>organisations</w:t>
      </w:r>
      <w:r w:rsidRPr="00AA2C4A">
        <w:rPr>
          <w:rFonts w:ascii="Times New Roman" w:eastAsia="Arial Unicode MS" w:hAnsi="Times New Roman" w:cs="Times New Roman"/>
          <w:kern w:val="3"/>
          <w:sz w:val="24"/>
          <w:szCs w:val="24"/>
          <w:bdr w:val="nil"/>
          <w:lang w:eastAsia="en-GB"/>
        </w:rPr>
        <w:t xml:space="preserve"> is similar to </w:t>
      </w:r>
      <w:r>
        <w:rPr>
          <w:rFonts w:ascii="Times New Roman" w:eastAsia="Arial Unicode MS" w:hAnsi="Times New Roman" w:cs="Times New Roman"/>
          <w:kern w:val="3"/>
          <w:sz w:val="24"/>
          <w:szCs w:val="24"/>
          <w:bdr w:val="nil"/>
          <w:lang w:eastAsia="en-GB"/>
        </w:rPr>
        <w:t>O</w:t>
      </w:r>
      <w:r w:rsidRPr="00AA2C4A">
        <w:rPr>
          <w:rFonts w:ascii="Times New Roman" w:eastAsia="Arial Unicode MS" w:hAnsi="Times New Roman" w:cs="Times New Roman"/>
          <w:kern w:val="3"/>
          <w:sz w:val="24"/>
          <w:szCs w:val="24"/>
          <w:bdr w:val="nil"/>
          <w:lang w:eastAsia="en-GB"/>
        </w:rPr>
        <w:t xml:space="preserve">ption 3. </w:t>
      </w:r>
    </w:p>
    <w:p w:rsidR="00083CE6" w:rsidRPr="00AA2C4A" w:rsidRDefault="00083CE6" w:rsidP="00083CE6">
      <w:pPr>
        <w:pStyle w:val="Text1"/>
        <w:ind w:left="0"/>
        <w:rPr>
          <w:rFonts w:eastAsia="Arial Unicode MS"/>
          <w:b/>
          <w:kern w:val="3"/>
          <w:szCs w:val="24"/>
          <w:bdr w:val="nil"/>
          <w:lang w:eastAsia="zh-CN"/>
        </w:rPr>
      </w:pPr>
      <w:r w:rsidRPr="00AA2C4A">
        <w:rPr>
          <w:rFonts w:eastAsia="Arial Unicode MS"/>
          <w:b/>
          <w:kern w:val="3"/>
          <w:szCs w:val="24"/>
          <w:bdr w:val="nil"/>
          <w:lang w:eastAsia="zh-CN"/>
        </w:rPr>
        <w:t xml:space="preserve">Corporate </w:t>
      </w:r>
      <w:r w:rsidRPr="00AA2C4A">
        <w:rPr>
          <w:rFonts w:eastAsia="Arial Unicode MS"/>
          <w:b/>
          <w:kern w:val="3"/>
          <w:szCs w:val="24"/>
          <w:bdr w:val="nil"/>
        </w:rPr>
        <w:t>research</w:t>
      </w:r>
      <w:r w:rsidRPr="00AA2C4A">
        <w:rPr>
          <w:rFonts w:eastAsia="Arial Unicode MS"/>
          <w:b/>
          <w:kern w:val="3"/>
          <w:szCs w:val="24"/>
          <w:bdr w:val="nil"/>
          <w:lang w:eastAsia="zh-CN"/>
        </w:rPr>
        <w:t xml:space="preserve"> users</w:t>
      </w:r>
    </w:p>
    <w:p w:rsidR="00083CE6" w:rsidRPr="00AA2C4A" w:rsidRDefault="00083CE6" w:rsidP="00083CE6">
      <w:pPr>
        <w:widowControl w:val="0"/>
        <w:pBdr>
          <w:top w:val="nil"/>
          <w:left w:val="nil"/>
          <w:bottom w:val="nil"/>
          <w:right w:val="nil"/>
          <w:between w:val="nil"/>
          <w:bar w:val="nil"/>
        </w:pBdr>
        <w:suppressAutoHyphens/>
        <w:autoSpaceDN w:val="0"/>
        <w:spacing w:after="120" w:line="240" w:lineRule="auto"/>
        <w:jc w:val="both"/>
        <w:textAlignment w:val="baseline"/>
        <w:rPr>
          <w:rFonts w:ascii="Times New Roman" w:eastAsia="Arial Unicode MS" w:hAnsi="Times New Roman" w:cs="Times New Roman"/>
          <w:kern w:val="3"/>
          <w:sz w:val="24"/>
          <w:szCs w:val="24"/>
          <w:bdr w:val="nil"/>
          <w:lang w:eastAsia="zh-CN"/>
        </w:rPr>
      </w:pPr>
      <w:r>
        <w:rPr>
          <w:rFonts w:ascii="Times New Roman" w:eastAsia="Arial Unicode MS" w:hAnsi="Times New Roman" w:cs="Times New Roman"/>
          <w:kern w:val="3"/>
          <w:sz w:val="24"/>
          <w:szCs w:val="24"/>
          <w:bdr w:val="nil"/>
          <w:lang w:eastAsia="zh-CN"/>
        </w:rPr>
        <w:t xml:space="preserve">Differently from the other options, because of the broader scope of application of the exception, Option 4 would specifically benefit </w:t>
      </w:r>
      <w:r w:rsidRPr="00AA2C4A">
        <w:rPr>
          <w:rFonts w:ascii="Times New Roman" w:eastAsia="Arial Unicode MS" w:hAnsi="Times New Roman" w:cs="Times New Roman"/>
          <w:kern w:val="3"/>
          <w:sz w:val="24"/>
          <w:szCs w:val="24"/>
          <w:bdr w:val="nil"/>
          <w:lang w:eastAsia="zh-CN"/>
        </w:rPr>
        <w:t xml:space="preserve">researchers in commercial companies </w:t>
      </w:r>
      <w:r>
        <w:rPr>
          <w:rFonts w:ascii="Times New Roman" w:eastAsia="Arial Unicode MS" w:hAnsi="Times New Roman" w:cs="Times New Roman"/>
          <w:kern w:val="3"/>
          <w:sz w:val="24"/>
          <w:szCs w:val="24"/>
          <w:bdr w:val="nil"/>
          <w:lang w:eastAsia="zh-CN"/>
        </w:rPr>
        <w:t xml:space="preserve">as they </w:t>
      </w:r>
      <w:r w:rsidRPr="00AA2C4A">
        <w:rPr>
          <w:rFonts w:ascii="Times New Roman" w:eastAsia="Arial Unicode MS" w:hAnsi="Times New Roman" w:cs="Times New Roman"/>
          <w:kern w:val="3"/>
          <w:sz w:val="24"/>
          <w:szCs w:val="24"/>
          <w:bdr w:val="nil"/>
          <w:lang w:eastAsia="zh-CN"/>
        </w:rPr>
        <w:t>would no longer need a specific licen</w:t>
      </w:r>
      <w:r w:rsidR="006D21E9">
        <w:rPr>
          <w:rFonts w:ascii="Times New Roman" w:eastAsia="Arial Unicode MS" w:hAnsi="Times New Roman" w:cs="Times New Roman"/>
          <w:kern w:val="3"/>
          <w:sz w:val="24"/>
          <w:szCs w:val="24"/>
          <w:bdr w:val="nil"/>
          <w:lang w:eastAsia="zh-CN"/>
        </w:rPr>
        <w:t>c</w:t>
      </w:r>
      <w:r w:rsidRPr="00AA2C4A">
        <w:rPr>
          <w:rFonts w:ascii="Times New Roman" w:eastAsia="Arial Unicode MS" w:hAnsi="Times New Roman" w:cs="Times New Roman"/>
          <w:kern w:val="3"/>
          <w:sz w:val="24"/>
          <w:szCs w:val="24"/>
          <w:bdr w:val="nil"/>
          <w:lang w:eastAsia="zh-CN"/>
        </w:rPr>
        <w:t xml:space="preserve">e to </w:t>
      </w:r>
      <w:r>
        <w:rPr>
          <w:rFonts w:ascii="Times New Roman" w:eastAsia="Arial Unicode MS" w:hAnsi="Times New Roman" w:cs="Times New Roman"/>
          <w:kern w:val="3"/>
          <w:sz w:val="24"/>
          <w:szCs w:val="24"/>
          <w:bdr w:val="nil"/>
          <w:lang w:eastAsia="zh-CN"/>
        </w:rPr>
        <w:t>mine</w:t>
      </w:r>
      <w:r w:rsidRPr="00AA2C4A">
        <w:rPr>
          <w:rFonts w:ascii="Times New Roman" w:eastAsia="Arial Unicode MS" w:hAnsi="Times New Roman" w:cs="Times New Roman"/>
          <w:kern w:val="3"/>
          <w:sz w:val="24"/>
          <w:szCs w:val="24"/>
          <w:bdr w:val="nil"/>
          <w:lang w:eastAsia="zh-CN"/>
        </w:rPr>
        <w:t xml:space="preserve"> content to which they have lawful access to. </w:t>
      </w:r>
      <w:r>
        <w:rPr>
          <w:rFonts w:ascii="Times New Roman" w:eastAsia="Arial Unicode MS" w:hAnsi="Times New Roman" w:cs="Times New Roman"/>
          <w:kern w:val="3"/>
          <w:sz w:val="24"/>
          <w:szCs w:val="24"/>
          <w:bdr w:val="nil"/>
          <w:lang w:eastAsia="zh-CN"/>
        </w:rPr>
        <w:t xml:space="preserve">However, corporate users, notably life-science companies, benefit today from a functioning </w:t>
      </w:r>
      <w:r w:rsidR="006D21E9">
        <w:rPr>
          <w:rFonts w:ascii="Times New Roman" w:eastAsia="Arial Unicode MS" w:hAnsi="Times New Roman" w:cs="Times New Roman"/>
          <w:kern w:val="3"/>
          <w:sz w:val="24"/>
          <w:szCs w:val="24"/>
          <w:bdr w:val="nil"/>
          <w:lang w:eastAsia="zh-CN"/>
        </w:rPr>
        <w:t>licensing</w:t>
      </w:r>
      <w:r>
        <w:rPr>
          <w:rFonts w:ascii="Times New Roman" w:eastAsia="Arial Unicode MS" w:hAnsi="Times New Roman" w:cs="Times New Roman"/>
          <w:kern w:val="3"/>
          <w:sz w:val="24"/>
          <w:szCs w:val="24"/>
          <w:bdr w:val="nil"/>
          <w:lang w:eastAsia="zh-CN"/>
        </w:rPr>
        <w:t xml:space="preserve"> market for TDM of scientific publications and they have not requested any intervention at EU level. </w:t>
      </w:r>
      <w:r w:rsidRPr="00AA2C4A">
        <w:rPr>
          <w:rFonts w:ascii="Times New Roman" w:eastAsia="Arial Unicode MS" w:hAnsi="Times New Roman" w:cs="Times New Roman"/>
          <w:kern w:val="3"/>
          <w:sz w:val="24"/>
          <w:szCs w:val="24"/>
          <w:bdr w:val="nil"/>
          <w:lang w:eastAsia="zh-CN"/>
        </w:rPr>
        <w:t xml:space="preserve">TDM is often licensed </w:t>
      </w:r>
      <w:r>
        <w:rPr>
          <w:rFonts w:ascii="Times New Roman" w:eastAsia="Arial Unicode MS" w:hAnsi="Times New Roman" w:cs="Times New Roman"/>
          <w:kern w:val="3"/>
          <w:sz w:val="24"/>
          <w:szCs w:val="24"/>
          <w:bdr w:val="nil"/>
          <w:lang w:eastAsia="zh-CN"/>
        </w:rPr>
        <w:t xml:space="preserve">to these </w:t>
      </w:r>
      <w:r w:rsidRPr="00441F99">
        <w:rPr>
          <w:rFonts w:ascii="Times New Roman" w:eastAsia="Arial Unicode MS" w:hAnsi="Times New Roman" w:cs="Times New Roman"/>
          <w:kern w:val="3"/>
          <w:sz w:val="24"/>
          <w:szCs w:val="24"/>
          <w:bdr w:val="nil"/>
          <w:lang w:eastAsia="zh-CN"/>
        </w:rPr>
        <w:t>users as part</w:t>
      </w:r>
      <w:r w:rsidRPr="00AA2C4A">
        <w:rPr>
          <w:rFonts w:ascii="Times New Roman" w:eastAsia="Arial Unicode MS" w:hAnsi="Times New Roman" w:cs="Times New Roman"/>
          <w:kern w:val="3"/>
          <w:sz w:val="24"/>
          <w:szCs w:val="24"/>
          <w:bdr w:val="nil"/>
          <w:lang w:eastAsia="zh-CN"/>
        </w:rPr>
        <w:t xml:space="preserve"> of a wider licensing agreement</w:t>
      </w:r>
      <w:r>
        <w:rPr>
          <w:rFonts w:ascii="Times New Roman" w:eastAsia="Arial Unicode MS" w:hAnsi="Times New Roman" w:cs="Times New Roman"/>
          <w:kern w:val="3"/>
          <w:sz w:val="24"/>
          <w:szCs w:val="24"/>
          <w:bdr w:val="nil"/>
          <w:lang w:eastAsia="zh-CN"/>
        </w:rPr>
        <w:t xml:space="preserve"> with </w:t>
      </w:r>
      <w:r w:rsidR="0002514A">
        <w:rPr>
          <w:rFonts w:ascii="Times New Roman" w:eastAsia="Arial Unicode MS" w:hAnsi="Times New Roman" w:cs="Times New Roman"/>
          <w:kern w:val="3"/>
          <w:sz w:val="24"/>
          <w:szCs w:val="24"/>
          <w:bdr w:val="nil"/>
          <w:lang w:eastAsia="zh-CN"/>
        </w:rPr>
        <w:t>r</w:t>
      </w:r>
      <w:r w:rsidR="00007677">
        <w:rPr>
          <w:rFonts w:ascii="Times New Roman" w:eastAsia="Arial Unicode MS" w:hAnsi="Times New Roman" w:cs="Times New Roman"/>
          <w:kern w:val="3"/>
          <w:sz w:val="24"/>
          <w:szCs w:val="24"/>
          <w:bdr w:val="nil"/>
          <w:lang w:eastAsia="zh-CN"/>
        </w:rPr>
        <w:t>ightholders</w:t>
      </w:r>
      <w:r w:rsidRPr="00AA2C4A">
        <w:rPr>
          <w:rFonts w:ascii="Times New Roman" w:eastAsia="Arial Unicode MS" w:hAnsi="Times New Roman" w:cs="Times New Roman"/>
          <w:kern w:val="3"/>
          <w:sz w:val="24"/>
          <w:szCs w:val="24"/>
          <w:bdr w:val="nil"/>
          <w:lang w:eastAsia="zh-CN"/>
        </w:rPr>
        <w:t xml:space="preserve"> </w:t>
      </w:r>
      <w:r>
        <w:rPr>
          <w:rFonts w:ascii="Times New Roman" w:eastAsia="Arial Unicode MS" w:hAnsi="Times New Roman" w:cs="Times New Roman"/>
          <w:kern w:val="3"/>
          <w:sz w:val="24"/>
          <w:szCs w:val="24"/>
          <w:bdr w:val="nil"/>
          <w:lang w:eastAsia="zh-CN"/>
        </w:rPr>
        <w:t>including several uses and services that</w:t>
      </w:r>
      <w:r w:rsidRPr="00AA2C4A">
        <w:rPr>
          <w:rFonts w:ascii="Times New Roman" w:eastAsia="Arial Unicode MS" w:hAnsi="Times New Roman" w:cs="Times New Roman"/>
          <w:kern w:val="3"/>
          <w:sz w:val="24"/>
          <w:szCs w:val="24"/>
          <w:bdr w:val="nil"/>
          <w:lang w:eastAsia="zh-CN"/>
        </w:rPr>
        <w:t xml:space="preserve"> go well beyond what the exception would allow them to get for TDM purposes (notably in terms of formats, structured data, getting direct feeds into their own databases etc.)</w:t>
      </w:r>
      <w:r>
        <w:rPr>
          <w:rFonts w:ascii="Times New Roman" w:eastAsia="Arial Unicode MS" w:hAnsi="Times New Roman" w:cs="Times New Roman"/>
          <w:kern w:val="3"/>
          <w:sz w:val="24"/>
          <w:szCs w:val="24"/>
          <w:bdr w:val="nil"/>
          <w:lang w:eastAsia="zh-CN"/>
        </w:rPr>
        <w:t>. Therefore</w:t>
      </w:r>
      <w:r w:rsidRPr="00AA2C4A">
        <w:rPr>
          <w:rFonts w:ascii="Times New Roman" w:eastAsia="Arial Unicode MS" w:hAnsi="Times New Roman" w:cs="Times New Roman"/>
          <w:kern w:val="3"/>
          <w:sz w:val="24"/>
          <w:szCs w:val="24"/>
          <w:bdr w:val="nil"/>
          <w:lang w:eastAsia="zh-CN"/>
        </w:rPr>
        <w:t xml:space="preserve"> </w:t>
      </w:r>
      <w:r>
        <w:rPr>
          <w:rFonts w:ascii="Times New Roman" w:eastAsia="Arial Unicode MS" w:hAnsi="Times New Roman" w:cs="Times New Roman"/>
          <w:kern w:val="3"/>
          <w:sz w:val="24"/>
          <w:szCs w:val="24"/>
          <w:bdr w:val="nil"/>
          <w:lang w:eastAsia="zh-CN"/>
        </w:rPr>
        <w:t xml:space="preserve">corporate users </w:t>
      </w:r>
      <w:r w:rsidRPr="00AA2C4A">
        <w:rPr>
          <w:rFonts w:ascii="Times New Roman" w:eastAsia="Arial Unicode MS" w:hAnsi="Times New Roman" w:cs="Times New Roman"/>
          <w:kern w:val="3"/>
          <w:sz w:val="24"/>
          <w:szCs w:val="24"/>
          <w:bdr w:val="nil"/>
          <w:lang w:eastAsia="zh-CN"/>
        </w:rPr>
        <w:t xml:space="preserve">are likely to continue to </w:t>
      </w:r>
      <w:r>
        <w:rPr>
          <w:rFonts w:ascii="Times New Roman" w:eastAsia="Arial Unicode MS" w:hAnsi="Times New Roman" w:cs="Times New Roman"/>
          <w:kern w:val="3"/>
          <w:sz w:val="24"/>
          <w:szCs w:val="24"/>
          <w:bdr w:val="nil"/>
          <w:lang w:eastAsia="zh-CN"/>
        </w:rPr>
        <w:t>purchase</w:t>
      </w:r>
      <w:r w:rsidRPr="00AA2C4A">
        <w:rPr>
          <w:rFonts w:ascii="Times New Roman" w:eastAsia="Arial Unicode MS" w:hAnsi="Times New Roman" w:cs="Times New Roman"/>
          <w:kern w:val="3"/>
          <w:sz w:val="24"/>
          <w:szCs w:val="24"/>
          <w:bdr w:val="nil"/>
          <w:lang w:eastAsia="zh-CN"/>
        </w:rPr>
        <w:t xml:space="preserve"> value added services from content owners. This option also entails a risk that publishers may increase the subscription fees for commercial users to compensate for the loss of TDM related revenues (this is more likely to happen with corporate users than with universities </w:t>
      </w:r>
      <w:r>
        <w:rPr>
          <w:rFonts w:ascii="Times New Roman" w:eastAsia="Arial Unicode MS" w:hAnsi="Times New Roman" w:cs="Times New Roman"/>
          <w:kern w:val="3"/>
          <w:sz w:val="24"/>
          <w:szCs w:val="24"/>
          <w:bdr w:val="nil"/>
          <w:lang w:eastAsia="zh-CN"/>
        </w:rPr>
        <w:t>because of the different purchasing power, at least as regards larger commercial operators</w:t>
      </w:r>
      <w:r w:rsidRPr="00AA2C4A">
        <w:rPr>
          <w:rFonts w:ascii="Times New Roman" w:eastAsia="Arial Unicode MS" w:hAnsi="Times New Roman" w:cs="Times New Roman"/>
          <w:kern w:val="3"/>
          <w:sz w:val="24"/>
          <w:szCs w:val="24"/>
          <w:bdr w:val="nil"/>
          <w:lang w:eastAsia="zh-CN"/>
        </w:rPr>
        <w:t>).</w:t>
      </w:r>
      <w:r w:rsidRPr="00AA2C4A">
        <w:rPr>
          <w:rFonts w:ascii="Times New Roman" w:eastAsia="Arial Unicode MS" w:hAnsi="Times New Roman" w:cs="Times New Roman"/>
          <w:kern w:val="3"/>
          <w:sz w:val="24"/>
          <w:szCs w:val="24"/>
          <w:bdr w:val="nil"/>
          <w:shd w:val="clear" w:color="auto" w:fill="FFFFFF"/>
          <w:vertAlign w:val="superscript"/>
          <w:lang w:eastAsia="zh-CN"/>
        </w:rPr>
        <w:footnoteReference w:id="366"/>
      </w:r>
    </w:p>
    <w:p w:rsidR="00083CE6" w:rsidRPr="00AA2C4A" w:rsidRDefault="00007677" w:rsidP="00083CE6">
      <w:pPr>
        <w:pStyle w:val="Text1"/>
        <w:ind w:left="0"/>
        <w:rPr>
          <w:rFonts w:eastAsia="Arial Unicode MS"/>
          <w:b/>
          <w:kern w:val="3"/>
          <w:szCs w:val="24"/>
          <w:bdr w:val="nil"/>
          <w:lang w:val="en-US"/>
        </w:rPr>
      </w:pPr>
      <w:r>
        <w:rPr>
          <w:rFonts w:eastAsia="Arial Unicode MS"/>
          <w:b/>
          <w:szCs w:val="24"/>
          <w:bdr w:val="nil"/>
          <w:lang w:val="en-US"/>
        </w:rPr>
        <w:t>Rightholders</w:t>
      </w:r>
    </w:p>
    <w:p w:rsidR="00083CE6"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w:eastAsia="Arial Unicode MS" w:hAnsi="Times New Roman" w:cs="Times New Roman"/>
          <w:color w:val="000000"/>
          <w:sz w:val="24"/>
          <w:szCs w:val="24"/>
          <w:bdr w:val="nil"/>
          <w:lang w:val="en-ZA"/>
        </w:rPr>
      </w:pPr>
      <w:r w:rsidRPr="00AA2C4A">
        <w:rPr>
          <w:rFonts w:ascii="Times New Roman" w:eastAsia="Arial Unicode MS" w:hAnsi="Times New Roman" w:cs="Times New Roman"/>
          <w:kern w:val="3"/>
          <w:sz w:val="24"/>
          <w:szCs w:val="24"/>
          <w:u w:val="single"/>
          <w:bdr w:val="nil"/>
          <w:lang w:eastAsia="en-GB"/>
        </w:rPr>
        <w:t>Impact on TDM licensing market and the revenues thereof</w:t>
      </w:r>
      <w:r w:rsidRPr="00AA2C4A">
        <w:rPr>
          <w:rFonts w:ascii="Times New Roman" w:eastAsia="Arial Unicode MS" w:hAnsi="Times New Roman" w:cs="Times New Roman"/>
          <w:i/>
          <w:kern w:val="3"/>
          <w:sz w:val="24"/>
          <w:szCs w:val="24"/>
          <w:bdr w:val="nil"/>
          <w:lang w:eastAsia="en-GB"/>
        </w:rPr>
        <w:t xml:space="preserve">: </w:t>
      </w:r>
      <w:r w:rsidRPr="00E57781">
        <w:rPr>
          <w:rFonts w:ascii="Times New Roman" w:eastAsia="Arial Unicode MS" w:hAnsi="Times New Roman" w:cs="Times New Roman"/>
          <w:kern w:val="3"/>
          <w:sz w:val="24"/>
          <w:szCs w:val="24"/>
          <w:bdr w:val="nil"/>
          <w:lang w:eastAsia="en-GB"/>
        </w:rPr>
        <w:t xml:space="preserve">This option would have a </w:t>
      </w:r>
      <w:r>
        <w:rPr>
          <w:rFonts w:ascii="Times New Roman" w:eastAsia="Arial Unicode MS" w:hAnsi="Times New Roman" w:cs="Times New Roman"/>
          <w:kern w:val="3"/>
          <w:sz w:val="24"/>
          <w:szCs w:val="24"/>
          <w:bdr w:val="nil"/>
          <w:lang w:eastAsia="en-GB"/>
        </w:rPr>
        <w:t xml:space="preserve">more </w:t>
      </w:r>
      <w:r w:rsidRPr="00E57781">
        <w:rPr>
          <w:rFonts w:ascii="Times New Roman" w:eastAsia="Arial Unicode MS" w:hAnsi="Times New Roman" w:cs="Times New Roman"/>
          <w:kern w:val="3"/>
          <w:sz w:val="24"/>
          <w:szCs w:val="24"/>
          <w:bdr w:val="nil"/>
          <w:lang w:eastAsia="en-GB"/>
        </w:rPr>
        <w:t xml:space="preserve">significant negative impact on </w:t>
      </w:r>
      <w:r w:rsidR="0002514A">
        <w:rPr>
          <w:rFonts w:ascii="Times New Roman" w:eastAsia="Arial Unicode MS" w:hAnsi="Times New Roman" w:cs="Times New Roman"/>
          <w:kern w:val="3"/>
          <w:sz w:val="24"/>
          <w:szCs w:val="24"/>
          <w:bdr w:val="nil"/>
          <w:lang w:eastAsia="en-GB"/>
        </w:rPr>
        <w:t>r</w:t>
      </w:r>
      <w:r w:rsidR="00007677">
        <w:rPr>
          <w:rFonts w:ascii="Times New Roman" w:eastAsia="Arial Unicode MS" w:hAnsi="Times New Roman" w:cs="Times New Roman"/>
          <w:kern w:val="3"/>
          <w:sz w:val="24"/>
          <w:szCs w:val="24"/>
          <w:bdr w:val="nil"/>
          <w:lang w:eastAsia="en-GB"/>
        </w:rPr>
        <w:t>ightholders</w:t>
      </w:r>
      <w:r>
        <w:rPr>
          <w:rFonts w:ascii="Times New Roman" w:eastAsia="Arial Unicode MS" w:hAnsi="Times New Roman" w:cs="Times New Roman"/>
          <w:kern w:val="3"/>
          <w:sz w:val="24"/>
          <w:szCs w:val="24"/>
          <w:bdr w:val="nil"/>
          <w:lang w:eastAsia="en-GB"/>
        </w:rPr>
        <w:t>.</w:t>
      </w:r>
      <w:r w:rsidRPr="00E57781">
        <w:rPr>
          <w:rFonts w:ascii="Times New Roman" w:eastAsia="Arial Unicode MS" w:hAnsi="Times New Roman" w:cs="Times New Roman"/>
          <w:kern w:val="3"/>
          <w:sz w:val="24"/>
          <w:szCs w:val="24"/>
          <w:bdr w:val="nil"/>
          <w:lang w:eastAsia="en-GB"/>
        </w:rPr>
        <w:t xml:space="preserve"> As a consequence of the broad scope of the exception, STM publishers would no longer be able to licence TDM</w:t>
      </w:r>
      <w:r w:rsidRPr="00AA2C4A">
        <w:rPr>
          <w:rFonts w:ascii="Times New Roman" w:eastAsia="Arial Unicode MS" w:hAnsi="Times New Roman" w:cs="Times New Roman"/>
          <w:kern w:val="3"/>
          <w:sz w:val="24"/>
          <w:szCs w:val="24"/>
          <w:bdr w:val="nil"/>
          <w:lang w:eastAsia="en-GB"/>
        </w:rPr>
        <w:t xml:space="preserve"> for scientific research purposes to commercial players, which represent an essential market </w:t>
      </w:r>
      <w:r w:rsidRPr="00AA2C4A">
        <w:rPr>
          <w:rFonts w:ascii="Times New Roman" w:eastAsia="Arial Unicode MS" w:hAnsi="Times New Roman" w:cs="Times New Roman"/>
          <w:sz w:val="24"/>
          <w:szCs w:val="20"/>
          <w:bdr w:val="nil"/>
          <w:lang w:eastAsia="en-GB"/>
        </w:rPr>
        <w:t>for them</w:t>
      </w:r>
      <w:r w:rsidRPr="00AA2C4A">
        <w:rPr>
          <w:rFonts w:ascii="Times New Roman" w:eastAsia="Arial Unicode MS" w:hAnsi="Times New Roman" w:cs="Times New Roman"/>
          <w:kern w:val="3"/>
          <w:sz w:val="24"/>
          <w:szCs w:val="24"/>
          <w:bdr w:val="nil"/>
          <w:lang w:eastAsia="en-GB"/>
        </w:rPr>
        <w:t>, notably in areas such as life science and pharmaceutical.</w:t>
      </w:r>
      <w:r w:rsidRPr="00AA2C4A">
        <w:rPr>
          <w:rFonts w:ascii="Times New Roman" w:eastAsia="Arial Unicode MS" w:hAnsi="Times New Roman" w:cs="Times New Roman"/>
          <w:kern w:val="3"/>
          <w:sz w:val="24"/>
          <w:szCs w:val="24"/>
          <w:bdr w:val="nil"/>
          <w:shd w:val="clear" w:color="auto" w:fill="FFFFFF"/>
          <w:vertAlign w:val="superscript"/>
          <w:lang w:eastAsia="en-GB"/>
        </w:rPr>
        <w:footnoteReference w:id="367"/>
      </w:r>
      <w:r w:rsidRPr="00AA2C4A">
        <w:rPr>
          <w:rFonts w:ascii="Times New Roman" w:eastAsia="Arial Unicode MS" w:hAnsi="Times New Roman" w:cs="Times New Roman"/>
          <w:kern w:val="3"/>
          <w:sz w:val="24"/>
          <w:szCs w:val="24"/>
          <w:bdr w:val="nil"/>
          <w:lang w:eastAsia="en-GB"/>
        </w:rPr>
        <w:t xml:space="preserve"> </w:t>
      </w:r>
      <w:r>
        <w:rPr>
          <w:rFonts w:ascii="Times New Roman" w:eastAsia="Arial Unicode MS" w:hAnsi="Times New Roman" w:cs="Times New Roman"/>
          <w:kern w:val="3"/>
          <w:sz w:val="24"/>
          <w:szCs w:val="24"/>
          <w:bdr w:val="nil"/>
          <w:lang w:eastAsia="en-GB"/>
        </w:rPr>
        <w:t xml:space="preserve">Industry estimates </w:t>
      </w:r>
      <w:r>
        <w:rPr>
          <w:rFonts w:ascii="Times New Roman" w:eastAsia="Arial Unicode MS" w:hAnsi="Times New Roman" w:cs="Times New Roman"/>
          <w:color w:val="000000"/>
          <w:sz w:val="24"/>
          <w:szCs w:val="24"/>
          <w:bdr w:val="nil"/>
          <w:lang w:val="en-ZA"/>
        </w:rPr>
        <w:t>t</w:t>
      </w:r>
      <w:r w:rsidRPr="00AA2C4A">
        <w:rPr>
          <w:rFonts w:ascii="Times New Roman" w:eastAsia="Arial Unicode MS" w:hAnsi="Times New Roman" w:cs="Times New Roman"/>
          <w:color w:val="000000"/>
          <w:sz w:val="24"/>
          <w:szCs w:val="24"/>
          <w:bdr w:val="nil"/>
          <w:lang w:val="en-ZA"/>
        </w:rPr>
        <w:t xml:space="preserve">he value of the commercial TDM market (in Europe) to be worth more than 56 million </w:t>
      </w:r>
      <w:r w:rsidRPr="00AA2C4A">
        <w:rPr>
          <w:rFonts w:ascii="Times New Roman" w:eastAsia="Arial Unicode MS" w:hAnsi="Times New Roman" w:cs="Times New Roman"/>
          <w:color w:val="000000"/>
          <w:sz w:val="24"/>
          <w:szCs w:val="24"/>
          <w:bdr w:val="nil"/>
          <w:lang w:val="en-US"/>
        </w:rPr>
        <w:t xml:space="preserve">euros </w:t>
      </w:r>
      <w:r w:rsidRPr="00AA2C4A">
        <w:rPr>
          <w:rFonts w:ascii="Times New Roman" w:eastAsia="Arial Unicode MS" w:hAnsi="Times New Roman" w:cs="Times New Roman"/>
          <w:color w:val="000000"/>
          <w:sz w:val="24"/>
          <w:szCs w:val="24"/>
          <w:bdr w:val="nil"/>
          <w:lang w:val="en-ZA"/>
        </w:rPr>
        <w:t>by 2019.</w:t>
      </w:r>
      <w:r w:rsidRPr="00AA2C4A">
        <w:rPr>
          <w:rFonts w:ascii="Times New Roman" w:eastAsia="Arial Unicode MS" w:hAnsi="Times New Roman" w:cs="Times New Roman"/>
          <w:color w:val="000000"/>
          <w:sz w:val="24"/>
          <w:szCs w:val="24"/>
          <w:bdr w:val="nil"/>
          <w:vertAlign w:val="superscript"/>
          <w:lang w:val="en-ZA"/>
        </w:rPr>
        <w:footnoteReference w:id="368"/>
      </w:r>
      <w:r w:rsidRPr="00AA2C4A">
        <w:rPr>
          <w:rFonts w:ascii="Times New Roman" w:eastAsia="Arial Unicode MS" w:hAnsi="Times New Roman" w:cs="Times New Roman"/>
          <w:color w:val="000000"/>
          <w:sz w:val="24"/>
          <w:szCs w:val="24"/>
          <w:bdr w:val="nil"/>
          <w:lang w:val="en-ZA"/>
        </w:rPr>
        <w:t xml:space="preserve"> Two major STM publishers</w:t>
      </w:r>
      <w:r>
        <w:rPr>
          <w:rFonts w:ascii="Times New Roman" w:eastAsia="Arial Unicode MS" w:hAnsi="Times New Roman" w:cs="Times New Roman"/>
          <w:color w:val="000000"/>
          <w:sz w:val="24"/>
          <w:szCs w:val="24"/>
          <w:bdr w:val="nil"/>
          <w:lang w:val="en-ZA"/>
        </w:rPr>
        <w:t xml:space="preserve"> alone</w:t>
      </w:r>
      <w:r w:rsidRPr="00AA2C4A">
        <w:rPr>
          <w:rFonts w:ascii="Times New Roman" w:eastAsia="Arial Unicode MS" w:hAnsi="Times New Roman" w:cs="Times New Roman"/>
          <w:color w:val="000000"/>
          <w:sz w:val="24"/>
          <w:szCs w:val="24"/>
          <w:bdr w:val="nil"/>
          <w:lang w:val="en-ZA"/>
        </w:rPr>
        <w:t xml:space="preserve"> currently have 302 </w:t>
      </w:r>
      <w:r>
        <w:rPr>
          <w:rFonts w:ascii="Times New Roman" w:eastAsia="Arial Unicode MS" w:hAnsi="Times New Roman" w:cs="Times New Roman"/>
          <w:color w:val="000000"/>
          <w:sz w:val="24"/>
          <w:szCs w:val="24"/>
          <w:bdr w:val="nil"/>
          <w:lang w:val="en-ZA"/>
        </w:rPr>
        <w:t>existing</w:t>
      </w:r>
      <w:r w:rsidRPr="00AA2C4A">
        <w:rPr>
          <w:rFonts w:ascii="Times New Roman" w:eastAsia="Arial Unicode MS" w:hAnsi="Times New Roman" w:cs="Times New Roman"/>
          <w:color w:val="000000"/>
          <w:sz w:val="24"/>
          <w:szCs w:val="24"/>
          <w:bdr w:val="nil"/>
          <w:lang w:val="en-ZA"/>
        </w:rPr>
        <w:t xml:space="preserve"> TDM licences</w:t>
      </w:r>
      <w:r>
        <w:rPr>
          <w:rFonts w:ascii="Times New Roman" w:eastAsia="Arial Unicode MS" w:hAnsi="Times New Roman" w:cs="Times New Roman"/>
          <w:color w:val="000000"/>
          <w:sz w:val="24"/>
          <w:szCs w:val="24"/>
          <w:bdr w:val="nil"/>
          <w:lang w:val="en-ZA"/>
        </w:rPr>
        <w:t xml:space="preserve"> with life science companies, which is a significant figure given the characteristics of the market</w:t>
      </w:r>
      <w:r w:rsidR="0060401B">
        <w:rPr>
          <w:rFonts w:ascii="Times New Roman" w:eastAsia="Arial Unicode MS" w:hAnsi="Times New Roman" w:cs="Times New Roman"/>
          <w:color w:val="000000"/>
          <w:sz w:val="24"/>
          <w:szCs w:val="24"/>
          <w:bdr w:val="nil"/>
          <w:lang w:val="en-ZA"/>
        </w:rPr>
        <w:t>.</w:t>
      </w:r>
      <w:r>
        <w:rPr>
          <w:rStyle w:val="FootnoteReference"/>
          <w:rFonts w:ascii="Times New Roman" w:eastAsia="Arial Unicode MS" w:hAnsi="Times New Roman" w:cs="Times New Roman"/>
          <w:color w:val="000000"/>
          <w:sz w:val="24"/>
          <w:szCs w:val="24"/>
          <w:bdr w:val="nil"/>
          <w:lang w:val="en-ZA"/>
        </w:rPr>
        <w:footnoteReference w:id="369"/>
      </w:r>
      <w:r>
        <w:rPr>
          <w:rFonts w:ascii="Times New Roman" w:eastAsia="Arial Unicode MS" w:hAnsi="Times New Roman" w:cs="Times New Roman"/>
          <w:sz w:val="24"/>
          <w:szCs w:val="24"/>
          <w:bdr w:val="nil"/>
          <w:lang w:val="en-US"/>
        </w:rPr>
        <w:t>Publishers</w:t>
      </w:r>
      <w:r w:rsidRPr="00AA2C4A">
        <w:rPr>
          <w:rFonts w:ascii="Times New Roman" w:eastAsia="Arial Unicode MS" w:hAnsi="Times New Roman" w:cs="Times New Roman"/>
          <w:sz w:val="24"/>
          <w:szCs w:val="24"/>
          <w:bdr w:val="nil"/>
          <w:lang w:val="en-US"/>
        </w:rPr>
        <w:t xml:space="preserve"> indicate that the use of TDM is </w:t>
      </w:r>
      <w:r>
        <w:rPr>
          <w:rFonts w:ascii="Times New Roman" w:eastAsia="Arial Unicode MS" w:hAnsi="Times New Roman" w:cs="Times New Roman"/>
          <w:sz w:val="24"/>
          <w:szCs w:val="24"/>
          <w:bdr w:val="nil"/>
          <w:lang w:val="en-US"/>
        </w:rPr>
        <w:t xml:space="preserve">also </w:t>
      </w:r>
      <w:r w:rsidRPr="00AA2C4A">
        <w:rPr>
          <w:rFonts w:ascii="Times New Roman" w:eastAsia="Arial Unicode MS" w:hAnsi="Times New Roman" w:cs="Times New Roman"/>
          <w:sz w:val="24"/>
          <w:szCs w:val="24"/>
          <w:bdr w:val="nil"/>
          <w:lang w:val="en-US"/>
        </w:rPr>
        <w:t>increasing outside the life science and pharmaceutical industry, including in sectors such as</w:t>
      </w:r>
      <w:r>
        <w:rPr>
          <w:rFonts w:ascii="Times New Roman" w:eastAsia="Arial Unicode MS" w:hAnsi="Times New Roman" w:cs="Times New Roman"/>
          <w:sz w:val="24"/>
          <w:szCs w:val="24"/>
          <w:bdr w:val="nil"/>
          <w:lang w:val="en-US"/>
        </w:rPr>
        <w:t xml:space="preserve"> financial services and</w:t>
      </w:r>
      <w:r w:rsidRPr="00AA2C4A">
        <w:rPr>
          <w:rFonts w:ascii="Times New Roman" w:eastAsia="Arial Unicode MS" w:hAnsi="Times New Roman" w:cs="Times New Roman"/>
          <w:sz w:val="24"/>
          <w:szCs w:val="24"/>
          <w:bdr w:val="nil"/>
          <w:lang w:val="en-US"/>
        </w:rPr>
        <w:t xml:space="preserve"> chemical manufacturing</w:t>
      </w:r>
      <w:r>
        <w:rPr>
          <w:rFonts w:ascii="Times New Roman" w:eastAsia="Arial Unicode MS" w:hAnsi="Times New Roman" w:cs="Times New Roman"/>
          <w:sz w:val="24"/>
          <w:szCs w:val="24"/>
          <w:bdr w:val="nil"/>
          <w:lang w:val="en-US"/>
        </w:rPr>
        <w:t>.</w:t>
      </w:r>
      <w:r w:rsidRPr="00AA2C4A">
        <w:rPr>
          <w:rFonts w:ascii="Times New Roman" w:eastAsia="Arial Unicode MS" w:hAnsi="Times New Roman" w:cs="Times New Roman"/>
          <w:kern w:val="3"/>
          <w:sz w:val="24"/>
          <w:szCs w:val="24"/>
          <w:bdr w:val="nil"/>
          <w:vertAlign w:val="superscript"/>
          <w:lang w:eastAsia="zh-CN"/>
        </w:rPr>
        <w:footnoteReference w:id="370"/>
      </w:r>
      <w:r>
        <w:rPr>
          <w:rFonts w:ascii="Times New Roman" w:eastAsia="Arial Unicode MS" w:hAnsi="Times New Roman" w:cs="Times New Roman"/>
          <w:sz w:val="24"/>
          <w:szCs w:val="24"/>
          <w:bdr w:val="nil"/>
          <w:lang w:val="en-US"/>
        </w:rPr>
        <w:t xml:space="preserve"> </w:t>
      </w:r>
      <w:r>
        <w:rPr>
          <w:rFonts w:ascii="Times New Roman" w:eastAsia="Arial Unicode MS" w:hAnsi="Times New Roman" w:cs="Times New Roman"/>
          <w:color w:val="000000"/>
          <w:sz w:val="24"/>
          <w:szCs w:val="24"/>
          <w:bdr w:val="nil"/>
          <w:lang w:val="en-ZA"/>
        </w:rPr>
        <w:t xml:space="preserve">Similarly to the other legislative options, this option would in principle not remove </w:t>
      </w:r>
      <w:r w:rsidR="0002514A">
        <w:rPr>
          <w:rFonts w:ascii="Times New Roman" w:eastAsia="Arial Unicode MS" w:hAnsi="Times New Roman" w:cs="Times New Roman"/>
          <w:color w:val="000000"/>
          <w:sz w:val="24"/>
          <w:szCs w:val="24"/>
          <w:bdr w:val="nil"/>
          <w:lang w:val="en-ZA"/>
        </w:rPr>
        <w:t>r</w:t>
      </w:r>
      <w:r w:rsidR="00007677">
        <w:rPr>
          <w:rFonts w:ascii="Times New Roman" w:eastAsia="Arial Unicode MS" w:hAnsi="Times New Roman" w:cs="Times New Roman"/>
          <w:color w:val="000000"/>
          <w:sz w:val="24"/>
          <w:szCs w:val="24"/>
          <w:bdr w:val="nil"/>
          <w:lang w:val="en-ZA"/>
        </w:rPr>
        <w:t>ightholders</w:t>
      </w:r>
      <w:r>
        <w:rPr>
          <w:rFonts w:ascii="Times New Roman" w:eastAsia="Arial Unicode MS" w:hAnsi="Times New Roman" w:cs="Times New Roman"/>
          <w:color w:val="000000"/>
          <w:sz w:val="24"/>
          <w:szCs w:val="24"/>
          <w:bdr w:val="nil"/>
          <w:lang w:val="en-ZA"/>
        </w:rPr>
        <w:t xml:space="preserve">' ability to generate revenues from selling access to their content. However, deals between STM publishers and corporate users usually include TDM as part of comprehensive agreements covering a whole series of usage rights and added value services mentioned above. The introduction of an exception would lower the value of these agreements, since TDM rights as such can no longer be subject to licence. </w:t>
      </w:r>
      <w:r w:rsidR="00007677">
        <w:rPr>
          <w:rFonts w:ascii="Times New Roman" w:eastAsia="Arial Unicode MS" w:hAnsi="Times New Roman" w:cs="Times New Roman"/>
          <w:color w:val="000000"/>
          <w:sz w:val="24"/>
          <w:szCs w:val="24"/>
          <w:bdr w:val="nil"/>
          <w:lang w:val="en-ZA"/>
        </w:rPr>
        <w:t>Rightholders</w:t>
      </w:r>
      <w:r>
        <w:rPr>
          <w:rFonts w:ascii="Times New Roman" w:eastAsia="Arial Unicode MS" w:hAnsi="Times New Roman" w:cs="Times New Roman"/>
          <w:color w:val="000000"/>
          <w:sz w:val="24"/>
          <w:szCs w:val="24"/>
          <w:bdr w:val="nil"/>
          <w:lang w:val="en-ZA"/>
        </w:rPr>
        <w:t xml:space="preserve"> may try to compensate the value lost as a consequence of the legislative intervention by raising licences fees for access and other uses/value added services. However, it is not clear whether and to what extent they would manage to do so. Therefore this option is likely to bring about compliance costs and more significant changes to </w:t>
      </w:r>
      <w:r w:rsidR="0002514A">
        <w:rPr>
          <w:rFonts w:ascii="Times New Roman" w:eastAsia="Arial Unicode MS" w:hAnsi="Times New Roman" w:cs="Times New Roman"/>
          <w:color w:val="000000"/>
          <w:sz w:val="24"/>
          <w:szCs w:val="24"/>
          <w:bdr w:val="nil"/>
          <w:lang w:val="en-ZA"/>
        </w:rPr>
        <w:t>r</w:t>
      </w:r>
      <w:r w:rsidR="00007677">
        <w:rPr>
          <w:rFonts w:ascii="Times New Roman" w:eastAsia="Arial Unicode MS" w:hAnsi="Times New Roman" w:cs="Times New Roman"/>
          <w:color w:val="000000"/>
          <w:sz w:val="24"/>
          <w:szCs w:val="24"/>
          <w:bdr w:val="nil"/>
          <w:lang w:val="en-ZA"/>
        </w:rPr>
        <w:t>ightholders</w:t>
      </w:r>
      <w:r>
        <w:rPr>
          <w:rFonts w:ascii="Times New Roman" w:eastAsia="Arial Unicode MS" w:hAnsi="Times New Roman" w:cs="Times New Roman"/>
          <w:color w:val="000000"/>
          <w:sz w:val="24"/>
          <w:szCs w:val="24"/>
          <w:bdr w:val="nil"/>
          <w:lang w:val="en-ZA"/>
        </w:rPr>
        <w:t xml:space="preserve">' business models than under the previous legislative options. The impact is likely to be all the more significant given the TDM commercial market's growth potential. </w:t>
      </w:r>
    </w:p>
    <w:p w:rsidR="00083CE6" w:rsidRDefault="00083CE6" w:rsidP="00083CE6">
      <w:pPr>
        <w:pBdr>
          <w:top w:val="nil"/>
          <w:left w:val="nil"/>
          <w:bottom w:val="nil"/>
          <w:right w:val="nil"/>
          <w:between w:val="nil"/>
          <w:bar w:val="nil"/>
        </w:pBdr>
        <w:suppressAutoHyphens/>
        <w:autoSpaceDE w:val="0"/>
        <w:autoSpaceDN w:val="0"/>
        <w:spacing w:after="120" w:line="240" w:lineRule="auto"/>
        <w:jc w:val="both"/>
        <w:textAlignment w:val="baseline"/>
        <w:rPr>
          <w:rFonts w:ascii="Times New Roman Bold" w:eastAsia="Arial Unicode MS" w:hAnsi="Times New Roman Bold" w:cs="Times New Roman" w:hint="eastAsia"/>
          <w:b/>
          <w:smallCaps/>
          <w:kern w:val="3"/>
          <w:sz w:val="24"/>
          <w:szCs w:val="24"/>
          <w:bdr w:val="nil"/>
          <w:lang w:eastAsia="zh-CN"/>
        </w:rPr>
      </w:pPr>
      <w:r w:rsidRPr="00AA2C4A">
        <w:rPr>
          <w:rFonts w:ascii="Times New Roman" w:eastAsia="Arial Unicode MS" w:hAnsi="Times New Roman" w:cs="Times New Roman"/>
          <w:kern w:val="3"/>
          <w:sz w:val="24"/>
          <w:szCs w:val="24"/>
          <w:u w:val="single"/>
          <w:bdr w:val="nil"/>
          <w:lang w:eastAsia="en-GB"/>
        </w:rPr>
        <w:t xml:space="preserve">Impact on </w:t>
      </w:r>
      <w:r w:rsidRPr="00AA2C4A">
        <w:rPr>
          <w:rFonts w:ascii="Times New Roman" w:eastAsia="Arial Unicode MS" w:hAnsi="Times New Roman" w:cs="Times New Roman"/>
          <w:sz w:val="24"/>
          <w:szCs w:val="20"/>
          <w:u w:val="single"/>
          <w:bdr w:val="nil"/>
          <w:lang w:eastAsia="en-GB"/>
        </w:rPr>
        <w:t>t</w:t>
      </w:r>
      <w:r w:rsidRPr="00AA2C4A">
        <w:rPr>
          <w:rFonts w:ascii="Times New Roman" w:eastAsia="Arial Unicode MS" w:hAnsi="Times New Roman" w:cs="Times New Roman"/>
          <w:sz w:val="24"/>
          <w:szCs w:val="20"/>
          <w:u w:val="single"/>
          <w:bdr w:val="nil"/>
          <w:lang w:val="en-US" w:eastAsia="en-GB"/>
        </w:rPr>
        <w:t xml:space="preserve">he protection of their </w:t>
      </w:r>
      <w:r w:rsidRPr="00D742CB">
        <w:rPr>
          <w:rFonts w:ascii="Times New Roman" w:eastAsia="Arial Unicode MS" w:hAnsi="Times New Roman" w:cs="Times New Roman"/>
          <w:kern w:val="3"/>
          <w:sz w:val="24"/>
          <w:szCs w:val="24"/>
          <w:u w:val="single"/>
          <w:bdr w:val="nil"/>
          <w:lang w:eastAsia="en-GB"/>
        </w:rPr>
        <w:t>content</w:t>
      </w:r>
      <w:r w:rsidRPr="00AA2C4A">
        <w:rPr>
          <w:rFonts w:ascii="Times New Roman" w:eastAsia="Arial Unicode MS" w:hAnsi="Times New Roman" w:cs="Times New Roman"/>
          <w:sz w:val="24"/>
          <w:szCs w:val="20"/>
          <w:u w:val="single"/>
          <w:bdr w:val="nil"/>
          <w:lang w:val="en-US" w:eastAsia="en-GB"/>
        </w:rPr>
        <w:t>:</w:t>
      </w:r>
      <w:r w:rsidRPr="00D1507D">
        <w:rPr>
          <w:rFonts w:ascii="Times New Roman" w:hAnsi="Times New Roman"/>
          <w:sz w:val="24"/>
          <w:bdr w:val="nil"/>
          <w:lang w:val="en-US"/>
        </w:rPr>
        <w:t xml:space="preserve"> </w:t>
      </w:r>
      <w:r w:rsidRPr="00AA2C4A">
        <w:rPr>
          <w:rFonts w:ascii="Times New Roman" w:eastAsia="Arial Unicode MS" w:hAnsi="Times New Roman" w:cs="Times New Roman"/>
          <w:kern w:val="3"/>
          <w:sz w:val="24"/>
          <w:szCs w:val="24"/>
          <w:bdr w:val="nil"/>
          <w:lang w:eastAsia="en-GB"/>
        </w:rPr>
        <w:t xml:space="preserve">Similar as Option 2 but the level of the impact would be higher due to a wider range of </w:t>
      </w:r>
      <w:r>
        <w:rPr>
          <w:rFonts w:ascii="Times New Roman" w:eastAsia="Arial Unicode MS" w:hAnsi="Times New Roman" w:cs="Times New Roman"/>
          <w:kern w:val="3"/>
          <w:sz w:val="24"/>
          <w:szCs w:val="24"/>
          <w:bdr w:val="nil"/>
          <w:lang w:eastAsia="en-GB"/>
        </w:rPr>
        <w:t xml:space="preserve">users potentially </w:t>
      </w:r>
      <w:r w:rsidRPr="00AA2C4A">
        <w:rPr>
          <w:rFonts w:ascii="Times New Roman" w:eastAsia="Arial Unicode MS" w:hAnsi="Times New Roman" w:cs="Times New Roman"/>
          <w:kern w:val="3"/>
          <w:sz w:val="24"/>
          <w:szCs w:val="24"/>
          <w:bdr w:val="nil"/>
          <w:lang w:eastAsia="en-GB"/>
        </w:rPr>
        <w:t>covered by this option</w:t>
      </w:r>
      <w:r>
        <w:rPr>
          <w:rFonts w:ascii="Times New Roman" w:eastAsia="Arial Unicode MS" w:hAnsi="Times New Roman" w:cs="Times New Roman"/>
          <w:kern w:val="3"/>
          <w:sz w:val="24"/>
          <w:szCs w:val="24"/>
          <w:bdr w:val="nil"/>
          <w:lang w:eastAsia="en-GB"/>
        </w:rPr>
        <w:t xml:space="preserve">. </w:t>
      </w:r>
    </w:p>
    <w:p w:rsidR="00083CE6" w:rsidRDefault="00083CE6" w:rsidP="00083CE6">
      <w:pPr>
        <w:pStyle w:val="Text1"/>
        <w:ind w:left="0"/>
        <w:rPr>
          <w:rFonts w:ascii="Times New Roman Bold" w:eastAsia="Arial Unicode MS" w:hAnsi="Times New Roman Bold" w:hint="eastAsia"/>
          <w:b/>
          <w:smallCaps/>
          <w:szCs w:val="24"/>
          <w:bdr w:val="nil"/>
        </w:rPr>
      </w:pPr>
      <w:r w:rsidRPr="00C32C45">
        <w:rPr>
          <w:rFonts w:ascii="Times New Roman Bold" w:eastAsia="Arial Unicode MS" w:hAnsi="Times New Roman Bold"/>
          <w:b/>
          <w:smallCaps/>
          <w:kern w:val="3"/>
          <w:szCs w:val="24"/>
          <w:bdr w:val="nil"/>
          <w:lang w:eastAsia="zh-CN"/>
        </w:rPr>
        <w:t xml:space="preserve">Social </w:t>
      </w:r>
      <w:r w:rsidRPr="00D742CB">
        <w:rPr>
          <w:rFonts w:ascii="Times New Roman Bold" w:eastAsia="Arial Unicode MS" w:hAnsi="Times New Roman Bold"/>
          <w:b/>
          <w:smallCaps/>
          <w:szCs w:val="24"/>
          <w:bdr w:val="nil"/>
        </w:rPr>
        <w:t>impacts</w:t>
      </w:r>
    </w:p>
    <w:p w:rsidR="00083CE6" w:rsidRPr="00C32C45" w:rsidRDefault="00083CE6" w:rsidP="00083CE6">
      <w:pPr>
        <w:pStyle w:val="Text1"/>
        <w:ind w:left="0"/>
        <w:rPr>
          <w:rFonts w:ascii="Times New Roman Bold" w:eastAsia="Arial Unicode MS" w:hAnsi="Times New Roman Bold" w:hint="eastAsia"/>
          <w:b/>
          <w:smallCaps/>
          <w:kern w:val="3"/>
          <w:szCs w:val="24"/>
          <w:bdr w:val="nil"/>
          <w:lang w:eastAsia="zh-CN"/>
        </w:rPr>
      </w:pPr>
      <w:r>
        <w:rPr>
          <w:rFonts w:eastAsia="Arial Unicode MS"/>
          <w:kern w:val="3"/>
          <w:szCs w:val="24"/>
          <w:bdr w:val="nil"/>
          <w:lang w:eastAsia="zh-CN"/>
        </w:rPr>
        <w:t>Similar to Option 3.</w:t>
      </w:r>
    </w:p>
    <w:p w:rsidR="00083CE6" w:rsidRPr="00C32C45" w:rsidRDefault="00083CE6" w:rsidP="00083CE6">
      <w:pPr>
        <w:pStyle w:val="Text1"/>
        <w:ind w:left="0"/>
        <w:rPr>
          <w:rFonts w:ascii="Times New Roman Bold" w:eastAsia="Arial Unicode MS" w:hAnsi="Times New Roman Bold" w:hint="eastAsia"/>
          <w:b/>
          <w:smallCaps/>
          <w:kern w:val="3"/>
          <w:szCs w:val="24"/>
          <w:bdr w:val="nil"/>
          <w:lang w:eastAsia="zh-CN"/>
        </w:rPr>
      </w:pPr>
      <w:r>
        <w:rPr>
          <w:rFonts w:ascii="Times New Roman Bold" w:eastAsia="Arial Unicode MS" w:hAnsi="Times New Roman Bold"/>
          <w:b/>
          <w:smallCaps/>
          <w:kern w:val="3"/>
          <w:szCs w:val="24"/>
          <w:bdr w:val="nil"/>
          <w:lang w:eastAsia="zh-CN"/>
        </w:rPr>
        <w:t>Impacts on f</w:t>
      </w:r>
      <w:r w:rsidRPr="00C32C45">
        <w:rPr>
          <w:rFonts w:ascii="Times New Roman Bold" w:eastAsia="Arial Unicode MS" w:hAnsi="Times New Roman Bold"/>
          <w:b/>
          <w:smallCaps/>
          <w:kern w:val="3"/>
          <w:szCs w:val="24"/>
          <w:bdr w:val="nil"/>
          <w:lang w:eastAsia="zh-CN"/>
        </w:rPr>
        <w:t>undamental rights</w:t>
      </w:r>
    </w:p>
    <w:p w:rsidR="00083CE6" w:rsidRDefault="00083CE6" w:rsidP="00083CE6">
      <w:pPr>
        <w:pStyle w:val="Text1"/>
        <w:ind w:left="0"/>
      </w:pPr>
      <w:r>
        <w:rPr>
          <w:rFonts w:eastAsia="Arial Unicode MS"/>
          <w:kern w:val="3"/>
          <w:szCs w:val="24"/>
          <w:bdr w:val="nil"/>
          <w:lang w:eastAsia="zh-CN"/>
        </w:rPr>
        <w:t>There would be a more ne</w:t>
      </w:r>
      <w:r w:rsidRPr="00AA2C4A">
        <w:rPr>
          <w:rFonts w:eastAsia="Arial Unicode MS"/>
          <w:kern w:val="3"/>
          <w:szCs w:val="24"/>
          <w:bdr w:val="nil"/>
          <w:lang w:eastAsia="zh-CN"/>
        </w:rPr>
        <w:t>gative</w:t>
      </w:r>
      <w:r w:rsidRPr="00AA2C4A">
        <w:rPr>
          <w:rFonts w:eastAsia="Arial Unicode MS"/>
          <w:kern w:val="3"/>
          <w:szCs w:val="24"/>
          <w:bdr w:val="nil"/>
        </w:rPr>
        <w:t xml:space="preserve"> impact on copyright as a fundamental right</w:t>
      </w:r>
      <w:r>
        <w:rPr>
          <w:rFonts w:eastAsia="Arial Unicode MS"/>
          <w:kern w:val="3"/>
          <w:szCs w:val="24"/>
          <w:bdr w:val="nil"/>
        </w:rPr>
        <w:t xml:space="preserve"> as the current</w:t>
      </w:r>
      <w:r w:rsidRPr="00AA2C4A">
        <w:rPr>
          <w:rFonts w:eastAsia="Arial Unicode MS"/>
          <w:kern w:val="3"/>
          <w:szCs w:val="24"/>
          <w:bdr w:val="nil"/>
        </w:rPr>
        <w:t xml:space="preserve"> balance between rights and exceptions</w:t>
      </w:r>
      <w:r>
        <w:rPr>
          <w:rFonts w:eastAsia="Arial Unicode MS"/>
          <w:kern w:val="3"/>
          <w:szCs w:val="24"/>
          <w:bdr w:val="nil"/>
        </w:rPr>
        <w:t xml:space="preserve"> in the area of research</w:t>
      </w:r>
      <w:r w:rsidRPr="00AA2C4A">
        <w:rPr>
          <w:rFonts w:eastAsia="Arial Unicode MS"/>
          <w:kern w:val="3"/>
          <w:szCs w:val="24"/>
          <w:bdr w:val="nil"/>
        </w:rPr>
        <w:t xml:space="preserve"> set by the current EU legal framework would be altered</w:t>
      </w:r>
      <w:r>
        <w:rPr>
          <w:rFonts w:eastAsia="Arial Unicode MS"/>
          <w:kern w:val="3"/>
          <w:szCs w:val="24"/>
          <w:bdr w:val="nil"/>
        </w:rPr>
        <w:t xml:space="preserve"> more substantially. </w:t>
      </w:r>
      <w:r w:rsidRPr="00AA2C4A">
        <w:rPr>
          <w:rFonts w:eastAsia="Arial Unicode MS"/>
          <w:kern w:val="3"/>
          <w:szCs w:val="24"/>
          <w:bdr w:val="nil"/>
        </w:rPr>
        <w:t>The impact on freedom of research would be positive</w:t>
      </w:r>
      <w:r>
        <w:rPr>
          <w:rFonts w:eastAsia="Arial Unicode MS"/>
          <w:kern w:val="3"/>
          <w:szCs w:val="24"/>
          <w:bdr w:val="nil"/>
        </w:rPr>
        <w:t>.</w:t>
      </w:r>
    </w:p>
    <w:p w:rsidR="00083CE6" w:rsidRDefault="00083CE6" w:rsidP="00D1507D">
      <w:pPr>
        <w:pStyle w:val="Heading3"/>
        <w:numPr>
          <w:ilvl w:val="2"/>
          <w:numId w:val="48"/>
        </w:numPr>
      </w:pPr>
      <w:bookmarkStart w:id="94" w:name="_Toc461114734"/>
      <w:r w:rsidRPr="00EC4FA4">
        <w:t xml:space="preserve">How </w:t>
      </w:r>
      <w:r>
        <w:t>d</w:t>
      </w:r>
      <w:r w:rsidRPr="00EC4FA4">
        <w:t>o the options compare?</w:t>
      </w:r>
      <w:bookmarkEnd w:id="94"/>
    </w:p>
    <w:tbl>
      <w:tblPr>
        <w:tblStyle w:val="TableGrid1"/>
        <w:tblW w:w="0" w:type="auto"/>
        <w:tblInd w:w="0" w:type="dxa"/>
        <w:tblLook w:val="04A0" w:firstRow="1" w:lastRow="0" w:firstColumn="1" w:lastColumn="0" w:noHBand="0" w:noVBand="1"/>
      </w:tblPr>
      <w:tblGrid>
        <w:gridCol w:w="1668"/>
        <w:gridCol w:w="1842"/>
        <w:gridCol w:w="1843"/>
        <w:gridCol w:w="1985"/>
        <w:gridCol w:w="1904"/>
      </w:tblGrid>
      <w:tr w:rsidR="00083CE6" w:rsidRPr="00EC4FA4" w:rsidTr="00D1507D">
        <w:tc>
          <w:tcPr>
            <w:tcW w:w="1668"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Option</w:t>
            </w:r>
          </w:p>
        </w:tc>
        <w:tc>
          <w:tcPr>
            <w:tcW w:w="1842"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Effectiveness</w:t>
            </w:r>
          </w:p>
        </w:tc>
        <w:tc>
          <w:tcPr>
            <w:tcW w:w="1843"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Efficiency</w:t>
            </w:r>
          </w:p>
        </w:tc>
        <w:tc>
          <w:tcPr>
            <w:tcW w:w="1985"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Impact on stakeholders</w:t>
            </w:r>
          </w:p>
        </w:tc>
        <w:tc>
          <w:tcPr>
            <w:tcW w:w="1904"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Pr>
                <w:rFonts w:ascii="Times New Roman" w:eastAsia="Arial Unicode MS" w:hAnsi="Times New Roman"/>
                <w:b/>
                <w:sz w:val="20"/>
                <w:szCs w:val="20"/>
                <w:bdr w:val="nil"/>
                <w:lang w:val="en-US"/>
              </w:rPr>
              <w:t>Social Impact/Impact on Fundamental Rights</w:t>
            </w:r>
          </w:p>
        </w:tc>
      </w:tr>
      <w:tr w:rsidR="00083CE6" w:rsidRPr="00EC4FA4" w:rsidTr="00D1507D">
        <w:trPr>
          <w:trHeight w:val="271"/>
        </w:trPr>
        <w:tc>
          <w:tcPr>
            <w:tcW w:w="1668"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Baseline</w:t>
            </w:r>
          </w:p>
        </w:tc>
        <w:tc>
          <w:tcPr>
            <w:tcW w:w="1842"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kern w:val="3"/>
                <w:sz w:val="20"/>
                <w:szCs w:val="20"/>
                <w:lang w:eastAsia="zh-CN"/>
              </w:rPr>
              <w:t>(0) Legal uncertainty for digital/online and cross-border uses would persist</w:t>
            </w:r>
          </w:p>
        </w:tc>
        <w:tc>
          <w:tcPr>
            <w:tcW w:w="1843" w:type="dxa"/>
          </w:tcPr>
          <w:p w:rsidR="00083CE6" w:rsidRPr="00123CFF" w:rsidRDefault="00083CE6" w:rsidP="00A57992">
            <w:pPr>
              <w:autoSpaceDE w:val="0"/>
              <w:autoSpaceDN w:val="0"/>
              <w:adjustRightInd w:val="0"/>
              <w:rPr>
                <w:rFonts w:ascii="Times New Roman" w:hAnsi="Times New Roman"/>
                <w:color w:val="000000"/>
                <w:kern w:val="3"/>
                <w:sz w:val="20"/>
                <w:szCs w:val="20"/>
                <w:lang w:eastAsia="zh-CN"/>
              </w:rPr>
            </w:pPr>
            <w:r w:rsidRPr="00123CFF">
              <w:rPr>
                <w:sz w:val="20"/>
              </w:rPr>
              <w:t>(</w:t>
            </w:r>
            <w:r w:rsidRPr="00123CFF">
              <w:rPr>
                <w:rFonts w:ascii="Times New Roman" w:hAnsi="Times New Roman"/>
                <w:color w:val="000000"/>
                <w:kern w:val="3"/>
                <w:sz w:val="20"/>
                <w:szCs w:val="20"/>
                <w:lang w:eastAsia="zh-CN"/>
              </w:rPr>
              <w:t xml:space="preserve">0) No direct costs associated with the baseline option </w:t>
            </w:r>
          </w:p>
          <w:p w:rsidR="00083CE6" w:rsidRPr="00123CFF" w:rsidRDefault="00083CE6" w:rsidP="00A57992">
            <w:pPr>
              <w:autoSpaceDE w:val="0"/>
              <w:autoSpaceDN w:val="0"/>
              <w:adjustRightInd w:val="0"/>
              <w:rPr>
                <w:rFonts w:ascii="Times New Roman" w:eastAsia="Arial Unicode MS" w:hAnsi="Times New Roman"/>
                <w:sz w:val="20"/>
                <w:szCs w:val="20"/>
                <w:bdr w:val="nil"/>
                <w:lang w:val="en-US"/>
              </w:rPr>
            </w:pPr>
          </w:p>
        </w:tc>
        <w:tc>
          <w:tcPr>
            <w:tcW w:w="1985" w:type="dxa"/>
          </w:tcPr>
          <w:p w:rsidR="00083CE6" w:rsidRPr="00123CFF" w:rsidRDefault="00083CE6" w:rsidP="00A57992">
            <w:pPr>
              <w:autoSpaceDE w:val="0"/>
              <w:autoSpaceDN w:val="0"/>
              <w:adjustRightInd w:val="0"/>
              <w:rPr>
                <w:rFonts w:ascii="Times New Roman" w:eastAsia="Arial Unicode MS" w:hAnsi="Times New Roman"/>
                <w:sz w:val="20"/>
                <w:szCs w:val="20"/>
                <w:bdr w:val="nil"/>
                <w:lang w:val="en-US"/>
              </w:rPr>
            </w:pPr>
            <w:r w:rsidRPr="00123CFF">
              <w:rPr>
                <w:sz w:val="20"/>
              </w:rPr>
              <w:t>(</w:t>
            </w:r>
            <w:r w:rsidRPr="00123CFF">
              <w:rPr>
                <w:rFonts w:ascii="Times New Roman" w:hAnsi="Times New Roman"/>
                <w:color w:val="000000"/>
                <w:kern w:val="3"/>
                <w:sz w:val="20"/>
                <w:szCs w:val="20"/>
                <w:lang w:eastAsia="zh-CN"/>
              </w:rPr>
              <w:t xml:space="preserve">0) Impacts on stakeholders would depend on reforms at national level or developments in the licensing market </w:t>
            </w:r>
          </w:p>
        </w:tc>
        <w:tc>
          <w:tcPr>
            <w:tcW w:w="1904"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sz w:val="20"/>
              </w:rPr>
              <w:t>(</w:t>
            </w:r>
            <w:r w:rsidRPr="00123CFF">
              <w:rPr>
                <w:rFonts w:ascii="Times New Roman" w:hAnsi="Times New Roman"/>
                <w:color w:val="000000"/>
                <w:kern w:val="3"/>
                <w:sz w:val="20"/>
                <w:szCs w:val="20"/>
                <w:lang w:eastAsia="zh-CN"/>
              </w:rPr>
              <w:t>0</w:t>
            </w:r>
            <w:r>
              <w:rPr>
                <w:rFonts w:ascii="Times New Roman" w:hAnsi="Times New Roman"/>
                <w:color w:val="000000"/>
                <w:kern w:val="3"/>
                <w:sz w:val="20"/>
                <w:szCs w:val="20"/>
                <w:lang w:eastAsia="zh-CN"/>
              </w:rPr>
              <w:t>)</w:t>
            </w:r>
            <w:r w:rsidRPr="00123CFF">
              <w:rPr>
                <w:rFonts w:ascii="Times New Roman" w:hAnsi="Times New Roman"/>
                <w:color w:val="000000"/>
                <w:kern w:val="3"/>
                <w:sz w:val="20"/>
                <w:szCs w:val="20"/>
                <w:lang w:eastAsia="zh-CN"/>
              </w:rPr>
              <w:t xml:space="preserve"> No direct social impact or or impacts on fundamental rights as a consequence of EU action. </w:t>
            </w:r>
          </w:p>
        </w:tc>
      </w:tr>
      <w:tr w:rsidR="00083CE6" w:rsidRPr="00EC4FA4" w:rsidTr="00D1507D">
        <w:trPr>
          <w:trHeight w:val="1841"/>
        </w:trPr>
        <w:tc>
          <w:tcPr>
            <w:tcW w:w="1668" w:type="dxa"/>
          </w:tcPr>
          <w:p w:rsidR="00083CE6" w:rsidRPr="00D742CB" w:rsidRDefault="00083CE6" w:rsidP="00A57992">
            <w:pPr>
              <w:rPr>
                <w:rFonts w:ascii="Times New Roman" w:eastAsia="Arial Unicode MS" w:hAnsi="Times New Roman"/>
                <w:b/>
                <w:sz w:val="20"/>
                <w:szCs w:val="20"/>
                <w:bdr w:val="nil"/>
                <w:lang w:val="en-US"/>
              </w:rPr>
            </w:pPr>
            <w:bookmarkStart w:id="95" w:name="_Toc454351335"/>
            <w:bookmarkStart w:id="96" w:name="_Toc454561750"/>
            <w:r w:rsidRPr="00D742CB">
              <w:rPr>
                <w:rFonts w:ascii="Times New Roman" w:eastAsia="Arial Unicode MS" w:hAnsi="Times New Roman"/>
                <w:b/>
                <w:sz w:val="20"/>
                <w:szCs w:val="20"/>
                <w:bdr w:val="nil"/>
                <w:lang w:val="en-US"/>
              </w:rPr>
              <w:t>Option 1 – Fostering industry self-regulation initiatives without changes to the EU legal framework</w:t>
            </w:r>
            <w:bookmarkEnd w:id="95"/>
            <w:bookmarkEnd w:id="96"/>
            <w:r w:rsidRPr="00D742CB">
              <w:rPr>
                <w:rFonts w:ascii="Times New Roman" w:eastAsia="Arial Unicode MS" w:hAnsi="Times New Roman"/>
                <w:b/>
                <w:sz w:val="20"/>
                <w:szCs w:val="20"/>
                <w:bdr w:val="nil"/>
                <w:lang w:val="en-US"/>
              </w:rPr>
              <w:t xml:space="preserve"> </w:t>
            </w:r>
          </w:p>
        </w:tc>
        <w:tc>
          <w:tcPr>
            <w:tcW w:w="1842"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(0/+) </w:t>
            </w:r>
            <w:r>
              <w:rPr>
                <w:rFonts w:ascii="Times New Roman" w:hAnsi="Times New Roman"/>
                <w:color w:val="000000"/>
                <w:kern w:val="3"/>
                <w:sz w:val="20"/>
                <w:szCs w:val="20"/>
                <w:lang w:eastAsia="zh-CN"/>
              </w:rPr>
              <w:t>Not likely to be effective due to unwillingness of the parties to find mutually satisfactory solutions</w:t>
            </w:r>
            <w:r w:rsidRPr="00123CFF">
              <w:rPr>
                <w:rFonts w:ascii="Times New Roman" w:hAnsi="Times New Roman"/>
                <w:color w:val="000000"/>
                <w:sz w:val="20"/>
                <w:szCs w:val="20"/>
              </w:rPr>
              <w:t xml:space="preserve"> </w:t>
            </w:r>
            <w:r>
              <w:rPr>
                <w:rFonts w:ascii="Times New Roman" w:hAnsi="Times New Roman"/>
                <w:color w:val="000000"/>
                <w:sz w:val="20"/>
                <w:szCs w:val="20"/>
              </w:rPr>
              <w:t>on the basis of the current legal framework</w:t>
            </w:r>
            <w:r>
              <w:rPr>
                <w:rFonts w:ascii="Times New Roman" w:hAnsi="Times New Roman"/>
                <w:color w:val="000000"/>
                <w:kern w:val="3"/>
                <w:sz w:val="20"/>
                <w:szCs w:val="20"/>
                <w:lang w:eastAsia="zh-CN"/>
              </w:rPr>
              <w:t xml:space="preserve">. </w:t>
            </w:r>
          </w:p>
        </w:tc>
        <w:tc>
          <w:tcPr>
            <w:tcW w:w="1843"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(0/-) Limited costs</w:t>
            </w:r>
          </w:p>
          <w:p w:rsidR="00083CE6" w:rsidRPr="00123CFF" w:rsidRDefault="00083CE6" w:rsidP="00A57992">
            <w:pPr>
              <w:autoSpaceDE w:val="0"/>
              <w:autoSpaceDN w:val="0"/>
              <w:adjustRightInd w:val="0"/>
              <w:rPr>
                <w:rFonts w:ascii="Times New Roman" w:hAnsi="Times New Roman"/>
                <w:color w:val="000000"/>
                <w:kern w:val="3"/>
                <w:sz w:val="20"/>
                <w:szCs w:val="20"/>
                <w:lang w:eastAsia="zh-CN"/>
              </w:rPr>
            </w:pPr>
            <w:r w:rsidRPr="00123CFF">
              <w:rPr>
                <w:rFonts w:ascii="Times New Roman" w:hAnsi="Times New Roman"/>
                <w:color w:val="000000"/>
                <w:kern w:val="3"/>
                <w:sz w:val="20"/>
                <w:szCs w:val="20"/>
                <w:lang w:eastAsia="zh-CN"/>
              </w:rPr>
              <w:t xml:space="preserve">for </w:t>
            </w:r>
            <w:r w:rsidR="0002514A">
              <w:rPr>
                <w:rFonts w:ascii="Times New Roman" w:hAnsi="Times New Roman"/>
                <w:color w:val="000000"/>
                <w:kern w:val="3"/>
                <w:sz w:val="20"/>
                <w:szCs w:val="20"/>
                <w:lang w:eastAsia="zh-CN"/>
              </w:rPr>
              <w:t>rightholders</w:t>
            </w:r>
            <w:r w:rsidRPr="00123CFF">
              <w:rPr>
                <w:rFonts w:ascii="Times New Roman" w:hAnsi="Times New Roman"/>
                <w:color w:val="000000"/>
                <w:kern w:val="3"/>
                <w:sz w:val="20"/>
                <w:szCs w:val="20"/>
                <w:lang w:eastAsia="zh-CN"/>
              </w:rPr>
              <w:t xml:space="preserve"> who take commitments (need to change existing licensing to allow TDM for scientific research purposes).  </w:t>
            </w:r>
          </w:p>
          <w:p w:rsidR="00083CE6" w:rsidRPr="00123CFF" w:rsidRDefault="00083CE6" w:rsidP="00A57992">
            <w:pPr>
              <w:autoSpaceDE w:val="0"/>
              <w:autoSpaceDN w:val="0"/>
              <w:adjustRightInd w:val="0"/>
              <w:rPr>
                <w:rFonts w:ascii="Times New Roman" w:hAnsi="Times New Roman"/>
                <w:color w:val="000000"/>
                <w:sz w:val="20"/>
                <w:szCs w:val="20"/>
              </w:rPr>
            </w:pPr>
          </w:p>
        </w:tc>
        <w:tc>
          <w:tcPr>
            <w:tcW w:w="1985"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(0/+) Main impacts on stakeholders would depend on commitments taken by industry. </w:t>
            </w:r>
          </w:p>
        </w:tc>
        <w:tc>
          <w:tcPr>
            <w:tcW w:w="1904" w:type="dxa"/>
          </w:tcPr>
          <w:p w:rsidR="001620B3"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w:t>
            </w:r>
            <w:r>
              <w:rPr>
                <w:rFonts w:ascii="Times New Roman" w:hAnsi="Times New Roman"/>
                <w:color w:val="000000"/>
                <w:sz w:val="20"/>
                <w:szCs w:val="20"/>
              </w:rPr>
              <w:t>0/+</w:t>
            </w:r>
            <w:r w:rsidRPr="00123CFF">
              <w:rPr>
                <w:rFonts w:ascii="Times New Roman" w:hAnsi="Times New Roman"/>
                <w:color w:val="000000"/>
                <w:sz w:val="20"/>
                <w:szCs w:val="20"/>
              </w:rPr>
              <w:t xml:space="preserve">) </w:t>
            </w:r>
            <w:r>
              <w:rPr>
                <w:rFonts w:ascii="Times New Roman" w:hAnsi="Times New Roman"/>
                <w:color w:val="000000"/>
                <w:sz w:val="20"/>
                <w:szCs w:val="20"/>
              </w:rPr>
              <w:t>P</w:t>
            </w:r>
            <w:r w:rsidRPr="00123CFF">
              <w:rPr>
                <w:rFonts w:ascii="Times New Roman" w:hAnsi="Times New Roman"/>
                <w:color w:val="000000"/>
                <w:sz w:val="20"/>
                <w:szCs w:val="20"/>
              </w:rPr>
              <w:t xml:space="preserve">roblems which contribute to slow down Europe as a research area </w:t>
            </w:r>
            <w:r>
              <w:rPr>
                <w:rFonts w:ascii="Times New Roman" w:hAnsi="Times New Roman"/>
                <w:color w:val="000000"/>
                <w:sz w:val="20"/>
                <w:szCs w:val="20"/>
              </w:rPr>
              <w:t xml:space="preserve">likely to remain largely unsolved </w:t>
            </w:r>
          </w:p>
          <w:p w:rsidR="00083CE6" w:rsidRPr="00123CFF" w:rsidRDefault="00083CE6" w:rsidP="00A57992">
            <w:pPr>
              <w:autoSpaceDE w:val="0"/>
              <w:autoSpaceDN w:val="0"/>
              <w:adjustRightInd w:val="0"/>
              <w:rPr>
                <w:rFonts w:ascii="Times New Roman" w:eastAsia="Arial Unicode MS" w:hAnsi="Times New Roman"/>
                <w:kern w:val="3"/>
                <w:sz w:val="20"/>
                <w:szCs w:val="20"/>
                <w:bdr w:val="nil"/>
                <w:lang w:eastAsia="zh-CN"/>
              </w:rPr>
            </w:pPr>
            <w:r w:rsidRPr="00123CFF">
              <w:rPr>
                <w:rFonts w:ascii="Times New Roman" w:hAnsi="Times New Roman"/>
                <w:color w:val="000000"/>
                <w:sz w:val="20"/>
                <w:szCs w:val="20"/>
              </w:rPr>
              <w:t xml:space="preserve">(0) </w:t>
            </w:r>
            <w:r w:rsidRPr="00123CFF">
              <w:rPr>
                <w:rFonts w:ascii="Times New Roman" w:eastAsia="Arial Unicode MS" w:hAnsi="Times New Roman"/>
                <w:kern w:val="3"/>
                <w:sz w:val="20"/>
                <w:szCs w:val="20"/>
                <w:bdr w:val="nil"/>
                <w:lang w:eastAsia="zh-CN"/>
              </w:rPr>
              <w:t xml:space="preserve">No impact on copyright. </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eastAsia="Arial Unicode MS" w:hAnsi="Times New Roman"/>
                <w:kern w:val="3"/>
                <w:sz w:val="20"/>
                <w:szCs w:val="20"/>
                <w:bdr w:val="nil"/>
                <w:lang w:eastAsia="zh-CN"/>
              </w:rPr>
              <w:t xml:space="preserve">(0/+) </w:t>
            </w:r>
            <w:r w:rsidRPr="00123CFF">
              <w:rPr>
                <w:rFonts w:ascii="Times New Roman" w:eastAsia="Arial Unicode MS" w:hAnsi="Times New Roman"/>
                <w:kern w:val="3"/>
                <w:sz w:val="20"/>
                <w:szCs w:val="20"/>
                <w:bdr w:val="nil"/>
                <w:lang w:val="en-US" w:eastAsia="en-GB"/>
              </w:rPr>
              <w:t>Slightly positive impact on the right of freedom of art and science.</w:t>
            </w:r>
          </w:p>
        </w:tc>
      </w:tr>
      <w:tr w:rsidR="00083CE6" w:rsidRPr="00EC4FA4" w:rsidTr="00D1507D">
        <w:trPr>
          <w:trHeight w:val="995"/>
        </w:trPr>
        <w:tc>
          <w:tcPr>
            <w:tcW w:w="1668" w:type="dxa"/>
          </w:tcPr>
          <w:p w:rsidR="00083CE6" w:rsidRPr="00D742CB" w:rsidRDefault="00083CE6" w:rsidP="00A57992">
            <w:pPr>
              <w:rPr>
                <w:rFonts w:ascii="Times New Roman" w:eastAsia="Arial Unicode MS" w:hAnsi="Times New Roman"/>
                <w:b/>
                <w:sz w:val="20"/>
                <w:szCs w:val="20"/>
                <w:bdr w:val="nil"/>
                <w:lang w:val="en-US"/>
              </w:rPr>
            </w:pPr>
            <w:bookmarkStart w:id="97" w:name="_Toc454351336"/>
            <w:bookmarkStart w:id="98" w:name="_Toc454561751"/>
            <w:r w:rsidRPr="00D742CB">
              <w:rPr>
                <w:rFonts w:ascii="Times New Roman" w:eastAsia="Arial Unicode MS" w:hAnsi="Times New Roman"/>
                <w:b/>
                <w:sz w:val="20"/>
                <w:szCs w:val="20"/>
                <w:bdr w:val="nil"/>
                <w:lang w:val="en-US"/>
              </w:rPr>
              <w:t xml:space="preserve">Option 2 – Mandatory exception covering text and data mining for </w:t>
            </w:r>
            <w:r w:rsidRPr="00D742CB">
              <w:rPr>
                <w:rFonts w:ascii="Times New Roman" w:eastAsia="Arial Unicode MS" w:hAnsi="Times New Roman"/>
                <w:b/>
                <w:sz w:val="20"/>
                <w:szCs w:val="20"/>
                <w:u w:val="single"/>
                <w:bdr w:val="nil"/>
                <w:lang w:val="en-US"/>
              </w:rPr>
              <w:t>non-commercial</w:t>
            </w:r>
            <w:r w:rsidRPr="00D742CB">
              <w:rPr>
                <w:rFonts w:ascii="Times New Roman" w:eastAsia="Arial Unicode MS" w:hAnsi="Times New Roman"/>
                <w:b/>
                <w:sz w:val="20"/>
                <w:szCs w:val="20"/>
                <w:bdr w:val="nil"/>
                <w:lang w:val="en-US"/>
              </w:rPr>
              <w:t xml:space="preserve"> scientific research</w:t>
            </w:r>
            <w:bookmarkEnd w:id="97"/>
            <w:bookmarkEnd w:id="98"/>
          </w:p>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p>
        </w:tc>
        <w:tc>
          <w:tcPr>
            <w:tcW w:w="1842"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Would ensure increased legal certainty </w:t>
            </w:r>
            <w:r w:rsidRPr="00123CFF">
              <w:rPr>
                <w:rFonts w:ascii="Times New Roman" w:hAnsi="Times New Roman"/>
                <w:color w:val="000000"/>
                <w:kern w:val="3"/>
                <w:sz w:val="20"/>
                <w:szCs w:val="20"/>
                <w:lang w:eastAsia="en-GB"/>
              </w:rPr>
              <w:t>for researchers carrying out TDM for non-commercial purposes</w:t>
            </w:r>
          </w:p>
        </w:tc>
        <w:tc>
          <w:tcPr>
            <w:tcW w:w="1843" w:type="dxa"/>
          </w:tcPr>
          <w:p w:rsidR="00083CE6" w:rsidRPr="00123CFF" w:rsidRDefault="00083CE6" w:rsidP="00A57992">
            <w:pPr>
              <w:autoSpaceDE w:val="0"/>
              <w:autoSpaceDN w:val="0"/>
              <w:adjustRightInd w:val="0"/>
              <w:rPr>
                <w:rFonts w:ascii="Times New Roman" w:hAnsi="Times New Roman"/>
                <w:color w:val="000000"/>
                <w:kern w:val="3"/>
                <w:sz w:val="20"/>
                <w:szCs w:val="20"/>
                <w:lang w:eastAsia="zh-CN"/>
              </w:rPr>
            </w:pPr>
            <w:r w:rsidRPr="00123CFF">
              <w:rPr>
                <w:rFonts w:ascii="Times New Roman" w:hAnsi="Times New Roman"/>
                <w:color w:val="000000"/>
                <w:sz w:val="20"/>
                <w:szCs w:val="20"/>
              </w:rPr>
              <w:t xml:space="preserve">(-) Limited compliance costs for </w:t>
            </w:r>
            <w:r w:rsidR="0002514A">
              <w:rPr>
                <w:rFonts w:ascii="Times New Roman" w:hAnsi="Times New Roman"/>
                <w:color w:val="000000"/>
                <w:sz w:val="20"/>
                <w:szCs w:val="20"/>
              </w:rPr>
              <w:t>r</w:t>
            </w:r>
            <w:r w:rsidR="00007677">
              <w:rPr>
                <w:rFonts w:ascii="Times New Roman" w:hAnsi="Times New Roman"/>
                <w:color w:val="000000"/>
                <w:sz w:val="20"/>
                <w:szCs w:val="20"/>
              </w:rPr>
              <w:t>ightholders</w:t>
            </w:r>
            <w:r w:rsidRPr="00123CFF">
              <w:rPr>
                <w:rFonts w:ascii="Times New Roman" w:hAnsi="Times New Roman"/>
                <w:color w:val="000000"/>
                <w:sz w:val="20"/>
                <w:szCs w:val="20"/>
              </w:rPr>
              <w:t xml:space="preserve"> because of the need to adapt licences with public interest research organisations following the introduction of the exception. </w:t>
            </w:r>
          </w:p>
          <w:p w:rsidR="00083CE6" w:rsidRPr="00123CFF" w:rsidRDefault="00083CE6" w:rsidP="00A57992">
            <w:pPr>
              <w:autoSpaceDE w:val="0"/>
              <w:autoSpaceDN w:val="0"/>
              <w:adjustRightInd w:val="0"/>
              <w:rPr>
                <w:rFonts w:ascii="Times New Roman" w:hAnsi="Times New Roman"/>
                <w:color w:val="000000"/>
                <w:sz w:val="20"/>
                <w:szCs w:val="20"/>
              </w:rPr>
            </w:pPr>
          </w:p>
        </w:tc>
        <w:tc>
          <w:tcPr>
            <w:tcW w:w="1985" w:type="dxa"/>
          </w:tcPr>
          <w:p w:rsidR="00083CE6" w:rsidRPr="00123CFF" w:rsidRDefault="00083CE6" w:rsidP="00A57992">
            <w:pPr>
              <w:autoSpaceDE w:val="0"/>
              <w:autoSpaceDN w:val="0"/>
              <w:adjustRightInd w:val="0"/>
              <w:rPr>
                <w:rFonts w:ascii="Times New Roman" w:hAnsi="Times New Roman"/>
                <w:color w:val="000000"/>
                <w:kern w:val="3"/>
                <w:sz w:val="20"/>
                <w:szCs w:val="20"/>
                <w:lang w:eastAsia="en-GB"/>
              </w:rPr>
            </w:pPr>
            <w:r w:rsidRPr="00123CFF">
              <w:rPr>
                <w:rFonts w:ascii="Times New Roman" w:hAnsi="Times New Roman"/>
                <w:color w:val="000000"/>
                <w:sz w:val="20"/>
                <w:szCs w:val="20"/>
              </w:rPr>
              <w:t xml:space="preserve">(+) Increase in legal certainty and reduction of transaction costs for researchers carrying out TDM for non-commercial purpose. Some legal uncertainty persists for PPP research projects. </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w:t>
            </w:r>
            <w:r w:rsidRPr="00123CFF">
              <w:rPr>
                <w:rFonts w:ascii="Times New Roman" w:hAnsi="Times New Roman"/>
                <w:color w:val="000000"/>
                <w:kern w:val="3"/>
                <w:sz w:val="20"/>
                <w:szCs w:val="20"/>
                <w:lang w:eastAsia="en-GB"/>
              </w:rPr>
              <w:t xml:space="preserve"> Limited negative effect on publishers' TDM licensing market</w:t>
            </w:r>
          </w:p>
        </w:tc>
        <w:tc>
          <w:tcPr>
            <w:tcW w:w="1904"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Positive social impact on Europe's attractiveness as a research area. </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Limited negative impact on the right of property</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eastAsia="Arial Unicode MS" w:hAnsi="Times New Roman"/>
                <w:kern w:val="3"/>
                <w:sz w:val="20"/>
                <w:szCs w:val="20"/>
                <w:bdr w:val="nil"/>
                <w:lang w:eastAsia="zh-CN"/>
              </w:rPr>
              <w:t xml:space="preserve">(+) </w:t>
            </w:r>
            <w:r w:rsidRPr="00123CFF">
              <w:rPr>
                <w:rFonts w:ascii="Times New Roman" w:eastAsia="Arial Unicode MS" w:hAnsi="Times New Roman"/>
                <w:kern w:val="3"/>
                <w:sz w:val="20"/>
                <w:szCs w:val="20"/>
                <w:bdr w:val="nil"/>
                <w:lang w:val="en-US" w:eastAsia="en-GB"/>
              </w:rPr>
              <w:t>Positive impact on the right of freedom of art and science.</w:t>
            </w:r>
          </w:p>
        </w:tc>
      </w:tr>
      <w:tr w:rsidR="00083CE6" w:rsidRPr="00EC4FA4" w:rsidTr="00D1507D">
        <w:tc>
          <w:tcPr>
            <w:tcW w:w="1668" w:type="dxa"/>
          </w:tcPr>
          <w:p w:rsidR="00083CE6" w:rsidRPr="00E06171" w:rsidRDefault="00083CE6" w:rsidP="00A57992">
            <w:pPr>
              <w:pBdr>
                <w:top w:val="nil"/>
                <w:left w:val="nil"/>
                <w:bottom w:val="nil"/>
                <w:right w:val="nil"/>
                <w:between w:val="nil"/>
                <w:bar w:val="nil"/>
              </w:pBdr>
              <w:rPr>
                <w:rFonts w:ascii="Times New Roman" w:eastAsia="Arial Unicode MS" w:hAnsi="Times New Roman"/>
                <w:b/>
                <w:sz w:val="20"/>
                <w:szCs w:val="20"/>
                <w:bdr w:val="nil"/>
                <w:lang w:val="en-US"/>
              </w:rPr>
            </w:pPr>
            <w:r w:rsidRPr="00E06171">
              <w:rPr>
                <w:rFonts w:ascii="Times New Roman" w:eastAsia="Arial Unicode MS" w:hAnsi="Times New Roman"/>
                <w:b/>
                <w:sz w:val="20"/>
                <w:szCs w:val="20"/>
                <w:bdr w:val="nil"/>
                <w:lang w:val="en-US"/>
              </w:rPr>
              <w:t xml:space="preserve">Option 3 – Mandatory exception applicable to </w:t>
            </w:r>
            <w:r w:rsidRPr="00E06171">
              <w:rPr>
                <w:rFonts w:ascii="Times New Roman" w:eastAsia="Arial Unicode MS" w:hAnsi="Times New Roman"/>
                <w:b/>
                <w:sz w:val="20"/>
                <w:szCs w:val="20"/>
                <w:u w:val="single"/>
                <w:bdr w:val="nil"/>
                <w:lang w:val="en-US"/>
              </w:rPr>
              <w:t xml:space="preserve">public interest research </w:t>
            </w:r>
            <w:r w:rsidRPr="00C61C56">
              <w:rPr>
                <w:rFonts w:ascii="Times New Roman" w:eastAsia="Arial Unicode MS" w:hAnsi="Times New Roman"/>
                <w:b/>
                <w:sz w:val="20"/>
                <w:szCs w:val="20"/>
                <w:u w:val="single"/>
                <w:bdr w:val="nil"/>
              </w:rPr>
              <w:t>organisations</w:t>
            </w:r>
            <w:r w:rsidRPr="00E06171">
              <w:rPr>
                <w:rFonts w:ascii="Times New Roman" w:eastAsia="Arial Unicode MS" w:hAnsi="Times New Roman"/>
                <w:b/>
                <w:sz w:val="20"/>
                <w:szCs w:val="20"/>
                <w:bdr w:val="nil"/>
                <w:lang w:val="en-US"/>
              </w:rPr>
              <w:t xml:space="preserve"> covering text and data mining for the purposes of both </w:t>
            </w:r>
            <w:r w:rsidRPr="00E06171">
              <w:rPr>
                <w:rFonts w:ascii="Times New Roman" w:eastAsia="Arial Unicode MS" w:hAnsi="Times New Roman"/>
                <w:b/>
                <w:sz w:val="20"/>
                <w:szCs w:val="20"/>
                <w:u w:val="single"/>
                <w:bdr w:val="nil"/>
                <w:lang w:val="en-US"/>
              </w:rPr>
              <w:t>non-commercial and commercial</w:t>
            </w:r>
            <w:r w:rsidRPr="00E06171">
              <w:rPr>
                <w:rFonts w:ascii="Times New Roman" w:eastAsia="Arial Unicode MS" w:hAnsi="Times New Roman"/>
                <w:b/>
                <w:sz w:val="20"/>
                <w:szCs w:val="20"/>
                <w:bdr w:val="nil"/>
                <w:lang w:val="en-US"/>
              </w:rPr>
              <w:t xml:space="preserve"> scientific research</w:t>
            </w:r>
          </w:p>
        </w:tc>
        <w:tc>
          <w:tcPr>
            <w:tcW w:w="1842"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Would ensure legal certainty for public interest research organisations carrying out TDM both for commercial and non-commercial purposes</w:t>
            </w:r>
          </w:p>
        </w:tc>
        <w:tc>
          <w:tcPr>
            <w:tcW w:w="1843"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(-)Limited compliance costs for </w:t>
            </w:r>
            <w:r w:rsidR="0002514A">
              <w:rPr>
                <w:rFonts w:ascii="Times New Roman" w:hAnsi="Times New Roman"/>
                <w:color w:val="000000"/>
                <w:sz w:val="20"/>
                <w:szCs w:val="20"/>
              </w:rPr>
              <w:t>r</w:t>
            </w:r>
            <w:r w:rsidR="00007677">
              <w:rPr>
                <w:rFonts w:ascii="Times New Roman" w:hAnsi="Times New Roman"/>
                <w:color w:val="000000"/>
                <w:sz w:val="20"/>
                <w:szCs w:val="20"/>
              </w:rPr>
              <w:t>ightholders</w:t>
            </w:r>
            <w:r w:rsidRPr="00123CFF">
              <w:rPr>
                <w:rFonts w:ascii="Times New Roman" w:hAnsi="Times New Roman"/>
                <w:color w:val="000000"/>
                <w:sz w:val="20"/>
                <w:szCs w:val="20"/>
              </w:rPr>
              <w:t xml:space="preserve"> because of the need to adapt licences with public interest research organisations following the introduction of the exception</w:t>
            </w:r>
          </w:p>
        </w:tc>
        <w:tc>
          <w:tcPr>
            <w:tcW w:w="1985"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Increase in legal certainty and reduction of transaction costs for researchers, including for research carried out via PPPs  </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w:t>
            </w:r>
            <w:r w:rsidRPr="00123CFF">
              <w:rPr>
                <w:rFonts w:ascii="Times New Roman" w:hAnsi="Times New Roman"/>
                <w:color w:val="000000"/>
                <w:kern w:val="3"/>
                <w:sz w:val="20"/>
                <w:szCs w:val="20"/>
                <w:lang w:eastAsia="en-GB"/>
              </w:rPr>
              <w:t xml:space="preserve"> Limited negative effect on publishers' TDM licensing market. </w:t>
            </w:r>
          </w:p>
        </w:tc>
        <w:tc>
          <w:tcPr>
            <w:tcW w:w="1904"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Positive social impact on Europe's attractiveness as a research area</w:t>
            </w:r>
          </w:p>
          <w:p w:rsidR="00083CE6" w:rsidRPr="00123CFF" w:rsidRDefault="00083CE6" w:rsidP="00A57992">
            <w:pPr>
              <w:autoSpaceDE w:val="0"/>
              <w:autoSpaceDN w:val="0"/>
              <w:adjustRightInd w:val="0"/>
              <w:rPr>
                <w:rFonts w:ascii="Times New Roman" w:hAnsi="Times New Roman"/>
                <w:color w:val="000000"/>
                <w:sz w:val="20"/>
                <w:szCs w:val="20"/>
              </w:rPr>
            </w:pPr>
            <w:r w:rsidRPr="00123CFF" w:rsidDel="002C38AE">
              <w:rPr>
                <w:rFonts w:ascii="Times New Roman" w:hAnsi="Times New Roman"/>
                <w:color w:val="000000"/>
                <w:sz w:val="20"/>
                <w:szCs w:val="20"/>
              </w:rPr>
              <w:t xml:space="preserve"> </w:t>
            </w:r>
            <w:r w:rsidRPr="00123CFF">
              <w:rPr>
                <w:rFonts w:ascii="Times New Roman" w:hAnsi="Times New Roman"/>
                <w:color w:val="000000"/>
                <w:sz w:val="20"/>
                <w:szCs w:val="20"/>
              </w:rPr>
              <w:t>(-) Limited negative impact on the right of property</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eastAsia="Arial Unicode MS" w:hAnsi="Times New Roman"/>
                <w:kern w:val="3"/>
                <w:sz w:val="20"/>
                <w:szCs w:val="20"/>
                <w:bdr w:val="nil"/>
                <w:lang w:eastAsia="zh-CN"/>
              </w:rPr>
              <w:t xml:space="preserve">(+) </w:t>
            </w:r>
            <w:r w:rsidRPr="00123CFF">
              <w:rPr>
                <w:rFonts w:ascii="Times New Roman" w:eastAsia="Arial Unicode MS" w:hAnsi="Times New Roman"/>
                <w:kern w:val="3"/>
                <w:sz w:val="20"/>
                <w:szCs w:val="20"/>
                <w:bdr w:val="nil"/>
                <w:lang w:val="en-US" w:eastAsia="en-GB"/>
              </w:rPr>
              <w:t>Positive impact on the right of freedom of art and science.</w:t>
            </w:r>
          </w:p>
          <w:p w:rsidR="00083CE6" w:rsidRPr="00123CFF" w:rsidRDefault="00083CE6" w:rsidP="00A57992">
            <w:pPr>
              <w:autoSpaceDE w:val="0"/>
              <w:autoSpaceDN w:val="0"/>
              <w:adjustRightInd w:val="0"/>
              <w:rPr>
                <w:rFonts w:ascii="Times New Roman" w:hAnsi="Times New Roman"/>
                <w:color w:val="000000"/>
                <w:sz w:val="20"/>
                <w:szCs w:val="20"/>
              </w:rPr>
            </w:pPr>
          </w:p>
        </w:tc>
      </w:tr>
      <w:tr w:rsidR="00083CE6" w:rsidRPr="00EC4FA4" w:rsidTr="00D1507D">
        <w:tc>
          <w:tcPr>
            <w:tcW w:w="1668" w:type="dxa"/>
          </w:tcPr>
          <w:p w:rsidR="00083CE6" w:rsidRPr="00D742CB" w:rsidRDefault="00083CE6" w:rsidP="00A57992">
            <w:pPr>
              <w:rPr>
                <w:rFonts w:ascii="Times New Roman" w:eastAsia="Arial Unicode MS" w:hAnsi="Times New Roman"/>
                <w:b/>
                <w:sz w:val="20"/>
                <w:szCs w:val="20"/>
                <w:bdr w:val="nil"/>
                <w:lang w:val="en-US"/>
              </w:rPr>
            </w:pPr>
            <w:bookmarkStart w:id="99" w:name="_Toc454351337"/>
            <w:bookmarkStart w:id="100" w:name="_Toc454561752"/>
            <w:r w:rsidRPr="00D742CB">
              <w:rPr>
                <w:rFonts w:ascii="Times New Roman" w:eastAsia="Arial Unicode MS" w:hAnsi="Times New Roman"/>
                <w:b/>
                <w:sz w:val="20"/>
                <w:szCs w:val="20"/>
                <w:bdr w:val="nil"/>
                <w:lang w:val="en-US"/>
              </w:rPr>
              <w:t xml:space="preserve">Option 4 – Mandatory exception applicable to </w:t>
            </w:r>
            <w:r w:rsidRPr="00D742CB">
              <w:rPr>
                <w:rFonts w:ascii="Times New Roman" w:eastAsia="Arial Unicode MS" w:hAnsi="Times New Roman"/>
                <w:b/>
                <w:sz w:val="20"/>
                <w:szCs w:val="20"/>
                <w:u w:val="single"/>
                <w:bdr w:val="nil"/>
                <w:lang w:val="en-US"/>
              </w:rPr>
              <w:t>anybody who has lawful access</w:t>
            </w:r>
            <w:r w:rsidRPr="00D742CB">
              <w:rPr>
                <w:rFonts w:ascii="Times New Roman" w:eastAsia="Arial Unicode MS" w:hAnsi="Times New Roman"/>
                <w:b/>
                <w:sz w:val="20"/>
                <w:szCs w:val="20"/>
                <w:bdr w:val="nil"/>
                <w:lang w:val="en-US"/>
              </w:rPr>
              <w:t xml:space="preserve"> (both public interest organisations and businesses) covering text and data mining for any scientific research purposes of </w:t>
            </w:r>
            <w:r w:rsidRPr="00D742CB">
              <w:rPr>
                <w:rFonts w:ascii="Times New Roman" w:eastAsia="Arial Unicode MS" w:hAnsi="Times New Roman"/>
                <w:b/>
                <w:sz w:val="20"/>
                <w:szCs w:val="20"/>
                <w:u w:val="single"/>
                <w:bdr w:val="nil"/>
                <w:lang w:val="en-US"/>
              </w:rPr>
              <w:t>both non-commercial and commercial scientific research.</w:t>
            </w:r>
            <w:bookmarkEnd w:id="99"/>
            <w:bookmarkEnd w:id="100"/>
          </w:p>
        </w:tc>
        <w:tc>
          <w:tcPr>
            <w:tcW w:w="1842" w:type="dxa"/>
          </w:tcPr>
          <w:p w:rsidR="00083CE6" w:rsidRPr="00E06171" w:rsidRDefault="00083CE6" w:rsidP="00A57992">
            <w:pPr>
              <w:autoSpaceDE w:val="0"/>
              <w:autoSpaceDN w:val="0"/>
              <w:adjustRightInd w:val="0"/>
              <w:rPr>
                <w:rFonts w:ascii="Times New Roman" w:hAnsi="Times New Roman"/>
                <w:color w:val="000000"/>
                <w:sz w:val="20"/>
                <w:szCs w:val="20"/>
              </w:rPr>
            </w:pPr>
            <w:r w:rsidRPr="00E06171">
              <w:rPr>
                <w:rFonts w:ascii="Times New Roman" w:hAnsi="Times New Roman"/>
                <w:color w:val="000000"/>
                <w:sz w:val="20"/>
                <w:szCs w:val="20"/>
              </w:rPr>
              <w:t>(++)</w:t>
            </w:r>
            <w:r>
              <w:rPr>
                <w:rFonts w:ascii="Times New Roman" w:hAnsi="Times New Roman"/>
                <w:color w:val="000000"/>
                <w:sz w:val="20"/>
                <w:szCs w:val="20"/>
              </w:rPr>
              <w:t xml:space="preserve"> </w:t>
            </w:r>
            <w:r w:rsidRPr="00E06171">
              <w:rPr>
                <w:rFonts w:ascii="Times New Roman" w:hAnsi="Times New Roman"/>
                <w:color w:val="000000"/>
                <w:sz w:val="20"/>
                <w:szCs w:val="20"/>
              </w:rPr>
              <w:t>Would ensure legal certainty for researchers, including researches in commercial entities,  carrying out TDM both for commercial and non-commercial purposes</w:t>
            </w:r>
          </w:p>
        </w:tc>
        <w:tc>
          <w:tcPr>
            <w:tcW w:w="1843"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High compliance costs for publishers who may need to renegotiate a  significant number of business agreements with their commercial customers  </w:t>
            </w:r>
          </w:p>
          <w:p w:rsidR="00083CE6" w:rsidRPr="00123CFF" w:rsidRDefault="00083CE6" w:rsidP="00A57992">
            <w:pPr>
              <w:autoSpaceDE w:val="0"/>
              <w:autoSpaceDN w:val="0"/>
              <w:adjustRightInd w:val="0"/>
              <w:rPr>
                <w:rFonts w:ascii="Times New Roman" w:hAnsi="Times New Roman"/>
                <w:color w:val="000000"/>
                <w:sz w:val="20"/>
                <w:szCs w:val="20"/>
              </w:rPr>
            </w:pPr>
          </w:p>
        </w:tc>
        <w:tc>
          <w:tcPr>
            <w:tcW w:w="1985" w:type="dxa"/>
          </w:tcPr>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Increase in legal certainty and reduction of transaction costs for researchers carrying out TDM both for commercial and non-commercial purposes  </w:t>
            </w:r>
          </w:p>
          <w:p w:rsidR="00083CE6" w:rsidRPr="00123CFF" w:rsidRDefault="00083CE6" w:rsidP="00A57992">
            <w:pPr>
              <w:autoSpaceDE w:val="0"/>
              <w:autoSpaceDN w:val="0"/>
              <w:adjustRightInd w:val="0"/>
              <w:rPr>
                <w:rFonts w:ascii="Times New Roman" w:hAnsi="Times New Roman"/>
                <w:color w:val="000000"/>
                <w:sz w:val="20"/>
                <w:szCs w:val="20"/>
              </w:rPr>
            </w:pPr>
            <w:r w:rsidRPr="00123CFF">
              <w:rPr>
                <w:rFonts w:ascii="Times New Roman" w:hAnsi="Times New Roman"/>
                <w:color w:val="000000"/>
                <w:sz w:val="20"/>
                <w:szCs w:val="20"/>
              </w:rPr>
              <w:t xml:space="preserve">(--) As the exception would cover all researchers, including commercial customers, this option would have a </w:t>
            </w:r>
            <w:r>
              <w:rPr>
                <w:rFonts w:ascii="Times New Roman" w:hAnsi="Times New Roman"/>
                <w:color w:val="000000"/>
                <w:sz w:val="20"/>
                <w:szCs w:val="20"/>
              </w:rPr>
              <w:t xml:space="preserve">considerable </w:t>
            </w:r>
            <w:r w:rsidRPr="00123CFF">
              <w:rPr>
                <w:rFonts w:ascii="Times New Roman" w:hAnsi="Times New Roman"/>
                <w:color w:val="000000"/>
                <w:sz w:val="20"/>
                <w:szCs w:val="20"/>
              </w:rPr>
              <w:t>negative effect on publisher's TDM licensing market</w:t>
            </w:r>
          </w:p>
        </w:tc>
        <w:tc>
          <w:tcPr>
            <w:tcW w:w="1904" w:type="dxa"/>
          </w:tcPr>
          <w:p w:rsidR="00083CE6" w:rsidRDefault="00083CE6" w:rsidP="00A57992">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Positive social impact on Europe's attractiveness as a research area</w:t>
            </w:r>
          </w:p>
          <w:p w:rsidR="00083CE6" w:rsidRDefault="00083CE6" w:rsidP="00A57992">
            <w:pPr>
              <w:autoSpaceDE w:val="0"/>
              <w:autoSpaceDN w:val="0"/>
              <w:adjustRightInd w:val="0"/>
              <w:rPr>
                <w:rFonts w:ascii="Times New Roman" w:hAnsi="Times New Roman"/>
                <w:color w:val="000000"/>
                <w:sz w:val="20"/>
                <w:szCs w:val="20"/>
              </w:rPr>
            </w:pPr>
            <w:r w:rsidRPr="00E06171">
              <w:rPr>
                <w:rFonts w:ascii="Times New Roman" w:hAnsi="Times New Roman"/>
                <w:color w:val="000000"/>
                <w:sz w:val="20"/>
                <w:szCs w:val="20"/>
              </w:rPr>
              <w:t>(--) Negative impact on the right of property</w:t>
            </w:r>
          </w:p>
          <w:p w:rsidR="00083CE6" w:rsidRPr="00E06171" w:rsidRDefault="00083CE6" w:rsidP="00A57992">
            <w:pPr>
              <w:autoSpaceDE w:val="0"/>
              <w:autoSpaceDN w:val="0"/>
              <w:adjustRightInd w:val="0"/>
              <w:rPr>
                <w:rFonts w:ascii="Times New Roman" w:hAnsi="Times New Roman"/>
                <w:color w:val="000000"/>
                <w:sz w:val="20"/>
                <w:szCs w:val="20"/>
              </w:rPr>
            </w:pPr>
            <w:r>
              <w:rPr>
                <w:rFonts w:ascii="Times New Roman" w:eastAsia="Arial Unicode MS" w:hAnsi="Times New Roman"/>
                <w:kern w:val="3"/>
                <w:sz w:val="20"/>
                <w:szCs w:val="20"/>
                <w:bdr w:val="nil"/>
                <w:lang w:eastAsia="zh-CN"/>
              </w:rPr>
              <w:t>(</w:t>
            </w:r>
            <w:r w:rsidRPr="00494E2E">
              <w:rPr>
                <w:rFonts w:ascii="Times New Roman" w:eastAsia="Arial Unicode MS" w:hAnsi="Times New Roman"/>
                <w:kern w:val="3"/>
                <w:sz w:val="20"/>
                <w:szCs w:val="20"/>
                <w:bdr w:val="nil"/>
                <w:lang w:eastAsia="zh-CN"/>
              </w:rPr>
              <w:t xml:space="preserve">+) </w:t>
            </w:r>
            <w:r>
              <w:rPr>
                <w:rFonts w:ascii="Times New Roman" w:eastAsia="Arial Unicode MS" w:hAnsi="Times New Roman"/>
                <w:kern w:val="3"/>
                <w:sz w:val="20"/>
                <w:szCs w:val="20"/>
                <w:bdr w:val="nil"/>
                <w:lang w:val="en-US" w:eastAsia="en-GB"/>
              </w:rPr>
              <w:t>Positive i</w:t>
            </w:r>
            <w:r w:rsidRPr="00494E2E">
              <w:rPr>
                <w:rFonts w:ascii="Times New Roman" w:eastAsia="Arial Unicode MS" w:hAnsi="Times New Roman"/>
                <w:kern w:val="3"/>
                <w:sz w:val="20"/>
                <w:szCs w:val="20"/>
                <w:bdr w:val="nil"/>
                <w:lang w:val="en-US" w:eastAsia="en-GB"/>
              </w:rPr>
              <w:t>mpact on the right of freedom of art and science.</w:t>
            </w:r>
          </w:p>
          <w:p w:rsidR="00083CE6" w:rsidRPr="00E06171" w:rsidRDefault="00083CE6" w:rsidP="00A57992">
            <w:pPr>
              <w:autoSpaceDE w:val="0"/>
              <w:autoSpaceDN w:val="0"/>
              <w:adjustRightInd w:val="0"/>
              <w:rPr>
                <w:rFonts w:ascii="Times New Roman" w:hAnsi="Times New Roman"/>
                <w:color w:val="000000"/>
                <w:sz w:val="20"/>
                <w:szCs w:val="20"/>
              </w:rPr>
            </w:pPr>
          </w:p>
          <w:p w:rsidR="00083CE6" w:rsidRPr="00E06171" w:rsidRDefault="00083CE6" w:rsidP="00A57992">
            <w:pPr>
              <w:autoSpaceDE w:val="0"/>
              <w:autoSpaceDN w:val="0"/>
              <w:adjustRightInd w:val="0"/>
              <w:rPr>
                <w:rFonts w:ascii="Times New Roman" w:hAnsi="Times New Roman"/>
                <w:color w:val="000000"/>
                <w:sz w:val="20"/>
                <w:szCs w:val="20"/>
              </w:rPr>
            </w:pPr>
          </w:p>
        </w:tc>
      </w:tr>
    </w:tbl>
    <w:p w:rsidR="00083CE6" w:rsidRDefault="00083CE6" w:rsidP="00083CE6">
      <w:pPr>
        <w:pBdr>
          <w:top w:val="nil"/>
          <w:left w:val="nil"/>
          <w:bottom w:val="nil"/>
          <w:right w:val="nil"/>
          <w:between w:val="nil"/>
          <w:bar w:val="nil"/>
        </w:pBdr>
        <w:spacing w:before="240" w:line="240" w:lineRule="auto"/>
        <w:jc w:val="both"/>
        <w:rPr>
          <w:rFonts w:ascii="Times New Roman" w:eastAsia="Arial Unicode MS" w:hAnsi="Times New Roman" w:cs="Times New Roman"/>
          <w:sz w:val="24"/>
          <w:szCs w:val="24"/>
          <w:bdr w:val="nil"/>
          <w:lang w:val="en-US"/>
        </w:rPr>
      </w:pPr>
      <w:r w:rsidRPr="00083CE6">
        <w:rPr>
          <w:rFonts w:ascii="Times New Roman" w:eastAsia="Arial Unicode MS" w:hAnsi="Times New Roman" w:cs="Times New Roman"/>
          <w:b/>
          <w:sz w:val="24"/>
          <w:szCs w:val="24"/>
          <w:bdr w:val="nil"/>
          <w:lang w:val="en-US"/>
        </w:rPr>
        <w:t xml:space="preserve">Option 3 </w:t>
      </w:r>
      <w:r w:rsidRPr="00D1507D">
        <w:rPr>
          <w:rFonts w:ascii="Times New Roman" w:hAnsi="Times New Roman"/>
          <w:b/>
          <w:sz w:val="24"/>
          <w:bdr w:val="nil"/>
          <w:lang w:val="en-US"/>
        </w:rPr>
        <w:t>is the preferred option</w:t>
      </w:r>
      <w:r w:rsidRPr="00083CE6">
        <w:rPr>
          <w:rFonts w:ascii="Times New Roman" w:eastAsia="Arial Unicode MS" w:hAnsi="Times New Roman" w:cs="Times New Roman"/>
          <w:b/>
          <w:sz w:val="24"/>
          <w:szCs w:val="24"/>
          <w:bdr w:val="nil"/>
          <w:lang w:val="en-US"/>
        </w:rPr>
        <w:t>.</w:t>
      </w:r>
      <w:r w:rsidRPr="00D1507D">
        <w:rPr>
          <w:rFonts w:ascii="Times New Roman" w:hAnsi="Times New Roman"/>
          <w:b/>
          <w:sz w:val="24"/>
          <w:bdr w:val="nil"/>
          <w:lang w:val="en-US"/>
        </w:rPr>
        <w:t xml:space="preserve"> This option would create a high level of legal certainty and reduce transaction costs for researchers with a limited impact on </w:t>
      </w:r>
      <w:r w:rsidR="0002514A">
        <w:rPr>
          <w:rFonts w:ascii="Times New Roman" w:hAnsi="Times New Roman"/>
          <w:b/>
          <w:sz w:val="24"/>
          <w:bdr w:val="nil"/>
          <w:lang w:val="en-US"/>
        </w:rPr>
        <w:t>r</w:t>
      </w:r>
      <w:r w:rsidR="00007677">
        <w:rPr>
          <w:rFonts w:ascii="Times New Roman" w:hAnsi="Times New Roman"/>
          <w:b/>
          <w:sz w:val="24"/>
          <w:bdr w:val="nil"/>
          <w:lang w:val="en-US"/>
        </w:rPr>
        <w:t>ightholders</w:t>
      </w:r>
      <w:r w:rsidRPr="00D1507D">
        <w:rPr>
          <w:rFonts w:ascii="Times New Roman" w:hAnsi="Times New Roman"/>
          <w:b/>
          <w:sz w:val="24"/>
          <w:bdr w:val="nil"/>
          <w:lang w:val="en-US"/>
        </w:rPr>
        <w:t>' licensing market and limited compliance costs.</w:t>
      </w:r>
      <w:r w:rsidRPr="00123CFF">
        <w:rPr>
          <w:rFonts w:ascii="Times New Roman" w:eastAsia="Arial Unicode MS" w:hAnsi="Times New Roman" w:cs="Times New Roman"/>
          <w:sz w:val="24"/>
          <w:szCs w:val="24"/>
          <w:bdr w:val="nil"/>
          <w:lang w:val="en-US"/>
        </w:rPr>
        <w:t xml:space="preserve"> In comparison, Option 1 would be significantly less effective and Option 2 would </w:t>
      </w:r>
      <w:r>
        <w:rPr>
          <w:rFonts w:ascii="Times New Roman" w:eastAsia="Arial Unicode MS" w:hAnsi="Times New Roman" w:cs="Times New Roman"/>
          <w:sz w:val="24"/>
          <w:szCs w:val="24"/>
          <w:bdr w:val="nil"/>
          <w:lang w:val="en-US"/>
        </w:rPr>
        <w:t>not achieve sufficient</w:t>
      </w:r>
      <w:r w:rsidRPr="00123CFF">
        <w:rPr>
          <w:rFonts w:ascii="Times New Roman" w:eastAsia="Arial Unicode MS" w:hAnsi="Times New Roman" w:cs="Times New Roman"/>
          <w:sz w:val="24"/>
          <w:szCs w:val="24"/>
          <w:bdr w:val="nil"/>
          <w:lang w:val="en-US"/>
        </w:rPr>
        <w:t xml:space="preserve"> legal certainty for researchers, in particular as regards PPPs. </w:t>
      </w:r>
    </w:p>
    <w:p w:rsidR="00083CE6" w:rsidRDefault="00083CE6" w:rsidP="00C7002C">
      <w:pPr>
        <w:pBdr>
          <w:top w:val="nil"/>
          <w:left w:val="nil"/>
          <w:bottom w:val="nil"/>
          <w:right w:val="nil"/>
          <w:between w:val="nil"/>
          <w:bar w:val="nil"/>
        </w:pBdr>
        <w:spacing w:before="240" w:line="240" w:lineRule="auto"/>
        <w:jc w:val="both"/>
        <w:rPr>
          <w:rFonts w:ascii="Times New Roman" w:eastAsia="Arial Unicode MS" w:hAnsi="Times New Roman" w:cs="Times New Roman"/>
          <w:sz w:val="24"/>
          <w:szCs w:val="24"/>
          <w:bdr w:val="nil"/>
          <w:lang w:val="en-US"/>
        </w:rPr>
      </w:pPr>
      <w:r w:rsidRPr="00AD57F7">
        <w:rPr>
          <w:rFonts w:ascii="Times New Roman" w:eastAsia="Arial Unicode MS" w:hAnsi="Times New Roman" w:cs="Times New Roman"/>
          <w:sz w:val="24"/>
          <w:szCs w:val="24"/>
          <w:u w:val="single"/>
          <w:bdr w:val="nil"/>
          <w:lang w:val="en-US"/>
        </w:rPr>
        <w:t>Proportionality and impact on MS</w:t>
      </w:r>
      <w:r>
        <w:rPr>
          <w:rFonts w:ascii="Times New Roman" w:eastAsia="Arial Unicode MS" w:hAnsi="Times New Roman" w:cs="Times New Roman"/>
          <w:sz w:val="24"/>
          <w:szCs w:val="24"/>
          <w:u w:val="single"/>
          <w:bdr w:val="nil"/>
          <w:lang w:val="en-US"/>
        </w:rPr>
        <w:t xml:space="preserve">: </w:t>
      </w:r>
      <w:r w:rsidRPr="00123CFF">
        <w:rPr>
          <w:rFonts w:ascii="Times New Roman" w:eastAsia="Arial Unicode MS" w:hAnsi="Times New Roman" w:cs="Times New Roman"/>
          <w:sz w:val="24"/>
          <w:szCs w:val="24"/>
          <w:bdr w:val="nil"/>
          <w:lang w:val="en-US"/>
        </w:rPr>
        <w:t xml:space="preserve">Option 3 allows reaching the policy objectives in a more proportionate manner than Option 4, which would entail significant foregone costs for </w:t>
      </w:r>
      <w:r w:rsidR="0002514A">
        <w:rPr>
          <w:rFonts w:ascii="Times New Roman" w:eastAsia="Arial Unicode MS" w:hAnsi="Times New Roman" w:cs="Times New Roman"/>
          <w:sz w:val="24"/>
          <w:szCs w:val="24"/>
          <w:bdr w:val="nil"/>
          <w:lang w:val="en-US"/>
        </w:rPr>
        <w:t>r</w:t>
      </w:r>
      <w:r w:rsidR="00007677">
        <w:rPr>
          <w:rFonts w:ascii="Times New Roman" w:eastAsia="Arial Unicode MS" w:hAnsi="Times New Roman" w:cs="Times New Roman"/>
          <w:sz w:val="24"/>
          <w:szCs w:val="24"/>
          <w:bdr w:val="nil"/>
          <w:lang w:val="en-US"/>
        </w:rPr>
        <w:t>ightholders</w:t>
      </w:r>
      <w:r w:rsidRPr="00123CFF">
        <w:rPr>
          <w:rFonts w:ascii="Times New Roman" w:eastAsia="Arial Unicode MS" w:hAnsi="Times New Roman" w:cs="Times New Roman"/>
          <w:sz w:val="24"/>
          <w:szCs w:val="24"/>
          <w:bdr w:val="nil"/>
          <w:lang w:val="en-US"/>
        </w:rPr>
        <w:t xml:space="preserve">, notably as regards licences with corporate researchers. In particular, </w:t>
      </w:r>
      <w:r w:rsidRPr="00D1507D">
        <w:rPr>
          <w:rFonts w:ascii="Times New Roman" w:hAnsi="Times New Roman"/>
          <w:b/>
          <w:sz w:val="24"/>
          <w:bdr w:val="nil"/>
          <w:lang w:val="en-US"/>
        </w:rPr>
        <w:t xml:space="preserve">Option 3 would intervene where there is a specific evidence of a problem (legal uncertainty for public interest organisations) without affecting the purely commercial market for TDM where intervention does not seem to be justified. </w:t>
      </w:r>
      <w:r w:rsidRPr="00123CFF">
        <w:rPr>
          <w:rFonts w:ascii="Times New Roman" w:eastAsia="Arial Unicode MS" w:hAnsi="Times New Roman" w:cs="Times New Roman"/>
          <w:sz w:val="24"/>
          <w:szCs w:val="24"/>
          <w:bdr w:val="nil"/>
          <w:lang w:val="en-US"/>
        </w:rPr>
        <w:t xml:space="preserve">In all, Option 3 has the best costs-benefits trade off as it would bring higher benefits (including in terms of reducing transaction costs) to researchers without additional foregone costs for </w:t>
      </w:r>
      <w:r w:rsidR="0002514A">
        <w:rPr>
          <w:rFonts w:ascii="Times New Roman" w:eastAsia="Arial Unicode MS" w:hAnsi="Times New Roman" w:cs="Times New Roman"/>
          <w:sz w:val="24"/>
          <w:szCs w:val="24"/>
          <w:bdr w:val="nil"/>
          <w:lang w:val="en-US"/>
        </w:rPr>
        <w:t>r</w:t>
      </w:r>
      <w:r w:rsidR="00007677">
        <w:rPr>
          <w:rFonts w:ascii="Times New Roman" w:eastAsia="Arial Unicode MS" w:hAnsi="Times New Roman" w:cs="Times New Roman"/>
          <w:sz w:val="24"/>
          <w:szCs w:val="24"/>
          <w:bdr w:val="nil"/>
          <w:lang w:val="en-US"/>
        </w:rPr>
        <w:t>ightholders</w:t>
      </w:r>
      <w:r w:rsidRPr="00E6710A">
        <w:rPr>
          <w:rFonts w:ascii="Times New Roman" w:eastAsia="Arial Unicode MS" w:hAnsi="Times New Roman" w:cs="Times New Roman"/>
          <w:sz w:val="24"/>
          <w:szCs w:val="24"/>
          <w:bdr w:val="nil"/>
          <w:lang w:val="en-US"/>
        </w:rPr>
        <w:t>. The preferred option is also coherent with the EU open access policy and would achieve a good balance between copyright as a property right and the freedom of art and science.</w:t>
      </w:r>
      <w:r w:rsidRPr="009D7800">
        <w:rPr>
          <w:rFonts w:ascii="Times New Roman" w:eastAsia="Arial Unicode MS" w:hAnsi="Times New Roman" w:cs="Times New Roman"/>
          <w:sz w:val="24"/>
          <w:szCs w:val="24"/>
          <w:bdr w:val="nil"/>
          <w:lang w:val="en-US"/>
        </w:rPr>
        <w:t xml:space="preserve"> </w:t>
      </w:r>
    </w:p>
    <w:p w:rsidR="002C6C36" w:rsidRPr="00083CE6" w:rsidRDefault="00083CE6" w:rsidP="00C7002C">
      <w:pPr>
        <w:pBdr>
          <w:top w:val="nil"/>
          <w:left w:val="nil"/>
          <w:bottom w:val="nil"/>
          <w:right w:val="nil"/>
          <w:between w:val="nil"/>
          <w:bar w:val="nil"/>
        </w:pBdr>
        <w:spacing w:before="240" w:line="240" w:lineRule="auto"/>
        <w:jc w:val="both"/>
        <w:rPr>
          <w:rFonts w:ascii="Times New Roman" w:eastAsia="Arial Unicode MS" w:hAnsi="Times New Roman" w:cs="Times New Roman"/>
          <w:sz w:val="24"/>
          <w:szCs w:val="24"/>
          <w:u w:val="single"/>
          <w:bdr w:val="nil"/>
          <w:lang w:val="en-US"/>
        </w:rPr>
      </w:pPr>
      <w:r w:rsidRPr="009D7800">
        <w:rPr>
          <w:rFonts w:ascii="Times New Roman" w:eastAsia="Arial Unicode MS" w:hAnsi="Times New Roman" w:cs="Times New Roman"/>
          <w:sz w:val="24"/>
          <w:szCs w:val="24"/>
          <w:bdr w:val="nil"/>
          <w:lang w:val="en-US"/>
        </w:rPr>
        <w:t xml:space="preserve">All MS would need to adopt legislation to implement the new exception on TDM in their legal orders. Those MS who have adopted specific TDM exceptions at national level </w:t>
      </w:r>
      <w:r w:rsidRPr="00AD57F7">
        <w:rPr>
          <w:rFonts w:ascii="Times New Roman" w:eastAsia="Arial Unicode MS" w:hAnsi="Times New Roman" w:cs="Times New Roman"/>
          <w:sz w:val="24"/>
          <w:szCs w:val="24"/>
          <w:bdr w:val="nil"/>
          <w:lang w:val="en-US"/>
        </w:rPr>
        <w:t>may</w:t>
      </w:r>
      <w:r w:rsidRPr="009D7800">
        <w:rPr>
          <w:rFonts w:ascii="Times New Roman" w:eastAsia="Arial Unicode MS" w:hAnsi="Times New Roman" w:cs="Times New Roman"/>
          <w:sz w:val="24"/>
          <w:szCs w:val="24"/>
          <w:bdr w:val="nil"/>
          <w:lang w:val="en-US"/>
        </w:rPr>
        <w:t xml:space="preserve"> have to adapt them in order to take into account the scope of the EU exception</w:t>
      </w:r>
      <w:r w:rsidR="00952EB0" w:rsidRPr="00123CFF">
        <w:rPr>
          <w:rFonts w:ascii="Times New Roman" w:eastAsia="Arial Unicode MS" w:hAnsi="Times New Roman" w:cs="Times New Roman"/>
          <w:sz w:val="24"/>
          <w:szCs w:val="24"/>
          <w:bdr w:val="nil"/>
          <w:lang w:val="en-US"/>
        </w:rPr>
        <w:t>.</w:t>
      </w:r>
      <w:r w:rsidR="00952EB0">
        <w:rPr>
          <w:rFonts w:ascii="Times New Roman" w:eastAsia="Arial Unicode MS" w:hAnsi="Times New Roman" w:cs="Times New Roman"/>
          <w:sz w:val="24"/>
          <w:szCs w:val="24"/>
          <w:bdr w:val="nil"/>
          <w:lang w:val="en-US"/>
        </w:rPr>
        <w:t xml:space="preserve"> </w:t>
      </w:r>
    </w:p>
    <w:p w:rsidR="00D742CB" w:rsidRPr="00C7002C" w:rsidRDefault="00D742CB" w:rsidP="00C7002C">
      <w:pPr>
        <w:pBdr>
          <w:top w:val="nil"/>
          <w:left w:val="nil"/>
          <w:bottom w:val="nil"/>
          <w:right w:val="nil"/>
          <w:between w:val="nil"/>
          <w:bar w:val="nil"/>
        </w:pBdr>
        <w:spacing w:before="240" w:line="240" w:lineRule="auto"/>
        <w:jc w:val="both"/>
        <w:rPr>
          <w:rFonts w:ascii="Times New Roman" w:eastAsia="Arial Unicode MS" w:hAnsi="Times New Roman" w:cs="Times New Roman"/>
          <w:sz w:val="24"/>
          <w:szCs w:val="24"/>
          <w:bdr w:val="nil"/>
          <w:lang w:val="en-US"/>
        </w:rPr>
      </w:pPr>
    </w:p>
    <w:p w:rsidR="00952EB0" w:rsidRDefault="00952EB0" w:rsidP="005C004E">
      <w:pPr>
        <w:pStyle w:val="Heading2"/>
        <w:numPr>
          <w:ilvl w:val="1"/>
          <w:numId w:val="1"/>
        </w:numPr>
        <w:spacing w:before="0" w:after="240"/>
        <w:rPr>
          <w:rFonts w:ascii="Times New Roman Bold" w:hAnsi="Times New Roman Bold"/>
          <w:smallCaps/>
        </w:rPr>
      </w:pPr>
      <w:bookmarkStart w:id="101" w:name="_Toc461114735"/>
      <w:r w:rsidRPr="0052347B">
        <w:rPr>
          <w:rFonts w:ascii="Times New Roman Bold" w:hAnsi="Times New Roman Bold"/>
          <w:smallCaps/>
        </w:rPr>
        <w:t>Preservation of cultural heritage</w:t>
      </w:r>
      <w:bookmarkEnd w:id="101"/>
    </w:p>
    <w:p w:rsidR="00952EB0" w:rsidRPr="00871CDA" w:rsidRDefault="00952EB0" w:rsidP="00CF38F1">
      <w:pPr>
        <w:pStyle w:val="Heading3"/>
      </w:pPr>
      <w:bookmarkStart w:id="102" w:name="_Toc454351339"/>
      <w:bookmarkStart w:id="103" w:name="_Toc461114736"/>
      <w:bookmarkEnd w:id="102"/>
      <w:r w:rsidRPr="00260FAB">
        <w:t>What is the problem and why is it a problem?</w:t>
      </w:r>
      <w:bookmarkEnd w:id="103"/>
    </w:p>
    <w:p w:rsidR="00952EB0" w:rsidRDefault="00952EB0" w:rsidP="00952EB0">
      <w:pPr>
        <w:spacing w:after="120" w:line="240" w:lineRule="auto"/>
        <w:jc w:val="both"/>
        <w:rPr>
          <w:rFonts w:ascii="Times New Roman" w:eastAsia="Calibri" w:hAnsi="Times New Roman" w:cs="Times New Roman"/>
          <w:i/>
          <w:sz w:val="24"/>
        </w:rPr>
      </w:pPr>
      <w:bookmarkStart w:id="104" w:name="_Toc414456582"/>
      <w:bookmarkStart w:id="105" w:name="_Toc427309265"/>
      <w:r w:rsidRPr="008652EE">
        <w:rPr>
          <w:rFonts w:ascii="Times New Roman" w:eastAsia="Calibri" w:hAnsi="Times New Roman" w:cs="Times New Roman"/>
          <w:b/>
          <w:i/>
          <w:sz w:val="24"/>
        </w:rPr>
        <w:t>Problem</w:t>
      </w:r>
      <w:r w:rsidRPr="008652EE">
        <w:rPr>
          <w:rFonts w:ascii="Times New Roman" w:eastAsia="Calibri" w:hAnsi="Times New Roman" w:cs="Times New Roman"/>
          <w:i/>
          <w:sz w:val="24"/>
        </w:rPr>
        <w:t>:</w:t>
      </w:r>
      <w:r w:rsidRPr="00871CDA">
        <w:rPr>
          <w:rFonts w:ascii="Times New Roman" w:eastAsia="Calibri" w:hAnsi="Times New Roman" w:cs="Times New Roman"/>
          <w:i/>
          <w:sz w:val="24"/>
        </w:rPr>
        <w:t xml:space="preserve"> Preservation by cultural heritage institutions (CHIs) faces legal uncertainty in the new technological environment</w:t>
      </w:r>
      <w:bookmarkEnd w:id="104"/>
      <w:bookmarkEnd w:id="105"/>
    </w:p>
    <w:p w:rsidR="001F36A0" w:rsidRDefault="001F36A0" w:rsidP="001F36A0">
      <w:pPr>
        <w:spacing w:after="120" w:line="240" w:lineRule="auto"/>
        <w:jc w:val="both"/>
        <w:rPr>
          <w:rFonts w:ascii="Times New Roman" w:eastAsia="Calibri" w:hAnsi="Times New Roman" w:cs="Times New Roman"/>
          <w:sz w:val="24"/>
          <w:szCs w:val="24"/>
        </w:rPr>
      </w:pPr>
      <w:bookmarkStart w:id="106" w:name="_Toc414456583"/>
      <w:bookmarkEnd w:id="79"/>
      <w:r w:rsidRPr="00C32C45">
        <w:rPr>
          <w:rFonts w:ascii="Times New Roman" w:eastAsia="Calibri" w:hAnsi="Times New Roman" w:cs="Times New Roman"/>
          <w:sz w:val="24"/>
          <w:u w:val="single"/>
        </w:rPr>
        <w:t>Description of the problem:</w:t>
      </w:r>
      <w:r>
        <w:rPr>
          <w:rFonts w:ascii="Times New Roman" w:eastAsia="Calibri" w:hAnsi="Times New Roman" w:cs="Times New Roman"/>
          <w:sz w:val="24"/>
        </w:rPr>
        <w:t xml:space="preserve"> </w:t>
      </w:r>
      <w:r w:rsidRPr="00871CDA">
        <w:rPr>
          <w:rFonts w:ascii="Times New Roman" w:eastAsia="Calibri" w:hAnsi="Times New Roman" w:cs="Times New Roman"/>
          <w:sz w:val="24"/>
        </w:rPr>
        <w:t xml:space="preserve">An important function of </w:t>
      </w:r>
      <w:r w:rsidRPr="00871CDA">
        <w:rPr>
          <w:rFonts w:ascii="Times New Roman" w:eastAsia="Calibri" w:hAnsi="Times New Roman" w:cs="Times New Roman"/>
          <w:sz w:val="24"/>
          <w:szCs w:val="24"/>
        </w:rPr>
        <w:t>l</w:t>
      </w:r>
      <w:r w:rsidRPr="00871CDA">
        <w:rPr>
          <w:rFonts w:ascii="Times New Roman" w:eastAsia="Calibri" w:hAnsi="Times New Roman" w:cs="Times New Roman"/>
          <w:sz w:val="24"/>
          <w:szCs w:val="24"/>
          <w:lang w:eastAsia="en-GB"/>
        </w:rPr>
        <w:t>ibraries, archives, museums and other institutions is to preserve cultural heritage: 90</w:t>
      </w:r>
      <w:r w:rsidR="0060401B">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xml:space="preserve">% of cultural heritage institutions (CHIs) responding to a recent survey </w:t>
      </w:r>
      <w:r>
        <w:rPr>
          <w:rFonts w:ascii="Times New Roman" w:eastAsia="Calibri" w:hAnsi="Times New Roman" w:cs="Times New Roman"/>
          <w:sz w:val="24"/>
          <w:szCs w:val="24"/>
          <w:lang w:eastAsia="en-GB"/>
        </w:rPr>
        <w:t xml:space="preserve">carried out on behalf of Europeana </w:t>
      </w:r>
      <w:r w:rsidRPr="00871CDA">
        <w:rPr>
          <w:rFonts w:ascii="Times New Roman" w:eastAsia="Calibri" w:hAnsi="Times New Roman" w:cs="Times New Roman"/>
          <w:sz w:val="24"/>
          <w:szCs w:val="24"/>
          <w:lang w:eastAsia="en-GB"/>
        </w:rPr>
        <w:t>declared that they have collections that need to be preserved for future generations.</w:t>
      </w:r>
      <w:r w:rsidRPr="00871CDA">
        <w:rPr>
          <w:rFonts w:ascii="Times New Roman" w:eastAsia="Calibri" w:hAnsi="Times New Roman" w:cs="Times New Roman"/>
          <w:sz w:val="24"/>
          <w:szCs w:val="24"/>
          <w:vertAlign w:val="superscript"/>
          <w:lang w:eastAsia="en-GB"/>
        </w:rPr>
        <w:footnoteReference w:id="371"/>
      </w:r>
      <w:r w:rsidRPr="00871CDA">
        <w:rPr>
          <w:rFonts w:ascii="Times New Roman" w:eastAsia="Calibri" w:hAnsi="Times New Roman" w:cs="Times New Roman"/>
          <w:sz w:val="24"/>
          <w:szCs w:val="24"/>
          <w:lang w:eastAsia="en-GB"/>
        </w:rPr>
        <w:t xml:space="preserve"> As in many cases preserving works requires copying them, the societal importance of preservation</w:t>
      </w:r>
      <w:r>
        <w:rPr>
          <w:rStyle w:val="FootnoteReference"/>
          <w:rFonts w:ascii="Times New Roman" w:eastAsia="Calibri" w:hAnsi="Times New Roman" w:cs="Times New Roman"/>
          <w:sz w:val="24"/>
          <w:szCs w:val="24"/>
          <w:lang w:eastAsia="en-GB"/>
        </w:rPr>
        <w:footnoteReference w:id="372"/>
      </w:r>
      <w:r w:rsidRPr="00871CDA">
        <w:rPr>
          <w:rFonts w:ascii="Times New Roman" w:eastAsia="Calibri" w:hAnsi="Times New Roman" w:cs="Times New Roman"/>
          <w:sz w:val="24"/>
          <w:szCs w:val="24"/>
          <w:lang w:eastAsia="en-GB"/>
        </w:rPr>
        <w:t xml:space="preserve"> is reflected in national exceptions to the reproduction right for preservation purposes, which implement an optional EU exception</w:t>
      </w:r>
      <w:r w:rsidRPr="00871CDA">
        <w:rPr>
          <w:rFonts w:ascii="Times New Roman" w:eastAsia="Calibri" w:hAnsi="Times New Roman" w:cs="Times New Roman"/>
          <w:sz w:val="24"/>
        </w:rPr>
        <w:t xml:space="preserve"> for "specific acts of reproduction" by certain institutional users</w:t>
      </w:r>
      <w:r w:rsidRPr="00871CDA">
        <w:rPr>
          <w:rFonts w:ascii="Times New Roman" w:eastAsia="Calibri" w:hAnsi="Times New Roman" w:cs="Times New Roman"/>
          <w:sz w:val="24"/>
          <w:szCs w:val="24"/>
          <w:lang w:eastAsia="en-GB"/>
        </w:rPr>
        <w:t>.</w:t>
      </w:r>
      <w:r w:rsidRPr="00871CDA">
        <w:rPr>
          <w:rFonts w:ascii="Times New Roman" w:eastAsia="Calibri" w:hAnsi="Times New Roman" w:cs="Times New Roman"/>
          <w:sz w:val="24"/>
          <w:szCs w:val="24"/>
          <w:vertAlign w:val="superscript"/>
          <w:lang w:eastAsia="en-GB"/>
        </w:rPr>
        <w:footnoteReference w:id="373"/>
      </w:r>
      <w:r>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xml:space="preserve">The space allowed for preservation activities under national exceptions is however </w:t>
      </w:r>
      <w:r>
        <w:rPr>
          <w:rFonts w:ascii="Times New Roman" w:eastAsia="Calibri" w:hAnsi="Times New Roman" w:cs="Times New Roman"/>
          <w:sz w:val="24"/>
          <w:szCs w:val="24"/>
          <w:lang w:eastAsia="en-GB"/>
        </w:rPr>
        <w:t>sometimes</w:t>
      </w:r>
      <w:r w:rsidRPr="00871CDA">
        <w:rPr>
          <w:rFonts w:ascii="Times New Roman" w:eastAsia="Calibri" w:hAnsi="Times New Roman" w:cs="Times New Roman"/>
          <w:sz w:val="24"/>
          <w:szCs w:val="24"/>
          <w:lang w:eastAsia="en-GB"/>
        </w:rPr>
        <w:t xml:space="preserve"> narrow, unclear</w:t>
      </w:r>
      <w:r>
        <w:rPr>
          <w:rFonts w:ascii="Times New Roman" w:eastAsia="Calibri" w:hAnsi="Times New Roman" w:cs="Times New Roman"/>
          <w:sz w:val="24"/>
          <w:szCs w:val="24"/>
          <w:lang w:eastAsia="en-GB"/>
        </w:rPr>
        <w:t>,</w:t>
      </w:r>
      <w:r w:rsidRPr="00871CDA">
        <w:rPr>
          <w:rFonts w:ascii="Times New Roman" w:eastAsia="Calibri" w:hAnsi="Times New Roman" w:cs="Times New Roman"/>
          <w:sz w:val="24"/>
          <w:szCs w:val="24"/>
          <w:lang w:eastAsia="en-GB"/>
        </w:rPr>
        <w:t xml:space="preserve"> not adapted </w:t>
      </w:r>
      <w:r>
        <w:rPr>
          <w:rFonts w:ascii="Times New Roman" w:eastAsia="Calibri" w:hAnsi="Times New Roman" w:cs="Times New Roman"/>
          <w:sz w:val="24"/>
          <w:szCs w:val="24"/>
          <w:lang w:eastAsia="en-GB"/>
        </w:rPr>
        <w:t xml:space="preserve">or explicit enough </w:t>
      </w:r>
      <w:r w:rsidRPr="00871CDA">
        <w:rPr>
          <w:rFonts w:ascii="Times New Roman" w:eastAsia="Calibri" w:hAnsi="Times New Roman" w:cs="Times New Roman"/>
          <w:sz w:val="24"/>
          <w:szCs w:val="24"/>
          <w:lang w:eastAsia="en-GB"/>
        </w:rPr>
        <w:t>to</w:t>
      </w:r>
      <w:r>
        <w:rPr>
          <w:rFonts w:ascii="Times New Roman" w:eastAsia="Calibri" w:hAnsi="Times New Roman" w:cs="Times New Roman"/>
          <w:sz w:val="24"/>
          <w:szCs w:val="24"/>
          <w:lang w:eastAsia="en-GB"/>
        </w:rPr>
        <w:t xml:space="preserve"> cover</w:t>
      </w:r>
      <w:r w:rsidRPr="00871CDA">
        <w:rPr>
          <w:rFonts w:ascii="Times New Roman" w:eastAsia="Calibri" w:hAnsi="Times New Roman" w:cs="Times New Roman"/>
          <w:sz w:val="24"/>
          <w:szCs w:val="24"/>
          <w:lang w:eastAsia="en-GB"/>
        </w:rPr>
        <w:t xml:space="preserve"> preservation in digital environments and of works in digital form</w:t>
      </w:r>
      <w:r>
        <w:rPr>
          <w:rFonts w:ascii="Times New Roman" w:eastAsia="Calibri" w:hAnsi="Times New Roman" w:cs="Times New Roman"/>
          <w:sz w:val="24"/>
          <w:szCs w:val="24"/>
          <w:lang w:eastAsia="en-GB"/>
        </w:rPr>
        <w:t>. It varies from MS to MS</w:t>
      </w:r>
      <w:r w:rsidRPr="00871CDA">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rPr>
        <w:t>This creates legal uncertainty for</w:t>
      </w:r>
      <w:r w:rsidRPr="00871CDA">
        <w:rPr>
          <w:rFonts w:ascii="Times New Roman" w:eastAsia="Calibri" w:hAnsi="Times New Roman" w:cs="Times New Roman"/>
          <w:sz w:val="24"/>
        </w:rPr>
        <w:t xml:space="preserve"> CHIs and can lead to desirable preservation activities</w:t>
      </w:r>
      <w:r w:rsidRPr="00871CDA">
        <w:rPr>
          <w:rFonts w:ascii="Times New Roman" w:eastAsia="Calibri" w:hAnsi="Times New Roman" w:cs="Times New Roman"/>
          <w:sz w:val="24"/>
          <w:szCs w:val="24"/>
        </w:rPr>
        <w:t xml:space="preserve"> not taking place. </w:t>
      </w:r>
      <w:r>
        <w:rPr>
          <w:rFonts w:ascii="Times New Roman" w:eastAsia="Calibri" w:hAnsi="Times New Roman" w:cs="Times New Roman"/>
          <w:sz w:val="24"/>
          <w:szCs w:val="24"/>
        </w:rPr>
        <w:t>CHIs have generally reported problems with this situation.</w:t>
      </w:r>
      <w:r>
        <w:rPr>
          <w:rStyle w:val="FootnoteReference"/>
          <w:rFonts w:ascii="Times New Roman" w:eastAsia="Calibri" w:hAnsi="Times New Roman" w:cs="Times New Roman"/>
          <w:sz w:val="24"/>
          <w:szCs w:val="24"/>
        </w:rPr>
        <w:footnoteReference w:id="374"/>
      </w:r>
    </w:p>
    <w:p w:rsidR="00041DC6" w:rsidRDefault="00041DC6" w:rsidP="00041DC6">
      <w:pPr>
        <w:spacing w:after="120" w:line="240" w:lineRule="auto"/>
        <w:jc w:val="both"/>
        <w:rPr>
          <w:rFonts w:ascii="Times New Roman" w:eastAsia="Calibri" w:hAnsi="Times New Roman" w:cs="Times New Roman"/>
          <w:sz w:val="24"/>
          <w:szCs w:val="24"/>
          <w:lang w:eastAsia="en-GB"/>
        </w:rPr>
      </w:pPr>
      <w:r w:rsidRPr="00AA35B6">
        <w:rPr>
          <w:rFonts w:ascii="Times New Roman" w:eastAsia="Calibri" w:hAnsi="Times New Roman" w:cs="Times New Roman"/>
          <w:sz w:val="24"/>
          <w:szCs w:val="24"/>
          <w:lang w:eastAsia="en-GB"/>
        </w:rPr>
        <w:t>Preservation copying addresses</w:t>
      </w:r>
      <w:r w:rsidRPr="00871CDA" w:rsidDel="003E6BF8">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for example</w:t>
      </w:r>
      <w:r w:rsidRPr="00ED1FEE">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 xml:space="preserve">the degradation of the original material and the disappearance of the </w:t>
      </w:r>
      <w:r w:rsidRPr="00871CDA">
        <w:rPr>
          <w:rFonts w:ascii="Times New Roman" w:eastAsia="Calibri" w:hAnsi="Times New Roman" w:cs="Times New Roman"/>
          <w:sz w:val="24"/>
          <w:szCs w:val="24"/>
          <w:lang w:eastAsia="en-GB"/>
        </w:rPr>
        <w:t xml:space="preserve">technologies </w:t>
      </w:r>
      <w:r>
        <w:rPr>
          <w:rFonts w:ascii="Times New Roman" w:eastAsia="Calibri" w:hAnsi="Times New Roman" w:cs="Times New Roman"/>
          <w:sz w:val="24"/>
          <w:szCs w:val="24"/>
          <w:lang w:eastAsia="en-GB"/>
        </w:rPr>
        <w:t xml:space="preserve">and devices </w:t>
      </w:r>
      <w:r w:rsidRPr="00871CDA">
        <w:rPr>
          <w:rFonts w:ascii="Times New Roman" w:eastAsia="Calibri" w:hAnsi="Times New Roman" w:cs="Times New Roman"/>
          <w:sz w:val="24"/>
          <w:szCs w:val="24"/>
          <w:lang w:eastAsia="en-GB"/>
        </w:rPr>
        <w:t xml:space="preserve">underpinning </w:t>
      </w:r>
      <w:r>
        <w:rPr>
          <w:rFonts w:ascii="Times New Roman" w:eastAsia="Calibri" w:hAnsi="Times New Roman" w:cs="Times New Roman"/>
          <w:sz w:val="24"/>
          <w:szCs w:val="24"/>
          <w:lang w:eastAsia="en-GB"/>
        </w:rPr>
        <w:t xml:space="preserve">its </w:t>
      </w:r>
      <w:r w:rsidRPr="00871CDA">
        <w:rPr>
          <w:rFonts w:ascii="Times New Roman" w:eastAsia="Calibri" w:hAnsi="Times New Roman" w:cs="Times New Roman"/>
          <w:i/>
          <w:sz w:val="24"/>
          <w:szCs w:val="24"/>
          <w:lang w:eastAsia="en-GB"/>
        </w:rPr>
        <w:t>readability</w:t>
      </w:r>
      <w:r>
        <w:rPr>
          <w:rFonts w:ascii="Times New Roman" w:eastAsia="Calibri" w:hAnsi="Times New Roman" w:cs="Times New Roman"/>
          <w:i/>
          <w:sz w:val="24"/>
          <w:szCs w:val="24"/>
          <w:lang w:eastAsia="en-GB"/>
        </w:rPr>
        <w:t xml:space="preserve">. </w:t>
      </w:r>
      <w:r>
        <w:rPr>
          <w:rFonts w:ascii="Times New Roman" w:eastAsia="Calibri" w:hAnsi="Times New Roman" w:cs="Times New Roman"/>
          <w:sz w:val="24"/>
          <w:szCs w:val="24"/>
          <w:lang w:eastAsia="en-GB"/>
        </w:rPr>
        <w:t xml:space="preserve">The British Library, for instance, estimates that many of the 6,500 items that make up its </w:t>
      </w:r>
      <w:r w:rsidR="00667B95">
        <w:rPr>
          <w:rFonts w:ascii="Times New Roman" w:eastAsia="Calibri" w:hAnsi="Times New Roman" w:cs="Times New Roman"/>
          <w:sz w:val="24"/>
          <w:szCs w:val="24"/>
          <w:lang w:eastAsia="en-GB"/>
        </w:rPr>
        <w:t>s</w:t>
      </w:r>
      <w:r>
        <w:rPr>
          <w:rFonts w:ascii="Times New Roman" w:eastAsia="Calibri" w:hAnsi="Times New Roman" w:cs="Times New Roman"/>
          <w:sz w:val="24"/>
          <w:szCs w:val="24"/>
          <w:lang w:eastAsia="en-GB"/>
        </w:rPr>
        <w:t xml:space="preserve">ound </w:t>
      </w:r>
      <w:r w:rsidR="00667B95" w:rsidRPr="008012CB">
        <w:rPr>
          <w:rFonts w:ascii="Times New Roman" w:eastAsia="Calibri" w:hAnsi="Times New Roman" w:cs="Times New Roman"/>
          <w:sz w:val="24"/>
          <w:szCs w:val="24"/>
          <w:lang w:eastAsia="en-GB"/>
        </w:rPr>
        <w:t>collection</w:t>
      </w:r>
      <w:r w:rsidRPr="008012CB">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which come in 42 different physical formats, will become unreadable within 15 years in the absence of action.</w:t>
      </w:r>
      <w:r>
        <w:rPr>
          <w:rStyle w:val="FootnoteReference"/>
          <w:rFonts w:ascii="Times New Roman" w:eastAsia="Calibri" w:hAnsi="Times New Roman" w:cs="Times New Roman"/>
          <w:sz w:val="24"/>
          <w:szCs w:val="24"/>
          <w:lang w:eastAsia="en-GB"/>
        </w:rPr>
        <w:footnoteReference w:id="375"/>
      </w:r>
      <w:r w:rsidRPr="00871CDA">
        <w:rPr>
          <w:rFonts w:ascii="Times New Roman" w:eastAsia="Calibri" w:hAnsi="Times New Roman" w:cs="Times New Roman"/>
          <w:sz w:val="24"/>
          <w:szCs w:val="24"/>
          <w:lang w:eastAsia="en-GB"/>
        </w:rPr>
        <w:t xml:space="preserve"> Technology allows for 'digitisation', i.e. the creation of digital equivalents or so-called 'surrogates' of works originally on analogue supports (for example </w:t>
      </w:r>
      <w:r>
        <w:rPr>
          <w:rFonts w:ascii="Times New Roman" w:eastAsia="Calibri" w:hAnsi="Times New Roman" w:cs="Times New Roman"/>
          <w:sz w:val="24"/>
          <w:szCs w:val="24"/>
          <w:lang w:eastAsia="en-GB"/>
        </w:rPr>
        <w:t>paper</w:t>
      </w:r>
      <w:r w:rsidRPr="00871CDA">
        <w:rPr>
          <w:rFonts w:ascii="Times New Roman" w:eastAsia="Calibri" w:hAnsi="Times New Roman" w:cs="Times New Roman"/>
          <w:sz w:val="24"/>
          <w:szCs w:val="24"/>
          <w:lang w:eastAsia="en-GB"/>
        </w:rPr>
        <w:t>), which is also done</w:t>
      </w:r>
      <w:r>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for preservation purposes</w:t>
      </w:r>
      <w:r>
        <w:rPr>
          <w:rFonts w:ascii="Times New Roman" w:eastAsia="Calibri" w:hAnsi="Times New Roman" w:cs="Times New Roman"/>
          <w:sz w:val="24"/>
          <w:szCs w:val="24"/>
          <w:lang w:eastAsia="en-GB"/>
        </w:rPr>
        <w:t>.</w:t>
      </w:r>
      <w:r w:rsidRPr="00871CDA">
        <w:rPr>
          <w:rFonts w:ascii="Times New Roman" w:eastAsia="Calibri" w:hAnsi="Times New Roman" w:cs="Times New Roman"/>
          <w:sz w:val="24"/>
          <w:szCs w:val="24"/>
          <w:vertAlign w:val="superscript"/>
          <w:lang w:eastAsia="en-GB"/>
        </w:rPr>
        <w:footnoteReference w:id="376"/>
      </w:r>
      <w:r>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xml:space="preserve">Furthermore, </w:t>
      </w:r>
      <w:r>
        <w:rPr>
          <w:rFonts w:ascii="Times New Roman" w:eastAsia="Calibri" w:hAnsi="Times New Roman" w:cs="Times New Roman"/>
          <w:sz w:val="24"/>
          <w:szCs w:val="24"/>
          <w:lang w:eastAsia="en-GB"/>
        </w:rPr>
        <w:t xml:space="preserve">'digital preservation', i.e. the preservation of </w:t>
      </w:r>
      <w:r w:rsidRPr="00871CDA">
        <w:rPr>
          <w:rFonts w:ascii="Times New Roman" w:eastAsia="Calibri" w:hAnsi="Times New Roman" w:cs="Times New Roman"/>
          <w:sz w:val="24"/>
          <w:szCs w:val="24"/>
          <w:lang w:eastAsia="en-GB"/>
        </w:rPr>
        <w:t>works in digital form, both resulting from digitisation and 'born-digital'</w:t>
      </w:r>
      <w:r>
        <w:rPr>
          <w:rFonts w:ascii="Times New Roman" w:eastAsia="Calibri" w:hAnsi="Times New Roman" w:cs="Times New Roman"/>
          <w:sz w:val="24"/>
          <w:szCs w:val="24"/>
          <w:lang w:eastAsia="en-GB"/>
        </w:rPr>
        <w:t xml:space="preserve"> works</w:t>
      </w:r>
      <w:r w:rsidRPr="00871CDA">
        <w:rPr>
          <w:rFonts w:ascii="Times New Roman" w:eastAsia="Calibri" w:hAnsi="Times New Roman" w:cs="Times New Roman"/>
          <w:sz w:val="24"/>
          <w:szCs w:val="24"/>
          <w:lang w:eastAsia="en-GB"/>
        </w:rPr>
        <w:t>,</w:t>
      </w:r>
      <w:r w:rsidRPr="00871CDA">
        <w:rPr>
          <w:rFonts w:ascii="Times New Roman" w:eastAsia="Calibri" w:hAnsi="Times New Roman" w:cs="Times New Roman"/>
          <w:color w:val="000000"/>
          <w:sz w:val="24"/>
          <w:szCs w:val="24"/>
          <w:vertAlign w:val="superscript"/>
          <w:lang w:eastAsia="en-GB"/>
        </w:rPr>
        <w:footnoteReference w:id="377"/>
      </w:r>
      <w:r w:rsidRPr="00871CDA">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color w:val="000000"/>
          <w:sz w:val="24"/>
          <w:szCs w:val="24"/>
          <w:lang w:eastAsia="en-GB"/>
        </w:rPr>
        <w:t>raise</w:t>
      </w:r>
      <w:r>
        <w:rPr>
          <w:rFonts w:ascii="Times New Roman" w:eastAsia="Calibri" w:hAnsi="Times New Roman" w:cs="Times New Roman"/>
          <w:color w:val="000000"/>
          <w:sz w:val="24"/>
          <w:szCs w:val="24"/>
          <w:lang w:eastAsia="en-GB"/>
        </w:rPr>
        <w:t>s</w:t>
      </w:r>
      <w:r w:rsidRPr="00871CDA">
        <w:rPr>
          <w:rFonts w:ascii="Times New Roman" w:eastAsia="Calibri" w:hAnsi="Times New Roman" w:cs="Times New Roman"/>
          <w:color w:val="000000"/>
          <w:sz w:val="24"/>
          <w:szCs w:val="24"/>
          <w:lang w:eastAsia="en-GB"/>
        </w:rPr>
        <w:t xml:space="preserve"> </w:t>
      </w:r>
      <w:r w:rsidRPr="00871CDA">
        <w:rPr>
          <w:rFonts w:ascii="Times New Roman" w:eastAsia="Calibri" w:hAnsi="Times New Roman" w:cs="Times New Roman"/>
          <w:sz w:val="24"/>
          <w:szCs w:val="24"/>
          <w:lang w:eastAsia="en-GB"/>
        </w:rPr>
        <w:t>specific issues. Th</w:t>
      </w:r>
      <w:r>
        <w:rPr>
          <w:rFonts w:ascii="Times New Roman" w:eastAsia="Calibri" w:hAnsi="Times New Roman" w:cs="Times New Roman"/>
          <w:sz w:val="24"/>
          <w:szCs w:val="24"/>
          <w:lang w:eastAsia="en-GB"/>
        </w:rPr>
        <w:t>ose works</w:t>
      </w:r>
      <w:r w:rsidRPr="00871CDA">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can be</w:t>
      </w:r>
      <w:r w:rsidRPr="00871CDA">
        <w:rPr>
          <w:rFonts w:ascii="Times New Roman" w:eastAsia="Calibri" w:hAnsi="Times New Roman" w:cs="Times New Roman"/>
          <w:sz w:val="24"/>
          <w:szCs w:val="24"/>
          <w:lang w:eastAsia="en-GB"/>
        </w:rPr>
        <w:t xml:space="preserve"> subject to quicker degradation than content in analogue form, often with no notice to the human eye, and to </w:t>
      </w:r>
      <w:r>
        <w:rPr>
          <w:rFonts w:ascii="Times New Roman" w:eastAsia="Calibri" w:hAnsi="Times New Roman" w:cs="Times New Roman"/>
          <w:sz w:val="24"/>
          <w:szCs w:val="24"/>
          <w:lang w:eastAsia="en-GB"/>
        </w:rPr>
        <w:t xml:space="preserve">quick </w:t>
      </w:r>
      <w:r w:rsidRPr="00871CDA">
        <w:rPr>
          <w:rFonts w:ascii="Times New Roman" w:eastAsia="Calibri" w:hAnsi="Times New Roman" w:cs="Times New Roman"/>
          <w:sz w:val="24"/>
          <w:szCs w:val="24"/>
          <w:lang w:eastAsia="en-GB"/>
        </w:rPr>
        <w:t>technological obsolescence.</w:t>
      </w:r>
      <w:r w:rsidRPr="00871CDA">
        <w:rPr>
          <w:rFonts w:ascii="Times New Roman" w:eastAsia="Calibri" w:hAnsi="Times New Roman" w:cs="Times New Roman"/>
          <w:sz w:val="24"/>
          <w:szCs w:val="24"/>
          <w:vertAlign w:val="superscript"/>
          <w:lang w:eastAsia="en-GB"/>
        </w:rPr>
        <w:footnoteReference w:id="378"/>
      </w:r>
      <w:r w:rsidRPr="00871CDA">
        <w:rPr>
          <w:rFonts w:ascii="Times New Roman" w:eastAsia="Calibri" w:hAnsi="Times New Roman" w:cs="Times New Roman"/>
          <w:sz w:val="24"/>
          <w:szCs w:val="24"/>
          <w:lang w:eastAsia="en-GB"/>
        </w:rPr>
        <w:t xml:space="preserve"> Digital content can then require media migration and 'format-shifting', i.e. copying content onto more adequate media or formats</w:t>
      </w:r>
      <w:r>
        <w:rPr>
          <w:rFonts w:ascii="Times New Roman" w:eastAsia="Calibri" w:hAnsi="Times New Roman" w:cs="Times New Roman"/>
          <w:sz w:val="24"/>
          <w:szCs w:val="24"/>
          <w:lang w:eastAsia="en-GB"/>
        </w:rPr>
        <w:t>.</w:t>
      </w:r>
      <w:r w:rsidRPr="00871CDA">
        <w:rPr>
          <w:rFonts w:ascii="Times New Roman" w:eastAsia="Calibri" w:hAnsi="Times New Roman" w:cs="Times New Roman"/>
          <w:sz w:val="24"/>
          <w:szCs w:val="24"/>
          <w:vertAlign w:val="superscript"/>
          <w:lang w:eastAsia="en-GB"/>
        </w:rPr>
        <w:footnoteReference w:id="379"/>
      </w:r>
      <w:r w:rsidRPr="00871CDA">
        <w:rPr>
          <w:rFonts w:ascii="Times New Roman" w:eastAsia="Calibri" w:hAnsi="Times New Roman" w:cs="Times New Roman"/>
          <w:sz w:val="24"/>
          <w:szCs w:val="24"/>
          <w:lang w:eastAsia="en-GB"/>
        </w:rPr>
        <w:t xml:space="preserve"> It </w:t>
      </w:r>
      <w:r>
        <w:rPr>
          <w:rFonts w:ascii="Times New Roman" w:eastAsia="Calibri" w:hAnsi="Times New Roman" w:cs="Times New Roman"/>
          <w:sz w:val="24"/>
          <w:szCs w:val="24"/>
          <w:lang w:eastAsia="en-GB"/>
        </w:rPr>
        <w:t xml:space="preserve">can </w:t>
      </w:r>
      <w:r w:rsidRPr="00871CDA">
        <w:rPr>
          <w:rFonts w:ascii="Times New Roman" w:eastAsia="Calibri" w:hAnsi="Times New Roman" w:cs="Times New Roman"/>
          <w:sz w:val="24"/>
          <w:szCs w:val="24"/>
          <w:lang w:eastAsia="en-GB"/>
        </w:rPr>
        <w:t xml:space="preserve">also warrant proactive preservation from the day works are acquired into a collection. Digital preservation is </w:t>
      </w:r>
      <w:r>
        <w:rPr>
          <w:rFonts w:ascii="Times New Roman" w:eastAsia="Calibri" w:hAnsi="Times New Roman" w:cs="Times New Roman"/>
          <w:sz w:val="24"/>
          <w:szCs w:val="24"/>
          <w:lang w:eastAsia="en-GB"/>
        </w:rPr>
        <w:t>also</w:t>
      </w:r>
      <w:r w:rsidRPr="00871CDA">
        <w:rPr>
          <w:rFonts w:ascii="Times New Roman" w:eastAsia="Calibri" w:hAnsi="Times New Roman" w:cs="Times New Roman"/>
          <w:sz w:val="24"/>
          <w:szCs w:val="24"/>
          <w:lang w:eastAsia="en-GB"/>
        </w:rPr>
        <w:t xml:space="preserve"> seen as a continual process, rather than a series of discrete and occasional interventions. More generally, digitisation and digital preservation confront CHIs with complex, open technical questions and </w:t>
      </w:r>
      <w:r>
        <w:rPr>
          <w:rFonts w:ascii="Times New Roman" w:eastAsia="Calibri" w:hAnsi="Times New Roman" w:cs="Times New Roman"/>
          <w:sz w:val="24"/>
          <w:szCs w:val="24"/>
          <w:lang w:eastAsia="en-GB"/>
        </w:rPr>
        <w:t xml:space="preserve">can imply </w:t>
      </w:r>
      <w:r w:rsidRPr="00871CDA">
        <w:rPr>
          <w:rFonts w:ascii="Times New Roman" w:eastAsia="Calibri" w:hAnsi="Times New Roman" w:cs="Times New Roman"/>
          <w:sz w:val="24"/>
          <w:szCs w:val="24"/>
          <w:lang w:eastAsia="en-GB"/>
        </w:rPr>
        <w:t>considerable costs.</w:t>
      </w:r>
      <w:r w:rsidRPr="00591C7E">
        <w:rPr>
          <w:rStyle w:val="FootnoteReference"/>
          <w:rFonts w:ascii="Times New Roman" w:eastAsia="Calibri" w:hAnsi="Times New Roman" w:cs="Times New Roman"/>
          <w:sz w:val="24"/>
          <w:szCs w:val="24"/>
          <w:lang w:eastAsia="en-GB"/>
        </w:rPr>
        <w:footnoteReference w:id="380"/>
      </w:r>
      <w:r w:rsidRPr="00871CDA">
        <w:rPr>
          <w:rFonts w:ascii="Times New Roman" w:eastAsia="Calibri" w:hAnsi="Times New Roman" w:cs="Times New Roman"/>
          <w:sz w:val="24"/>
          <w:szCs w:val="24"/>
          <w:lang w:eastAsia="en-GB"/>
        </w:rPr>
        <w:t xml:space="preserve"> CHIs indicate that a number of these challenges cannot be addressed by individual institutions, many of which will not have the resources to undertake digital preservation on their own. This is reflected in ongoing collaborative R&amp;D and standardisation efforts, and an increasing interest in sharing infrastructure and work in networks</w:t>
      </w:r>
      <w:r>
        <w:rPr>
          <w:rFonts w:ascii="Times New Roman" w:eastAsia="Calibri" w:hAnsi="Times New Roman" w:cs="Times New Roman"/>
          <w:sz w:val="24"/>
          <w:szCs w:val="24"/>
          <w:lang w:eastAsia="en-GB"/>
        </w:rPr>
        <w:t>, including across MS</w:t>
      </w:r>
      <w:r w:rsidRPr="00871CDA">
        <w:rPr>
          <w:rFonts w:ascii="Times New Roman" w:eastAsia="Calibri" w:hAnsi="Times New Roman" w:cs="Times New Roman"/>
          <w:sz w:val="24"/>
          <w:szCs w:val="24"/>
          <w:lang w:eastAsia="en-GB"/>
        </w:rPr>
        <w:t>.</w:t>
      </w:r>
      <w:r>
        <w:rPr>
          <w:rStyle w:val="FootnoteReference"/>
          <w:rFonts w:ascii="Times New Roman" w:eastAsia="Calibri" w:hAnsi="Times New Roman" w:cs="Times New Roman"/>
          <w:sz w:val="24"/>
          <w:szCs w:val="24"/>
          <w:lang w:eastAsia="en-GB"/>
        </w:rPr>
        <w:footnoteReference w:id="381"/>
      </w:r>
      <w:r w:rsidRPr="00871CDA">
        <w:rPr>
          <w:rFonts w:ascii="Times New Roman" w:eastAsia="Calibri" w:hAnsi="Times New Roman" w:cs="Times New Roman"/>
          <w:sz w:val="24"/>
          <w:szCs w:val="24"/>
          <w:lang w:eastAsia="en-GB"/>
        </w:rPr>
        <w:t xml:space="preserve"> </w:t>
      </w:r>
    </w:p>
    <w:p w:rsidR="001F36A0" w:rsidRPr="00871CDA" w:rsidRDefault="001F36A0" w:rsidP="001F36A0">
      <w:pPr>
        <w:spacing w:after="120" w:line="240" w:lineRule="auto"/>
        <w:jc w:val="both"/>
        <w:rPr>
          <w:rFonts w:ascii="Times New Roman" w:eastAsia="Calibri" w:hAnsi="Times New Roman" w:cs="Times New Roman"/>
          <w:sz w:val="24"/>
          <w:szCs w:val="24"/>
          <w:lang w:eastAsia="en-GB"/>
        </w:rPr>
      </w:pPr>
      <w:r w:rsidRPr="00871CDA">
        <w:rPr>
          <w:rFonts w:ascii="Times New Roman" w:eastAsia="Calibri" w:hAnsi="Times New Roman" w:cs="Times New Roman"/>
          <w:sz w:val="24"/>
          <w:szCs w:val="24"/>
          <w:lang w:eastAsia="en-GB"/>
        </w:rPr>
        <w:t>The holdings of CHIs in the EU are vast</w:t>
      </w:r>
      <w:r>
        <w:rPr>
          <w:rFonts w:ascii="Times New Roman" w:eastAsia="Calibri" w:hAnsi="Times New Roman" w:cs="Times New Roman"/>
          <w:sz w:val="24"/>
          <w:szCs w:val="24"/>
          <w:lang w:eastAsia="en-GB"/>
        </w:rPr>
        <w:t xml:space="preserve">: it was estimated that, for example, European libraries hold </w:t>
      </w:r>
      <w:r w:rsidRPr="00D306CB">
        <w:rPr>
          <w:rFonts w:ascii="Times New Roman" w:eastAsia="Calibri" w:hAnsi="Times New Roman" w:cs="Times New Roman"/>
          <w:sz w:val="24"/>
          <w:szCs w:val="24"/>
          <w:lang w:eastAsia="en-GB"/>
        </w:rPr>
        <w:t>between 59 and 95 million individual book titles</w:t>
      </w:r>
      <w:r>
        <w:rPr>
          <w:rFonts w:ascii="Times New Roman" w:eastAsia="Calibri" w:hAnsi="Times New Roman" w:cs="Times New Roman"/>
          <w:sz w:val="24"/>
          <w:szCs w:val="24"/>
          <w:lang w:eastAsia="en-GB"/>
        </w:rPr>
        <w:t xml:space="preserve"> and museums </w:t>
      </w:r>
      <w:r w:rsidRPr="00D306CB">
        <w:rPr>
          <w:rFonts w:ascii="Times New Roman" w:eastAsia="Calibri" w:hAnsi="Times New Roman" w:cs="Times New Roman"/>
          <w:sz w:val="24"/>
          <w:szCs w:val="24"/>
          <w:lang w:eastAsia="en-GB"/>
        </w:rPr>
        <w:t>almost 75</w:t>
      </w:r>
      <w:r w:rsidR="0060401B">
        <w:rPr>
          <w:rFonts w:ascii="Times New Roman" w:eastAsia="Calibri" w:hAnsi="Times New Roman" w:cs="Times New Roman"/>
          <w:sz w:val="24"/>
          <w:szCs w:val="24"/>
          <w:lang w:eastAsia="en-GB"/>
        </w:rPr>
        <w:t>,</w:t>
      </w:r>
      <w:r w:rsidRPr="00D306CB">
        <w:rPr>
          <w:rFonts w:ascii="Times New Roman" w:eastAsia="Calibri" w:hAnsi="Times New Roman" w:cs="Times New Roman"/>
          <w:sz w:val="24"/>
          <w:szCs w:val="24"/>
          <w:lang w:eastAsia="en-GB"/>
        </w:rPr>
        <w:t>43 million works of art</w:t>
      </w:r>
      <w:r w:rsidRPr="00871CDA">
        <w:rPr>
          <w:rFonts w:ascii="Times New Roman" w:eastAsia="Calibri" w:hAnsi="Times New Roman" w:cs="Times New Roman"/>
          <w:sz w:val="24"/>
          <w:szCs w:val="24"/>
          <w:lang w:eastAsia="en-GB"/>
        </w:rPr>
        <w:t>.</w:t>
      </w:r>
      <w:r w:rsidRPr="00871CDA">
        <w:rPr>
          <w:rFonts w:ascii="Times New Roman" w:eastAsia="Calibri" w:hAnsi="Times New Roman" w:cs="Times New Roman"/>
          <w:sz w:val="24"/>
          <w:szCs w:val="24"/>
          <w:vertAlign w:val="superscript"/>
          <w:lang w:eastAsia="en-GB"/>
        </w:rPr>
        <w:footnoteReference w:id="382"/>
      </w:r>
      <w:r w:rsidRPr="00871CDA">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rPr>
        <w:t>Data on the copyright-protected portion of these is difficult to obtain, especially at aggregate level, but it is expected to be substantial, particularly for certain types of works: a study</w:t>
      </w:r>
      <w:r w:rsidRPr="00871CDA">
        <w:rPr>
          <w:rFonts w:ascii="Times New Roman" w:eastAsia="Calibri" w:hAnsi="Times New Roman" w:cs="Times New Roman"/>
          <w:bCs/>
          <w:sz w:val="24"/>
          <w:vertAlign w:val="superscript"/>
        </w:rPr>
        <w:footnoteReference w:id="383"/>
      </w:r>
      <w:r w:rsidRPr="00871CDA">
        <w:rPr>
          <w:rFonts w:ascii="Times New Roman" w:eastAsia="Calibri" w:hAnsi="Times New Roman" w:cs="Times New Roman"/>
          <w:bCs/>
          <w:sz w:val="24"/>
        </w:rPr>
        <w:t xml:space="preserve"> estimated the amount of public domain works, (i.e. those that are </w:t>
      </w:r>
      <w:r w:rsidRPr="00871CDA">
        <w:rPr>
          <w:rFonts w:ascii="Times New Roman" w:eastAsia="Calibri" w:hAnsi="Times New Roman" w:cs="Times New Roman"/>
          <w:bCs/>
          <w:i/>
          <w:sz w:val="24"/>
        </w:rPr>
        <w:t>not</w:t>
      </w:r>
      <w:r w:rsidRPr="00871CDA">
        <w:rPr>
          <w:rFonts w:ascii="Times New Roman" w:eastAsia="Calibri" w:hAnsi="Times New Roman" w:cs="Times New Roman"/>
          <w:bCs/>
          <w:sz w:val="24"/>
        </w:rPr>
        <w:t xml:space="preserve"> protected by copyright) in CHI collections at only 12</w:t>
      </w:r>
      <w:r w:rsidR="0060401B">
        <w:rPr>
          <w:rFonts w:ascii="Times New Roman" w:eastAsia="Calibri" w:hAnsi="Times New Roman" w:cs="Times New Roman"/>
          <w:bCs/>
          <w:sz w:val="24"/>
        </w:rPr>
        <w:t xml:space="preserve"> </w:t>
      </w:r>
      <w:r w:rsidRPr="00871CDA">
        <w:rPr>
          <w:rFonts w:ascii="Times New Roman" w:eastAsia="Calibri" w:hAnsi="Times New Roman" w:cs="Times New Roman"/>
          <w:bCs/>
          <w:sz w:val="24"/>
        </w:rPr>
        <w:t>% for books (in general in the EU), at 18</w:t>
      </w:r>
      <w:r w:rsidR="0060401B">
        <w:rPr>
          <w:rFonts w:ascii="Times New Roman" w:eastAsia="Calibri" w:hAnsi="Times New Roman" w:cs="Times New Roman"/>
          <w:bCs/>
          <w:sz w:val="24"/>
        </w:rPr>
        <w:t xml:space="preserve"> </w:t>
      </w:r>
      <w:r w:rsidRPr="00871CDA">
        <w:rPr>
          <w:rFonts w:ascii="Times New Roman" w:eastAsia="Calibri" w:hAnsi="Times New Roman" w:cs="Times New Roman"/>
          <w:bCs/>
          <w:sz w:val="24"/>
        </w:rPr>
        <w:t>% for the British Library Sound Archive and at 30</w:t>
      </w:r>
      <w:r w:rsidR="0060401B">
        <w:rPr>
          <w:rFonts w:ascii="Times New Roman" w:eastAsia="Calibri" w:hAnsi="Times New Roman" w:cs="Times New Roman"/>
          <w:bCs/>
          <w:sz w:val="24"/>
        </w:rPr>
        <w:t xml:space="preserve"> </w:t>
      </w:r>
      <w:r w:rsidRPr="00871CDA">
        <w:rPr>
          <w:rFonts w:ascii="Times New Roman" w:eastAsia="Calibri" w:hAnsi="Times New Roman" w:cs="Times New Roman"/>
          <w:bCs/>
          <w:sz w:val="24"/>
        </w:rPr>
        <w:t>% for musical compositions in the Cambridge University Library</w:t>
      </w:r>
      <w:r w:rsidRPr="00871CDA">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 xml:space="preserve"> It can therefore be expected that the </w:t>
      </w:r>
      <w:r>
        <w:rPr>
          <w:rFonts w:ascii="Times New Roman" w:eastAsia="Calibri" w:hAnsi="Times New Roman" w:cs="Times New Roman"/>
          <w:color w:val="000000"/>
          <w:sz w:val="24"/>
          <w:szCs w:val="24"/>
          <w:lang w:eastAsia="en-GB"/>
        </w:rPr>
        <w:t>problems described above potentially concern a large number of works in Europe.</w:t>
      </w:r>
    </w:p>
    <w:p w:rsidR="00041DC6" w:rsidRPr="00871CDA" w:rsidRDefault="00041DC6" w:rsidP="00041DC6">
      <w:pPr>
        <w:spacing w:after="120" w:line="240" w:lineRule="auto"/>
        <w:jc w:val="both"/>
        <w:rPr>
          <w:rFonts w:ascii="Times New Roman" w:eastAsia="Calibri" w:hAnsi="Times New Roman" w:cs="Times New Roman"/>
          <w:color w:val="000000"/>
          <w:sz w:val="24"/>
          <w:szCs w:val="24"/>
          <w:lang w:eastAsia="en-GB"/>
        </w:rPr>
      </w:pPr>
      <w:r w:rsidRPr="00C32C45">
        <w:rPr>
          <w:rFonts w:ascii="Times New Roman" w:eastAsia="Calibri" w:hAnsi="Times New Roman" w:cs="Times New Roman"/>
          <w:color w:val="000000"/>
          <w:sz w:val="24"/>
          <w:szCs w:val="24"/>
          <w:u w:val="single"/>
          <w:lang w:eastAsia="en-GB"/>
        </w:rPr>
        <w:t>Drivers:</w:t>
      </w:r>
      <w:r>
        <w:rPr>
          <w:rFonts w:ascii="Times New Roman" w:eastAsia="Calibri" w:hAnsi="Times New Roman" w:cs="Times New Roman"/>
          <w:color w:val="000000"/>
          <w:sz w:val="24"/>
          <w:szCs w:val="24"/>
          <w:lang w:eastAsia="en-GB"/>
        </w:rPr>
        <w:t xml:space="preserve"> [</w:t>
      </w:r>
      <w:r>
        <w:rPr>
          <w:rFonts w:ascii="Times New Roman" w:hAnsi="Times New Roman"/>
          <w:i/>
          <w:color w:val="000000"/>
          <w:sz w:val="24"/>
          <w:szCs w:val="24"/>
          <w:lang w:eastAsia="en-GB"/>
        </w:rPr>
        <w:t>Variable, unclear and narrow implementation of the preservation exception in MS</w:t>
      </w:r>
      <w:r>
        <w:rPr>
          <w:rFonts w:ascii="Times New Roman" w:eastAsia="Calibri" w:hAnsi="Times New Roman" w:cs="Times New Roman"/>
          <w:color w:val="000000"/>
          <w:sz w:val="24"/>
          <w:szCs w:val="24"/>
          <w:lang w:eastAsia="en-GB"/>
        </w:rPr>
        <w:t xml:space="preserve">] The </w:t>
      </w:r>
      <w:r w:rsidRPr="00871CDA">
        <w:rPr>
          <w:rFonts w:ascii="Times New Roman" w:eastAsia="Calibri" w:hAnsi="Times New Roman" w:cs="Times New Roman"/>
          <w:color w:val="000000"/>
          <w:sz w:val="24"/>
          <w:szCs w:val="24"/>
          <w:lang w:eastAsia="en-GB"/>
        </w:rPr>
        <w:t>implementation</w:t>
      </w:r>
      <w:r>
        <w:rPr>
          <w:rFonts w:ascii="Times New Roman" w:eastAsia="Calibri" w:hAnsi="Times New Roman" w:cs="Times New Roman"/>
          <w:color w:val="000000"/>
          <w:sz w:val="24"/>
          <w:szCs w:val="24"/>
          <w:lang w:eastAsia="en-GB"/>
        </w:rPr>
        <w:t xml:space="preserve"> in</w:t>
      </w:r>
      <w:r w:rsidRPr="00871CDA">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n</w:t>
      </w:r>
      <w:r w:rsidRPr="00871CDA">
        <w:rPr>
          <w:rFonts w:ascii="Times New Roman" w:eastAsia="Calibri" w:hAnsi="Times New Roman" w:cs="Times New Roman"/>
          <w:color w:val="000000"/>
          <w:sz w:val="24"/>
          <w:szCs w:val="24"/>
          <w:lang w:eastAsia="en-GB"/>
        </w:rPr>
        <w:t>ational</w:t>
      </w:r>
      <w:r>
        <w:rPr>
          <w:rFonts w:ascii="Times New Roman" w:eastAsia="Calibri" w:hAnsi="Times New Roman" w:cs="Times New Roman"/>
          <w:color w:val="000000"/>
          <w:sz w:val="24"/>
          <w:szCs w:val="24"/>
          <w:lang w:eastAsia="en-GB"/>
        </w:rPr>
        <w:t xml:space="preserve"> laws</w:t>
      </w:r>
      <w:r w:rsidRPr="00871CDA">
        <w:rPr>
          <w:rFonts w:ascii="Times New Roman" w:eastAsia="Calibri" w:hAnsi="Times New Roman" w:cs="Times New Roman"/>
          <w:color w:val="000000"/>
          <w:sz w:val="24"/>
          <w:szCs w:val="24"/>
          <w:lang w:eastAsia="en-GB"/>
        </w:rPr>
        <w:t xml:space="preserve"> of the current, optional EU exception applicable to preservation var</w:t>
      </w:r>
      <w:r>
        <w:rPr>
          <w:rFonts w:ascii="Times New Roman" w:eastAsia="Calibri" w:hAnsi="Times New Roman" w:cs="Times New Roman"/>
          <w:color w:val="000000"/>
          <w:sz w:val="24"/>
          <w:szCs w:val="24"/>
          <w:lang w:eastAsia="en-GB"/>
        </w:rPr>
        <w:t>ies</w:t>
      </w:r>
      <w:r w:rsidRPr="00871CDA">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and can be</w:t>
      </w:r>
      <w:r w:rsidRPr="00871CDA">
        <w:rPr>
          <w:rFonts w:ascii="Times New Roman" w:eastAsia="Calibri" w:hAnsi="Times New Roman" w:cs="Times New Roman"/>
          <w:color w:val="000000"/>
          <w:sz w:val="24"/>
          <w:szCs w:val="24"/>
          <w:lang w:eastAsia="en-GB"/>
        </w:rPr>
        <w:t xml:space="preserve"> limited and/or unclear in scope</w:t>
      </w:r>
      <w:r>
        <w:rPr>
          <w:rFonts w:ascii="Times New Roman" w:eastAsia="Calibri" w:hAnsi="Times New Roman" w:cs="Times New Roman"/>
          <w:color w:val="000000"/>
          <w:sz w:val="24"/>
          <w:szCs w:val="24"/>
          <w:lang w:eastAsia="en-GB"/>
        </w:rPr>
        <w:t>.</w:t>
      </w:r>
      <w:r w:rsidRPr="00871CDA">
        <w:rPr>
          <w:rFonts w:ascii="Times New Roman" w:eastAsia="Calibri" w:hAnsi="Times New Roman" w:cs="Times New Roman"/>
          <w:color w:val="000000"/>
          <w:sz w:val="24"/>
          <w:szCs w:val="24"/>
          <w:vertAlign w:val="superscript"/>
          <w:lang w:eastAsia="en-GB"/>
        </w:rPr>
        <w:footnoteReference w:id="384"/>
      </w:r>
      <w:r>
        <w:rPr>
          <w:rFonts w:ascii="Times New Roman" w:eastAsia="Calibri" w:hAnsi="Times New Roman" w:cs="Times New Roman"/>
          <w:color w:val="000000"/>
          <w:sz w:val="24"/>
          <w:szCs w:val="24"/>
          <w:lang w:eastAsia="en-GB"/>
        </w:rPr>
        <w:t xml:space="preserve"> This can be the case for </w:t>
      </w:r>
      <w:r w:rsidRPr="00871CDA">
        <w:rPr>
          <w:rFonts w:ascii="Times New Roman" w:eastAsia="Calibri" w:hAnsi="Times New Roman" w:cs="Times New Roman"/>
          <w:color w:val="000000"/>
          <w:sz w:val="24"/>
          <w:szCs w:val="24"/>
          <w:lang w:eastAsia="en-GB"/>
        </w:rPr>
        <w:t xml:space="preserve">the </w:t>
      </w:r>
      <w:r>
        <w:rPr>
          <w:rFonts w:ascii="Times New Roman" w:eastAsia="Calibri" w:hAnsi="Times New Roman" w:cs="Times New Roman"/>
          <w:color w:val="000000"/>
          <w:sz w:val="24"/>
          <w:szCs w:val="24"/>
          <w:lang w:eastAsia="en-GB"/>
        </w:rPr>
        <w:t>categorie</w:t>
      </w:r>
      <w:r w:rsidRPr="00871CDA">
        <w:rPr>
          <w:rFonts w:ascii="Times New Roman" w:eastAsia="Calibri" w:hAnsi="Times New Roman" w:cs="Times New Roman"/>
          <w:color w:val="000000"/>
          <w:sz w:val="24"/>
          <w:szCs w:val="24"/>
          <w:lang w:eastAsia="en-GB"/>
        </w:rPr>
        <w:t>s of beneficiary institutions</w:t>
      </w:r>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sz w:val="24"/>
        </w:rPr>
        <w:t xml:space="preserve">for example the exception only refers to archives in DE. Certain categories of works can also be excluded from the scope of the national exception, like in IT where record and film archives can only reproduce phonograms and videograms. </w:t>
      </w:r>
      <w:r>
        <w:rPr>
          <w:rFonts w:ascii="Times New Roman" w:eastAsia="Calibri" w:hAnsi="Times New Roman" w:cs="Times New Roman"/>
          <w:color w:val="000000"/>
          <w:sz w:val="24"/>
          <w:szCs w:val="24"/>
          <w:lang w:eastAsia="en-GB"/>
        </w:rPr>
        <w:t>T</w:t>
      </w:r>
      <w:r w:rsidRPr="00871CDA">
        <w:rPr>
          <w:rFonts w:ascii="Times New Roman" w:eastAsia="Calibri" w:hAnsi="Times New Roman" w:cs="Times New Roman"/>
          <w:color w:val="000000"/>
          <w:sz w:val="24"/>
          <w:szCs w:val="24"/>
          <w:lang w:eastAsia="en-GB"/>
        </w:rPr>
        <w:t>he specific purposes and uses allowed and other applicable conditions</w:t>
      </w:r>
      <w:r>
        <w:rPr>
          <w:rFonts w:ascii="Times New Roman" w:eastAsia="Calibri" w:hAnsi="Times New Roman" w:cs="Times New Roman"/>
          <w:color w:val="000000"/>
          <w:sz w:val="24"/>
          <w:szCs w:val="24"/>
          <w:lang w:eastAsia="en-GB"/>
        </w:rPr>
        <w:t xml:space="preserve"> also change</w:t>
      </w:r>
      <w:r>
        <w:rPr>
          <w:rFonts w:ascii="Times New Roman" w:eastAsia="Calibri" w:hAnsi="Times New Roman" w:cs="Times New Roman"/>
          <w:sz w:val="24"/>
        </w:rPr>
        <w:t>: t</w:t>
      </w:r>
      <w:r w:rsidRPr="00871CDA">
        <w:rPr>
          <w:rFonts w:ascii="Times New Roman" w:eastAsia="Calibri" w:hAnsi="Times New Roman" w:cs="Times New Roman"/>
          <w:sz w:val="24"/>
        </w:rPr>
        <w:t>he possibility of making digital copies</w:t>
      </w:r>
      <w:r>
        <w:rPr>
          <w:rFonts w:ascii="Times New Roman" w:eastAsia="Calibri" w:hAnsi="Times New Roman" w:cs="Times New Roman"/>
          <w:sz w:val="24"/>
        </w:rPr>
        <w:t>, like in EE,</w:t>
      </w:r>
      <w:r w:rsidRPr="00871CDA">
        <w:rPr>
          <w:rFonts w:ascii="Times New Roman" w:eastAsia="Calibri" w:hAnsi="Times New Roman" w:cs="Times New Roman"/>
          <w:sz w:val="24"/>
        </w:rPr>
        <w:t xml:space="preserve"> </w:t>
      </w:r>
      <w:r>
        <w:rPr>
          <w:rFonts w:ascii="Times New Roman" w:eastAsia="Calibri" w:hAnsi="Times New Roman" w:cs="Times New Roman"/>
          <w:sz w:val="24"/>
        </w:rPr>
        <w:t>or format shifting, like in NL, is rarely explicitly covered in other MS. This can for example prevent a library from creating a digital equivalent of a sound recording from an analogue support.</w:t>
      </w:r>
      <w:r w:rsidRPr="00871CDA">
        <w:rPr>
          <w:rFonts w:ascii="Times New Roman" w:eastAsia="Calibri" w:hAnsi="Times New Roman" w:cs="Times New Roman"/>
          <w:sz w:val="24"/>
        </w:rPr>
        <w:t xml:space="preserve"> </w:t>
      </w:r>
      <w:r>
        <w:rPr>
          <w:rFonts w:ascii="Times New Roman" w:eastAsia="Calibri" w:hAnsi="Times New Roman" w:cs="Times New Roman"/>
          <w:color w:val="000000"/>
          <w:sz w:val="24"/>
          <w:szCs w:val="24"/>
          <w:lang w:eastAsia="en-GB"/>
        </w:rPr>
        <w:t>The</w:t>
      </w:r>
      <w:r w:rsidRPr="00871CDA">
        <w:rPr>
          <w:rFonts w:ascii="Times New Roman" w:eastAsia="Calibri" w:hAnsi="Times New Roman" w:cs="Times New Roman"/>
          <w:color w:val="000000"/>
          <w:sz w:val="24"/>
          <w:szCs w:val="24"/>
          <w:lang w:eastAsia="en-GB"/>
        </w:rPr>
        <w:t xml:space="preserve"> number of copies that </w:t>
      </w:r>
      <w:r>
        <w:rPr>
          <w:rFonts w:ascii="Times New Roman" w:eastAsia="Calibri" w:hAnsi="Times New Roman" w:cs="Times New Roman"/>
          <w:color w:val="000000"/>
          <w:sz w:val="24"/>
          <w:szCs w:val="24"/>
          <w:lang w:eastAsia="en-GB"/>
        </w:rPr>
        <w:t>may</w:t>
      </w:r>
      <w:r w:rsidRPr="00871CDA">
        <w:rPr>
          <w:rFonts w:ascii="Times New Roman" w:eastAsia="Calibri" w:hAnsi="Times New Roman" w:cs="Times New Roman"/>
          <w:color w:val="000000"/>
          <w:sz w:val="24"/>
          <w:szCs w:val="24"/>
          <w:lang w:eastAsia="en-GB"/>
        </w:rPr>
        <w:t xml:space="preserve"> be made </w:t>
      </w:r>
      <w:r>
        <w:rPr>
          <w:rFonts w:ascii="Times New Roman" w:eastAsia="Calibri" w:hAnsi="Times New Roman" w:cs="Times New Roman"/>
          <w:color w:val="000000"/>
          <w:sz w:val="24"/>
          <w:szCs w:val="24"/>
          <w:lang w:eastAsia="en-GB"/>
        </w:rPr>
        <w:t>can be limi</w:t>
      </w:r>
      <w:r w:rsidRPr="00871CDA">
        <w:rPr>
          <w:rFonts w:ascii="Times New Roman" w:eastAsia="Calibri" w:hAnsi="Times New Roman" w:cs="Times New Roman"/>
          <w:color w:val="000000"/>
          <w:sz w:val="24"/>
          <w:szCs w:val="24"/>
          <w:lang w:eastAsia="en-GB"/>
        </w:rPr>
        <w:t>t</w:t>
      </w:r>
      <w:r>
        <w:rPr>
          <w:rFonts w:ascii="Times New Roman" w:eastAsia="Calibri" w:hAnsi="Times New Roman" w:cs="Times New Roman"/>
          <w:color w:val="000000"/>
          <w:sz w:val="24"/>
          <w:szCs w:val="24"/>
          <w:lang w:eastAsia="en-GB"/>
        </w:rPr>
        <w:t>ed t</w:t>
      </w:r>
      <w:r w:rsidRPr="00871CDA">
        <w:rPr>
          <w:rFonts w:ascii="Times New Roman" w:eastAsia="Calibri" w:hAnsi="Times New Roman" w:cs="Times New Roman"/>
          <w:color w:val="000000"/>
          <w:sz w:val="24"/>
          <w:szCs w:val="24"/>
          <w:lang w:eastAsia="en-GB"/>
        </w:rPr>
        <w:t>o one</w:t>
      </w:r>
      <w:r>
        <w:rPr>
          <w:rFonts w:ascii="Times New Roman" w:eastAsia="Calibri" w:hAnsi="Times New Roman" w:cs="Times New Roman"/>
          <w:color w:val="000000"/>
          <w:sz w:val="24"/>
          <w:szCs w:val="24"/>
          <w:lang w:eastAsia="en-GB"/>
        </w:rPr>
        <w:t>, like in IT, contrasting with the need of multiple copies that is often inherent to digital preservation</w:t>
      </w:r>
      <w:r w:rsidRPr="00871CDA">
        <w:rPr>
          <w:rFonts w:ascii="Times New Roman" w:eastAsia="Calibri" w:hAnsi="Times New Roman" w:cs="Times New Roman"/>
          <w:color w:val="000000"/>
          <w:sz w:val="24"/>
          <w:szCs w:val="24"/>
          <w:lang w:eastAsia="en-GB"/>
        </w:rPr>
        <w:t xml:space="preserve">. </w:t>
      </w:r>
    </w:p>
    <w:p w:rsidR="001F36A0" w:rsidRDefault="001F36A0" w:rsidP="00041DC6">
      <w:pPr>
        <w:spacing w:after="120" w:line="240" w:lineRule="auto"/>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w:t>
      </w:r>
      <w:r>
        <w:rPr>
          <w:rFonts w:ascii="Times New Roman" w:hAnsi="Times New Roman"/>
          <w:i/>
          <w:color w:val="000000"/>
          <w:sz w:val="24"/>
          <w:szCs w:val="24"/>
          <w:lang w:eastAsia="en-GB"/>
        </w:rPr>
        <w:t>Disproportionate transaction costs</w:t>
      </w:r>
      <w:r>
        <w:rPr>
          <w:rFonts w:ascii="Times New Roman" w:eastAsia="Calibri" w:hAnsi="Times New Roman" w:cs="Times New Roman"/>
          <w:color w:val="000000"/>
          <w:sz w:val="24"/>
          <w:szCs w:val="24"/>
          <w:lang w:eastAsia="en-GB"/>
        </w:rPr>
        <w:t xml:space="preserve">] </w:t>
      </w:r>
      <w:r w:rsidRPr="00871CDA">
        <w:rPr>
          <w:rFonts w:ascii="Times New Roman" w:eastAsia="Calibri" w:hAnsi="Times New Roman" w:cs="Times New Roman"/>
          <w:color w:val="000000"/>
          <w:sz w:val="24"/>
          <w:szCs w:val="24"/>
          <w:lang w:eastAsia="en-GB"/>
        </w:rPr>
        <w:t xml:space="preserve">Where an exception is not applicable, the potential transaction costs implied by the need for CHIs to obtain authorisation from </w:t>
      </w:r>
      <w:r w:rsidR="0002514A">
        <w:rPr>
          <w:rFonts w:ascii="Times New Roman" w:eastAsia="Calibri" w:hAnsi="Times New Roman" w:cs="Times New Roman"/>
          <w:color w:val="000000"/>
          <w:sz w:val="24"/>
          <w:szCs w:val="24"/>
          <w:lang w:eastAsia="en-GB"/>
        </w:rPr>
        <w:t>r</w:t>
      </w:r>
      <w:r w:rsidR="00007677">
        <w:rPr>
          <w:rFonts w:ascii="Times New Roman" w:eastAsia="Calibri" w:hAnsi="Times New Roman" w:cs="Times New Roman"/>
          <w:color w:val="000000"/>
          <w:sz w:val="24"/>
          <w:szCs w:val="24"/>
          <w:lang w:eastAsia="en-GB"/>
        </w:rPr>
        <w:t>ightholders</w:t>
      </w:r>
      <w:r w:rsidRPr="00871CDA">
        <w:rPr>
          <w:rFonts w:ascii="Times New Roman" w:eastAsia="Calibri" w:hAnsi="Times New Roman" w:cs="Times New Roman"/>
          <w:color w:val="000000"/>
          <w:sz w:val="24"/>
          <w:szCs w:val="24"/>
          <w:lang w:eastAsia="en-GB"/>
        </w:rPr>
        <w:t xml:space="preserve"> can be disproportionate</w:t>
      </w:r>
      <w:r>
        <w:rPr>
          <w:rFonts w:ascii="Times New Roman" w:eastAsia="Calibri" w:hAnsi="Times New Roman" w:cs="Times New Roman"/>
          <w:color w:val="000000"/>
          <w:sz w:val="24"/>
          <w:szCs w:val="24"/>
          <w:lang w:eastAsia="en-GB"/>
        </w:rPr>
        <w:t xml:space="preserve">: if on the one hand the time and resources required to establish </w:t>
      </w:r>
      <w:r w:rsidRPr="009F078C">
        <w:rPr>
          <w:rFonts w:ascii="Times New Roman" w:eastAsia="Calibri" w:hAnsi="Times New Roman" w:cs="Times New Roman"/>
          <w:color w:val="000000"/>
          <w:sz w:val="24"/>
          <w:szCs w:val="24"/>
          <w:lang w:eastAsia="en-GB"/>
        </w:rPr>
        <w:t xml:space="preserve">the copyright status of </w:t>
      </w:r>
      <w:r>
        <w:rPr>
          <w:rFonts w:ascii="Times New Roman" w:eastAsia="Calibri" w:hAnsi="Times New Roman" w:cs="Times New Roman"/>
          <w:color w:val="000000"/>
          <w:sz w:val="24"/>
          <w:szCs w:val="24"/>
          <w:lang w:eastAsia="en-GB"/>
        </w:rPr>
        <w:t xml:space="preserve">works, find and contact </w:t>
      </w:r>
      <w:r w:rsidR="0002514A">
        <w:rPr>
          <w:rFonts w:ascii="Times New Roman" w:eastAsia="Calibri" w:hAnsi="Times New Roman" w:cs="Times New Roman"/>
          <w:color w:val="000000"/>
          <w:sz w:val="24"/>
          <w:szCs w:val="24"/>
          <w:lang w:eastAsia="en-GB"/>
        </w:rPr>
        <w:t>r</w:t>
      </w:r>
      <w:r w:rsidR="00007677">
        <w:rPr>
          <w:rFonts w:ascii="Times New Roman" w:eastAsia="Calibri" w:hAnsi="Times New Roman" w:cs="Times New Roman"/>
          <w:color w:val="000000"/>
          <w:sz w:val="24"/>
          <w:szCs w:val="24"/>
          <w:lang w:eastAsia="en-GB"/>
        </w:rPr>
        <w:t>ightholders</w:t>
      </w:r>
      <w:r>
        <w:rPr>
          <w:rFonts w:ascii="Times New Roman" w:eastAsia="Calibri" w:hAnsi="Times New Roman" w:cs="Times New Roman"/>
          <w:color w:val="000000"/>
          <w:sz w:val="24"/>
          <w:szCs w:val="24"/>
          <w:lang w:eastAsia="en-GB"/>
        </w:rPr>
        <w:t xml:space="preserve"> and obtain their authorisation can be considerable,</w:t>
      </w:r>
      <w:r w:rsidRPr="00871CDA">
        <w:rPr>
          <w:rFonts w:ascii="Times New Roman" w:eastAsia="Calibri" w:hAnsi="Times New Roman" w:cs="Times New Roman"/>
          <w:color w:val="000000"/>
          <w:sz w:val="24"/>
          <w:szCs w:val="24"/>
          <w:vertAlign w:val="superscript"/>
          <w:lang w:eastAsia="en-GB"/>
        </w:rPr>
        <w:footnoteReference w:id="385"/>
      </w:r>
      <w:r>
        <w:rPr>
          <w:rFonts w:ascii="Times New Roman" w:eastAsia="Calibri" w:hAnsi="Times New Roman" w:cs="Times New Roman"/>
          <w:color w:val="000000"/>
          <w:sz w:val="24"/>
          <w:szCs w:val="24"/>
          <w:lang w:eastAsia="en-GB"/>
        </w:rPr>
        <w:t xml:space="preserve"> on the other hand the </w:t>
      </w:r>
      <w:r w:rsidRPr="00871CDA">
        <w:rPr>
          <w:rFonts w:ascii="Times New Roman" w:eastAsia="Calibri" w:hAnsi="Times New Roman" w:cs="Times New Roman"/>
          <w:sz w:val="24"/>
        </w:rPr>
        <w:t xml:space="preserve">likelihood that </w:t>
      </w:r>
      <w:r w:rsidR="0002514A">
        <w:rPr>
          <w:rFonts w:ascii="Times New Roman" w:eastAsia="Calibri" w:hAnsi="Times New Roman" w:cs="Times New Roman"/>
          <w:sz w:val="24"/>
        </w:rPr>
        <w:t>r</w:t>
      </w:r>
      <w:r w:rsidR="00007677">
        <w:rPr>
          <w:rFonts w:ascii="Times New Roman" w:eastAsia="Calibri" w:hAnsi="Times New Roman" w:cs="Times New Roman"/>
          <w:sz w:val="24"/>
        </w:rPr>
        <w:t>ightholders</w:t>
      </w:r>
      <w:r w:rsidRPr="00871CDA">
        <w:rPr>
          <w:rFonts w:ascii="Times New Roman" w:eastAsia="Calibri" w:hAnsi="Times New Roman" w:cs="Times New Roman"/>
          <w:sz w:val="24"/>
        </w:rPr>
        <w:t xml:space="preserve"> refuse authorisations or seek remuneration is low</w:t>
      </w:r>
      <w:r>
        <w:rPr>
          <w:rFonts w:ascii="Times New Roman" w:eastAsia="Calibri" w:hAnsi="Times New Roman" w:cs="Times New Roman"/>
          <w:sz w:val="24"/>
        </w:rPr>
        <w:t xml:space="preserve"> as suggested by relevant case studies.</w:t>
      </w:r>
      <w:r>
        <w:rPr>
          <w:rStyle w:val="FootnoteReference"/>
          <w:rFonts w:ascii="Times New Roman" w:eastAsia="Calibri" w:hAnsi="Times New Roman" w:cs="Times New Roman"/>
          <w:sz w:val="24"/>
        </w:rPr>
        <w:footnoteReference w:id="386"/>
      </w:r>
      <w:r w:rsidRPr="00871CDA">
        <w:rPr>
          <w:rFonts w:ascii="Times New Roman" w:eastAsia="Calibri" w:hAnsi="Times New Roman" w:cs="Times New Roman"/>
          <w:sz w:val="24"/>
        </w:rPr>
        <w:t xml:space="preserve"> </w:t>
      </w:r>
      <w:r>
        <w:rPr>
          <w:rFonts w:ascii="Times New Roman" w:eastAsia="Calibri" w:hAnsi="Times New Roman" w:cs="Times New Roman"/>
          <w:sz w:val="24"/>
        </w:rPr>
        <w:t>T</w:t>
      </w:r>
      <w:r w:rsidRPr="00871CDA">
        <w:rPr>
          <w:rFonts w:ascii="Times New Roman" w:eastAsia="Calibri" w:hAnsi="Times New Roman" w:cs="Times New Roman"/>
          <w:sz w:val="24"/>
        </w:rPr>
        <w:t xml:space="preserve">he economic value of a </w:t>
      </w:r>
      <w:r>
        <w:rPr>
          <w:rFonts w:ascii="Times New Roman" w:eastAsia="Calibri" w:hAnsi="Times New Roman" w:cs="Times New Roman"/>
          <w:sz w:val="24"/>
        </w:rPr>
        <w:t>possible</w:t>
      </w:r>
      <w:r w:rsidRPr="00871CDA">
        <w:rPr>
          <w:rFonts w:ascii="Times New Roman" w:eastAsia="Calibri" w:hAnsi="Times New Roman" w:cs="Times New Roman"/>
          <w:sz w:val="24"/>
        </w:rPr>
        <w:t xml:space="preserve"> licence only covering this use</w:t>
      </w:r>
      <w:r>
        <w:rPr>
          <w:rFonts w:ascii="Times New Roman" w:eastAsia="Calibri" w:hAnsi="Times New Roman" w:cs="Times New Roman"/>
          <w:sz w:val="24"/>
        </w:rPr>
        <w:t xml:space="preserve"> is</w:t>
      </w:r>
      <w:r w:rsidRPr="00871CDA">
        <w:rPr>
          <w:rFonts w:ascii="Times New Roman" w:eastAsia="Calibri" w:hAnsi="Times New Roman" w:cs="Times New Roman"/>
          <w:sz w:val="24"/>
        </w:rPr>
        <w:t xml:space="preserve"> likely to be insignificant</w:t>
      </w:r>
      <w:r>
        <w:rPr>
          <w:rFonts w:ascii="Times New Roman" w:eastAsia="Calibri" w:hAnsi="Times New Roman" w:cs="Times New Roman"/>
          <w:sz w:val="24"/>
        </w:rPr>
        <w:t xml:space="preserve">, </w:t>
      </w:r>
      <w:r w:rsidRPr="00871CDA">
        <w:rPr>
          <w:rFonts w:ascii="Times New Roman" w:eastAsia="Calibri" w:hAnsi="Times New Roman" w:cs="Times New Roman"/>
          <w:color w:val="000000"/>
          <w:sz w:val="24"/>
          <w:szCs w:val="24"/>
          <w:lang w:eastAsia="en-GB"/>
        </w:rPr>
        <w:t xml:space="preserve">considering the limited economic interest for </w:t>
      </w:r>
      <w:r w:rsidR="0002514A">
        <w:rPr>
          <w:rFonts w:ascii="Times New Roman" w:eastAsia="Calibri" w:hAnsi="Times New Roman" w:cs="Times New Roman"/>
          <w:color w:val="000000"/>
          <w:sz w:val="24"/>
          <w:szCs w:val="24"/>
          <w:lang w:eastAsia="en-GB"/>
        </w:rPr>
        <w:t>r</w:t>
      </w:r>
      <w:r w:rsidR="00007677">
        <w:rPr>
          <w:rFonts w:ascii="Times New Roman" w:eastAsia="Calibri" w:hAnsi="Times New Roman" w:cs="Times New Roman"/>
          <w:color w:val="000000"/>
          <w:sz w:val="24"/>
          <w:szCs w:val="24"/>
          <w:lang w:eastAsia="en-GB"/>
        </w:rPr>
        <w:t>ightholders</w:t>
      </w:r>
      <w:r w:rsidRPr="00871CDA">
        <w:rPr>
          <w:rFonts w:ascii="Times New Roman" w:eastAsia="Calibri" w:hAnsi="Times New Roman" w:cs="Times New Roman"/>
          <w:color w:val="000000"/>
          <w:sz w:val="24"/>
          <w:szCs w:val="24"/>
          <w:lang w:eastAsia="en-GB"/>
        </w:rPr>
        <w:t xml:space="preserve"> of copies that are made for no other purpose than preservation</w:t>
      </w:r>
      <w:r>
        <w:rPr>
          <w:rFonts w:ascii="Times New Roman" w:eastAsia="Calibri" w:hAnsi="Times New Roman" w:cs="Times New Roman"/>
          <w:color w:val="000000"/>
          <w:sz w:val="24"/>
          <w:szCs w:val="24"/>
          <w:lang w:eastAsia="en-GB"/>
        </w:rPr>
        <w:t xml:space="preserve"> of works that CHIs already have</w:t>
      </w:r>
      <w:r w:rsidRPr="00871CDA">
        <w:rPr>
          <w:rFonts w:ascii="Times New Roman" w:eastAsia="Calibri" w:hAnsi="Times New Roman" w:cs="Times New Roman"/>
          <w:color w:val="000000"/>
          <w:sz w:val="24"/>
          <w:szCs w:val="24"/>
          <w:lang w:eastAsia="en-GB"/>
        </w:rPr>
        <w:t>.</w:t>
      </w:r>
      <w:r>
        <w:rPr>
          <w:rFonts w:ascii="Times New Roman" w:eastAsia="Calibri" w:hAnsi="Times New Roman" w:cs="Times New Roman"/>
          <w:color w:val="000000"/>
          <w:sz w:val="24"/>
          <w:szCs w:val="24"/>
          <w:lang w:eastAsia="en-GB"/>
        </w:rPr>
        <w:t xml:space="preserve"> </w:t>
      </w:r>
    </w:p>
    <w:p w:rsidR="00041DC6" w:rsidRDefault="00041DC6" w:rsidP="00041DC6">
      <w:pPr>
        <w:spacing w:after="120" w:line="240" w:lineRule="auto"/>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 xml:space="preserve">The authorisation of </w:t>
      </w:r>
      <w:r w:rsidR="0002514A">
        <w:rPr>
          <w:rFonts w:ascii="Times New Roman" w:eastAsia="Calibri" w:hAnsi="Times New Roman" w:cs="Times New Roman"/>
          <w:color w:val="000000"/>
          <w:sz w:val="24"/>
          <w:szCs w:val="24"/>
          <w:lang w:eastAsia="en-GB"/>
        </w:rPr>
        <w:t>r</w:t>
      </w:r>
      <w:r w:rsidR="00007677">
        <w:rPr>
          <w:rFonts w:ascii="Times New Roman" w:eastAsia="Calibri" w:hAnsi="Times New Roman" w:cs="Times New Roman"/>
          <w:color w:val="000000"/>
          <w:sz w:val="24"/>
          <w:szCs w:val="24"/>
          <w:lang w:eastAsia="en-GB"/>
        </w:rPr>
        <w:t>ightholders</w:t>
      </w:r>
      <w:r>
        <w:rPr>
          <w:rFonts w:ascii="Times New Roman" w:eastAsia="Calibri" w:hAnsi="Times New Roman" w:cs="Times New Roman"/>
          <w:color w:val="000000"/>
          <w:sz w:val="24"/>
          <w:szCs w:val="24"/>
          <w:lang w:eastAsia="en-GB"/>
        </w:rPr>
        <w:t xml:space="preserve"> for preservation copying is in some particular cases explicitly foreseen. However, this normally occurs as part of broader licences or agreements that are first and foremost concerned with </w:t>
      </w:r>
      <w:r>
        <w:rPr>
          <w:rFonts w:ascii="Times New Roman" w:eastAsia="Calibri" w:hAnsi="Times New Roman" w:cs="Times New Roman"/>
          <w:i/>
          <w:color w:val="000000"/>
          <w:sz w:val="24"/>
          <w:szCs w:val="24"/>
          <w:lang w:eastAsia="en-GB"/>
        </w:rPr>
        <w:t xml:space="preserve">access </w:t>
      </w:r>
      <w:r>
        <w:rPr>
          <w:rFonts w:ascii="Times New Roman" w:eastAsia="Calibri" w:hAnsi="Times New Roman" w:cs="Times New Roman"/>
          <w:color w:val="000000"/>
          <w:sz w:val="24"/>
          <w:szCs w:val="24"/>
          <w:lang w:eastAsia="en-GB"/>
        </w:rPr>
        <w:t xml:space="preserve">to works by CHIs (and its final users) and/or their </w:t>
      </w:r>
      <w:r w:rsidRPr="00CD0F0E">
        <w:rPr>
          <w:rFonts w:ascii="Times New Roman" w:eastAsia="Calibri" w:hAnsi="Times New Roman" w:cs="Times New Roman"/>
          <w:i/>
          <w:color w:val="000000"/>
          <w:sz w:val="24"/>
          <w:szCs w:val="24"/>
          <w:lang w:eastAsia="en-GB"/>
        </w:rPr>
        <w:t>acquisition</w:t>
      </w:r>
      <w:r>
        <w:rPr>
          <w:rFonts w:ascii="Times New Roman" w:eastAsia="Calibri" w:hAnsi="Times New Roman" w:cs="Times New Roman"/>
          <w:color w:val="000000"/>
          <w:sz w:val="24"/>
          <w:szCs w:val="24"/>
          <w:lang w:eastAsia="en-GB"/>
        </w:rPr>
        <w:t xml:space="preserve"> of permanent copies (which they can then permanently host, e.g. on their servers, for subsequent preservation). These licences do not have as their primary focus the </w:t>
      </w:r>
      <w:r>
        <w:rPr>
          <w:rFonts w:ascii="Times New Roman" w:eastAsia="Calibri" w:hAnsi="Times New Roman" w:cs="Times New Roman"/>
          <w:i/>
          <w:color w:val="000000"/>
          <w:sz w:val="24"/>
          <w:szCs w:val="24"/>
          <w:lang w:eastAsia="en-GB"/>
        </w:rPr>
        <w:t xml:space="preserve">conditions </w:t>
      </w:r>
      <w:r>
        <w:rPr>
          <w:rFonts w:ascii="Times New Roman" w:eastAsia="Calibri" w:hAnsi="Times New Roman" w:cs="Times New Roman"/>
          <w:color w:val="000000"/>
          <w:sz w:val="24"/>
          <w:szCs w:val="24"/>
          <w:lang w:eastAsia="en-GB"/>
        </w:rPr>
        <w:t>of preservation (the problem addressed here), and exist in some specific contexts only, notably in instruments on voluntary deposit of works</w:t>
      </w:r>
      <w:r>
        <w:rPr>
          <w:rStyle w:val="FootnoteReference"/>
          <w:rFonts w:ascii="Times New Roman" w:eastAsia="Calibri" w:hAnsi="Times New Roman" w:cs="Times New Roman"/>
          <w:color w:val="000000"/>
          <w:sz w:val="24"/>
          <w:szCs w:val="24"/>
          <w:lang w:eastAsia="en-GB"/>
        </w:rPr>
        <w:footnoteReference w:id="387"/>
      </w:r>
      <w:r>
        <w:rPr>
          <w:rFonts w:ascii="Times New Roman" w:eastAsia="Calibri" w:hAnsi="Times New Roman" w:cs="Times New Roman"/>
          <w:color w:val="000000"/>
          <w:sz w:val="24"/>
          <w:szCs w:val="24"/>
          <w:lang w:eastAsia="en-GB"/>
        </w:rPr>
        <w:t xml:space="preserve"> concluded between certain categories of </w:t>
      </w:r>
      <w:r w:rsidR="0002514A">
        <w:rPr>
          <w:rFonts w:ascii="Times New Roman" w:eastAsia="Calibri" w:hAnsi="Times New Roman" w:cs="Times New Roman"/>
          <w:color w:val="000000"/>
          <w:sz w:val="24"/>
          <w:szCs w:val="24"/>
          <w:lang w:eastAsia="en-GB"/>
        </w:rPr>
        <w:t>r</w:t>
      </w:r>
      <w:r w:rsidR="00007677">
        <w:rPr>
          <w:rFonts w:ascii="Times New Roman" w:eastAsia="Calibri" w:hAnsi="Times New Roman" w:cs="Times New Roman"/>
          <w:color w:val="000000"/>
          <w:sz w:val="24"/>
          <w:szCs w:val="24"/>
          <w:lang w:eastAsia="en-GB"/>
        </w:rPr>
        <w:t>ightholders</w:t>
      </w:r>
      <w:r>
        <w:rPr>
          <w:rFonts w:ascii="Times New Roman" w:eastAsia="Calibri" w:hAnsi="Times New Roman" w:cs="Times New Roman"/>
          <w:color w:val="000000"/>
          <w:sz w:val="24"/>
          <w:szCs w:val="24"/>
          <w:lang w:eastAsia="en-GB"/>
        </w:rPr>
        <w:t xml:space="preserve"> and CHIs, and in scientific publishing licences. The latter can alternatively also refer preservation </w:t>
      </w:r>
      <w:r w:rsidRPr="00333620">
        <w:rPr>
          <w:rFonts w:ascii="Times New Roman" w:eastAsia="Calibri" w:hAnsi="Times New Roman" w:cs="Times New Roman"/>
          <w:color w:val="000000"/>
          <w:sz w:val="24"/>
          <w:szCs w:val="24"/>
          <w:lang w:eastAsia="en-GB"/>
        </w:rPr>
        <w:t>to well-established third-part</w:t>
      </w:r>
      <w:r>
        <w:rPr>
          <w:rFonts w:ascii="Times New Roman" w:eastAsia="Calibri" w:hAnsi="Times New Roman" w:cs="Times New Roman"/>
          <w:color w:val="000000"/>
          <w:sz w:val="24"/>
          <w:szCs w:val="24"/>
          <w:lang w:eastAsia="en-GB"/>
        </w:rPr>
        <w:t>y specialised organisations.</w:t>
      </w:r>
      <w:r>
        <w:rPr>
          <w:rStyle w:val="FootnoteReference"/>
          <w:rFonts w:ascii="Times New Roman" w:eastAsia="Calibri" w:hAnsi="Times New Roman" w:cs="Times New Roman"/>
          <w:color w:val="000000"/>
          <w:sz w:val="24"/>
          <w:szCs w:val="24"/>
          <w:lang w:eastAsia="en-GB"/>
        </w:rPr>
        <w:footnoteReference w:id="388"/>
      </w:r>
      <w:r>
        <w:rPr>
          <w:rFonts w:ascii="Times New Roman" w:eastAsia="Calibri" w:hAnsi="Times New Roman" w:cs="Times New Roman"/>
          <w:color w:val="000000"/>
          <w:sz w:val="24"/>
          <w:szCs w:val="24"/>
          <w:lang w:eastAsia="en-GB"/>
        </w:rPr>
        <w:t xml:space="preserve"> </w:t>
      </w:r>
      <w:r w:rsidR="0002514A">
        <w:rPr>
          <w:rFonts w:ascii="Times New Roman" w:eastAsia="Calibri" w:hAnsi="Times New Roman" w:cs="Times New Roman"/>
          <w:color w:val="000000"/>
          <w:sz w:val="24"/>
          <w:szCs w:val="24"/>
          <w:lang w:eastAsia="en-GB"/>
        </w:rPr>
        <w:t>Rightholders</w:t>
      </w:r>
      <w:r w:rsidR="001F36A0">
        <w:rPr>
          <w:rFonts w:ascii="Times New Roman" w:eastAsia="Calibri" w:hAnsi="Times New Roman" w:cs="Times New Roman"/>
          <w:color w:val="000000"/>
          <w:sz w:val="24"/>
          <w:szCs w:val="24"/>
          <w:lang w:eastAsia="en-GB"/>
        </w:rPr>
        <w:t xml:space="preserve"> often referred to these solutions as responding well to the current preservation needs.</w:t>
      </w:r>
      <w:r w:rsidR="001F36A0">
        <w:rPr>
          <w:rStyle w:val="FootnoteReference"/>
          <w:rFonts w:ascii="Times New Roman" w:eastAsia="Calibri" w:hAnsi="Times New Roman" w:cs="Times New Roman"/>
          <w:color w:val="000000"/>
          <w:sz w:val="24"/>
          <w:szCs w:val="24"/>
          <w:lang w:eastAsia="en-GB"/>
        </w:rPr>
        <w:footnoteReference w:id="389"/>
      </w:r>
    </w:p>
    <w:p w:rsidR="00041DC6" w:rsidRDefault="00041DC6" w:rsidP="00041DC6">
      <w:pPr>
        <w:spacing w:after="120" w:line="240" w:lineRule="auto"/>
        <w:jc w:val="both"/>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u w:val="single"/>
          <w:lang w:eastAsia="en-GB"/>
        </w:rPr>
        <w:t>C</w:t>
      </w:r>
      <w:r w:rsidRPr="00C32C45">
        <w:rPr>
          <w:rFonts w:ascii="Times New Roman" w:eastAsia="Calibri" w:hAnsi="Times New Roman" w:cs="Times New Roman"/>
          <w:color w:val="000000"/>
          <w:sz w:val="24"/>
          <w:szCs w:val="24"/>
          <w:u w:val="single"/>
          <w:lang w:eastAsia="en-GB"/>
        </w:rPr>
        <w:t>onsequences:</w:t>
      </w:r>
      <w:r w:rsidRPr="00E62949">
        <w:rPr>
          <w:rFonts w:ascii="Times New Roman" w:eastAsia="Calibri" w:hAnsi="Times New Roman" w:cs="Times New Roman"/>
          <w:color w:val="000000"/>
          <w:sz w:val="24"/>
          <w:szCs w:val="24"/>
          <w:lang w:eastAsia="en-GB"/>
        </w:rPr>
        <w:t xml:space="preserve"> </w:t>
      </w:r>
      <w:r w:rsidRPr="00871CDA">
        <w:rPr>
          <w:rFonts w:ascii="Times New Roman" w:eastAsia="Calibri" w:hAnsi="Times New Roman" w:cs="Times New Roman"/>
          <w:color w:val="000000"/>
          <w:sz w:val="24"/>
          <w:szCs w:val="24"/>
          <w:lang w:eastAsia="en-GB"/>
        </w:rPr>
        <w:t>The lack of timely preservation of works is first and foremost a cultural and social concern</w:t>
      </w:r>
      <w:r>
        <w:rPr>
          <w:rFonts w:ascii="Times New Roman" w:eastAsia="Calibri" w:hAnsi="Times New Roman" w:cs="Times New Roman"/>
          <w:color w:val="000000"/>
          <w:sz w:val="24"/>
          <w:szCs w:val="24"/>
          <w:lang w:eastAsia="en-GB"/>
        </w:rPr>
        <w:t>, and t</w:t>
      </w:r>
      <w:r w:rsidRPr="00871CDA">
        <w:rPr>
          <w:rFonts w:ascii="Times New Roman" w:eastAsia="Calibri" w:hAnsi="Times New Roman" w:cs="Times New Roman"/>
          <w:color w:val="000000"/>
          <w:sz w:val="24"/>
          <w:szCs w:val="24"/>
          <w:lang w:eastAsia="en-GB"/>
        </w:rPr>
        <w:t>he extent of the problem is difficult to quantify</w:t>
      </w:r>
      <w:r>
        <w:rPr>
          <w:rFonts w:ascii="Times New Roman" w:eastAsia="Calibri" w:hAnsi="Times New Roman" w:cs="Times New Roman"/>
          <w:color w:val="000000"/>
          <w:sz w:val="24"/>
          <w:szCs w:val="24"/>
          <w:lang w:eastAsia="en-GB"/>
        </w:rPr>
        <w:t>.</w:t>
      </w:r>
      <w:r w:rsidRPr="00871CDA">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V</w:t>
      </w:r>
      <w:r w:rsidRPr="00871CDA">
        <w:rPr>
          <w:rFonts w:ascii="Times New Roman" w:eastAsia="Calibri" w:hAnsi="Times New Roman" w:cs="Times New Roman"/>
          <w:color w:val="000000"/>
          <w:sz w:val="24"/>
          <w:szCs w:val="24"/>
          <w:lang w:eastAsia="en-GB"/>
        </w:rPr>
        <w:t>ariation</w:t>
      </w:r>
      <w:r>
        <w:rPr>
          <w:rFonts w:ascii="Times New Roman" w:eastAsia="Calibri" w:hAnsi="Times New Roman" w:cs="Times New Roman"/>
          <w:color w:val="000000"/>
          <w:sz w:val="24"/>
          <w:szCs w:val="24"/>
          <w:lang w:eastAsia="en-GB"/>
        </w:rPr>
        <w:t>s</w:t>
      </w:r>
      <w:r w:rsidRPr="00871CDA">
        <w:rPr>
          <w:rFonts w:ascii="Times New Roman" w:eastAsia="Calibri" w:hAnsi="Times New Roman" w:cs="Times New Roman"/>
          <w:color w:val="000000"/>
          <w:sz w:val="24"/>
          <w:szCs w:val="24"/>
          <w:lang w:eastAsia="en-GB"/>
        </w:rPr>
        <w:t xml:space="preserve"> in the scope of national preservation exceptions </w:t>
      </w:r>
      <w:r>
        <w:rPr>
          <w:rFonts w:ascii="Times New Roman" w:eastAsia="Calibri" w:hAnsi="Times New Roman" w:cs="Times New Roman"/>
          <w:color w:val="000000"/>
          <w:sz w:val="24"/>
          <w:szCs w:val="24"/>
          <w:lang w:eastAsia="en-GB"/>
        </w:rPr>
        <w:t>are</w:t>
      </w:r>
      <w:r w:rsidRPr="00871CDA">
        <w:rPr>
          <w:rFonts w:ascii="Times New Roman" w:eastAsia="Calibri" w:hAnsi="Times New Roman" w:cs="Times New Roman"/>
          <w:color w:val="000000"/>
          <w:sz w:val="24"/>
          <w:szCs w:val="24"/>
          <w:lang w:eastAsia="en-GB"/>
        </w:rPr>
        <w:t xml:space="preserve"> also an obstacle to cooperation possibilities and efficiency gains that can be achieved in the single market. For example, </w:t>
      </w:r>
      <w:r>
        <w:rPr>
          <w:rFonts w:ascii="Times New Roman" w:eastAsia="Calibri" w:hAnsi="Times New Roman" w:cs="Times New Roman"/>
          <w:color w:val="000000"/>
          <w:sz w:val="24"/>
          <w:szCs w:val="24"/>
          <w:lang w:eastAsia="en-GB"/>
        </w:rPr>
        <w:t xml:space="preserve">a frequent practice in </w:t>
      </w:r>
      <w:r w:rsidRPr="00871CDA">
        <w:rPr>
          <w:rFonts w:ascii="Times New Roman" w:eastAsia="Calibri" w:hAnsi="Times New Roman" w:cs="Times New Roman"/>
          <w:color w:val="000000"/>
          <w:sz w:val="24"/>
          <w:szCs w:val="24"/>
          <w:lang w:eastAsia="en-GB"/>
        </w:rPr>
        <w:t xml:space="preserve">digital preservation </w:t>
      </w:r>
      <w:r>
        <w:rPr>
          <w:rFonts w:ascii="Times New Roman" w:eastAsia="Calibri" w:hAnsi="Times New Roman" w:cs="Times New Roman"/>
          <w:color w:val="000000"/>
          <w:sz w:val="24"/>
          <w:szCs w:val="24"/>
          <w:lang w:eastAsia="en-GB"/>
        </w:rPr>
        <w:t xml:space="preserve">is to </w:t>
      </w:r>
      <w:r w:rsidRPr="00871CDA">
        <w:rPr>
          <w:rFonts w:ascii="Times New Roman" w:eastAsia="Calibri" w:hAnsi="Times New Roman" w:cs="Times New Roman"/>
          <w:color w:val="000000"/>
          <w:sz w:val="24"/>
          <w:szCs w:val="24"/>
          <w:lang w:eastAsia="en-GB"/>
        </w:rPr>
        <w:t>stor</w:t>
      </w:r>
      <w:r>
        <w:rPr>
          <w:rFonts w:ascii="Times New Roman" w:eastAsia="Calibri" w:hAnsi="Times New Roman" w:cs="Times New Roman"/>
          <w:color w:val="000000"/>
          <w:sz w:val="24"/>
          <w:szCs w:val="24"/>
          <w:lang w:eastAsia="en-GB"/>
        </w:rPr>
        <w:t>e</w:t>
      </w:r>
      <w:r w:rsidRPr="00871CDA">
        <w:rPr>
          <w:rFonts w:ascii="Times New Roman" w:eastAsia="Calibri" w:hAnsi="Times New Roman" w:cs="Times New Roman"/>
          <w:color w:val="000000"/>
          <w:sz w:val="24"/>
          <w:szCs w:val="24"/>
          <w:lang w:eastAsia="en-GB"/>
        </w:rPr>
        <w:t xml:space="preserve"> different</w:t>
      </w:r>
      <w:r>
        <w:rPr>
          <w:rFonts w:ascii="Times New Roman" w:eastAsia="Calibri" w:hAnsi="Times New Roman" w:cs="Times New Roman"/>
          <w:color w:val="000000"/>
          <w:sz w:val="24"/>
          <w:szCs w:val="24"/>
          <w:lang w:eastAsia="en-GB"/>
        </w:rPr>
        <w:t xml:space="preserve"> digital</w:t>
      </w:r>
      <w:r w:rsidRPr="00871CDA">
        <w:rPr>
          <w:rFonts w:ascii="Times New Roman" w:eastAsia="Calibri" w:hAnsi="Times New Roman" w:cs="Times New Roman"/>
          <w:color w:val="000000"/>
          <w:sz w:val="24"/>
          <w:szCs w:val="24"/>
          <w:lang w:eastAsia="en-GB"/>
        </w:rPr>
        <w:t xml:space="preserve"> copies of the same work in a minimum number of separate locations, each requiring dedicated infrastructure. Divergent legal frameworks can be a barrier to the possibility to share such infrastructure among CHIs located in different MS</w:t>
      </w:r>
      <w:r>
        <w:rPr>
          <w:rFonts w:ascii="Times New Roman" w:eastAsia="Calibri" w:hAnsi="Times New Roman" w:cs="Times New Roman"/>
          <w:color w:val="000000"/>
          <w:sz w:val="24"/>
          <w:szCs w:val="24"/>
          <w:lang w:eastAsia="en-GB"/>
        </w:rPr>
        <w:t>, and therefore have an impact on the broader problem of high technical costs associated to digital preservation.</w:t>
      </w:r>
    </w:p>
    <w:p w:rsidR="001F36A0" w:rsidRDefault="001F36A0" w:rsidP="001F36A0">
      <w:pPr>
        <w:spacing w:after="120" w:line="240" w:lineRule="auto"/>
        <w:jc w:val="both"/>
        <w:rPr>
          <w:rFonts w:ascii="Times New Roman" w:eastAsia="Calibri" w:hAnsi="Times New Roman" w:cs="Times New Roman"/>
          <w:sz w:val="24"/>
        </w:rPr>
      </w:pPr>
      <w:r w:rsidRPr="00C32C45">
        <w:rPr>
          <w:rFonts w:ascii="Times New Roman" w:eastAsia="Calibri" w:hAnsi="Times New Roman" w:cs="Times New Roman"/>
          <w:color w:val="000000"/>
          <w:sz w:val="24"/>
          <w:szCs w:val="24"/>
          <w:u w:val="single"/>
          <w:lang w:eastAsia="en-GB"/>
        </w:rPr>
        <w:t>How the problem would evolve</w:t>
      </w:r>
      <w:r>
        <w:rPr>
          <w:rFonts w:ascii="Times New Roman" w:eastAsia="Calibri" w:hAnsi="Times New Roman" w:cs="Times New Roman"/>
          <w:color w:val="000000"/>
          <w:sz w:val="24"/>
          <w:szCs w:val="24"/>
          <w:lang w:eastAsia="en-GB"/>
        </w:rPr>
        <w:t>: The future evolution of the problem is difficult to predict, but i</w:t>
      </w:r>
      <w:r w:rsidRPr="00871CDA">
        <w:rPr>
          <w:rFonts w:ascii="Times New Roman" w:eastAsia="Calibri" w:hAnsi="Times New Roman" w:cs="Times New Roman"/>
          <w:color w:val="000000"/>
          <w:sz w:val="24"/>
          <w:szCs w:val="24"/>
          <w:lang w:eastAsia="en-GB"/>
        </w:rPr>
        <w:t xml:space="preserve">ts </w:t>
      </w:r>
      <w:r>
        <w:rPr>
          <w:rFonts w:ascii="Times New Roman" w:eastAsia="Calibri" w:hAnsi="Times New Roman" w:cs="Times New Roman"/>
          <w:color w:val="000000"/>
          <w:sz w:val="24"/>
          <w:szCs w:val="24"/>
          <w:lang w:eastAsia="en-GB"/>
        </w:rPr>
        <w:t xml:space="preserve">general </w:t>
      </w:r>
      <w:r w:rsidRPr="00871CDA">
        <w:rPr>
          <w:rFonts w:ascii="Times New Roman" w:eastAsia="Calibri" w:hAnsi="Times New Roman" w:cs="Times New Roman"/>
          <w:color w:val="000000"/>
          <w:sz w:val="24"/>
          <w:szCs w:val="24"/>
          <w:lang w:eastAsia="en-GB"/>
        </w:rPr>
        <w:t>magnitude is likely to increase over time, given the gradual shift to digital in the production</w:t>
      </w:r>
      <w:r>
        <w:rPr>
          <w:rFonts w:ascii="Times New Roman" w:eastAsia="Calibri" w:hAnsi="Times New Roman" w:cs="Times New Roman"/>
          <w:color w:val="000000"/>
          <w:sz w:val="24"/>
          <w:szCs w:val="24"/>
          <w:lang w:eastAsia="en-GB"/>
        </w:rPr>
        <w:t>,</w:t>
      </w:r>
      <w:r w:rsidRPr="00871CDA">
        <w:rPr>
          <w:rFonts w:ascii="Times New Roman" w:eastAsia="Calibri" w:hAnsi="Times New Roman" w:cs="Times New Roman"/>
          <w:color w:val="000000"/>
          <w:sz w:val="24"/>
          <w:szCs w:val="24"/>
          <w:lang w:eastAsia="en-GB"/>
        </w:rPr>
        <w:t xml:space="preserve"> dissemination </w:t>
      </w:r>
      <w:r>
        <w:rPr>
          <w:rFonts w:ascii="Times New Roman" w:eastAsia="Calibri" w:hAnsi="Times New Roman" w:cs="Times New Roman"/>
          <w:color w:val="000000"/>
          <w:sz w:val="24"/>
          <w:szCs w:val="24"/>
          <w:lang w:eastAsia="en-GB"/>
        </w:rPr>
        <w:t xml:space="preserve">and preservation </w:t>
      </w:r>
      <w:r w:rsidRPr="00871CDA">
        <w:rPr>
          <w:rFonts w:ascii="Times New Roman" w:eastAsia="Calibri" w:hAnsi="Times New Roman" w:cs="Times New Roman"/>
          <w:color w:val="000000"/>
          <w:sz w:val="24"/>
          <w:szCs w:val="24"/>
          <w:lang w:eastAsia="en-GB"/>
        </w:rPr>
        <w:t>of works</w:t>
      </w:r>
      <w:r>
        <w:rPr>
          <w:rFonts w:ascii="Times New Roman" w:eastAsia="Calibri" w:hAnsi="Times New Roman" w:cs="Times New Roman"/>
          <w:color w:val="000000"/>
          <w:sz w:val="24"/>
          <w:szCs w:val="24"/>
          <w:lang w:eastAsia="en-GB"/>
        </w:rPr>
        <w:t>, as shown by the fact</w:t>
      </w:r>
      <w:r w:rsidRPr="00871CDA">
        <w:rPr>
          <w:rFonts w:ascii="Times New Roman" w:eastAsia="Calibri" w:hAnsi="Times New Roman" w:cs="Times New Roman"/>
          <w:color w:val="000000"/>
          <w:sz w:val="24"/>
          <w:szCs w:val="24"/>
          <w:lang w:eastAsia="en-GB"/>
        </w:rPr>
        <w:t xml:space="preserve"> that already today on average</w:t>
      </w:r>
      <w:r w:rsidRPr="00871CDA">
        <w:rPr>
          <w:rFonts w:ascii="Times New Roman" w:eastAsia="Calibri" w:hAnsi="Times New Roman" w:cs="Times New Roman"/>
          <w:sz w:val="24"/>
        </w:rPr>
        <w:t xml:space="preserve"> 60</w:t>
      </w:r>
      <w:r w:rsidR="0060401B">
        <w:rPr>
          <w:rFonts w:ascii="Times New Roman" w:eastAsia="Calibri" w:hAnsi="Times New Roman" w:cs="Times New Roman"/>
          <w:sz w:val="24"/>
        </w:rPr>
        <w:t xml:space="preserve"> </w:t>
      </w:r>
      <w:r w:rsidRPr="00871CDA">
        <w:rPr>
          <w:rFonts w:ascii="Times New Roman" w:eastAsia="Calibri" w:hAnsi="Times New Roman" w:cs="Times New Roman"/>
          <w:sz w:val="24"/>
        </w:rPr>
        <w:t>% of CHIs collect born-digital material.</w:t>
      </w:r>
      <w:r w:rsidRPr="00871CDA">
        <w:rPr>
          <w:rFonts w:ascii="Times New Roman" w:eastAsia="Calibri" w:hAnsi="Times New Roman" w:cs="Times New Roman"/>
          <w:sz w:val="24"/>
          <w:vertAlign w:val="superscript"/>
        </w:rPr>
        <w:footnoteReference w:id="390"/>
      </w:r>
      <w:r w:rsidRPr="00871CDA">
        <w:rPr>
          <w:rFonts w:ascii="Times New Roman" w:eastAsia="Calibri" w:hAnsi="Times New Roman" w:cs="Times New Roman"/>
          <w:sz w:val="24"/>
        </w:rPr>
        <w:t xml:space="preserve"> Th</w:t>
      </w:r>
      <w:r>
        <w:rPr>
          <w:rFonts w:ascii="Times New Roman" w:eastAsia="Calibri" w:hAnsi="Times New Roman" w:cs="Times New Roman"/>
          <w:sz w:val="24"/>
        </w:rPr>
        <w:t>is trend is clear in the individual institution examples like th</w:t>
      </w:r>
      <w:r w:rsidRPr="00871CDA">
        <w:rPr>
          <w:rFonts w:ascii="Times New Roman" w:eastAsia="Calibri" w:hAnsi="Times New Roman" w:cs="Times New Roman"/>
          <w:sz w:val="24"/>
        </w:rPr>
        <w:t>e British Library</w:t>
      </w:r>
      <w:r>
        <w:rPr>
          <w:rFonts w:ascii="Times New Roman" w:eastAsia="Calibri" w:hAnsi="Times New Roman" w:cs="Times New Roman"/>
          <w:sz w:val="24"/>
        </w:rPr>
        <w:t>, which</w:t>
      </w:r>
      <w:r w:rsidRPr="00871CDA">
        <w:rPr>
          <w:rFonts w:ascii="Times New Roman" w:eastAsia="Calibri" w:hAnsi="Times New Roman" w:cs="Times New Roman"/>
          <w:sz w:val="24"/>
        </w:rPr>
        <w:t xml:space="preserve"> estimated the digital content stored in its long-term digital library system </w:t>
      </w:r>
      <w:r>
        <w:rPr>
          <w:rFonts w:ascii="Times New Roman" w:eastAsia="Calibri" w:hAnsi="Times New Roman" w:cs="Times New Roman"/>
          <w:sz w:val="24"/>
        </w:rPr>
        <w:t>to amount to</w:t>
      </w:r>
      <w:r w:rsidRPr="00871CDA">
        <w:rPr>
          <w:rFonts w:ascii="Times New Roman" w:eastAsia="Calibri" w:hAnsi="Times New Roman" w:cs="Times New Roman"/>
          <w:sz w:val="24"/>
        </w:rPr>
        <w:t xml:space="preserve"> 280 terabytes and 11,500,000 items</w:t>
      </w:r>
      <w:r w:rsidRPr="00AF4378">
        <w:rPr>
          <w:rFonts w:ascii="Times New Roman" w:eastAsia="Calibri" w:hAnsi="Times New Roman" w:cs="Times New Roman"/>
          <w:sz w:val="24"/>
        </w:rPr>
        <w:t xml:space="preserve"> </w:t>
      </w:r>
      <w:r w:rsidRPr="00871CDA">
        <w:rPr>
          <w:rFonts w:ascii="Times New Roman" w:eastAsia="Calibri" w:hAnsi="Times New Roman" w:cs="Times New Roman"/>
          <w:sz w:val="24"/>
        </w:rPr>
        <w:t xml:space="preserve">in 2013, </w:t>
      </w:r>
      <w:r>
        <w:rPr>
          <w:rFonts w:ascii="Times New Roman" w:eastAsia="Calibri" w:hAnsi="Times New Roman" w:cs="Times New Roman"/>
          <w:sz w:val="24"/>
        </w:rPr>
        <w:t>with an expected</w:t>
      </w:r>
      <w:r w:rsidRPr="00871CDA">
        <w:rPr>
          <w:rFonts w:ascii="Times New Roman" w:eastAsia="Calibri" w:hAnsi="Times New Roman" w:cs="Times New Roman"/>
          <w:sz w:val="24"/>
        </w:rPr>
        <w:t xml:space="preserve"> increase to approximately 5 petabytes by 2020.</w:t>
      </w:r>
      <w:r w:rsidRPr="00871CDA">
        <w:rPr>
          <w:rFonts w:ascii="Times New Roman" w:eastAsia="Calibri" w:hAnsi="Times New Roman" w:cs="Times New Roman"/>
          <w:sz w:val="24"/>
          <w:vertAlign w:val="superscript"/>
        </w:rPr>
        <w:footnoteReference w:id="391"/>
      </w:r>
      <w:r>
        <w:rPr>
          <w:rFonts w:ascii="Times New Roman" w:eastAsia="Calibri" w:hAnsi="Times New Roman" w:cs="Times New Roman"/>
          <w:sz w:val="24"/>
        </w:rPr>
        <w:t xml:space="preserve"> Some MS have recently modified their national exceptions, for example the UK, but such evolution cannot be expected to take place spontaneously in a coordinated manner across the EU.</w:t>
      </w:r>
    </w:p>
    <w:p w:rsidR="00041DC6" w:rsidRPr="009041EB" w:rsidRDefault="00041DC6" w:rsidP="00CF38F1">
      <w:pPr>
        <w:pStyle w:val="Heading3"/>
      </w:pPr>
      <w:bookmarkStart w:id="107" w:name="_Toc461114737"/>
      <w:r w:rsidRPr="009041EB">
        <w:t>What are the various options to achieve the objectives?</w:t>
      </w:r>
      <w:bookmarkEnd w:id="107"/>
    </w:p>
    <w:p w:rsidR="00041DC6" w:rsidRDefault="00041DC6" w:rsidP="005C004E">
      <w:pPr>
        <w:spacing w:after="120" w:line="240" w:lineRule="auto"/>
        <w:jc w:val="both"/>
        <w:rPr>
          <w:rFonts w:ascii="Times New Roman" w:hAnsi="Times New Roman"/>
          <w:sz w:val="24"/>
          <w:szCs w:val="20"/>
          <w:lang w:eastAsia="en-GB"/>
        </w:rPr>
      </w:pPr>
      <w:r w:rsidRPr="00492863">
        <w:rPr>
          <w:rFonts w:ascii="Times New Roman" w:hAnsi="Times New Roman"/>
          <w:sz w:val="24"/>
          <w:szCs w:val="20"/>
          <w:lang w:eastAsia="en-GB"/>
        </w:rPr>
        <w:t xml:space="preserve">The general and specific objectives are described in section </w:t>
      </w:r>
      <w:r>
        <w:rPr>
          <w:rFonts w:ascii="Times New Roman" w:hAnsi="Times New Roman"/>
          <w:sz w:val="24"/>
          <w:szCs w:val="20"/>
          <w:lang w:eastAsia="en-GB"/>
        </w:rPr>
        <w:t>4</w:t>
      </w:r>
      <w:r w:rsidRPr="00492863">
        <w:rPr>
          <w:rFonts w:ascii="Times New Roman" w:hAnsi="Times New Roman"/>
          <w:sz w:val="24"/>
          <w:szCs w:val="20"/>
          <w:lang w:eastAsia="en-GB"/>
        </w:rPr>
        <w:t>.1.3.</w:t>
      </w:r>
    </w:p>
    <w:p w:rsidR="00041DC6" w:rsidRPr="0081231B" w:rsidRDefault="00041DC6" w:rsidP="0081231B">
      <w:pPr>
        <w:pStyle w:val="Text1"/>
        <w:spacing w:before="0"/>
        <w:ind w:left="0"/>
        <w:rPr>
          <w:b/>
          <w:szCs w:val="24"/>
        </w:rPr>
      </w:pPr>
      <w:bookmarkStart w:id="108" w:name="_Toc422322974"/>
      <w:bookmarkEnd w:id="106"/>
      <w:bookmarkEnd w:id="108"/>
      <w:r w:rsidRPr="0081231B">
        <w:rPr>
          <w:b/>
          <w:szCs w:val="24"/>
        </w:rPr>
        <w:t>Baseline</w:t>
      </w:r>
    </w:p>
    <w:p w:rsidR="00041DC6" w:rsidRPr="00871CDA" w:rsidRDefault="00041DC6" w:rsidP="00041DC6">
      <w:pPr>
        <w:spacing w:after="120" w:line="240" w:lineRule="auto"/>
        <w:jc w:val="both"/>
        <w:rPr>
          <w:rFonts w:ascii="Times New Roman" w:eastAsia="Calibri" w:hAnsi="Times New Roman" w:cs="Times New Roman"/>
          <w:sz w:val="24"/>
        </w:rPr>
      </w:pPr>
      <w:r w:rsidRPr="00871CDA">
        <w:rPr>
          <w:rFonts w:ascii="Times New Roman" w:eastAsia="Calibri" w:hAnsi="Times New Roman" w:cs="Times New Roman"/>
          <w:sz w:val="24"/>
        </w:rPr>
        <w:t xml:space="preserve">No policy intervention. Reproduction of works for preservation purposes by CHIs would continue to </w:t>
      </w:r>
      <w:r w:rsidRPr="0081231B">
        <w:rPr>
          <w:rFonts w:ascii="Times New Roman" w:hAnsi="Times New Roman"/>
          <w:sz w:val="24"/>
          <w:szCs w:val="20"/>
          <w:lang w:eastAsia="en-GB"/>
        </w:rPr>
        <w:t>take</w:t>
      </w:r>
      <w:r w:rsidRPr="00871CDA">
        <w:rPr>
          <w:rFonts w:ascii="Times New Roman" w:eastAsia="Calibri" w:hAnsi="Times New Roman" w:cs="Times New Roman"/>
          <w:sz w:val="24"/>
        </w:rPr>
        <w:t xml:space="preserve"> place </w:t>
      </w:r>
      <w:r>
        <w:rPr>
          <w:rFonts w:ascii="Times New Roman" w:eastAsia="Calibri" w:hAnsi="Times New Roman" w:cs="Times New Roman"/>
          <w:sz w:val="24"/>
        </w:rPr>
        <w:t xml:space="preserve">only as permitted </w:t>
      </w:r>
      <w:r w:rsidRPr="00871CDA">
        <w:rPr>
          <w:rFonts w:ascii="Times New Roman" w:eastAsia="Calibri" w:hAnsi="Times New Roman" w:cs="Times New Roman"/>
          <w:sz w:val="24"/>
        </w:rPr>
        <w:t xml:space="preserve">under the different conditions and the varying space provided by the national implementation of the existing EU exception for 'specific acts of reproduction', or after the reproduction right has been cleared with </w:t>
      </w:r>
      <w:r w:rsidR="0060401B">
        <w:rPr>
          <w:rFonts w:ascii="Times New Roman" w:eastAsia="Calibri" w:hAnsi="Times New Roman" w:cs="Times New Roman"/>
          <w:sz w:val="24"/>
        </w:rPr>
        <w:t>r</w:t>
      </w:r>
      <w:r w:rsidR="00007677">
        <w:rPr>
          <w:rFonts w:ascii="Times New Roman" w:eastAsia="Calibri" w:hAnsi="Times New Roman" w:cs="Times New Roman"/>
          <w:sz w:val="24"/>
        </w:rPr>
        <w:t>ightholders</w:t>
      </w:r>
      <w:r w:rsidRPr="00871CDA">
        <w:rPr>
          <w:rFonts w:ascii="Times New Roman" w:eastAsia="Calibri" w:hAnsi="Times New Roman" w:cs="Times New Roman"/>
          <w:sz w:val="24"/>
        </w:rPr>
        <w:t xml:space="preserve"> if CHIs consider that the transaction costs involved is for them worth and possible to incur. </w:t>
      </w:r>
      <w:r>
        <w:rPr>
          <w:rFonts w:ascii="Times New Roman" w:eastAsia="Calibri" w:hAnsi="Times New Roman" w:cs="Times New Roman"/>
          <w:sz w:val="24"/>
        </w:rPr>
        <w:t>In voluntary legal deposit contexts and for</w:t>
      </w:r>
      <w:r w:rsidRPr="00871CDA">
        <w:rPr>
          <w:rFonts w:ascii="Times New Roman" w:eastAsia="Calibri" w:hAnsi="Times New Roman" w:cs="Times New Roman"/>
          <w:sz w:val="24"/>
        </w:rPr>
        <w:t xml:space="preserve"> parts of </w:t>
      </w:r>
      <w:r>
        <w:rPr>
          <w:rFonts w:ascii="Times New Roman" w:eastAsia="Calibri" w:hAnsi="Times New Roman" w:cs="Times New Roman"/>
          <w:sz w:val="24"/>
        </w:rPr>
        <w:t>scientific publications</w:t>
      </w:r>
      <w:r w:rsidRPr="00871CDA">
        <w:rPr>
          <w:rFonts w:ascii="Times New Roman" w:eastAsia="Calibri" w:hAnsi="Times New Roman" w:cs="Times New Roman"/>
          <w:sz w:val="24"/>
        </w:rPr>
        <w:t xml:space="preserve"> that libraries </w:t>
      </w:r>
      <w:r>
        <w:rPr>
          <w:rFonts w:ascii="Times New Roman" w:eastAsia="Calibri" w:hAnsi="Times New Roman" w:cs="Times New Roman"/>
          <w:sz w:val="24"/>
        </w:rPr>
        <w:t>have access to remotely</w:t>
      </w:r>
      <w:r w:rsidRPr="00871CDA">
        <w:rPr>
          <w:rFonts w:ascii="Times New Roman" w:eastAsia="Calibri" w:hAnsi="Times New Roman" w:cs="Times New Roman"/>
          <w:sz w:val="24"/>
        </w:rPr>
        <w:t xml:space="preserve">, preservation could continue to take place within broader </w:t>
      </w:r>
      <w:r>
        <w:rPr>
          <w:rFonts w:ascii="Times New Roman" w:eastAsia="Calibri" w:hAnsi="Times New Roman" w:cs="Times New Roman"/>
          <w:sz w:val="24"/>
        </w:rPr>
        <w:t>agreement</w:t>
      </w:r>
      <w:r w:rsidRPr="00871CDA">
        <w:rPr>
          <w:rFonts w:ascii="Times New Roman" w:eastAsia="Calibri" w:hAnsi="Times New Roman" w:cs="Times New Roman"/>
          <w:sz w:val="24"/>
        </w:rPr>
        <w:t>-based systems.</w:t>
      </w:r>
      <w:r w:rsidRPr="00871CDA">
        <w:rPr>
          <w:rFonts w:ascii="Times New Roman" w:eastAsia="Calibri" w:hAnsi="Times New Roman" w:cs="Times New Roman"/>
          <w:sz w:val="24"/>
          <w:vertAlign w:val="superscript"/>
        </w:rPr>
        <w:footnoteReference w:id="392"/>
      </w:r>
    </w:p>
    <w:p w:rsidR="00041DC6" w:rsidRPr="0081231B" w:rsidRDefault="00041DC6" w:rsidP="00041DC6">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i/>
          <w:sz w:val="20"/>
          <w:szCs w:val="20"/>
        </w:rPr>
      </w:pPr>
      <w:r w:rsidRPr="0081231B">
        <w:rPr>
          <w:rFonts w:ascii="Times New Roman" w:eastAsia="Calibri" w:hAnsi="Times New Roman" w:cs="Times New Roman"/>
          <w:i/>
          <w:sz w:val="20"/>
          <w:szCs w:val="20"/>
        </w:rPr>
        <w:t>Stakeholders' views</w:t>
      </w:r>
    </w:p>
    <w:p w:rsidR="00041DC6" w:rsidRPr="0081231B" w:rsidRDefault="00041DC6" w:rsidP="00041DC6">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sz w:val="20"/>
          <w:szCs w:val="20"/>
        </w:rPr>
      </w:pPr>
      <w:r w:rsidRPr="0081231B">
        <w:rPr>
          <w:rFonts w:ascii="Times New Roman" w:eastAsia="Calibri" w:hAnsi="Times New Roman" w:cs="Times New Roman"/>
          <w:sz w:val="20"/>
          <w:szCs w:val="20"/>
        </w:rPr>
        <w:t xml:space="preserve">CHIs consider that the identified problems would not be solved in the absence of policy action. </w:t>
      </w:r>
      <w:r w:rsidR="00007677">
        <w:rPr>
          <w:rFonts w:ascii="Times New Roman" w:eastAsia="Calibri" w:hAnsi="Times New Roman" w:cs="Times New Roman"/>
          <w:sz w:val="20"/>
          <w:szCs w:val="20"/>
        </w:rPr>
        <w:t>Rightholders</w:t>
      </w:r>
      <w:r w:rsidRPr="0081231B">
        <w:rPr>
          <w:rFonts w:ascii="Times New Roman" w:eastAsia="Calibri" w:hAnsi="Times New Roman" w:cs="Times New Roman"/>
          <w:sz w:val="20"/>
          <w:szCs w:val="20"/>
        </w:rPr>
        <w:t>, on the contrary, overall maintain that the current legal framework for preservation by CHIs is adequate and would be in favour of no intervention.</w:t>
      </w:r>
      <w:r w:rsidRPr="0081231B">
        <w:rPr>
          <w:rStyle w:val="FootnoteReference"/>
          <w:rFonts w:ascii="Times New Roman" w:eastAsia="Calibri" w:hAnsi="Times New Roman" w:cs="Times New Roman"/>
          <w:sz w:val="20"/>
          <w:szCs w:val="20"/>
        </w:rPr>
        <w:footnoteReference w:id="393"/>
      </w:r>
      <w:r w:rsidR="004611FF">
        <w:rPr>
          <w:rFonts w:ascii="Times New Roman" w:eastAsia="Calibri" w:hAnsi="Times New Roman" w:cs="Times New Roman"/>
          <w:sz w:val="20"/>
          <w:szCs w:val="20"/>
        </w:rPr>
        <w:t xml:space="preserve"> </w:t>
      </w:r>
    </w:p>
    <w:p w:rsidR="00041DC6" w:rsidRPr="0081231B" w:rsidRDefault="00041DC6" w:rsidP="0081231B">
      <w:pPr>
        <w:pStyle w:val="Text1"/>
        <w:ind w:left="0"/>
        <w:rPr>
          <w:b/>
          <w:szCs w:val="24"/>
        </w:rPr>
      </w:pPr>
      <w:bookmarkStart w:id="109" w:name="_Toc414456617"/>
      <w:bookmarkStart w:id="110" w:name="_Toc418669605"/>
      <w:bookmarkStart w:id="111" w:name="_Toc427309297"/>
      <w:r w:rsidRPr="0081231B">
        <w:rPr>
          <w:b/>
          <w:szCs w:val="24"/>
        </w:rPr>
        <w:t>Option 1 - Guidance to MS and peer review mechanism on the implementation of the EU exception on 'specific acts of reproduction' for preservation purposes</w:t>
      </w:r>
      <w:bookmarkEnd w:id="109"/>
      <w:bookmarkEnd w:id="110"/>
      <w:bookmarkEnd w:id="111"/>
    </w:p>
    <w:p w:rsidR="00041DC6" w:rsidRPr="00871CDA" w:rsidRDefault="00041DC6" w:rsidP="007D6CF3">
      <w:pPr>
        <w:pStyle w:val="Text1"/>
        <w:numPr>
          <w:ilvl w:val="0"/>
          <w:numId w:val="37"/>
        </w:numPr>
        <w:ind w:left="426" w:hanging="426"/>
        <w:rPr>
          <w:szCs w:val="24"/>
        </w:rPr>
      </w:pPr>
      <w:r w:rsidRPr="00871CDA">
        <w:rPr>
          <w:szCs w:val="24"/>
        </w:rPr>
        <w:t xml:space="preserve">The Commission would provide guidance on the maximum scope of the current exception on 'specific acts of reproduction' as applicable to </w:t>
      </w:r>
      <w:r w:rsidRPr="00871CDA">
        <w:rPr>
          <w:bCs/>
          <w:szCs w:val="24"/>
        </w:rPr>
        <w:t xml:space="preserve">preservation purposes </w:t>
      </w:r>
      <w:r w:rsidRPr="00871CDA">
        <w:rPr>
          <w:szCs w:val="24"/>
        </w:rPr>
        <w:t xml:space="preserve">(categories of works, including those born-digital, beneficiaries and uses), while ensuring compliance with the three-step test. </w:t>
      </w:r>
    </w:p>
    <w:p w:rsidR="00041DC6" w:rsidRPr="0001086F" w:rsidRDefault="00041DC6" w:rsidP="007D6CF3">
      <w:pPr>
        <w:pStyle w:val="Text1"/>
        <w:numPr>
          <w:ilvl w:val="0"/>
          <w:numId w:val="37"/>
        </w:numPr>
        <w:ind w:left="426" w:hanging="426"/>
        <w:rPr>
          <w:szCs w:val="24"/>
        </w:rPr>
      </w:pPr>
      <w:r w:rsidRPr="00871CDA">
        <w:rPr>
          <w:szCs w:val="24"/>
        </w:rPr>
        <w:t xml:space="preserve">In addition, it would also initiate a 'peer review' among MS aimed to the comparison of national implementations of the EU exception and mutual learning as to the maximum space that it allows. </w:t>
      </w:r>
    </w:p>
    <w:p w:rsidR="00041DC6" w:rsidRPr="0081231B" w:rsidRDefault="00041DC6" w:rsidP="00041D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i/>
          <w:sz w:val="20"/>
          <w:szCs w:val="20"/>
        </w:rPr>
      </w:pPr>
      <w:r w:rsidRPr="0081231B">
        <w:rPr>
          <w:rFonts w:ascii="Times New Roman" w:eastAsia="Calibri" w:hAnsi="Times New Roman" w:cs="Times New Roman"/>
          <w:i/>
          <w:sz w:val="20"/>
          <w:szCs w:val="20"/>
        </w:rPr>
        <w:t>Stakeholders' views</w:t>
      </w:r>
    </w:p>
    <w:p w:rsidR="00041DC6" w:rsidRPr="0081231B" w:rsidRDefault="00041DC6" w:rsidP="00041D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sz w:val="20"/>
          <w:szCs w:val="20"/>
        </w:rPr>
      </w:pPr>
      <w:r w:rsidRPr="0081231B">
        <w:rPr>
          <w:rFonts w:ascii="Times New Roman" w:eastAsia="Calibri" w:hAnsi="Times New Roman" w:cs="Times New Roman"/>
          <w:sz w:val="20"/>
          <w:szCs w:val="20"/>
        </w:rPr>
        <w:t xml:space="preserve">Some CHIs would see some value in this option as possibly leading to a more shared understanding of the challenges of preservation in the digital age and to legislative change in individual MS. They would however consider it also insufficient, notably with regard to collaboration in cross-border contexts. </w:t>
      </w:r>
      <w:r w:rsidR="00007677">
        <w:rPr>
          <w:rFonts w:ascii="Times New Roman" w:eastAsia="Calibri" w:hAnsi="Times New Roman" w:cs="Times New Roman"/>
          <w:sz w:val="20"/>
          <w:szCs w:val="20"/>
        </w:rPr>
        <w:t>Rightholders</w:t>
      </w:r>
      <w:r w:rsidRPr="0081231B">
        <w:rPr>
          <w:rFonts w:ascii="Times New Roman" w:eastAsia="Calibri" w:hAnsi="Times New Roman" w:cs="Times New Roman"/>
          <w:sz w:val="20"/>
          <w:szCs w:val="20"/>
        </w:rPr>
        <w:t xml:space="preserve"> would consider this option unnecessary for the same reasons as outlined under the baseline scenario.</w:t>
      </w:r>
    </w:p>
    <w:p w:rsidR="00041DC6" w:rsidRPr="00871CDA" w:rsidRDefault="00041DC6" w:rsidP="0081231B">
      <w:pPr>
        <w:pStyle w:val="Text1"/>
        <w:ind w:left="0"/>
        <w:rPr>
          <w:b/>
        </w:rPr>
      </w:pPr>
      <w:r w:rsidRPr="00871CDA">
        <w:rPr>
          <w:b/>
        </w:rPr>
        <w:t xml:space="preserve">Option 2 - </w:t>
      </w:r>
      <w:r w:rsidRPr="0081231B">
        <w:rPr>
          <w:b/>
          <w:szCs w:val="24"/>
        </w:rPr>
        <w:t>Mandatory</w:t>
      </w:r>
      <w:r w:rsidRPr="00871CDA">
        <w:rPr>
          <w:b/>
        </w:rPr>
        <w:t xml:space="preserve"> harmonised exception for preservation purposes by cultural heritage institutions</w:t>
      </w:r>
    </w:p>
    <w:p w:rsidR="00041DC6" w:rsidRPr="00871CDA" w:rsidRDefault="00041DC6" w:rsidP="0081231B">
      <w:pPr>
        <w:spacing w:after="120" w:line="240" w:lineRule="auto"/>
        <w:jc w:val="both"/>
        <w:rPr>
          <w:rFonts w:ascii="Times New Roman" w:eastAsia="Calibri" w:hAnsi="Times New Roman" w:cs="Times New Roman"/>
          <w:sz w:val="24"/>
          <w:szCs w:val="24"/>
        </w:rPr>
      </w:pPr>
      <w:r w:rsidRPr="00871CDA">
        <w:rPr>
          <w:rFonts w:ascii="Times New Roman" w:eastAsia="Calibri" w:hAnsi="Times New Roman" w:cs="Times New Roman"/>
          <w:sz w:val="24"/>
          <w:szCs w:val="24"/>
        </w:rPr>
        <w:t>This option would require MS to implement a mandatory exception to the reproduction right with the following elements:</w:t>
      </w:r>
    </w:p>
    <w:p w:rsidR="001F36A0" w:rsidRPr="00871CDA" w:rsidRDefault="001F36A0" w:rsidP="001F36A0">
      <w:pPr>
        <w:pStyle w:val="Text1"/>
        <w:numPr>
          <w:ilvl w:val="0"/>
          <w:numId w:val="37"/>
        </w:numPr>
        <w:ind w:left="426" w:hanging="426"/>
        <w:rPr>
          <w:b/>
        </w:rPr>
      </w:pPr>
      <w:r w:rsidRPr="00871CDA">
        <w:rPr>
          <w:szCs w:val="24"/>
        </w:rPr>
        <w:t>Beneficiaries: CHIs engaged in preservation activities</w:t>
      </w:r>
      <w:r>
        <w:rPr>
          <w:szCs w:val="24"/>
        </w:rPr>
        <w:t>,</w:t>
      </w:r>
      <w:r w:rsidRPr="00871CDA">
        <w:rPr>
          <w:szCs w:val="24"/>
        </w:rPr>
        <w:t xml:space="preserve"> </w:t>
      </w:r>
      <w:r>
        <w:rPr>
          <w:szCs w:val="24"/>
        </w:rPr>
        <w:t>i.e.</w:t>
      </w:r>
      <w:r w:rsidRPr="00871CDA">
        <w:rPr>
          <w:szCs w:val="24"/>
        </w:rPr>
        <w:t xml:space="preserve"> publicly accessible libraries, museums, as well as archives and film or audio heritage institutions. Beneficiaries would be allowed to outsource activities covered by the exception, for example to technical service suppliers.</w:t>
      </w:r>
    </w:p>
    <w:p w:rsidR="00041DC6" w:rsidRPr="00C95985" w:rsidRDefault="00041DC6" w:rsidP="007D6CF3">
      <w:pPr>
        <w:pStyle w:val="Text1"/>
        <w:numPr>
          <w:ilvl w:val="0"/>
          <w:numId w:val="37"/>
        </w:numPr>
        <w:ind w:left="426" w:hanging="426"/>
        <w:rPr>
          <w:b/>
        </w:rPr>
      </w:pPr>
      <w:r w:rsidRPr="00C95985">
        <w:rPr>
          <w:szCs w:val="24"/>
        </w:rPr>
        <w:t xml:space="preserve">Subject-matter covered: all types of works and other protected subject matter in the permanent collection of the beneficiaries, </w:t>
      </w:r>
      <w:r>
        <w:rPr>
          <w:szCs w:val="24"/>
        </w:rPr>
        <w:t>intended as</w:t>
      </w:r>
      <w:r w:rsidRPr="00C95985">
        <w:rPr>
          <w:szCs w:val="24"/>
        </w:rPr>
        <w:t xml:space="preserve"> works on carriers (e.g. books, </w:t>
      </w:r>
      <w:r>
        <w:rPr>
          <w:szCs w:val="24"/>
        </w:rPr>
        <w:t>minidisc, tapes</w:t>
      </w:r>
      <w:r w:rsidRPr="00C95985">
        <w:rPr>
          <w:szCs w:val="24"/>
        </w:rPr>
        <w:t xml:space="preserve">) that they own or are permanently deposited with them, or embodied in files that they already own or host on a permanent basis (for example as a result of a contractual agreement allowing for the downloading or transfer of archival copies for permanent hosting, or of legal deposit legislation). </w:t>
      </w:r>
    </w:p>
    <w:p w:rsidR="00041DC6" w:rsidRPr="00C95985" w:rsidRDefault="00041DC6" w:rsidP="007D6CF3">
      <w:pPr>
        <w:pStyle w:val="Text1"/>
        <w:numPr>
          <w:ilvl w:val="0"/>
          <w:numId w:val="37"/>
        </w:numPr>
        <w:ind w:left="426" w:hanging="426"/>
        <w:rPr>
          <w:b/>
        </w:rPr>
      </w:pPr>
      <w:r w:rsidRPr="00C95985">
        <w:rPr>
          <w:szCs w:val="24"/>
        </w:rPr>
        <w:t>Permitted uses: beneficiary institutions would be able to perform all acts of reproduction</w:t>
      </w:r>
      <w:r>
        <w:rPr>
          <w:szCs w:val="24"/>
        </w:rPr>
        <w:t xml:space="preserve"> and make as many copies as</w:t>
      </w:r>
      <w:r w:rsidRPr="00C95985">
        <w:rPr>
          <w:szCs w:val="24"/>
        </w:rPr>
        <w:t xml:space="preserve"> necessary for preservation purposes, </w:t>
      </w:r>
      <w:r>
        <w:rPr>
          <w:szCs w:val="24"/>
        </w:rPr>
        <w:t xml:space="preserve">into any </w:t>
      </w:r>
      <w:r w:rsidRPr="00C95985">
        <w:rPr>
          <w:szCs w:val="24"/>
        </w:rPr>
        <w:t>format</w:t>
      </w:r>
      <w:r>
        <w:rPr>
          <w:szCs w:val="24"/>
        </w:rPr>
        <w:t xml:space="preserve"> and media</w:t>
      </w:r>
      <w:r w:rsidRPr="00C95985">
        <w:rPr>
          <w:szCs w:val="24"/>
        </w:rPr>
        <w:t xml:space="preserve">, irrespective of the technique used and of the state of a given work (for example, even before degradation has started).  The exception would only cover the reproduction right (and the database extraction </w:t>
      </w:r>
      <w:r>
        <w:rPr>
          <w:szCs w:val="24"/>
        </w:rPr>
        <w:t xml:space="preserve">right </w:t>
      </w:r>
      <w:r w:rsidRPr="00C95985">
        <w:rPr>
          <w:szCs w:val="24"/>
        </w:rPr>
        <w:t>in the case of the protection of non-original datasets)</w:t>
      </w:r>
      <w:r>
        <w:rPr>
          <w:szCs w:val="24"/>
        </w:rPr>
        <w:t>. I</w:t>
      </w:r>
      <w:r w:rsidRPr="00C95985">
        <w:rPr>
          <w:szCs w:val="24"/>
        </w:rPr>
        <w:t xml:space="preserve">t would </w:t>
      </w:r>
      <w:r>
        <w:rPr>
          <w:szCs w:val="24"/>
        </w:rPr>
        <w:t xml:space="preserve">as such </w:t>
      </w:r>
      <w:r w:rsidRPr="00C95985">
        <w:rPr>
          <w:szCs w:val="24"/>
        </w:rPr>
        <w:t xml:space="preserve">not permit further distribution </w:t>
      </w:r>
      <w:r>
        <w:rPr>
          <w:szCs w:val="24"/>
        </w:rPr>
        <w:t xml:space="preserve">or uses </w:t>
      </w:r>
      <w:r w:rsidRPr="00C95985">
        <w:rPr>
          <w:szCs w:val="24"/>
        </w:rPr>
        <w:t>of the content</w:t>
      </w:r>
      <w:r>
        <w:rPr>
          <w:szCs w:val="24"/>
        </w:rPr>
        <w:t>, for example its making available</w:t>
      </w:r>
      <w:r w:rsidRPr="00C95985">
        <w:rPr>
          <w:szCs w:val="24"/>
        </w:rPr>
        <w:t>.</w:t>
      </w:r>
    </w:p>
    <w:p w:rsidR="00041DC6" w:rsidRDefault="00041DC6" w:rsidP="007D6CF3">
      <w:pPr>
        <w:pStyle w:val="Text1"/>
        <w:numPr>
          <w:ilvl w:val="0"/>
          <w:numId w:val="37"/>
        </w:numPr>
        <w:ind w:left="426" w:hanging="426"/>
        <w:rPr>
          <w:szCs w:val="24"/>
        </w:rPr>
      </w:pPr>
      <w:r w:rsidRPr="00871CDA">
        <w:rPr>
          <w:szCs w:val="24"/>
        </w:rPr>
        <w:t xml:space="preserve">Relationship with the licensing market: </w:t>
      </w:r>
      <w:r>
        <w:rPr>
          <w:szCs w:val="24"/>
        </w:rPr>
        <w:t xml:space="preserve">as applicable to </w:t>
      </w:r>
      <w:r w:rsidRPr="0094092A">
        <w:rPr>
          <w:i/>
          <w:szCs w:val="24"/>
        </w:rPr>
        <w:t>permanent</w:t>
      </w:r>
      <w:r>
        <w:rPr>
          <w:i/>
          <w:szCs w:val="24"/>
        </w:rPr>
        <w:t xml:space="preserve"> </w:t>
      </w:r>
      <w:r w:rsidRPr="0094092A">
        <w:rPr>
          <w:szCs w:val="24"/>
        </w:rPr>
        <w:t>collections</w:t>
      </w:r>
      <w:r w:rsidRPr="0094092A">
        <w:rPr>
          <w:i/>
          <w:szCs w:val="24"/>
        </w:rPr>
        <w:t xml:space="preserve"> </w:t>
      </w:r>
      <w:r>
        <w:rPr>
          <w:szCs w:val="24"/>
        </w:rPr>
        <w:t xml:space="preserve">as described above, the exception would per se have no bearing on the ability of </w:t>
      </w:r>
      <w:r w:rsidR="002432E8">
        <w:rPr>
          <w:szCs w:val="24"/>
        </w:rPr>
        <w:t>r</w:t>
      </w:r>
      <w:r w:rsidR="00007677">
        <w:rPr>
          <w:szCs w:val="24"/>
        </w:rPr>
        <w:t>ightholders</w:t>
      </w:r>
      <w:r>
        <w:rPr>
          <w:szCs w:val="24"/>
        </w:rPr>
        <w:t xml:space="preserve"> to authorise or prohibit the acquisition of permanent copies by CHIs, and more generally on the licensing market, and their ability </w:t>
      </w:r>
      <w:r w:rsidRPr="00871CDA">
        <w:rPr>
          <w:szCs w:val="24"/>
        </w:rPr>
        <w:t>to take measures to preserve the stability and security of their systems through which access to electronic resources is provided</w:t>
      </w:r>
      <w:r>
        <w:rPr>
          <w:szCs w:val="24"/>
        </w:rPr>
        <w:t>.</w:t>
      </w:r>
    </w:p>
    <w:p w:rsidR="00041DC6" w:rsidRPr="00C4628D" w:rsidRDefault="00041DC6" w:rsidP="007D6CF3">
      <w:pPr>
        <w:pStyle w:val="Text1"/>
        <w:numPr>
          <w:ilvl w:val="0"/>
          <w:numId w:val="37"/>
        </w:numPr>
        <w:ind w:left="426" w:hanging="426"/>
        <w:rPr>
          <w:b/>
        </w:rPr>
      </w:pPr>
      <w:r w:rsidRPr="00C4628D">
        <w:rPr>
          <w:szCs w:val="24"/>
        </w:rPr>
        <w:t xml:space="preserve">Compensation: </w:t>
      </w:r>
      <w:r>
        <w:rPr>
          <w:szCs w:val="24"/>
        </w:rPr>
        <w:t>for the reasons explained in the previous point, MS may not subject the exception to fair compensation.</w:t>
      </w:r>
    </w:p>
    <w:p w:rsidR="00041DC6" w:rsidRPr="004D69B6" w:rsidRDefault="00041DC6" w:rsidP="007D6CF3">
      <w:pPr>
        <w:pStyle w:val="Text1"/>
        <w:numPr>
          <w:ilvl w:val="0"/>
          <w:numId w:val="37"/>
        </w:numPr>
        <w:ind w:left="426" w:hanging="426"/>
        <w:rPr>
          <w:b/>
        </w:rPr>
      </w:pPr>
      <w:r w:rsidRPr="00871CDA">
        <w:rPr>
          <w:szCs w:val="24"/>
        </w:rPr>
        <w:t>Interaction with the current exception: outside of the scope of this mandatory exception, the existing (optional) exception for 'specif</w:t>
      </w:r>
      <w:r w:rsidR="001468B1">
        <w:rPr>
          <w:szCs w:val="24"/>
        </w:rPr>
        <w:t>ic acts of reproduction' under A</w:t>
      </w:r>
      <w:r w:rsidRPr="00871CDA">
        <w:rPr>
          <w:szCs w:val="24"/>
        </w:rPr>
        <w:t>rticle 5(2)c of the InfoSoc Directive would continue to apply, as relevant in uses other than preservation.</w:t>
      </w:r>
    </w:p>
    <w:p w:rsidR="00041DC6" w:rsidRPr="0081231B" w:rsidRDefault="00041DC6" w:rsidP="00041D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i/>
          <w:sz w:val="20"/>
          <w:szCs w:val="20"/>
        </w:rPr>
      </w:pPr>
      <w:r w:rsidRPr="0081231B">
        <w:rPr>
          <w:rFonts w:ascii="Times New Roman" w:eastAsia="Calibri" w:hAnsi="Times New Roman" w:cs="Times New Roman"/>
          <w:i/>
          <w:sz w:val="20"/>
          <w:szCs w:val="20"/>
        </w:rPr>
        <w:t>Stakeholders' views</w:t>
      </w:r>
    </w:p>
    <w:p w:rsidR="0081231B" w:rsidRPr="0081231B" w:rsidRDefault="00041DC6" w:rsidP="008123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sz w:val="20"/>
          <w:szCs w:val="20"/>
        </w:rPr>
      </w:pPr>
      <w:r w:rsidRPr="0081231B">
        <w:rPr>
          <w:rFonts w:ascii="Times New Roman" w:eastAsia="Calibri" w:hAnsi="Times New Roman" w:cs="Times New Roman"/>
          <w:sz w:val="20"/>
          <w:szCs w:val="20"/>
        </w:rPr>
        <w:t>CHIs would favour this option as the one that best addresses the problems they raise with the current situation.</w:t>
      </w:r>
      <w:r w:rsidRPr="0081231B">
        <w:rPr>
          <w:rStyle w:val="FootnoteReference"/>
          <w:rFonts w:ascii="Times New Roman" w:eastAsia="Calibri" w:hAnsi="Times New Roman" w:cs="Times New Roman"/>
          <w:sz w:val="20"/>
          <w:szCs w:val="20"/>
        </w:rPr>
        <w:footnoteReference w:id="394"/>
      </w:r>
      <w:r w:rsidRPr="0081231B">
        <w:rPr>
          <w:rFonts w:ascii="Times New Roman" w:eastAsia="Calibri" w:hAnsi="Times New Roman" w:cs="Times New Roman"/>
          <w:sz w:val="20"/>
          <w:szCs w:val="20"/>
        </w:rPr>
        <w:t xml:space="preserve"> </w:t>
      </w:r>
      <w:r w:rsidR="00007677">
        <w:rPr>
          <w:rFonts w:ascii="Times New Roman" w:eastAsia="Calibri" w:hAnsi="Times New Roman" w:cs="Times New Roman"/>
          <w:sz w:val="20"/>
          <w:szCs w:val="20"/>
        </w:rPr>
        <w:t>Rightholders</w:t>
      </w:r>
      <w:r w:rsidRPr="0081231B">
        <w:rPr>
          <w:rFonts w:ascii="Times New Roman" w:eastAsia="Calibri" w:hAnsi="Times New Roman" w:cs="Times New Roman"/>
          <w:sz w:val="20"/>
          <w:szCs w:val="20"/>
        </w:rPr>
        <w:t xml:space="preserve"> would, on the contrary, consider it unnecessary and/or excessive.</w:t>
      </w:r>
    </w:p>
    <w:p w:rsidR="00041DC6" w:rsidRDefault="00041DC6" w:rsidP="00CF38F1">
      <w:pPr>
        <w:pStyle w:val="Heading3"/>
      </w:pPr>
      <w:bookmarkStart w:id="112" w:name="_Toc461114738"/>
      <w:r w:rsidRPr="009041EB">
        <w:t>What are the impacts of the different policy options and who will be affected?</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41DC6" w:rsidRPr="00871CDA" w:rsidTr="00023ED9">
        <w:tc>
          <w:tcPr>
            <w:tcW w:w="9286" w:type="dxa"/>
            <w:shd w:val="clear" w:color="auto" w:fill="auto"/>
          </w:tcPr>
          <w:p w:rsidR="00041DC6" w:rsidRPr="0081231B" w:rsidRDefault="00041DC6" w:rsidP="00023ED9">
            <w:pPr>
              <w:spacing w:after="0" w:line="240" w:lineRule="auto"/>
              <w:jc w:val="both"/>
              <w:rPr>
                <w:rFonts w:ascii="Times New Roman" w:eastAsia="Calibri" w:hAnsi="Times New Roman" w:cs="Times New Roman"/>
                <w:b/>
                <w:i/>
                <w:sz w:val="20"/>
                <w:szCs w:val="20"/>
                <w:lang w:eastAsia="en-GB"/>
              </w:rPr>
            </w:pPr>
            <w:r w:rsidRPr="0081231B">
              <w:rPr>
                <w:rFonts w:ascii="Times New Roman" w:eastAsia="Calibri" w:hAnsi="Times New Roman" w:cs="Times New Roman"/>
                <w:b/>
                <w:i/>
                <w:sz w:val="20"/>
                <w:szCs w:val="20"/>
                <w:lang w:eastAsia="en-GB"/>
              </w:rPr>
              <w:t>Approach</w:t>
            </w:r>
          </w:p>
          <w:p w:rsidR="00041DC6" w:rsidRPr="0081231B" w:rsidRDefault="00041DC6" w:rsidP="00023ED9">
            <w:pPr>
              <w:spacing w:after="0" w:line="240" w:lineRule="auto"/>
              <w:jc w:val="both"/>
              <w:rPr>
                <w:rFonts w:ascii="Times New Roman" w:eastAsia="Calibri" w:hAnsi="Times New Roman" w:cs="Times New Roman"/>
                <w:sz w:val="20"/>
                <w:szCs w:val="20"/>
                <w:lang w:eastAsia="en-GB"/>
              </w:rPr>
            </w:pPr>
            <w:r w:rsidRPr="0081231B">
              <w:rPr>
                <w:rFonts w:ascii="Times New Roman" w:eastAsia="Calibri" w:hAnsi="Times New Roman" w:cs="Times New Roman"/>
                <w:sz w:val="20"/>
                <w:szCs w:val="20"/>
                <w:lang w:eastAsia="en-GB"/>
              </w:rPr>
              <w:t xml:space="preserve">The options presented above would mainly affect institutional users (CHIs) and </w:t>
            </w:r>
            <w:r w:rsidR="002432E8">
              <w:rPr>
                <w:rFonts w:ascii="Times New Roman" w:eastAsia="Calibri" w:hAnsi="Times New Roman" w:cs="Times New Roman"/>
                <w:sz w:val="20"/>
                <w:szCs w:val="20"/>
                <w:lang w:eastAsia="en-GB"/>
              </w:rPr>
              <w:t>r</w:t>
            </w:r>
            <w:r w:rsidR="00007677">
              <w:rPr>
                <w:rFonts w:ascii="Times New Roman" w:eastAsia="Calibri" w:hAnsi="Times New Roman" w:cs="Times New Roman"/>
                <w:sz w:val="20"/>
                <w:szCs w:val="20"/>
                <w:lang w:eastAsia="en-GB"/>
              </w:rPr>
              <w:t>ightholders</w:t>
            </w:r>
            <w:r w:rsidRPr="0081231B">
              <w:rPr>
                <w:rFonts w:ascii="Times New Roman" w:eastAsia="Calibri" w:hAnsi="Times New Roman" w:cs="Times New Roman"/>
                <w:sz w:val="20"/>
                <w:szCs w:val="20"/>
                <w:lang w:eastAsia="en-GB"/>
              </w:rPr>
              <w:t xml:space="preserve"> whose works are copied to be preserved. The impacts affecting these two groups are presented separately. </w:t>
            </w:r>
          </w:p>
          <w:p w:rsidR="00041DC6" w:rsidRPr="0081231B" w:rsidRDefault="00041DC6" w:rsidP="007D6CF3">
            <w:pPr>
              <w:numPr>
                <w:ilvl w:val="0"/>
                <w:numId w:val="27"/>
              </w:numPr>
              <w:tabs>
                <w:tab w:val="left" w:pos="0"/>
              </w:tabs>
              <w:spacing w:after="0" w:line="240" w:lineRule="auto"/>
              <w:ind w:left="284" w:hanging="284"/>
              <w:contextualSpacing/>
              <w:jc w:val="both"/>
              <w:rPr>
                <w:rFonts w:ascii="Times New Roman" w:eastAsia="Calibri" w:hAnsi="Times New Roman" w:cs="Times New Roman"/>
                <w:sz w:val="20"/>
                <w:szCs w:val="20"/>
                <w:lang w:eastAsia="en-GB"/>
              </w:rPr>
            </w:pPr>
            <w:r w:rsidRPr="0081231B">
              <w:rPr>
                <w:rFonts w:ascii="Times New Roman" w:eastAsia="Calibri" w:hAnsi="Times New Roman" w:cs="Times New Roman"/>
                <w:sz w:val="20"/>
                <w:szCs w:val="20"/>
                <w:lang w:eastAsia="en-GB"/>
              </w:rPr>
              <w:t xml:space="preserve">For </w:t>
            </w:r>
            <w:r w:rsidRPr="0081231B">
              <w:rPr>
                <w:rFonts w:ascii="Times New Roman" w:eastAsia="Calibri" w:hAnsi="Times New Roman" w:cs="Times New Roman"/>
                <w:b/>
                <w:sz w:val="20"/>
                <w:szCs w:val="20"/>
                <w:u w:val="single"/>
                <w:lang w:eastAsia="en-GB"/>
              </w:rPr>
              <w:t>CHIs</w:t>
            </w:r>
            <w:r w:rsidRPr="0081231B">
              <w:rPr>
                <w:rFonts w:ascii="Times New Roman" w:eastAsia="Calibri" w:hAnsi="Times New Roman" w:cs="Times New Roman"/>
                <w:sz w:val="20"/>
                <w:szCs w:val="20"/>
                <w:lang w:eastAsia="en-GB"/>
              </w:rPr>
              <w:t xml:space="preserve">, the </w:t>
            </w:r>
            <w:r w:rsidRPr="0081231B">
              <w:rPr>
                <w:rFonts w:ascii="Times New Roman" w:eastAsia="Calibri" w:hAnsi="Times New Roman" w:cs="Times New Roman"/>
                <w:b/>
                <w:sz w:val="20"/>
                <w:szCs w:val="20"/>
                <w:lang w:eastAsia="en-GB"/>
              </w:rPr>
              <w:t>social</w:t>
            </w:r>
            <w:r w:rsidRPr="0081231B">
              <w:rPr>
                <w:rFonts w:ascii="Times New Roman" w:eastAsia="Calibri" w:hAnsi="Times New Roman" w:cs="Times New Roman"/>
                <w:sz w:val="20"/>
                <w:szCs w:val="20"/>
                <w:lang w:eastAsia="en-GB"/>
              </w:rPr>
              <w:t xml:space="preserve"> impact in terms of </w:t>
            </w:r>
            <w:r w:rsidRPr="0081231B">
              <w:rPr>
                <w:rFonts w:ascii="Times New Roman" w:eastAsia="Calibri" w:hAnsi="Times New Roman" w:cs="Times New Roman"/>
                <w:b/>
                <w:sz w:val="20"/>
                <w:szCs w:val="20"/>
                <w:lang w:eastAsia="en-GB"/>
              </w:rPr>
              <w:t>legal certainty</w:t>
            </w:r>
            <w:r w:rsidRPr="0081231B">
              <w:rPr>
                <w:rFonts w:ascii="Times New Roman" w:eastAsia="Calibri" w:hAnsi="Times New Roman" w:cs="Times New Roman"/>
                <w:sz w:val="20"/>
                <w:szCs w:val="20"/>
                <w:lang w:eastAsia="en-GB"/>
              </w:rPr>
              <w:t xml:space="preserve"> in the preservation of copyright-protected cultural heritage has been considered. </w:t>
            </w:r>
            <w:r w:rsidRPr="0081231B">
              <w:rPr>
                <w:rFonts w:ascii="Times New Roman" w:eastAsia="Calibri" w:hAnsi="Times New Roman" w:cs="Times New Roman"/>
                <w:b/>
                <w:sz w:val="20"/>
                <w:szCs w:val="20"/>
                <w:lang w:eastAsia="en-GB"/>
              </w:rPr>
              <w:t xml:space="preserve">Economic </w:t>
            </w:r>
            <w:r w:rsidRPr="0081231B">
              <w:rPr>
                <w:rFonts w:ascii="Times New Roman" w:eastAsia="Calibri" w:hAnsi="Times New Roman" w:cs="Times New Roman"/>
                <w:sz w:val="20"/>
                <w:szCs w:val="20"/>
                <w:lang w:eastAsia="en-GB"/>
              </w:rPr>
              <w:t xml:space="preserve">impacts in terms of potential </w:t>
            </w:r>
            <w:r w:rsidRPr="0081231B">
              <w:rPr>
                <w:rFonts w:ascii="Times New Roman" w:eastAsia="Calibri" w:hAnsi="Times New Roman" w:cs="Times New Roman"/>
                <w:b/>
                <w:sz w:val="20"/>
                <w:szCs w:val="20"/>
                <w:lang w:eastAsia="en-GB"/>
              </w:rPr>
              <w:t>transaction costs</w:t>
            </w:r>
            <w:r w:rsidRPr="0081231B">
              <w:rPr>
                <w:rFonts w:ascii="Times New Roman" w:eastAsia="Calibri" w:hAnsi="Times New Roman" w:cs="Times New Roman"/>
                <w:sz w:val="20"/>
                <w:szCs w:val="20"/>
                <w:lang w:eastAsia="en-GB"/>
              </w:rPr>
              <w:t xml:space="preserve"> are also referred to in this context as relevant.</w:t>
            </w:r>
          </w:p>
          <w:p w:rsidR="00041DC6" w:rsidRPr="0081231B" w:rsidRDefault="00041DC6" w:rsidP="007D6CF3">
            <w:pPr>
              <w:numPr>
                <w:ilvl w:val="0"/>
                <w:numId w:val="27"/>
              </w:numPr>
              <w:tabs>
                <w:tab w:val="left" w:pos="0"/>
              </w:tabs>
              <w:spacing w:after="0" w:line="240" w:lineRule="auto"/>
              <w:ind w:left="284" w:hanging="284"/>
              <w:contextualSpacing/>
              <w:jc w:val="both"/>
              <w:rPr>
                <w:rFonts w:ascii="Times New Roman" w:eastAsia="Calibri" w:hAnsi="Times New Roman" w:cs="Times New Roman"/>
                <w:sz w:val="20"/>
                <w:szCs w:val="20"/>
                <w:lang w:eastAsia="en-GB"/>
              </w:rPr>
            </w:pPr>
            <w:r w:rsidRPr="0081231B">
              <w:rPr>
                <w:rFonts w:ascii="Times New Roman" w:eastAsia="Calibri" w:hAnsi="Times New Roman" w:cs="Times New Roman"/>
                <w:sz w:val="20"/>
                <w:szCs w:val="20"/>
                <w:lang w:eastAsia="en-GB"/>
              </w:rPr>
              <w:t xml:space="preserve">For </w:t>
            </w:r>
            <w:r w:rsidR="002432E8">
              <w:rPr>
                <w:rFonts w:ascii="Times New Roman" w:eastAsia="Calibri" w:hAnsi="Times New Roman" w:cs="Times New Roman"/>
                <w:b/>
                <w:sz w:val="20"/>
                <w:szCs w:val="20"/>
                <w:u w:val="single"/>
                <w:lang w:eastAsia="en-GB"/>
              </w:rPr>
              <w:t>r</w:t>
            </w:r>
            <w:r w:rsidR="00007677">
              <w:rPr>
                <w:rFonts w:ascii="Times New Roman" w:eastAsia="Calibri" w:hAnsi="Times New Roman" w:cs="Times New Roman"/>
                <w:b/>
                <w:sz w:val="20"/>
                <w:szCs w:val="20"/>
                <w:u w:val="single"/>
                <w:lang w:eastAsia="en-GB"/>
              </w:rPr>
              <w:t>ightholders</w:t>
            </w:r>
            <w:r w:rsidRPr="0081231B">
              <w:rPr>
                <w:rFonts w:ascii="Times New Roman" w:eastAsia="Calibri" w:hAnsi="Times New Roman" w:cs="Times New Roman"/>
                <w:sz w:val="20"/>
                <w:szCs w:val="20"/>
                <w:lang w:eastAsia="en-GB"/>
              </w:rPr>
              <w:t xml:space="preserve">, the main impacts are </w:t>
            </w:r>
            <w:r w:rsidRPr="0081231B">
              <w:rPr>
                <w:rFonts w:ascii="Times New Roman" w:eastAsia="Calibri" w:hAnsi="Times New Roman" w:cs="Times New Roman"/>
                <w:b/>
                <w:sz w:val="20"/>
                <w:szCs w:val="20"/>
                <w:lang w:eastAsia="en-GB"/>
              </w:rPr>
              <w:t>economic</w:t>
            </w:r>
            <w:r w:rsidRPr="0081231B">
              <w:rPr>
                <w:rFonts w:ascii="Times New Roman" w:eastAsia="Calibri" w:hAnsi="Times New Roman" w:cs="Times New Roman"/>
                <w:sz w:val="20"/>
                <w:szCs w:val="20"/>
                <w:lang w:eastAsia="en-GB"/>
              </w:rPr>
              <w:t xml:space="preserve"> and related to revenues and to the </w:t>
            </w:r>
            <w:r w:rsidR="006D21E9">
              <w:rPr>
                <w:rFonts w:ascii="Times New Roman" w:eastAsia="Calibri" w:hAnsi="Times New Roman" w:cs="Times New Roman"/>
                <w:sz w:val="20"/>
                <w:szCs w:val="20"/>
                <w:lang w:eastAsia="en-GB"/>
              </w:rPr>
              <w:t>licensing</w:t>
            </w:r>
            <w:r w:rsidRPr="0081231B">
              <w:rPr>
                <w:rFonts w:ascii="Times New Roman" w:eastAsia="Calibri" w:hAnsi="Times New Roman" w:cs="Times New Roman"/>
                <w:sz w:val="20"/>
                <w:szCs w:val="20"/>
                <w:lang w:eastAsia="en-GB"/>
              </w:rPr>
              <w:t xml:space="preserve"> market for access to electronic resources. These impacts are relevant for all types of </w:t>
            </w:r>
            <w:r w:rsidR="002432E8">
              <w:rPr>
                <w:rFonts w:ascii="Times New Roman" w:eastAsia="Calibri" w:hAnsi="Times New Roman" w:cs="Times New Roman"/>
                <w:sz w:val="20"/>
                <w:szCs w:val="20"/>
                <w:lang w:eastAsia="en-GB"/>
              </w:rPr>
              <w:t>r</w:t>
            </w:r>
            <w:r w:rsidR="00007677">
              <w:rPr>
                <w:rFonts w:ascii="Times New Roman" w:eastAsia="Calibri" w:hAnsi="Times New Roman" w:cs="Times New Roman"/>
                <w:sz w:val="20"/>
                <w:szCs w:val="20"/>
                <w:lang w:eastAsia="en-GB"/>
              </w:rPr>
              <w:t>ightholders</w:t>
            </w:r>
            <w:r w:rsidRPr="0081231B">
              <w:rPr>
                <w:rFonts w:ascii="Times New Roman" w:eastAsia="Calibri" w:hAnsi="Times New Roman" w:cs="Times New Roman"/>
                <w:sz w:val="20"/>
                <w:szCs w:val="20"/>
                <w:lang w:eastAsia="en-GB"/>
              </w:rPr>
              <w:t>, with the latter being of particular concern for those primarily engaged in licensing for access to electronic resources with CHIs (notably publishers and producers).</w:t>
            </w:r>
          </w:p>
          <w:p w:rsidR="00041DC6" w:rsidRPr="0081231B" w:rsidRDefault="00041DC6" w:rsidP="00023ED9">
            <w:pPr>
              <w:tabs>
                <w:tab w:val="left" w:pos="0"/>
              </w:tabs>
              <w:spacing w:after="0" w:line="240" w:lineRule="auto"/>
              <w:jc w:val="both"/>
              <w:rPr>
                <w:rFonts w:ascii="Times New Roman" w:eastAsia="Calibri" w:hAnsi="Times New Roman" w:cs="Times New Roman"/>
                <w:sz w:val="20"/>
                <w:szCs w:val="20"/>
                <w:lang w:eastAsia="en-GB"/>
              </w:rPr>
            </w:pPr>
            <w:r w:rsidRPr="0081231B">
              <w:rPr>
                <w:rFonts w:ascii="Times New Roman" w:hAnsi="Times New Roman"/>
                <w:sz w:val="20"/>
                <w:szCs w:val="20"/>
              </w:rPr>
              <w:t xml:space="preserve">The policy options are also assessed in relation to their general </w:t>
            </w:r>
            <w:r w:rsidRPr="0081231B">
              <w:rPr>
                <w:rFonts w:ascii="Times New Roman" w:hAnsi="Times New Roman"/>
                <w:b/>
                <w:sz w:val="20"/>
                <w:szCs w:val="20"/>
              </w:rPr>
              <w:t>social impacts</w:t>
            </w:r>
            <w:r w:rsidRPr="0081231B">
              <w:rPr>
                <w:rFonts w:ascii="Times New Roman" w:hAnsi="Times New Roman"/>
                <w:sz w:val="20"/>
                <w:szCs w:val="20"/>
              </w:rPr>
              <w:t xml:space="preserve"> (on cultural diversity and the preservation of cultural heritage more broadly) and impacts on </w:t>
            </w:r>
            <w:r w:rsidRPr="0081231B">
              <w:rPr>
                <w:rFonts w:ascii="Times New Roman" w:hAnsi="Times New Roman"/>
                <w:b/>
                <w:sz w:val="20"/>
                <w:szCs w:val="20"/>
              </w:rPr>
              <w:t>fundamental rights</w:t>
            </w:r>
            <w:r w:rsidRPr="0081231B">
              <w:rPr>
                <w:rFonts w:ascii="Times New Roman" w:hAnsi="Times New Roman"/>
                <w:sz w:val="20"/>
                <w:szCs w:val="20"/>
              </w:rPr>
              <w:t xml:space="preserve"> (property right, freedom of the arts and sciences, and right to education).</w:t>
            </w:r>
          </w:p>
          <w:p w:rsidR="00041DC6" w:rsidRPr="00871CDA" w:rsidRDefault="00041DC6" w:rsidP="00023ED9">
            <w:pPr>
              <w:tabs>
                <w:tab w:val="left" w:pos="0"/>
              </w:tabs>
              <w:spacing w:after="0" w:line="240" w:lineRule="auto"/>
              <w:jc w:val="both"/>
              <w:rPr>
                <w:rFonts w:ascii="Times New Roman" w:eastAsia="Calibri" w:hAnsi="Times New Roman" w:cs="Times New Roman"/>
                <w:lang w:eastAsia="en-GB"/>
              </w:rPr>
            </w:pPr>
            <w:r w:rsidRPr="0081231B">
              <w:rPr>
                <w:rFonts w:ascii="Times New Roman" w:eastAsia="Calibri" w:hAnsi="Times New Roman" w:cs="Times New Roman"/>
                <w:sz w:val="20"/>
                <w:szCs w:val="20"/>
                <w:lang w:eastAsia="en-GB"/>
              </w:rPr>
              <w:t>The assessment below is mainly qualitative, as the relevant data that are publicly available or that could be obtained from stakeholders is limited.</w:t>
            </w:r>
            <w:r w:rsidRPr="00871CDA">
              <w:rPr>
                <w:rFonts w:ascii="Times New Roman" w:eastAsia="Calibri" w:hAnsi="Times New Roman" w:cs="Times New Roman"/>
                <w:lang w:eastAsia="en-GB"/>
              </w:rPr>
              <w:t xml:space="preserve"> </w:t>
            </w:r>
          </w:p>
        </w:tc>
      </w:tr>
    </w:tbl>
    <w:p w:rsidR="00041DC6" w:rsidRPr="00871CDA" w:rsidRDefault="00041DC6" w:rsidP="00041DC6">
      <w:pPr>
        <w:spacing w:before="120" w:after="120" w:line="240" w:lineRule="auto"/>
        <w:rPr>
          <w:rFonts w:ascii="Times New Roman" w:eastAsia="Calibri" w:hAnsi="Times New Roman" w:cs="Times New Roman"/>
          <w:b/>
          <w:sz w:val="24"/>
          <w:u w:val="single"/>
        </w:rPr>
      </w:pPr>
      <w:bookmarkStart w:id="113" w:name="_Toc414456226"/>
      <w:bookmarkStart w:id="114" w:name="_Toc414456495"/>
      <w:bookmarkStart w:id="115" w:name="_Toc427309337"/>
      <w:r w:rsidRPr="00871CDA">
        <w:rPr>
          <w:rFonts w:ascii="Times New Roman" w:eastAsia="Calibri" w:hAnsi="Times New Roman" w:cs="Times New Roman"/>
          <w:b/>
          <w:sz w:val="24"/>
          <w:u w:val="single"/>
        </w:rPr>
        <w:t>Baseline</w:t>
      </w:r>
    </w:p>
    <w:p w:rsidR="00041DC6" w:rsidRDefault="00041DC6" w:rsidP="0081231B">
      <w:pPr>
        <w:pStyle w:val="Text1"/>
        <w:ind w:left="0"/>
        <w:rPr>
          <w:rFonts w:ascii="Times New Roman Bold" w:eastAsia="Arial Unicode MS" w:hAnsi="Times New Roman Bold" w:hint="eastAsia"/>
          <w:b/>
          <w:smallCaps/>
          <w:szCs w:val="24"/>
          <w:bdr w:val="nil"/>
        </w:rPr>
      </w:pPr>
      <w:r w:rsidRPr="00686C23">
        <w:rPr>
          <w:rFonts w:ascii="Times New Roman Bold" w:eastAsia="Arial Unicode MS" w:hAnsi="Times New Roman Bold"/>
          <w:b/>
          <w:smallCaps/>
          <w:szCs w:val="24"/>
          <w:bdr w:val="nil"/>
        </w:rPr>
        <w:t xml:space="preserve">Impacts on </w:t>
      </w:r>
      <w:r w:rsidRPr="0081231B">
        <w:rPr>
          <w:rFonts w:ascii="Times New Roman Bold" w:eastAsia="Arial Unicode MS" w:hAnsi="Times New Roman Bold"/>
          <w:b/>
          <w:smallCaps/>
          <w:kern w:val="3"/>
          <w:szCs w:val="24"/>
          <w:bdr w:val="nil"/>
          <w:lang w:eastAsia="zh-CN"/>
        </w:rPr>
        <w:t>stakeholders</w:t>
      </w:r>
    </w:p>
    <w:p w:rsidR="00041DC6" w:rsidRPr="00871CDA" w:rsidRDefault="00041DC6" w:rsidP="0081231B">
      <w:pPr>
        <w:pStyle w:val="Text1"/>
        <w:spacing w:before="0"/>
        <w:ind w:left="0"/>
        <w:rPr>
          <w:b/>
        </w:rPr>
      </w:pPr>
      <w:r w:rsidRPr="00871CDA">
        <w:rPr>
          <w:b/>
        </w:rPr>
        <w:t>CHIs</w:t>
      </w:r>
    </w:p>
    <w:p w:rsidR="00041DC6" w:rsidRPr="00871CDA" w:rsidRDefault="00041DC6" w:rsidP="0081231B">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u w:val="single"/>
        </w:rPr>
        <w:t>Impacts on legal certainty for p</w:t>
      </w:r>
      <w:r w:rsidRPr="00871CDA">
        <w:rPr>
          <w:rFonts w:ascii="Times New Roman" w:eastAsia="Calibri" w:hAnsi="Times New Roman" w:cs="Times New Roman"/>
          <w:sz w:val="24"/>
          <w:u w:val="single"/>
        </w:rPr>
        <w:t>reservation of cultural heritage:</w:t>
      </w:r>
      <w:r w:rsidRPr="00871CDA">
        <w:rPr>
          <w:rFonts w:ascii="Times New Roman" w:eastAsia="Calibri" w:hAnsi="Times New Roman" w:cs="Times New Roman"/>
          <w:sz w:val="24"/>
        </w:rPr>
        <w:t xml:space="preserve"> In the short term, the situation would not substantially change for CHIs. They would enjoy a narrow or larger space for preservation depending on the MS in which they carry out their preservation activities. Except in cases where MS may update their implementation of the current EU exception for 'specific acts of reproduction' to exploit its full space for preservation purposes, legal uncertainty and barriers to preservation will persist to varying degrees in the long term too. Furthermore, due to different national laws, legal uncertainty for CHIs wishing to perform </w:t>
      </w:r>
      <w:r>
        <w:rPr>
          <w:rFonts w:ascii="Times New Roman" w:eastAsia="Calibri" w:hAnsi="Times New Roman" w:cs="Times New Roman"/>
          <w:sz w:val="24"/>
        </w:rPr>
        <w:t>preservation</w:t>
      </w:r>
      <w:r w:rsidRPr="00871CDA">
        <w:rPr>
          <w:rFonts w:ascii="Times New Roman" w:eastAsia="Calibri" w:hAnsi="Times New Roman" w:cs="Times New Roman"/>
          <w:sz w:val="24"/>
        </w:rPr>
        <w:t xml:space="preserve"> of works abroad, for example through shared </w:t>
      </w:r>
      <w:r w:rsidRPr="0081231B">
        <w:rPr>
          <w:rFonts w:ascii="Times New Roman" w:eastAsia="Calibri" w:hAnsi="Times New Roman" w:cs="Times New Roman"/>
          <w:color w:val="000000"/>
          <w:sz w:val="24"/>
          <w:szCs w:val="24"/>
          <w:lang w:eastAsia="en-GB"/>
        </w:rPr>
        <w:t>infrastructure</w:t>
      </w:r>
      <w:r w:rsidRPr="00871CDA">
        <w:rPr>
          <w:rFonts w:ascii="Times New Roman" w:eastAsia="Calibri" w:hAnsi="Times New Roman" w:cs="Times New Roman"/>
          <w:sz w:val="24"/>
        </w:rPr>
        <w:t xml:space="preserve">, will remain, therefore hampering the ability to take advantage of economies of scale. </w:t>
      </w:r>
    </w:p>
    <w:p w:rsidR="00041DC6" w:rsidRPr="00871CDA" w:rsidRDefault="00041DC6" w:rsidP="00041DC6">
      <w:pPr>
        <w:spacing w:after="120" w:line="240" w:lineRule="auto"/>
        <w:jc w:val="both"/>
        <w:rPr>
          <w:rFonts w:ascii="Times New Roman" w:eastAsia="Calibri" w:hAnsi="Times New Roman" w:cs="Times New Roman"/>
          <w:sz w:val="24"/>
        </w:rPr>
      </w:pPr>
      <w:r w:rsidRPr="00871CDA">
        <w:rPr>
          <w:rFonts w:ascii="Times New Roman" w:eastAsia="Calibri" w:hAnsi="Times New Roman" w:cs="Times New Roman"/>
          <w:sz w:val="24"/>
        </w:rPr>
        <w:t xml:space="preserve">Preservation of certain types of </w:t>
      </w:r>
      <w:r>
        <w:rPr>
          <w:rFonts w:ascii="Times New Roman" w:eastAsia="Calibri" w:hAnsi="Times New Roman" w:cs="Times New Roman"/>
          <w:sz w:val="24"/>
        </w:rPr>
        <w:t xml:space="preserve">electronic </w:t>
      </w:r>
      <w:r w:rsidRPr="00871CDA">
        <w:rPr>
          <w:rFonts w:ascii="Times New Roman" w:eastAsia="Calibri" w:hAnsi="Times New Roman" w:cs="Times New Roman"/>
          <w:sz w:val="24"/>
        </w:rPr>
        <w:t xml:space="preserve">content, mainly a number of </w:t>
      </w:r>
      <w:r>
        <w:rPr>
          <w:rFonts w:ascii="Times New Roman" w:eastAsia="Calibri" w:hAnsi="Times New Roman" w:cs="Times New Roman"/>
          <w:sz w:val="24"/>
        </w:rPr>
        <w:t xml:space="preserve">scientific </w:t>
      </w:r>
      <w:r w:rsidRPr="00871CDA">
        <w:rPr>
          <w:rFonts w:ascii="Times New Roman" w:eastAsia="Calibri" w:hAnsi="Times New Roman" w:cs="Times New Roman"/>
          <w:sz w:val="24"/>
        </w:rPr>
        <w:t xml:space="preserve">publications that </w:t>
      </w:r>
      <w:r>
        <w:rPr>
          <w:rFonts w:ascii="Times New Roman" w:eastAsia="Calibri" w:hAnsi="Times New Roman" w:cs="Times New Roman"/>
          <w:sz w:val="24"/>
        </w:rPr>
        <w:t>CHIs</w:t>
      </w:r>
      <w:r w:rsidRPr="00871CDA">
        <w:rPr>
          <w:rFonts w:ascii="Times New Roman" w:eastAsia="Calibri" w:hAnsi="Times New Roman" w:cs="Times New Roman"/>
          <w:sz w:val="24"/>
        </w:rPr>
        <w:t xml:space="preserve"> access remotely from publisher or other platforms' servers</w:t>
      </w:r>
      <w:r>
        <w:rPr>
          <w:rFonts w:ascii="Times New Roman" w:eastAsia="Calibri" w:hAnsi="Times New Roman" w:cs="Times New Roman"/>
          <w:sz w:val="24"/>
        </w:rPr>
        <w:t xml:space="preserve">, or those that they receive on the basis of </w:t>
      </w:r>
      <w:r w:rsidRPr="0081231B">
        <w:rPr>
          <w:rFonts w:ascii="Times New Roman" w:eastAsia="Calibri" w:hAnsi="Times New Roman" w:cs="Times New Roman"/>
          <w:color w:val="000000"/>
          <w:sz w:val="24"/>
          <w:szCs w:val="24"/>
          <w:lang w:eastAsia="en-GB"/>
        </w:rPr>
        <w:t>voluntary</w:t>
      </w:r>
      <w:r>
        <w:rPr>
          <w:rFonts w:ascii="Times New Roman" w:eastAsia="Calibri" w:hAnsi="Times New Roman" w:cs="Times New Roman"/>
          <w:sz w:val="24"/>
        </w:rPr>
        <w:t xml:space="preserve"> deposit agreements</w:t>
      </w:r>
      <w:r w:rsidRPr="00871CDA">
        <w:rPr>
          <w:rFonts w:ascii="Times New Roman" w:eastAsia="Calibri" w:hAnsi="Times New Roman" w:cs="Times New Roman"/>
          <w:sz w:val="24"/>
        </w:rPr>
        <w:t xml:space="preserve">, will continue to take place </w:t>
      </w:r>
      <w:r>
        <w:rPr>
          <w:rFonts w:ascii="Times New Roman" w:eastAsia="Calibri" w:hAnsi="Times New Roman" w:cs="Times New Roman"/>
          <w:sz w:val="24"/>
        </w:rPr>
        <w:t>on the basis of</w:t>
      </w:r>
      <w:r w:rsidRPr="00871CDA">
        <w:rPr>
          <w:rFonts w:ascii="Times New Roman" w:eastAsia="Calibri" w:hAnsi="Times New Roman" w:cs="Times New Roman"/>
          <w:sz w:val="24"/>
        </w:rPr>
        <w:t xml:space="preserve"> authorisation</w:t>
      </w:r>
      <w:r>
        <w:rPr>
          <w:rFonts w:ascii="Times New Roman" w:eastAsia="Calibri" w:hAnsi="Times New Roman" w:cs="Times New Roman"/>
          <w:sz w:val="24"/>
        </w:rPr>
        <w:t>s that are included in agreements with a broader scope.</w:t>
      </w:r>
      <w:r w:rsidRPr="00871CDA">
        <w:rPr>
          <w:rFonts w:ascii="Times New Roman" w:eastAsia="Calibri" w:hAnsi="Times New Roman" w:cs="Times New Roman"/>
          <w:sz w:val="24"/>
          <w:vertAlign w:val="superscript"/>
        </w:rPr>
        <w:footnoteReference w:id="395"/>
      </w:r>
    </w:p>
    <w:p w:rsidR="00041DC6" w:rsidRPr="00871CDA" w:rsidRDefault="00007677" w:rsidP="0081231B">
      <w:pPr>
        <w:pStyle w:val="Text1"/>
        <w:spacing w:before="0"/>
        <w:ind w:left="0"/>
        <w:rPr>
          <w:b/>
        </w:rPr>
      </w:pPr>
      <w:r>
        <w:rPr>
          <w:b/>
        </w:rPr>
        <w:t>Rightholders</w:t>
      </w:r>
    </w:p>
    <w:p w:rsidR="00041DC6" w:rsidRPr="00871CDA" w:rsidRDefault="00041DC6" w:rsidP="0081231B">
      <w:pPr>
        <w:spacing w:after="120" w:line="240" w:lineRule="auto"/>
        <w:jc w:val="both"/>
        <w:rPr>
          <w:rFonts w:ascii="Times New Roman" w:eastAsia="Calibri" w:hAnsi="Times New Roman" w:cs="Times New Roman"/>
          <w:sz w:val="24"/>
          <w:szCs w:val="20"/>
          <w:lang w:eastAsia="en-GB"/>
        </w:rPr>
      </w:pPr>
      <w:r>
        <w:rPr>
          <w:rFonts w:ascii="Times New Roman" w:eastAsia="Calibri" w:hAnsi="Times New Roman" w:cs="Times New Roman"/>
          <w:sz w:val="24"/>
          <w:u w:val="single"/>
        </w:rPr>
        <w:t>Impact on r</w:t>
      </w:r>
      <w:r w:rsidRPr="00871CDA">
        <w:rPr>
          <w:rFonts w:ascii="Times New Roman" w:eastAsia="Calibri" w:hAnsi="Times New Roman" w:cs="Times New Roman"/>
          <w:sz w:val="24"/>
          <w:u w:val="single"/>
        </w:rPr>
        <w:t>evenues:</w:t>
      </w:r>
      <w:r w:rsidRPr="00871CDA">
        <w:rPr>
          <w:rFonts w:ascii="Times New Roman" w:eastAsia="Calibri" w:hAnsi="Times New Roman" w:cs="Times New Roman"/>
          <w:sz w:val="24"/>
          <w:szCs w:val="20"/>
          <w:lang w:eastAsia="en-GB"/>
        </w:rPr>
        <w:t xml:space="preserve"> </w:t>
      </w:r>
      <w:r w:rsidR="00007677">
        <w:rPr>
          <w:rFonts w:ascii="Times New Roman" w:eastAsia="Calibri" w:hAnsi="Times New Roman" w:cs="Times New Roman"/>
          <w:sz w:val="24"/>
          <w:szCs w:val="20"/>
          <w:lang w:eastAsia="en-GB"/>
        </w:rPr>
        <w:t>Rightholders</w:t>
      </w:r>
      <w:r w:rsidRPr="00871CDA">
        <w:rPr>
          <w:rFonts w:ascii="Times New Roman" w:eastAsia="Calibri" w:hAnsi="Times New Roman" w:cs="Times New Roman"/>
          <w:sz w:val="24"/>
          <w:szCs w:val="20"/>
          <w:lang w:eastAsia="en-GB"/>
        </w:rPr>
        <w:t xml:space="preserve"> could in theory obtain </w:t>
      </w:r>
      <w:r>
        <w:rPr>
          <w:rFonts w:ascii="Times New Roman" w:eastAsia="Calibri" w:hAnsi="Times New Roman" w:cs="Times New Roman"/>
          <w:sz w:val="24"/>
          <w:szCs w:val="20"/>
          <w:lang w:eastAsia="en-GB"/>
        </w:rPr>
        <w:t xml:space="preserve">extra </w:t>
      </w:r>
      <w:r w:rsidRPr="00871CDA">
        <w:rPr>
          <w:rFonts w:ascii="Times New Roman" w:eastAsia="Calibri" w:hAnsi="Times New Roman" w:cs="Times New Roman"/>
          <w:sz w:val="24"/>
          <w:szCs w:val="20"/>
          <w:lang w:eastAsia="en-GB"/>
        </w:rPr>
        <w:t>revenues in those cases where CHIs, in order to make preservation copies that are not covered by a national exception</w:t>
      </w:r>
      <w:r>
        <w:rPr>
          <w:rFonts w:ascii="Times New Roman" w:eastAsia="Calibri" w:hAnsi="Times New Roman" w:cs="Times New Roman"/>
          <w:sz w:val="24"/>
          <w:szCs w:val="20"/>
          <w:lang w:eastAsia="en-GB"/>
        </w:rPr>
        <w:t xml:space="preserve"> or the agreements mentioned abov</w:t>
      </w:r>
      <w:r w:rsidRPr="0081231B">
        <w:rPr>
          <w:rFonts w:ascii="Times New Roman" w:eastAsia="Calibri" w:hAnsi="Times New Roman" w:cs="Times New Roman"/>
          <w:sz w:val="24"/>
        </w:rPr>
        <w:t>e</w:t>
      </w:r>
      <w:r w:rsidRPr="00871CDA">
        <w:rPr>
          <w:rFonts w:ascii="Times New Roman" w:eastAsia="Calibri" w:hAnsi="Times New Roman" w:cs="Times New Roman"/>
          <w:sz w:val="24"/>
          <w:szCs w:val="20"/>
          <w:lang w:eastAsia="en-GB"/>
        </w:rPr>
        <w:t xml:space="preserve">, decide to ask for </w:t>
      </w:r>
      <w:r>
        <w:rPr>
          <w:rFonts w:ascii="Times New Roman" w:eastAsia="Calibri" w:hAnsi="Times New Roman" w:cs="Times New Roman"/>
          <w:sz w:val="24"/>
          <w:szCs w:val="20"/>
          <w:lang w:eastAsia="en-GB"/>
        </w:rPr>
        <w:t xml:space="preserve">a specific </w:t>
      </w:r>
      <w:r w:rsidRPr="00871CDA">
        <w:rPr>
          <w:rFonts w:ascii="Times New Roman" w:eastAsia="Calibri" w:hAnsi="Times New Roman" w:cs="Times New Roman"/>
          <w:sz w:val="24"/>
          <w:szCs w:val="20"/>
          <w:lang w:eastAsia="en-GB"/>
        </w:rPr>
        <w:t xml:space="preserve">authorisation. Given the negligible economic significance of preservation copying of works that have already been </w:t>
      </w:r>
      <w:r>
        <w:rPr>
          <w:rFonts w:ascii="Times New Roman" w:eastAsia="Calibri" w:hAnsi="Times New Roman" w:cs="Times New Roman"/>
          <w:sz w:val="24"/>
          <w:szCs w:val="20"/>
          <w:lang w:eastAsia="en-GB"/>
        </w:rPr>
        <w:t xml:space="preserve">permanently </w:t>
      </w:r>
      <w:r w:rsidRPr="00871CDA">
        <w:rPr>
          <w:rFonts w:ascii="Times New Roman" w:eastAsia="Calibri" w:hAnsi="Times New Roman" w:cs="Times New Roman"/>
          <w:sz w:val="24"/>
          <w:szCs w:val="20"/>
          <w:lang w:eastAsia="en-GB"/>
        </w:rPr>
        <w:t xml:space="preserve">acquired by a CHI, it is unlikely that </w:t>
      </w:r>
      <w:r w:rsidR="002432E8">
        <w:rPr>
          <w:rFonts w:ascii="Times New Roman" w:eastAsia="Calibri" w:hAnsi="Times New Roman" w:cs="Times New Roman"/>
          <w:sz w:val="24"/>
          <w:szCs w:val="20"/>
          <w:lang w:eastAsia="en-GB"/>
        </w:rPr>
        <w:t>r</w:t>
      </w:r>
      <w:r w:rsidR="00007677">
        <w:rPr>
          <w:rFonts w:ascii="Times New Roman" w:eastAsia="Calibri" w:hAnsi="Times New Roman" w:cs="Times New Roman"/>
          <w:sz w:val="24"/>
          <w:szCs w:val="20"/>
          <w:lang w:eastAsia="en-GB"/>
        </w:rPr>
        <w:t>ightholders</w:t>
      </w:r>
      <w:r w:rsidRPr="00871CDA">
        <w:rPr>
          <w:rFonts w:ascii="Times New Roman" w:eastAsia="Calibri" w:hAnsi="Times New Roman" w:cs="Times New Roman"/>
          <w:sz w:val="24"/>
          <w:szCs w:val="20"/>
          <w:lang w:eastAsia="en-GB"/>
        </w:rPr>
        <w:t xml:space="preserve"> would ask, and that CHIs would be ready to pay, significant fees. </w:t>
      </w:r>
    </w:p>
    <w:p w:rsidR="00041DC6" w:rsidRPr="00871CDA" w:rsidRDefault="00041DC6" w:rsidP="0081231B">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u w:val="single"/>
        </w:rPr>
        <w:t>Impacts on l</w:t>
      </w:r>
      <w:r w:rsidRPr="00871CDA">
        <w:rPr>
          <w:rFonts w:ascii="Times New Roman" w:eastAsia="Calibri" w:hAnsi="Times New Roman" w:cs="Times New Roman"/>
          <w:sz w:val="24"/>
          <w:u w:val="single"/>
        </w:rPr>
        <w:t>icensing market for electronic resources:</w:t>
      </w:r>
      <w:r w:rsidRPr="00871CDA">
        <w:rPr>
          <w:rFonts w:ascii="Times New Roman" w:eastAsia="Calibri" w:hAnsi="Times New Roman" w:cs="Times New Roman"/>
          <w:sz w:val="24"/>
        </w:rPr>
        <w:t xml:space="preserve"> </w:t>
      </w:r>
      <w:r>
        <w:rPr>
          <w:rFonts w:ascii="Times New Roman" w:eastAsia="Calibri" w:hAnsi="Times New Roman" w:cs="Times New Roman"/>
          <w:sz w:val="24"/>
        </w:rPr>
        <w:t>T</w:t>
      </w:r>
      <w:r w:rsidRPr="00871CDA">
        <w:rPr>
          <w:rFonts w:ascii="Times New Roman" w:eastAsia="Calibri" w:hAnsi="Times New Roman" w:cs="Times New Roman"/>
          <w:sz w:val="24"/>
        </w:rPr>
        <w:t xml:space="preserve">here would be no specific impact on the licensing market for access to electronic resources. </w:t>
      </w:r>
      <w:r w:rsidR="00007677">
        <w:rPr>
          <w:rFonts w:ascii="Times New Roman" w:eastAsia="Calibri" w:hAnsi="Times New Roman" w:cs="Times New Roman"/>
          <w:sz w:val="24"/>
        </w:rPr>
        <w:t>Rightholders</w:t>
      </w:r>
      <w:r w:rsidRPr="00871CDA">
        <w:rPr>
          <w:rFonts w:ascii="Times New Roman" w:eastAsia="Calibri" w:hAnsi="Times New Roman" w:cs="Times New Roman"/>
          <w:sz w:val="24"/>
        </w:rPr>
        <w:t xml:space="preserve"> would still be in the position to negotiate the transfer of permanent copies to CHIs as part of licences.</w:t>
      </w:r>
      <w:r w:rsidRPr="00871CDA">
        <w:rPr>
          <w:rFonts w:ascii="Times New Roman" w:eastAsia="Calibri" w:hAnsi="Times New Roman" w:cs="Times New Roman"/>
          <w:sz w:val="24"/>
          <w:vertAlign w:val="superscript"/>
        </w:rPr>
        <w:footnoteReference w:id="396"/>
      </w:r>
      <w:r w:rsidRPr="00871CDA">
        <w:rPr>
          <w:rFonts w:ascii="Times New Roman" w:eastAsia="Calibri" w:hAnsi="Times New Roman" w:cs="Times New Roman"/>
          <w:sz w:val="24"/>
        </w:rPr>
        <w:t xml:space="preserve"> </w:t>
      </w:r>
    </w:p>
    <w:p w:rsidR="00041DC6" w:rsidRPr="00C32C45" w:rsidRDefault="00041DC6" w:rsidP="0081231B">
      <w:pPr>
        <w:pStyle w:val="Text1"/>
        <w:ind w:left="0"/>
        <w:rPr>
          <w:rFonts w:ascii="Times New Roman Bold" w:hAnsi="Times New Roman Bold"/>
          <w:b/>
          <w:smallCaps/>
        </w:rPr>
      </w:pPr>
      <w:r w:rsidRPr="00C32C45">
        <w:rPr>
          <w:rFonts w:ascii="Times New Roman Bold" w:hAnsi="Times New Roman Bold"/>
          <w:b/>
          <w:smallCaps/>
        </w:rPr>
        <w:t xml:space="preserve">Social </w:t>
      </w:r>
      <w:r w:rsidRPr="0081231B">
        <w:rPr>
          <w:rFonts w:ascii="Times New Roman Bold" w:eastAsia="Arial Unicode MS" w:hAnsi="Times New Roman Bold"/>
          <w:b/>
          <w:smallCaps/>
          <w:szCs w:val="24"/>
          <w:bdr w:val="nil"/>
        </w:rPr>
        <w:t>impacts</w:t>
      </w:r>
    </w:p>
    <w:p w:rsidR="00041DC6" w:rsidRDefault="00041DC6" w:rsidP="0081231B">
      <w:pPr>
        <w:spacing w:after="120" w:line="240" w:lineRule="auto"/>
        <w:jc w:val="both"/>
        <w:rPr>
          <w:rFonts w:ascii="Times New Roman" w:eastAsia="Calibri" w:hAnsi="Times New Roman" w:cs="Times New Roman"/>
          <w:sz w:val="24"/>
        </w:rPr>
      </w:pPr>
      <w:r w:rsidRPr="00871CDA">
        <w:rPr>
          <w:rFonts w:ascii="Times New Roman" w:eastAsia="Calibri" w:hAnsi="Times New Roman" w:cs="Times New Roman"/>
          <w:sz w:val="24"/>
        </w:rPr>
        <w:t>Incentives for creators to produce more and diverse content would not change, but some of this content could go lost for lack of preservation in the long term</w:t>
      </w:r>
      <w:r>
        <w:rPr>
          <w:rFonts w:ascii="Times New Roman" w:eastAsia="Calibri" w:hAnsi="Times New Roman" w:cs="Times New Roman"/>
          <w:sz w:val="24"/>
        </w:rPr>
        <w:t xml:space="preserve">, with a possible negative impact on </w:t>
      </w:r>
      <w:r w:rsidRPr="00672F6D">
        <w:rPr>
          <w:rFonts w:ascii="Times New Roman" w:eastAsia="Calibri" w:hAnsi="Times New Roman" w:cs="Times New Roman"/>
          <w:sz w:val="24"/>
        </w:rPr>
        <w:t>cultural diversity</w:t>
      </w:r>
      <w:r w:rsidRPr="00871CDA">
        <w:rPr>
          <w:rFonts w:ascii="Times New Roman" w:eastAsia="Calibri" w:hAnsi="Times New Roman" w:cs="Times New Roman"/>
          <w:sz w:val="24"/>
        </w:rPr>
        <w:t>.</w:t>
      </w:r>
      <w:r w:rsidRPr="00CA2BF5">
        <w:rPr>
          <w:rFonts w:ascii="Times New Roman" w:eastAsia="Calibri" w:hAnsi="Times New Roman" w:cs="Times New Roman"/>
          <w:sz w:val="24"/>
        </w:rPr>
        <w:t xml:space="preserve"> </w:t>
      </w:r>
    </w:p>
    <w:p w:rsidR="00041DC6" w:rsidRDefault="00041DC6" w:rsidP="0081231B">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Persisting legal uncertainty and national variations might limit or reduce the rates of works in CHIs that are preserved, with possible negative effects on the ability of society at large to see their heritage preserved as a </w:t>
      </w:r>
      <w:r w:rsidRPr="00E748DE">
        <w:rPr>
          <w:rFonts w:ascii="Times New Roman" w:eastAsia="Calibri" w:hAnsi="Times New Roman" w:cs="Times New Roman"/>
          <w:sz w:val="24"/>
        </w:rPr>
        <w:t>public good</w:t>
      </w:r>
      <w:r>
        <w:rPr>
          <w:rFonts w:ascii="Times New Roman" w:eastAsia="Calibri" w:hAnsi="Times New Roman" w:cs="Times New Roman"/>
          <w:sz w:val="24"/>
        </w:rPr>
        <w:t xml:space="preserve"> in the long term, and therefore on the development of the arts, science, education and social development more broadly. </w:t>
      </w:r>
    </w:p>
    <w:p w:rsidR="00041DC6" w:rsidRPr="00871CDA" w:rsidRDefault="00041DC6" w:rsidP="00041DC6">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This option also has no </w:t>
      </w:r>
      <w:r w:rsidRPr="00871CDA">
        <w:rPr>
          <w:rFonts w:ascii="Times New Roman" w:eastAsia="Calibri" w:hAnsi="Times New Roman" w:cs="Times New Roman"/>
          <w:sz w:val="24"/>
        </w:rPr>
        <w:t>specific</w:t>
      </w:r>
      <w:r>
        <w:rPr>
          <w:rFonts w:ascii="Times New Roman" w:eastAsia="Calibri" w:hAnsi="Times New Roman" w:cs="Times New Roman"/>
          <w:sz w:val="24"/>
        </w:rPr>
        <w:t xml:space="preserve"> contribution to the objectives of </w:t>
      </w:r>
      <w:r w:rsidRPr="00C32C45">
        <w:rPr>
          <w:rFonts w:ascii="Times New Roman" w:eastAsia="Calibri" w:hAnsi="Times New Roman" w:cs="Times New Roman"/>
          <w:sz w:val="24"/>
        </w:rPr>
        <w:t>EU's policy on digital cultural heritage preservation.</w:t>
      </w:r>
    </w:p>
    <w:p w:rsidR="00041DC6" w:rsidRPr="00C32C45" w:rsidRDefault="00041DC6" w:rsidP="0081231B">
      <w:pPr>
        <w:pStyle w:val="Text1"/>
        <w:ind w:left="0"/>
        <w:rPr>
          <w:rFonts w:ascii="Times New Roman Bold" w:hAnsi="Times New Roman Bold"/>
          <w:b/>
          <w:smallCaps/>
        </w:rPr>
      </w:pPr>
      <w:r>
        <w:rPr>
          <w:rFonts w:ascii="Times New Roman Bold" w:hAnsi="Times New Roman Bold"/>
          <w:b/>
          <w:smallCaps/>
        </w:rPr>
        <w:t xml:space="preserve">Impacts on </w:t>
      </w:r>
      <w:r w:rsidRPr="0081231B">
        <w:rPr>
          <w:rFonts w:ascii="Times New Roman Bold" w:eastAsia="Arial Unicode MS" w:hAnsi="Times New Roman Bold"/>
          <w:b/>
          <w:smallCaps/>
          <w:szCs w:val="24"/>
          <w:bdr w:val="nil"/>
        </w:rPr>
        <w:t>fundamental</w:t>
      </w:r>
      <w:r w:rsidRPr="00C32C45">
        <w:rPr>
          <w:rFonts w:ascii="Times New Roman Bold" w:hAnsi="Times New Roman Bold"/>
          <w:b/>
          <w:smallCaps/>
        </w:rPr>
        <w:t xml:space="preserve"> rights </w:t>
      </w:r>
    </w:p>
    <w:p w:rsidR="00041DC6" w:rsidRDefault="00041DC6" w:rsidP="00041DC6">
      <w:pPr>
        <w:spacing w:after="120" w:line="240" w:lineRule="auto"/>
        <w:jc w:val="both"/>
        <w:rPr>
          <w:rFonts w:ascii="Times New Roman" w:eastAsia="Calibri" w:hAnsi="Times New Roman" w:cs="Times New Roman"/>
          <w:b/>
          <w:sz w:val="24"/>
        </w:rPr>
      </w:pPr>
      <w:r w:rsidRPr="00871CDA">
        <w:rPr>
          <w:rFonts w:ascii="Times New Roman" w:eastAsia="Calibri" w:hAnsi="Times New Roman" w:cs="Times New Roman"/>
          <w:sz w:val="24"/>
        </w:rPr>
        <w:t>No impact on copyright as a property right, as recognised by Article 17(2) of the Charter of. No tangible impact on the arts and scientific research, relevant for the freedom of the arts and sciences (Article 13), nor on education, protected under Article 14.</w:t>
      </w:r>
    </w:p>
    <w:p w:rsidR="00041DC6" w:rsidRPr="0081231B" w:rsidRDefault="0081231B" w:rsidP="0081231B">
      <w:pPr>
        <w:spacing w:before="120" w:after="120" w:line="24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Option 1 – Guidance </w:t>
      </w:r>
      <w:r w:rsidR="00041DC6" w:rsidRPr="00871CDA">
        <w:rPr>
          <w:rFonts w:ascii="Times New Roman" w:eastAsia="Calibri" w:hAnsi="Times New Roman" w:cs="Times New Roman"/>
          <w:b/>
          <w:sz w:val="24"/>
          <w:u w:val="single"/>
        </w:rPr>
        <w:t>to MS and peer review mechanism on the implementation of the EU exception on 'specific acts of reproduction' for preservation purposes</w:t>
      </w:r>
    </w:p>
    <w:p w:rsidR="00041DC6" w:rsidRDefault="00041DC6" w:rsidP="0081231B">
      <w:pPr>
        <w:pStyle w:val="Text1"/>
        <w:ind w:left="0"/>
        <w:rPr>
          <w:rFonts w:ascii="Times New Roman Bold" w:eastAsia="Arial Unicode MS" w:hAnsi="Times New Roman Bold" w:hint="eastAsia"/>
          <w:b/>
          <w:smallCaps/>
          <w:szCs w:val="24"/>
          <w:bdr w:val="nil"/>
        </w:rPr>
      </w:pPr>
      <w:r w:rsidRPr="00686C23">
        <w:rPr>
          <w:rFonts w:ascii="Times New Roman Bold" w:eastAsia="Arial Unicode MS" w:hAnsi="Times New Roman Bold"/>
          <w:b/>
          <w:smallCaps/>
          <w:szCs w:val="24"/>
          <w:bdr w:val="nil"/>
        </w:rPr>
        <w:t>Impacts on stakeholders</w:t>
      </w:r>
    </w:p>
    <w:p w:rsidR="00041DC6" w:rsidRPr="00871CDA" w:rsidRDefault="00041DC6" w:rsidP="0081231B">
      <w:pPr>
        <w:pStyle w:val="Text1"/>
        <w:spacing w:before="0"/>
        <w:ind w:left="0"/>
        <w:rPr>
          <w:b/>
        </w:rPr>
      </w:pPr>
      <w:r w:rsidRPr="00871CDA">
        <w:rPr>
          <w:b/>
        </w:rPr>
        <w:t>CHIs</w:t>
      </w:r>
    </w:p>
    <w:p w:rsidR="00041DC6" w:rsidRPr="00871CDA" w:rsidRDefault="00041DC6" w:rsidP="00041DC6">
      <w:pPr>
        <w:spacing w:after="120" w:line="240" w:lineRule="auto"/>
        <w:jc w:val="both"/>
        <w:rPr>
          <w:rFonts w:ascii="Times New Roman" w:eastAsia="Calibri" w:hAnsi="Times New Roman" w:cs="Times New Roman"/>
          <w:sz w:val="24"/>
          <w:szCs w:val="20"/>
          <w:lang w:eastAsia="en-GB"/>
        </w:rPr>
      </w:pPr>
      <w:r>
        <w:rPr>
          <w:rFonts w:ascii="Times New Roman" w:eastAsia="Calibri" w:hAnsi="Times New Roman" w:cs="Times New Roman"/>
          <w:sz w:val="24"/>
          <w:u w:val="single"/>
        </w:rPr>
        <w:t>Impacts on legal certainty for the p</w:t>
      </w:r>
      <w:r w:rsidRPr="00871CDA">
        <w:rPr>
          <w:rFonts w:ascii="Times New Roman" w:eastAsia="Calibri" w:hAnsi="Times New Roman" w:cs="Times New Roman"/>
          <w:sz w:val="24"/>
          <w:u w:val="single"/>
        </w:rPr>
        <w:t>reservation of cultural heritage:</w:t>
      </w:r>
      <w:r w:rsidRPr="00871CDA">
        <w:rPr>
          <w:rFonts w:ascii="Times New Roman" w:eastAsia="Calibri" w:hAnsi="Times New Roman" w:cs="Times New Roman"/>
          <w:sz w:val="24"/>
        </w:rPr>
        <w:t xml:space="preserve"> </w:t>
      </w:r>
      <w:r w:rsidRPr="00871CDA">
        <w:rPr>
          <w:rFonts w:ascii="Times New Roman" w:eastAsia="Calibri" w:hAnsi="Times New Roman" w:cs="Times New Roman"/>
          <w:sz w:val="24"/>
          <w:szCs w:val="20"/>
          <w:lang w:eastAsia="en-GB"/>
        </w:rPr>
        <w:t xml:space="preserve">Individual MS may decide to update their national legislation. This would result in a variably improved environment for CHIs to make preservation copies at national level. On the one hand, this effect could be felt earlier than a legislative option. </w:t>
      </w:r>
      <w:r>
        <w:rPr>
          <w:rFonts w:ascii="Times New Roman" w:eastAsia="Calibri" w:hAnsi="Times New Roman" w:cs="Times New Roman"/>
          <w:sz w:val="24"/>
          <w:szCs w:val="20"/>
          <w:lang w:eastAsia="en-GB"/>
        </w:rPr>
        <w:t>G</w:t>
      </w:r>
      <w:r w:rsidRPr="00871CDA">
        <w:rPr>
          <w:rFonts w:ascii="Times New Roman" w:eastAsia="Calibri" w:hAnsi="Times New Roman" w:cs="Times New Roman"/>
          <w:sz w:val="24"/>
          <w:szCs w:val="20"/>
          <w:lang w:eastAsia="en-GB"/>
        </w:rPr>
        <w:t xml:space="preserve">iven the non-binding nature of this option, it is unlikely that </w:t>
      </w:r>
      <w:r>
        <w:rPr>
          <w:rFonts w:ascii="Times New Roman" w:eastAsia="Calibri" w:hAnsi="Times New Roman" w:cs="Times New Roman"/>
          <w:sz w:val="24"/>
          <w:szCs w:val="20"/>
          <w:lang w:eastAsia="en-GB"/>
        </w:rPr>
        <w:t>the scope of national exceptions</w:t>
      </w:r>
      <w:r w:rsidRPr="00871CDA">
        <w:rPr>
          <w:rFonts w:ascii="Times New Roman" w:eastAsia="Calibri" w:hAnsi="Times New Roman" w:cs="Times New Roman"/>
          <w:sz w:val="24"/>
          <w:szCs w:val="20"/>
          <w:lang w:eastAsia="en-GB"/>
        </w:rPr>
        <w:t xml:space="preserve"> is brought up to speed with the needs of digital preservation in all MS and that discrepancies disappear. As a result, the option would not substantially facilitate preservation acts carried out in MS other than </w:t>
      </w:r>
      <w:r w:rsidRPr="0081231B">
        <w:rPr>
          <w:rFonts w:ascii="Times New Roman" w:eastAsia="Calibri" w:hAnsi="Times New Roman" w:cs="Times New Roman"/>
          <w:sz w:val="24"/>
        </w:rPr>
        <w:t>the</w:t>
      </w:r>
      <w:r w:rsidRPr="00871CDA">
        <w:rPr>
          <w:rFonts w:ascii="Times New Roman" w:eastAsia="Calibri" w:hAnsi="Times New Roman" w:cs="Times New Roman"/>
          <w:sz w:val="24"/>
          <w:szCs w:val="20"/>
          <w:lang w:eastAsia="en-GB"/>
        </w:rPr>
        <w:t xml:space="preserve"> one in which a given CHI is established. The impact on the environment for preservation, notably in terms of legal certainty would be limited, depending on the decisions of individual MS. </w:t>
      </w:r>
    </w:p>
    <w:p w:rsidR="00041DC6" w:rsidRPr="00871CDA" w:rsidRDefault="00041DC6" w:rsidP="00041DC6">
      <w:pPr>
        <w:spacing w:after="120" w:line="240" w:lineRule="auto"/>
        <w:jc w:val="both"/>
        <w:rPr>
          <w:rFonts w:ascii="Times New Roman" w:eastAsia="Calibri" w:hAnsi="Times New Roman" w:cs="Times New Roman"/>
          <w:sz w:val="24"/>
          <w:szCs w:val="20"/>
          <w:lang w:eastAsia="en-GB"/>
        </w:rPr>
      </w:pPr>
      <w:r w:rsidRPr="00871CDA">
        <w:rPr>
          <w:rFonts w:ascii="Times New Roman" w:eastAsia="Calibri" w:hAnsi="Times New Roman" w:cs="Times New Roman"/>
          <w:sz w:val="24"/>
          <w:szCs w:val="20"/>
          <w:lang w:eastAsia="en-GB"/>
        </w:rPr>
        <w:t xml:space="preserve">A Recommendation of the European Parliament and Council, a Commission Recommendation, and EU Council Conclusions already made a number of recommendations to MS for a more conducive legal environment regarding </w:t>
      </w:r>
      <w:r w:rsidRPr="0081231B">
        <w:rPr>
          <w:rFonts w:ascii="Times New Roman" w:eastAsia="Calibri" w:hAnsi="Times New Roman" w:cs="Times New Roman"/>
          <w:sz w:val="24"/>
        </w:rPr>
        <w:t>reproductions</w:t>
      </w:r>
      <w:r w:rsidRPr="00871CDA">
        <w:rPr>
          <w:rFonts w:ascii="Times New Roman" w:eastAsia="Calibri" w:hAnsi="Times New Roman" w:cs="Times New Roman"/>
          <w:sz w:val="24"/>
          <w:szCs w:val="20"/>
          <w:lang w:eastAsia="en-GB"/>
        </w:rPr>
        <w:t xml:space="preserve"> for preservation purposes.</w:t>
      </w:r>
      <w:r w:rsidRPr="00871CDA">
        <w:rPr>
          <w:rFonts w:ascii="Times New Roman" w:eastAsia="Calibri" w:hAnsi="Times New Roman" w:cs="Times New Roman"/>
          <w:sz w:val="24"/>
          <w:szCs w:val="20"/>
          <w:vertAlign w:val="superscript"/>
          <w:lang w:eastAsia="en-GB"/>
        </w:rPr>
        <w:footnoteReference w:id="397"/>
      </w:r>
      <w:r w:rsidRPr="00871CDA">
        <w:rPr>
          <w:rFonts w:ascii="Times New Roman" w:eastAsia="Calibri" w:hAnsi="Times New Roman" w:cs="Times New Roman"/>
          <w:sz w:val="24"/>
          <w:szCs w:val="20"/>
          <w:lang w:eastAsia="en-GB"/>
        </w:rPr>
        <w:t xml:space="preserve"> Relevant implementation reporting</w:t>
      </w:r>
      <w:r w:rsidRPr="00871CDA">
        <w:rPr>
          <w:rFonts w:ascii="Times New Roman" w:eastAsia="Calibri" w:hAnsi="Times New Roman" w:cs="Times New Roman"/>
          <w:sz w:val="24"/>
          <w:szCs w:val="20"/>
          <w:vertAlign w:val="superscript"/>
          <w:lang w:eastAsia="en-GB"/>
        </w:rPr>
        <w:footnoteReference w:id="398"/>
      </w:r>
      <w:r w:rsidR="004453E1">
        <w:rPr>
          <w:rFonts w:ascii="Times New Roman" w:eastAsia="Calibri" w:hAnsi="Times New Roman" w:cs="Times New Roman"/>
          <w:sz w:val="24"/>
          <w:szCs w:val="20"/>
          <w:lang w:eastAsia="en-GB"/>
        </w:rPr>
        <w:t xml:space="preserve"> indicates however that</w:t>
      </w:r>
      <w:r w:rsidR="004453E1" w:rsidRPr="008012CB">
        <w:rPr>
          <w:rFonts w:ascii="Times New Roman" w:eastAsia="Calibri" w:hAnsi="Times New Roman" w:cs="Times New Roman"/>
          <w:sz w:val="24"/>
          <w:szCs w:val="20"/>
          <w:lang w:eastAsia="en-GB"/>
        </w:rPr>
        <w:t>, despite a slight increase in time in the number of MS reporting explicit provisions for multiple copying and format-shifting,</w:t>
      </w:r>
      <w:r w:rsidR="004453E1">
        <w:rPr>
          <w:rFonts w:ascii="Times New Roman" w:eastAsia="Calibri" w:hAnsi="Times New Roman" w:cs="Times New Roman"/>
          <w:sz w:val="24"/>
          <w:szCs w:val="20"/>
          <w:lang w:eastAsia="en-GB"/>
        </w:rPr>
        <w:t xml:space="preserve"> </w:t>
      </w:r>
      <w:r w:rsidRPr="00871CDA">
        <w:rPr>
          <w:rFonts w:ascii="Times New Roman" w:eastAsia="Calibri" w:hAnsi="Times New Roman" w:cs="Times New Roman"/>
          <w:sz w:val="24"/>
          <w:szCs w:val="20"/>
          <w:lang w:eastAsia="en-GB"/>
        </w:rPr>
        <w:t>national variations continue to exist in this area</w:t>
      </w:r>
      <w:r>
        <w:rPr>
          <w:rFonts w:ascii="Times New Roman" w:eastAsia="Calibri" w:hAnsi="Times New Roman" w:cs="Times New Roman"/>
          <w:sz w:val="24"/>
          <w:szCs w:val="20"/>
          <w:lang w:eastAsia="en-GB"/>
        </w:rPr>
        <w:t>,</w:t>
      </w:r>
      <w:r w:rsidRPr="00871CDA">
        <w:rPr>
          <w:rFonts w:ascii="Times New Roman" w:eastAsia="Calibri" w:hAnsi="Times New Roman" w:cs="Times New Roman"/>
          <w:sz w:val="24"/>
          <w:szCs w:val="20"/>
          <w:lang w:eastAsia="en-GB"/>
        </w:rPr>
        <w:t xml:space="preserve"> as </w:t>
      </w:r>
      <w:r w:rsidRPr="008012CB">
        <w:rPr>
          <w:rFonts w:ascii="Times New Roman" w:eastAsia="Calibri" w:hAnsi="Times New Roman" w:cs="Times New Roman"/>
          <w:sz w:val="24"/>
          <w:szCs w:val="20"/>
          <w:lang w:eastAsia="en-GB"/>
        </w:rPr>
        <w:t xml:space="preserve">regards </w:t>
      </w:r>
      <w:r w:rsidR="004453E1" w:rsidRPr="008012CB">
        <w:rPr>
          <w:rFonts w:ascii="Times New Roman" w:eastAsia="Calibri" w:hAnsi="Times New Roman" w:cs="Times New Roman"/>
          <w:sz w:val="24"/>
          <w:szCs w:val="20"/>
          <w:lang w:eastAsia="en-GB"/>
        </w:rPr>
        <w:t>the</w:t>
      </w:r>
      <w:r w:rsidR="004453E1">
        <w:rPr>
          <w:rFonts w:ascii="Times New Roman" w:eastAsia="Calibri" w:hAnsi="Times New Roman" w:cs="Times New Roman"/>
          <w:sz w:val="24"/>
          <w:szCs w:val="20"/>
          <w:lang w:eastAsia="en-GB"/>
        </w:rPr>
        <w:t xml:space="preserve"> </w:t>
      </w:r>
      <w:r w:rsidRPr="00871CDA">
        <w:rPr>
          <w:rFonts w:ascii="Times New Roman" w:eastAsia="Calibri" w:hAnsi="Times New Roman" w:cs="Times New Roman"/>
          <w:sz w:val="24"/>
          <w:szCs w:val="20"/>
          <w:lang w:eastAsia="en-GB"/>
        </w:rPr>
        <w:t>scope of exceptions.</w:t>
      </w:r>
    </w:p>
    <w:p w:rsidR="00041DC6" w:rsidRPr="00871CDA" w:rsidRDefault="00041DC6" w:rsidP="00041DC6">
      <w:pPr>
        <w:spacing w:after="120" w:line="240" w:lineRule="auto"/>
        <w:jc w:val="both"/>
        <w:rPr>
          <w:rFonts w:ascii="Times New Roman" w:eastAsia="Calibri" w:hAnsi="Times New Roman" w:cs="Times New Roman"/>
          <w:sz w:val="24"/>
        </w:rPr>
      </w:pPr>
      <w:r w:rsidRPr="00871CDA">
        <w:rPr>
          <w:rFonts w:ascii="Times New Roman" w:eastAsia="Calibri" w:hAnsi="Times New Roman" w:cs="Times New Roman"/>
          <w:sz w:val="24"/>
        </w:rPr>
        <w:t xml:space="preserve">As in the baseline scenario, under this option the preservation of certain works, mainly in the area of </w:t>
      </w:r>
      <w:r>
        <w:rPr>
          <w:rFonts w:ascii="Times New Roman" w:eastAsia="Calibri" w:hAnsi="Times New Roman" w:cs="Times New Roman"/>
          <w:sz w:val="24"/>
        </w:rPr>
        <w:t>scientific publishing or voluntary legal deposit practices</w:t>
      </w:r>
      <w:r w:rsidRPr="00871CDA">
        <w:rPr>
          <w:rFonts w:ascii="Times New Roman" w:eastAsia="Calibri" w:hAnsi="Times New Roman" w:cs="Times New Roman"/>
          <w:sz w:val="24"/>
        </w:rPr>
        <w:t xml:space="preserve">, could continue to take place based on authorisations from </w:t>
      </w:r>
      <w:r w:rsidR="002432E8">
        <w:rPr>
          <w:rFonts w:ascii="Times New Roman" w:eastAsia="Calibri" w:hAnsi="Times New Roman" w:cs="Times New Roman"/>
          <w:sz w:val="24"/>
        </w:rPr>
        <w:t>r</w:t>
      </w:r>
      <w:r w:rsidR="00007677">
        <w:rPr>
          <w:rFonts w:ascii="Times New Roman" w:eastAsia="Calibri" w:hAnsi="Times New Roman" w:cs="Times New Roman"/>
          <w:sz w:val="24"/>
        </w:rPr>
        <w:t>ightholders</w:t>
      </w:r>
      <w:r>
        <w:rPr>
          <w:rFonts w:ascii="Times New Roman" w:eastAsia="Calibri" w:hAnsi="Times New Roman" w:cs="Times New Roman"/>
          <w:sz w:val="24"/>
        </w:rPr>
        <w:t xml:space="preserve"> as part of broader agreements</w:t>
      </w:r>
      <w:r w:rsidRPr="00871CDA">
        <w:rPr>
          <w:rFonts w:ascii="Times New Roman" w:eastAsia="Calibri" w:hAnsi="Times New Roman" w:cs="Times New Roman"/>
          <w:sz w:val="24"/>
        </w:rPr>
        <w:t xml:space="preserve">. A possible larger scope of national preservation exceptions is unlikely to </w:t>
      </w:r>
      <w:r>
        <w:rPr>
          <w:rFonts w:ascii="Times New Roman" w:eastAsia="Calibri" w:hAnsi="Times New Roman" w:cs="Times New Roman"/>
          <w:sz w:val="24"/>
        </w:rPr>
        <w:t>affect</w:t>
      </w:r>
      <w:r w:rsidRPr="00871CDA">
        <w:rPr>
          <w:rFonts w:ascii="Times New Roman" w:eastAsia="Calibri" w:hAnsi="Times New Roman" w:cs="Times New Roman"/>
          <w:sz w:val="24"/>
        </w:rPr>
        <w:t xml:space="preserve"> such </w:t>
      </w:r>
      <w:r>
        <w:rPr>
          <w:rFonts w:ascii="Times New Roman" w:eastAsia="Calibri" w:hAnsi="Times New Roman" w:cs="Times New Roman"/>
          <w:sz w:val="24"/>
        </w:rPr>
        <w:t>arrangements</w:t>
      </w:r>
      <w:r w:rsidRPr="00871CDA">
        <w:rPr>
          <w:rFonts w:ascii="Times New Roman" w:eastAsia="Calibri" w:hAnsi="Times New Roman" w:cs="Times New Roman"/>
          <w:sz w:val="24"/>
        </w:rPr>
        <w:t xml:space="preserve">, as they are </w:t>
      </w:r>
      <w:r>
        <w:rPr>
          <w:rFonts w:ascii="Times New Roman" w:eastAsia="Calibri" w:hAnsi="Times New Roman" w:cs="Times New Roman"/>
          <w:sz w:val="24"/>
        </w:rPr>
        <w:t xml:space="preserve">also required for the acquisition/delivery of permanent copies to the CHIs in the first place </w:t>
      </w:r>
      <w:r w:rsidRPr="00871CDA">
        <w:rPr>
          <w:rFonts w:ascii="Times New Roman" w:eastAsia="Calibri" w:hAnsi="Times New Roman" w:cs="Times New Roman"/>
          <w:sz w:val="24"/>
        </w:rPr>
        <w:t xml:space="preserve">and </w:t>
      </w:r>
      <w:r>
        <w:rPr>
          <w:rFonts w:ascii="Times New Roman" w:eastAsia="Calibri" w:hAnsi="Times New Roman" w:cs="Times New Roman"/>
          <w:sz w:val="24"/>
        </w:rPr>
        <w:t xml:space="preserve">can </w:t>
      </w:r>
      <w:r w:rsidRPr="00871CDA">
        <w:rPr>
          <w:rFonts w:ascii="Times New Roman" w:eastAsia="Calibri" w:hAnsi="Times New Roman" w:cs="Times New Roman"/>
          <w:sz w:val="24"/>
        </w:rPr>
        <w:t xml:space="preserve">also cover access to works (not only </w:t>
      </w:r>
      <w:r>
        <w:rPr>
          <w:rFonts w:ascii="Times New Roman" w:eastAsia="Calibri" w:hAnsi="Times New Roman" w:cs="Times New Roman"/>
          <w:sz w:val="24"/>
        </w:rPr>
        <w:t xml:space="preserve">their </w:t>
      </w:r>
      <w:r w:rsidRPr="00871CDA">
        <w:rPr>
          <w:rFonts w:ascii="Times New Roman" w:eastAsia="Calibri" w:hAnsi="Times New Roman" w:cs="Times New Roman"/>
          <w:sz w:val="24"/>
        </w:rPr>
        <w:t xml:space="preserve">preservation). </w:t>
      </w:r>
    </w:p>
    <w:p w:rsidR="00041DC6" w:rsidRPr="00957EAA" w:rsidRDefault="00007677" w:rsidP="0081231B">
      <w:pPr>
        <w:pStyle w:val="Text1"/>
        <w:spacing w:before="0"/>
        <w:ind w:left="0"/>
        <w:rPr>
          <w:b/>
        </w:rPr>
      </w:pPr>
      <w:r>
        <w:rPr>
          <w:b/>
        </w:rPr>
        <w:t>Rightholders</w:t>
      </w:r>
      <w:r w:rsidR="00041DC6" w:rsidRPr="00957EAA">
        <w:rPr>
          <w:b/>
        </w:rPr>
        <w:t xml:space="preserve"> </w:t>
      </w:r>
    </w:p>
    <w:p w:rsidR="00041DC6" w:rsidRPr="00871CDA" w:rsidRDefault="00041DC6" w:rsidP="0081231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0"/>
          <w:u w:val="single"/>
          <w:lang w:eastAsia="en-GB"/>
        </w:rPr>
        <w:t>Impacts on r</w:t>
      </w:r>
      <w:r w:rsidRPr="00871CDA">
        <w:rPr>
          <w:rFonts w:ascii="Times New Roman" w:eastAsia="Calibri" w:hAnsi="Times New Roman" w:cs="Times New Roman"/>
          <w:sz w:val="24"/>
          <w:szCs w:val="20"/>
          <w:u w:val="single"/>
          <w:lang w:eastAsia="en-GB"/>
        </w:rPr>
        <w:t>evenues:</w:t>
      </w:r>
      <w:r w:rsidRPr="00871CDA">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M</w:t>
      </w:r>
      <w:r w:rsidRPr="00871CDA">
        <w:rPr>
          <w:rFonts w:ascii="Times New Roman" w:eastAsia="Calibri" w:hAnsi="Times New Roman" w:cs="Times New Roman"/>
          <w:sz w:val="24"/>
          <w:szCs w:val="20"/>
          <w:lang w:eastAsia="en-GB"/>
        </w:rPr>
        <w:t xml:space="preserve">issed revenue opportunities for </w:t>
      </w:r>
      <w:r w:rsidR="002432E8">
        <w:rPr>
          <w:rFonts w:ascii="Times New Roman" w:eastAsia="Calibri" w:hAnsi="Times New Roman" w:cs="Times New Roman"/>
          <w:sz w:val="24"/>
          <w:szCs w:val="20"/>
          <w:lang w:eastAsia="en-GB"/>
        </w:rPr>
        <w:t>r</w:t>
      </w:r>
      <w:r w:rsidR="00007677">
        <w:rPr>
          <w:rFonts w:ascii="Times New Roman" w:eastAsia="Calibri" w:hAnsi="Times New Roman" w:cs="Times New Roman"/>
          <w:sz w:val="24"/>
          <w:szCs w:val="20"/>
          <w:lang w:eastAsia="en-GB"/>
        </w:rPr>
        <w:t>ightholders</w:t>
      </w:r>
      <w:r w:rsidRPr="00871CDA">
        <w:rPr>
          <w:rFonts w:ascii="Times New Roman" w:eastAsia="Calibri" w:hAnsi="Times New Roman" w:cs="Times New Roman"/>
          <w:sz w:val="24"/>
          <w:szCs w:val="20"/>
          <w:lang w:eastAsia="en-GB"/>
        </w:rPr>
        <w:t xml:space="preserve"> due to the </w:t>
      </w:r>
      <w:r w:rsidRPr="00871CDA">
        <w:rPr>
          <w:rFonts w:ascii="Times New Roman" w:eastAsia="Calibri" w:hAnsi="Times New Roman" w:cs="Times New Roman"/>
          <w:sz w:val="24"/>
          <w:szCs w:val="24"/>
        </w:rPr>
        <w:t xml:space="preserve">possible expansion of the scope of national exceptions under this option are expected to be minimal, given that they would still regard reproductions for preservation purposes only. The possible increase in preservation copies, as a result of a larger space under national exceptions, can have a slight downward impact on the number of copies that CHIs might have purchased on the market with preservation purposes in mind, in those cases where the national exception previously did not allow them to make copies. </w:t>
      </w:r>
    </w:p>
    <w:p w:rsidR="00041DC6" w:rsidRPr="00871CDA" w:rsidRDefault="00041DC6" w:rsidP="00041DC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u w:val="single"/>
        </w:rPr>
        <w:t>Impacts on l</w:t>
      </w:r>
      <w:r w:rsidRPr="00871CDA">
        <w:rPr>
          <w:rFonts w:ascii="Times New Roman" w:eastAsia="Calibri" w:hAnsi="Times New Roman" w:cs="Times New Roman"/>
          <w:sz w:val="24"/>
          <w:u w:val="single"/>
        </w:rPr>
        <w:t>icensing market for electronic resources:</w:t>
      </w:r>
      <w:r w:rsidRPr="00871CDA">
        <w:rPr>
          <w:rFonts w:ascii="Times New Roman" w:eastAsia="Calibri" w:hAnsi="Times New Roman" w:cs="Times New Roman"/>
          <w:sz w:val="24"/>
        </w:rPr>
        <w:t xml:space="preserve"> </w:t>
      </w:r>
      <w:r>
        <w:rPr>
          <w:rFonts w:ascii="Times New Roman" w:eastAsia="Calibri" w:hAnsi="Times New Roman" w:cs="Times New Roman"/>
          <w:sz w:val="24"/>
        </w:rPr>
        <w:t>T</w:t>
      </w:r>
      <w:r w:rsidRPr="00871CDA">
        <w:rPr>
          <w:rFonts w:ascii="Times New Roman" w:eastAsia="Calibri" w:hAnsi="Times New Roman" w:cs="Times New Roman"/>
          <w:sz w:val="24"/>
        </w:rPr>
        <w:t xml:space="preserve">he impact would be similar as in the baseline scenario. </w:t>
      </w:r>
    </w:p>
    <w:p w:rsidR="00041DC6" w:rsidRPr="00C32C45" w:rsidRDefault="00041DC6" w:rsidP="0081231B">
      <w:pPr>
        <w:pStyle w:val="Text1"/>
        <w:ind w:left="0"/>
        <w:rPr>
          <w:rFonts w:ascii="Times New Roman Bold" w:hAnsi="Times New Roman Bold"/>
          <w:b/>
          <w:smallCaps/>
          <w:szCs w:val="24"/>
        </w:rPr>
      </w:pPr>
      <w:r w:rsidRPr="00C32C45">
        <w:rPr>
          <w:rFonts w:ascii="Times New Roman Bold" w:hAnsi="Times New Roman Bold"/>
          <w:b/>
          <w:smallCaps/>
          <w:szCs w:val="24"/>
        </w:rPr>
        <w:t xml:space="preserve">Social </w:t>
      </w:r>
      <w:r w:rsidRPr="0081231B">
        <w:rPr>
          <w:rFonts w:ascii="Times New Roman Bold" w:eastAsia="Arial Unicode MS" w:hAnsi="Times New Roman Bold"/>
          <w:b/>
          <w:smallCaps/>
          <w:szCs w:val="24"/>
          <w:bdr w:val="nil"/>
        </w:rPr>
        <w:t>impacts</w:t>
      </w:r>
    </w:p>
    <w:p w:rsidR="00041DC6" w:rsidRDefault="00041DC6" w:rsidP="0081231B">
      <w:pPr>
        <w:spacing w:after="120" w:line="240" w:lineRule="auto"/>
        <w:jc w:val="both"/>
        <w:rPr>
          <w:rFonts w:ascii="Times New Roman" w:eastAsia="Calibri" w:hAnsi="Times New Roman" w:cs="Times New Roman"/>
          <w:sz w:val="24"/>
          <w:szCs w:val="24"/>
        </w:rPr>
      </w:pPr>
      <w:r w:rsidRPr="00871CDA">
        <w:rPr>
          <w:rFonts w:ascii="Times New Roman" w:eastAsia="Calibri" w:hAnsi="Times New Roman" w:cs="Times New Roman"/>
          <w:sz w:val="24"/>
          <w:szCs w:val="24"/>
        </w:rPr>
        <w:t xml:space="preserve">Similar impact to the baseline scenario </w:t>
      </w:r>
      <w:r>
        <w:rPr>
          <w:rFonts w:ascii="Times New Roman" w:eastAsia="Calibri" w:hAnsi="Times New Roman" w:cs="Times New Roman"/>
          <w:sz w:val="24"/>
          <w:szCs w:val="24"/>
        </w:rPr>
        <w:t xml:space="preserve">on </w:t>
      </w:r>
      <w:r w:rsidRPr="00672F6D">
        <w:rPr>
          <w:rFonts w:ascii="Times New Roman" w:eastAsia="Calibri" w:hAnsi="Times New Roman" w:cs="Times New Roman"/>
          <w:sz w:val="24"/>
          <w:szCs w:val="24"/>
        </w:rPr>
        <w:t>cultural diversity</w:t>
      </w:r>
      <w:r>
        <w:rPr>
          <w:rFonts w:ascii="Times New Roman" w:eastAsia="Calibri" w:hAnsi="Times New Roman" w:cs="Times New Roman"/>
          <w:sz w:val="24"/>
          <w:szCs w:val="24"/>
        </w:rPr>
        <w:t xml:space="preserve"> </w:t>
      </w:r>
      <w:r w:rsidRPr="00871CDA">
        <w:rPr>
          <w:rFonts w:ascii="Times New Roman" w:eastAsia="Calibri" w:hAnsi="Times New Roman" w:cs="Times New Roman"/>
          <w:sz w:val="24"/>
          <w:szCs w:val="24"/>
        </w:rPr>
        <w:t>in the short term</w:t>
      </w:r>
      <w:r>
        <w:rPr>
          <w:rFonts w:ascii="Times New Roman" w:eastAsia="Calibri" w:hAnsi="Times New Roman" w:cs="Times New Roman"/>
          <w:sz w:val="24"/>
          <w:szCs w:val="24"/>
        </w:rPr>
        <w:t xml:space="preserve">, with some possible positive impact </w:t>
      </w:r>
      <w:r w:rsidRPr="00871CDA">
        <w:rPr>
          <w:rFonts w:ascii="Times New Roman" w:eastAsia="Calibri" w:hAnsi="Times New Roman" w:cs="Times New Roman"/>
          <w:sz w:val="24"/>
          <w:szCs w:val="24"/>
        </w:rPr>
        <w:t>in the long term deriving from higher preservation rates</w:t>
      </w:r>
      <w:r>
        <w:rPr>
          <w:rFonts w:ascii="Times New Roman" w:eastAsia="Calibri" w:hAnsi="Times New Roman" w:cs="Times New Roman"/>
          <w:sz w:val="24"/>
          <w:szCs w:val="24"/>
        </w:rPr>
        <w:t>.</w:t>
      </w:r>
    </w:p>
    <w:p w:rsidR="00041DC6" w:rsidRDefault="00041DC6" w:rsidP="0081231B">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Positive impact also on society at large in the long term, in terms of heritage, as a public good, being preserved in the long term</w:t>
      </w:r>
      <w:r w:rsidRPr="00871CDA">
        <w:rPr>
          <w:rFonts w:ascii="Times New Roman" w:eastAsia="Calibri" w:hAnsi="Times New Roman" w:cs="Times New Roman"/>
          <w:sz w:val="24"/>
          <w:szCs w:val="24"/>
        </w:rPr>
        <w:t xml:space="preserve">. </w:t>
      </w:r>
    </w:p>
    <w:p w:rsidR="00041DC6" w:rsidRPr="00871CDA" w:rsidRDefault="00041DC6" w:rsidP="00041DC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Such impact, as well as the</w:t>
      </w:r>
      <w:r w:rsidRPr="00871CDA">
        <w:rPr>
          <w:rFonts w:ascii="Times New Roman" w:eastAsia="Calibri" w:hAnsi="Times New Roman" w:cs="Times New Roman"/>
          <w:sz w:val="24"/>
          <w:szCs w:val="24"/>
        </w:rPr>
        <w:t xml:space="preserve"> contribution to the</w:t>
      </w:r>
      <w:r>
        <w:rPr>
          <w:rFonts w:ascii="Times New Roman" w:eastAsia="Calibri" w:hAnsi="Times New Roman" w:cs="Times New Roman"/>
          <w:sz w:val="24"/>
          <w:szCs w:val="24"/>
        </w:rPr>
        <w:t xml:space="preserve"> objectives of the</w:t>
      </w:r>
      <w:r w:rsidRPr="00871CDA">
        <w:rPr>
          <w:rFonts w:ascii="Times New Roman" w:eastAsia="Calibri" w:hAnsi="Times New Roman" w:cs="Times New Roman"/>
          <w:sz w:val="24"/>
          <w:szCs w:val="24"/>
        </w:rPr>
        <w:t xml:space="preserve"> EU's policy </w:t>
      </w:r>
      <w:r w:rsidRPr="00C32C45">
        <w:rPr>
          <w:rFonts w:ascii="Times New Roman" w:eastAsia="Calibri" w:hAnsi="Times New Roman" w:cs="Times New Roman"/>
          <w:sz w:val="24"/>
        </w:rPr>
        <w:t>on</w:t>
      </w:r>
      <w:r>
        <w:rPr>
          <w:rFonts w:ascii="Times New Roman" w:eastAsia="Calibri" w:hAnsi="Times New Roman" w:cs="Times New Roman"/>
          <w:b/>
          <w:sz w:val="24"/>
        </w:rPr>
        <w:t xml:space="preserve"> </w:t>
      </w:r>
      <w:r w:rsidRPr="00C32C45">
        <w:rPr>
          <w:rFonts w:ascii="Times New Roman" w:eastAsia="Calibri" w:hAnsi="Times New Roman" w:cs="Times New Roman"/>
          <w:sz w:val="24"/>
        </w:rPr>
        <w:t>digital cultural heritage preservation</w:t>
      </w:r>
      <w:r>
        <w:rPr>
          <w:rFonts w:ascii="Times New Roman" w:eastAsia="Calibri" w:hAnsi="Times New Roman" w:cs="Times New Roman"/>
          <w:b/>
          <w:sz w:val="24"/>
        </w:rPr>
        <w:t>,</w:t>
      </w:r>
      <w:r w:rsidRPr="00871CDA">
        <w:rPr>
          <w:rFonts w:ascii="Times New Roman" w:eastAsia="Calibri" w:hAnsi="Times New Roman" w:cs="Times New Roman"/>
          <w:sz w:val="24"/>
          <w:szCs w:val="24"/>
        </w:rPr>
        <w:t xml:space="preserve"> would be</w:t>
      </w:r>
      <w:r>
        <w:rPr>
          <w:rFonts w:ascii="Times New Roman" w:eastAsia="Calibri" w:hAnsi="Times New Roman" w:cs="Times New Roman"/>
          <w:sz w:val="24"/>
          <w:szCs w:val="24"/>
        </w:rPr>
        <w:t xml:space="preserve"> subject to the same limitations described under</w:t>
      </w:r>
      <w:r w:rsidRPr="00871CDA">
        <w:rPr>
          <w:rFonts w:ascii="Times New Roman" w:eastAsia="Calibri" w:hAnsi="Times New Roman" w:cs="Times New Roman"/>
          <w:sz w:val="24"/>
          <w:szCs w:val="24"/>
        </w:rPr>
        <w:t xml:space="preserve"> </w:t>
      </w:r>
      <w:r w:rsidRPr="0051130D">
        <w:rPr>
          <w:rFonts w:ascii="Times New Roman" w:eastAsia="Calibri" w:hAnsi="Times New Roman" w:cs="Times New Roman"/>
          <w:sz w:val="24"/>
          <w:szCs w:val="24"/>
        </w:rPr>
        <w:t>"</w:t>
      </w:r>
      <w:r w:rsidRPr="00C32C45">
        <w:rPr>
          <w:rFonts w:ascii="Times New Roman" w:eastAsia="Calibri" w:hAnsi="Times New Roman" w:cs="Times New Roman"/>
          <w:sz w:val="24"/>
        </w:rPr>
        <w:t xml:space="preserve">Impacts on legal certainty for the preservation of </w:t>
      </w:r>
      <w:r w:rsidRPr="0081231B">
        <w:rPr>
          <w:rFonts w:ascii="Times New Roman" w:eastAsia="Calibri" w:hAnsi="Times New Roman" w:cs="Times New Roman"/>
          <w:sz w:val="24"/>
          <w:szCs w:val="24"/>
        </w:rPr>
        <w:t>cultural</w:t>
      </w:r>
      <w:r w:rsidRPr="00C32C45">
        <w:rPr>
          <w:rFonts w:ascii="Times New Roman" w:eastAsia="Calibri" w:hAnsi="Times New Roman" w:cs="Times New Roman"/>
          <w:sz w:val="24"/>
        </w:rPr>
        <w:t xml:space="preserve"> heritage" above, as they are</w:t>
      </w:r>
      <w:r w:rsidRPr="00871CDA">
        <w:rPr>
          <w:rFonts w:ascii="Times New Roman" w:eastAsia="Calibri" w:hAnsi="Times New Roman" w:cs="Times New Roman"/>
          <w:sz w:val="24"/>
          <w:szCs w:val="24"/>
        </w:rPr>
        <w:t xml:space="preserve"> dependent on the will of the </w:t>
      </w:r>
      <w:r>
        <w:rPr>
          <w:rFonts w:ascii="Times New Roman" w:eastAsia="Calibri" w:hAnsi="Times New Roman" w:cs="Times New Roman"/>
          <w:sz w:val="24"/>
          <w:szCs w:val="24"/>
        </w:rPr>
        <w:t>MS</w:t>
      </w:r>
      <w:r w:rsidRPr="00871CDA">
        <w:rPr>
          <w:rFonts w:ascii="Times New Roman" w:eastAsia="Calibri" w:hAnsi="Times New Roman" w:cs="Times New Roman"/>
          <w:sz w:val="24"/>
          <w:szCs w:val="24"/>
        </w:rPr>
        <w:t xml:space="preserve"> to expand the scope of their relevant exceptions.</w:t>
      </w:r>
    </w:p>
    <w:p w:rsidR="009D59CB" w:rsidRDefault="009D59CB">
      <w:pPr>
        <w:rPr>
          <w:rFonts w:ascii="Times New Roman Bold" w:eastAsia="Calibri" w:hAnsi="Times New Roman Bold" w:cs="Times New Roman"/>
          <w:b/>
          <w:smallCaps/>
          <w:sz w:val="24"/>
          <w:szCs w:val="24"/>
          <w:lang w:eastAsia="en-GB"/>
        </w:rPr>
      </w:pPr>
      <w:r>
        <w:rPr>
          <w:rFonts w:ascii="Times New Roman Bold" w:hAnsi="Times New Roman Bold"/>
          <w:b/>
          <w:smallCaps/>
          <w:szCs w:val="24"/>
        </w:rPr>
        <w:br w:type="page"/>
      </w:r>
    </w:p>
    <w:p w:rsidR="00041DC6" w:rsidRPr="00C32C45" w:rsidRDefault="00041DC6" w:rsidP="0081231B">
      <w:pPr>
        <w:pStyle w:val="Text1"/>
        <w:ind w:left="0"/>
        <w:rPr>
          <w:rFonts w:ascii="Times New Roman Bold" w:hAnsi="Times New Roman Bold"/>
          <w:b/>
          <w:smallCaps/>
          <w:szCs w:val="24"/>
        </w:rPr>
      </w:pPr>
      <w:r>
        <w:rPr>
          <w:rFonts w:ascii="Times New Roman Bold" w:hAnsi="Times New Roman Bold"/>
          <w:b/>
          <w:smallCaps/>
          <w:szCs w:val="24"/>
        </w:rPr>
        <w:t>Impacts on f</w:t>
      </w:r>
      <w:r w:rsidRPr="00C32C45">
        <w:rPr>
          <w:rFonts w:ascii="Times New Roman Bold" w:hAnsi="Times New Roman Bold"/>
          <w:b/>
          <w:smallCaps/>
          <w:szCs w:val="24"/>
        </w:rPr>
        <w:t xml:space="preserve">undamental rights </w:t>
      </w:r>
    </w:p>
    <w:p w:rsidR="00041DC6" w:rsidRPr="00871CDA" w:rsidRDefault="00041DC6" w:rsidP="00041DC6">
      <w:pPr>
        <w:spacing w:after="120" w:line="240" w:lineRule="auto"/>
        <w:jc w:val="both"/>
        <w:rPr>
          <w:rFonts w:ascii="Times New Roman" w:eastAsia="Calibri" w:hAnsi="Times New Roman" w:cs="Times New Roman"/>
          <w:sz w:val="24"/>
          <w:szCs w:val="24"/>
        </w:rPr>
      </w:pPr>
      <w:r w:rsidRPr="00871CDA">
        <w:rPr>
          <w:rFonts w:ascii="Times New Roman" w:eastAsia="Calibri" w:hAnsi="Times New Roman" w:cs="Times New Roman"/>
          <w:sz w:val="24"/>
          <w:szCs w:val="24"/>
        </w:rPr>
        <w:t>See baseline scenario.</w:t>
      </w:r>
    </w:p>
    <w:p w:rsidR="00041DC6" w:rsidRPr="0081231B" w:rsidRDefault="00041DC6" w:rsidP="0081231B">
      <w:pPr>
        <w:spacing w:before="120" w:after="120" w:line="240" w:lineRule="auto"/>
        <w:jc w:val="both"/>
        <w:rPr>
          <w:rFonts w:ascii="Times New Roman" w:eastAsia="Calibri" w:hAnsi="Times New Roman" w:cs="Times New Roman"/>
          <w:b/>
          <w:sz w:val="24"/>
          <w:u w:val="single"/>
        </w:rPr>
      </w:pPr>
      <w:r w:rsidRPr="0081231B">
        <w:rPr>
          <w:rFonts w:ascii="Times New Roman" w:eastAsia="Calibri" w:hAnsi="Times New Roman" w:cs="Times New Roman"/>
          <w:b/>
          <w:sz w:val="24"/>
          <w:u w:val="single"/>
        </w:rPr>
        <w:t xml:space="preserve">Option 2 </w:t>
      </w:r>
      <w:r w:rsidR="0081231B">
        <w:rPr>
          <w:rFonts w:ascii="Times New Roman" w:eastAsia="Calibri" w:hAnsi="Times New Roman" w:cs="Times New Roman"/>
          <w:b/>
          <w:sz w:val="24"/>
          <w:u w:val="single"/>
        </w:rPr>
        <w:t xml:space="preserve">– Mandatory </w:t>
      </w:r>
      <w:r w:rsidRPr="00871CDA">
        <w:rPr>
          <w:rFonts w:ascii="Times New Roman" w:eastAsia="Calibri" w:hAnsi="Times New Roman" w:cs="Times New Roman"/>
          <w:b/>
          <w:sz w:val="24"/>
          <w:u w:val="single"/>
        </w:rPr>
        <w:t>harmonised exception for preservation purposes by cultural heritage institutions</w:t>
      </w:r>
    </w:p>
    <w:p w:rsidR="00041DC6" w:rsidRDefault="00041DC6" w:rsidP="00DE20FF">
      <w:pPr>
        <w:pStyle w:val="Text1"/>
        <w:ind w:left="0"/>
        <w:rPr>
          <w:rFonts w:ascii="Times New Roman Bold" w:eastAsia="Arial Unicode MS" w:hAnsi="Times New Roman Bold" w:hint="eastAsia"/>
          <w:b/>
          <w:smallCaps/>
          <w:szCs w:val="24"/>
          <w:bdr w:val="nil"/>
        </w:rPr>
      </w:pPr>
      <w:r w:rsidRPr="00686C23">
        <w:rPr>
          <w:rFonts w:ascii="Times New Roman Bold" w:eastAsia="Arial Unicode MS" w:hAnsi="Times New Roman Bold"/>
          <w:b/>
          <w:smallCaps/>
          <w:szCs w:val="24"/>
          <w:bdr w:val="nil"/>
        </w:rPr>
        <w:t xml:space="preserve">Impacts on </w:t>
      </w:r>
      <w:r w:rsidRPr="00DE20FF">
        <w:rPr>
          <w:rFonts w:ascii="Times New Roman Bold" w:hAnsi="Times New Roman Bold"/>
          <w:b/>
          <w:smallCaps/>
          <w:szCs w:val="24"/>
        </w:rPr>
        <w:t>stakeholders</w:t>
      </w:r>
    </w:p>
    <w:p w:rsidR="00041DC6" w:rsidRPr="00871CDA" w:rsidRDefault="00041DC6" w:rsidP="00DE20FF">
      <w:pPr>
        <w:pStyle w:val="Text1"/>
        <w:spacing w:before="0"/>
        <w:ind w:left="0"/>
        <w:rPr>
          <w:b/>
        </w:rPr>
      </w:pPr>
      <w:r w:rsidRPr="00871CDA">
        <w:rPr>
          <w:b/>
        </w:rPr>
        <w:t>CHIs</w:t>
      </w:r>
    </w:p>
    <w:p w:rsidR="00041DC6" w:rsidRPr="00871CDA" w:rsidRDefault="00041DC6" w:rsidP="00041DC6">
      <w:pPr>
        <w:spacing w:after="120" w:line="240" w:lineRule="auto"/>
        <w:jc w:val="both"/>
        <w:rPr>
          <w:rFonts w:ascii="Times New Roman" w:eastAsia="Calibri" w:hAnsi="Times New Roman" w:cs="Times New Roman"/>
          <w:sz w:val="24"/>
          <w:szCs w:val="20"/>
          <w:lang w:eastAsia="en-GB"/>
        </w:rPr>
      </w:pPr>
      <w:r w:rsidRPr="00871CDA">
        <w:rPr>
          <w:rFonts w:ascii="Times New Roman" w:eastAsia="Calibri" w:hAnsi="Times New Roman" w:cs="Times New Roman"/>
          <w:sz w:val="24"/>
          <w:u w:val="single"/>
        </w:rPr>
        <w:t xml:space="preserve">Impacts on </w:t>
      </w:r>
      <w:r>
        <w:rPr>
          <w:rFonts w:ascii="Times New Roman" w:eastAsia="Calibri" w:hAnsi="Times New Roman" w:cs="Times New Roman"/>
          <w:sz w:val="24"/>
          <w:u w:val="single"/>
        </w:rPr>
        <w:t xml:space="preserve">legal certainty for </w:t>
      </w:r>
      <w:r w:rsidRPr="00871CDA">
        <w:rPr>
          <w:rFonts w:ascii="Times New Roman" w:eastAsia="Calibri" w:hAnsi="Times New Roman" w:cs="Times New Roman"/>
          <w:sz w:val="24"/>
          <w:u w:val="single"/>
        </w:rPr>
        <w:t>preservation of cultural heritage:</w:t>
      </w:r>
      <w:r w:rsidRPr="00871CDA">
        <w:rPr>
          <w:rFonts w:ascii="Times New Roman" w:eastAsia="Calibri" w:hAnsi="Times New Roman" w:cs="Times New Roman"/>
          <w:sz w:val="24"/>
        </w:rPr>
        <w:t xml:space="preserve"> </w:t>
      </w:r>
      <w:r w:rsidRPr="00871CDA">
        <w:rPr>
          <w:rFonts w:ascii="Times New Roman" w:eastAsia="Calibri" w:hAnsi="Times New Roman" w:cs="Times New Roman"/>
          <w:sz w:val="24"/>
          <w:szCs w:val="20"/>
          <w:lang w:eastAsia="en-GB"/>
        </w:rPr>
        <w:t xml:space="preserve">This option would be effective for CHIs as all of them (including for example museums and film heritage institutions in all EU MS) would be in the position to carry out preservation reproductions of works in their permanent collections with legal certainty and </w:t>
      </w:r>
      <w:r>
        <w:rPr>
          <w:rFonts w:ascii="Times New Roman" w:eastAsia="Calibri" w:hAnsi="Times New Roman" w:cs="Times New Roman"/>
          <w:sz w:val="24"/>
          <w:szCs w:val="20"/>
          <w:lang w:eastAsia="en-GB"/>
        </w:rPr>
        <w:t>with digital technologies</w:t>
      </w:r>
      <w:r w:rsidRPr="00871CDA">
        <w:rPr>
          <w:rFonts w:ascii="Times New Roman" w:eastAsia="Calibri" w:hAnsi="Times New Roman" w:cs="Times New Roman"/>
          <w:sz w:val="24"/>
          <w:szCs w:val="20"/>
          <w:lang w:eastAsia="en-GB"/>
        </w:rPr>
        <w:t xml:space="preserve">. </w:t>
      </w:r>
      <w:r w:rsidRPr="00871CDA">
        <w:rPr>
          <w:rFonts w:ascii="Times New Roman" w:eastAsia="Calibri" w:hAnsi="Times New Roman" w:cs="Times New Roman"/>
          <w:sz w:val="24"/>
          <w:szCs w:val="24"/>
        </w:rPr>
        <w:t xml:space="preserve">This option would in practice cover preservation in digital environments, extend the range of beneficiaries in those MS where the current national exception excludes certain types of </w:t>
      </w:r>
      <w:r>
        <w:rPr>
          <w:rFonts w:ascii="Times New Roman" w:eastAsia="Calibri" w:hAnsi="Times New Roman" w:cs="Times New Roman"/>
          <w:sz w:val="24"/>
          <w:szCs w:val="24"/>
        </w:rPr>
        <w:t>CHIs</w:t>
      </w:r>
      <w:r w:rsidRPr="00871CDA">
        <w:rPr>
          <w:rFonts w:ascii="Times New Roman" w:eastAsia="Calibri" w:hAnsi="Times New Roman" w:cs="Times New Roman"/>
          <w:sz w:val="24"/>
          <w:szCs w:val="24"/>
        </w:rPr>
        <w:t xml:space="preserve">, and the range of works in those national cases where some categories are not currently contemplated. </w:t>
      </w:r>
      <w:r w:rsidRPr="00871CDA">
        <w:rPr>
          <w:rFonts w:ascii="Times New Roman" w:eastAsia="Calibri" w:hAnsi="Times New Roman" w:cs="Times New Roman"/>
          <w:sz w:val="24"/>
          <w:szCs w:val="24"/>
          <w:lang w:eastAsia="en-GB"/>
        </w:rPr>
        <w:t xml:space="preserve">This would reflect the current reality of a wide variety of different types of works present in the collections of most </w:t>
      </w:r>
      <w:r w:rsidRPr="00871CDA">
        <w:rPr>
          <w:rFonts w:ascii="Times New Roman" w:eastAsia="Calibri" w:hAnsi="Times New Roman" w:cs="Times New Roman"/>
          <w:sz w:val="24"/>
          <w:szCs w:val="24"/>
        </w:rPr>
        <w:t>individual</w:t>
      </w:r>
      <w:r w:rsidRPr="00871CDA">
        <w:rPr>
          <w:rFonts w:ascii="Times New Roman" w:eastAsia="Calibri" w:hAnsi="Times New Roman" w:cs="Times New Roman"/>
          <w:sz w:val="24"/>
          <w:szCs w:val="24"/>
          <w:lang w:eastAsia="en-GB"/>
        </w:rPr>
        <w:t xml:space="preserve"> institutions: for example, estimates suggest that 80</w:t>
      </w:r>
      <w:r w:rsidR="000B17FD">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of museums also have text-based materials in their collections, while 74</w:t>
      </w:r>
      <w:r w:rsidR="000B17FD">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and 54</w:t>
      </w:r>
      <w:r w:rsidR="000B17FD">
        <w:rPr>
          <w:rFonts w:ascii="Times New Roman" w:eastAsia="Calibri" w:hAnsi="Times New Roman" w:cs="Times New Roman"/>
          <w:sz w:val="24"/>
          <w:szCs w:val="24"/>
          <w:lang w:eastAsia="en-GB"/>
        </w:rPr>
        <w:t xml:space="preserve"> </w:t>
      </w:r>
      <w:r w:rsidRPr="00871CDA">
        <w:rPr>
          <w:rFonts w:ascii="Times New Roman" w:eastAsia="Calibri" w:hAnsi="Times New Roman" w:cs="Times New Roman"/>
          <w:sz w:val="24"/>
          <w:szCs w:val="24"/>
          <w:lang w:eastAsia="en-GB"/>
        </w:rPr>
        <w:t>% of libraries also hold visual and audio/video materials respectively.</w:t>
      </w:r>
      <w:r w:rsidRPr="00871CDA">
        <w:rPr>
          <w:rFonts w:ascii="Times New Roman" w:eastAsia="Calibri" w:hAnsi="Times New Roman" w:cs="Times New Roman"/>
          <w:sz w:val="24"/>
          <w:szCs w:val="24"/>
          <w:vertAlign w:val="superscript"/>
          <w:lang w:eastAsia="en-GB"/>
        </w:rPr>
        <w:footnoteReference w:id="399"/>
      </w:r>
      <w:r w:rsidRPr="00871CDA">
        <w:rPr>
          <w:rFonts w:ascii="Times New Roman" w:eastAsia="Calibri" w:hAnsi="Times New Roman" w:cs="Times New Roman"/>
          <w:sz w:val="24"/>
          <w:szCs w:val="20"/>
          <w:lang w:eastAsia="en-GB"/>
        </w:rPr>
        <w:t xml:space="preserve"> The same scope of the national exception across the EU would also lift uncertainty regarding preservation reproductions done in MS other than the one where CHIs are established. This would benefit economies of scale and collaboration. </w:t>
      </w:r>
    </w:p>
    <w:p w:rsidR="00041DC6" w:rsidRPr="00871CDA" w:rsidRDefault="00041DC6" w:rsidP="00041DC6">
      <w:pPr>
        <w:spacing w:after="120" w:line="240" w:lineRule="auto"/>
        <w:jc w:val="both"/>
        <w:rPr>
          <w:rFonts w:ascii="Times New Roman" w:eastAsia="Calibri" w:hAnsi="Times New Roman" w:cs="Times New Roman"/>
          <w:sz w:val="24"/>
          <w:szCs w:val="24"/>
        </w:rPr>
      </w:pPr>
      <w:r w:rsidRPr="00871CDA">
        <w:rPr>
          <w:rFonts w:ascii="Times New Roman" w:eastAsia="Calibri" w:hAnsi="Times New Roman" w:cs="Times New Roman"/>
          <w:sz w:val="24"/>
          <w:szCs w:val="20"/>
          <w:lang w:eastAsia="en-GB"/>
        </w:rPr>
        <w:t>The option would</w:t>
      </w:r>
      <w:r w:rsidRPr="00871CDA">
        <w:rPr>
          <w:rFonts w:ascii="Times New Roman" w:eastAsia="Calibri" w:hAnsi="Times New Roman" w:cs="Times New Roman"/>
          <w:sz w:val="24"/>
          <w:szCs w:val="24"/>
        </w:rPr>
        <w:t xml:space="preserve"> also eliminate the potential transaction costs related to clearing rights for preservation copies</w:t>
      </w:r>
      <w:r>
        <w:rPr>
          <w:rFonts w:ascii="Times New Roman" w:eastAsia="Calibri" w:hAnsi="Times New Roman" w:cs="Times New Roman"/>
          <w:sz w:val="24"/>
          <w:szCs w:val="24"/>
        </w:rPr>
        <w:t xml:space="preserve">, as clearly illustrated by an estimation by </w:t>
      </w:r>
      <w:r w:rsidRPr="00871CDA">
        <w:rPr>
          <w:rFonts w:ascii="Times New Roman" w:eastAsia="Calibri" w:hAnsi="Times New Roman" w:cs="Times New Roman"/>
          <w:sz w:val="24"/>
          <w:szCs w:val="24"/>
        </w:rPr>
        <w:t xml:space="preserve">the </w:t>
      </w:r>
      <w:r w:rsidRPr="00871CDA">
        <w:rPr>
          <w:rFonts w:ascii="Times New Roman" w:eastAsia="Calibri" w:hAnsi="Times New Roman" w:cs="Times New Roman"/>
          <w:sz w:val="24"/>
          <w:szCs w:val="20"/>
          <w:lang w:eastAsia="en-GB"/>
        </w:rPr>
        <w:t xml:space="preserve">UK government </w:t>
      </w:r>
      <w:r>
        <w:rPr>
          <w:rFonts w:ascii="Times New Roman" w:eastAsia="Calibri" w:hAnsi="Times New Roman" w:cs="Times New Roman"/>
          <w:sz w:val="24"/>
          <w:szCs w:val="20"/>
          <w:lang w:eastAsia="en-GB"/>
        </w:rPr>
        <w:t>that put at</w:t>
      </w:r>
      <w:r w:rsidRPr="00871CDA">
        <w:rPr>
          <w:rFonts w:ascii="Times New Roman" w:eastAsia="Calibri" w:hAnsi="Times New Roman" w:cs="Times New Roman"/>
          <w:sz w:val="24"/>
          <w:szCs w:val="20"/>
          <w:lang w:eastAsia="en-GB"/>
        </w:rPr>
        <w:t xml:space="preserve"> GBP 25.9 million per year (of which 15.5 for institutional users and </w:t>
      </w:r>
      <w:r>
        <w:rPr>
          <w:rFonts w:ascii="Times New Roman" w:eastAsia="Calibri" w:hAnsi="Times New Roman" w:cs="Times New Roman"/>
          <w:sz w:val="24"/>
          <w:szCs w:val="20"/>
          <w:lang w:eastAsia="en-GB"/>
        </w:rPr>
        <w:t>10.4</w:t>
      </w:r>
      <w:r w:rsidRPr="00871CDA">
        <w:rPr>
          <w:rFonts w:ascii="Times New Roman" w:eastAsia="Calibri" w:hAnsi="Times New Roman" w:cs="Times New Roman"/>
          <w:sz w:val="24"/>
          <w:szCs w:val="20"/>
          <w:lang w:eastAsia="en-GB"/>
        </w:rPr>
        <w:t xml:space="preserve"> million for </w:t>
      </w:r>
      <w:r w:rsidR="002432E8">
        <w:rPr>
          <w:rFonts w:ascii="Times New Roman" w:eastAsia="Calibri" w:hAnsi="Times New Roman" w:cs="Times New Roman"/>
          <w:sz w:val="24"/>
          <w:szCs w:val="20"/>
          <w:lang w:eastAsia="en-GB"/>
        </w:rPr>
        <w:t>r</w:t>
      </w:r>
      <w:r w:rsidR="00007677">
        <w:rPr>
          <w:rFonts w:ascii="Times New Roman" w:eastAsia="Calibri" w:hAnsi="Times New Roman" w:cs="Times New Roman"/>
          <w:sz w:val="24"/>
          <w:szCs w:val="20"/>
          <w:lang w:eastAsia="en-GB"/>
        </w:rPr>
        <w:t>ightholders</w:t>
      </w:r>
      <w:r w:rsidRPr="00871CDA">
        <w:rPr>
          <w:rFonts w:ascii="Times New Roman" w:eastAsia="Calibri" w:hAnsi="Times New Roman" w:cs="Times New Roman"/>
          <w:sz w:val="24"/>
          <w:szCs w:val="20"/>
          <w:lang w:eastAsia="en-GB"/>
        </w:rPr>
        <w:t xml:space="preserve">) the savings in reduced administrative costs at national level deriving from extending the national preservation exception to extra categories of users and </w:t>
      </w:r>
      <w:r>
        <w:rPr>
          <w:rFonts w:ascii="Times New Roman" w:eastAsia="Calibri" w:hAnsi="Times New Roman" w:cs="Times New Roman"/>
          <w:sz w:val="24"/>
          <w:szCs w:val="20"/>
          <w:lang w:eastAsia="en-GB"/>
        </w:rPr>
        <w:t xml:space="preserve">to </w:t>
      </w:r>
      <w:r w:rsidRPr="00871CDA">
        <w:rPr>
          <w:rFonts w:ascii="Times New Roman" w:eastAsia="Calibri" w:hAnsi="Times New Roman" w:cs="Times New Roman"/>
          <w:sz w:val="24"/>
          <w:szCs w:val="20"/>
          <w:lang w:eastAsia="en-GB"/>
        </w:rPr>
        <w:t>all works.</w:t>
      </w:r>
      <w:r w:rsidRPr="00871CDA">
        <w:rPr>
          <w:rFonts w:ascii="Times New Roman" w:eastAsia="Calibri" w:hAnsi="Times New Roman" w:cs="Times New Roman"/>
          <w:sz w:val="24"/>
          <w:szCs w:val="20"/>
          <w:vertAlign w:val="superscript"/>
          <w:lang w:eastAsia="en-GB"/>
        </w:rPr>
        <w:footnoteReference w:id="400"/>
      </w:r>
      <w:r w:rsidRPr="00871CDA">
        <w:rPr>
          <w:rFonts w:ascii="Times New Roman" w:eastAsia="Calibri" w:hAnsi="Times New Roman" w:cs="Times New Roman"/>
          <w:sz w:val="24"/>
          <w:szCs w:val="20"/>
          <w:lang w:eastAsia="en-GB"/>
        </w:rPr>
        <w:t xml:space="preserve"> </w:t>
      </w:r>
    </w:p>
    <w:p w:rsidR="00041DC6" w:rsidRPr="00871CDA" w:rsidRDefault="00041DC6" w:rsidP="00041DC6">
      <w:pPr>
        <w:spacing w:after="120" w:line="240" w:lineRule="auto"/>
        <w:jc w:val="both"/>
        <w:rPr>
          <w:rFonts w:ascii="Times New Roman" w:eastAsia="Calibri" w:hAnsi="Times New Roman" w:cs="Times New Roman"/>
          <w:sz w:val="24"/>
          <w:szCs w:val="24"/>
        </w:rPr>
      </w:pPr>
      <w:r w:rsidRPr="00871CDA">
        <w:rPr>
          <w:rFonts w:ascii="Times New Roman" w:eastAsia="Calibri" w:hAnsi="Times New Roman" w:cs="Times New Roman"/>
          <w:sz w:val="24"/>
          <w:szCs w:val="20"/>
          <w:lang w:eastAsia="en-GB"/>
        </w:rPr>
        <w:t xml:space="preserve">Whereas a solid estimation of the increase of the preservation rates of works held by CHIs is not possible, the effect of this option can be expected to be substantial as it removes the key copyright obstacle to preservation activities. </w:t>
      </w:r>
      <w:r w:rsidRPr="00871CDA">
        <w:rPr>
          <w:rFonts w:ascii="Times New Roman" w:eastAsia="Calibri" w:hAnsi="Times New Roman" w:cs="Times New Roman"/>
          <w:sz w:val="24"/>
          <w:szCs w:val="24"/>
        </w:rPr>
        <w:t xml:space="preserve">   </w:t>
      </w:r>
    </w:p>
    <w:p w:rsidR="00041DC6" w:rsidRPr="00871CDA" w:rsidRDefault="00041DC6" w:rsidP="00041DC6">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As in the previous </w:t>
      </w:r>
      <w:r w:rsidR="00C05A74">
        <w:rPr>
          <w:rFonts w:ascii="Times New Roman" w:eastAsia="Calibri" w:hAnsi="Times New Roman" w:cs="Times New Roman"/>
          <w:sz w:val="24"/>
        </w:rPr>
        <w:t>o</w:t>
      </w:r>
      <w:r>
        <w:rPr>
          <w:rFonts w:ascii="Times New Roman" w:eastAsia="Calibri" w:hAnsi="Times New Roman" w:cs="Times New Roman"/>
          <w:sz w:val="24"/>
        </w:rPr>
        <w:t xml:space="preserve">ptions, preservation copying of </w:t>
      </w:r>
      <w:r w:rsidRPr="00871CDA">
        <w:rPr>
          <w:rFonts w:ascii="Times New Roman" w:eastAsia="Calibri" w:hAnsi="Times New Roman" w:cs="Times New Roman"/>
          <w:sz w:val="24"/>
        </w:rPr>
        <w:t>certain works</w:t>
      </w:r>
      <w:r>
        <w:rPr>
          <w:rFonts w:ascii="Times New Roman" w:eastAsia="Calibri" w:hAnsi="Times New Roman" w:cs="Times New Roman"/>
          <w:sz w:val="24"/>
        </w:rPr>
        <w:t xml:space="preserve"> (part of scientific publishing, works covered by voluntary deposit arrangements)</w:t>
      </w:r>
      <w:r w:rsidRPr="00871CDA">
        <w:rPr>
          <w:rFonts w:ascii="Times New Roman" w:eastAsia="Calibri" w:hAnsi="Times New Roman" w:cs="Times New Roman"/>
          <w:sz w:val="24"/>
        </w:rPr>
        <w:t xml:space="preserve"> could </w:t>
      </w:r>
      <w:r>
        <w:rPr>
          <w:rFonts w:ascii="Times New Roman" w:eastAsia="Calibri" w:hAnsi="Times New Roman" w:cs="Times New Roman"/>
          <w:sz w:val="24"/>
        </w:rPr>
        <w:t>still be contemplated as part of agreements</w:t>
      </w:r>
      <w:r w:rsidRPr="00871CDA">
        <w:rPr>
          <w:rFonts w:ascii="Times New Roman" w:eastAsia="Calibri" w:hAnsi="Times New Roman" w:cs="Times New Roman"/>
          <w:sz w:val="24"/>
        </w:rPr>
        <w:t xml:space="preserve"> </w:t>
      </w:r>
      <w:r>
        <w:rPr>
          <w:rFonts w:ascii="Times New Roman" w:eastAsia="Calibri" w:hAnsi="Times New Roman" w:cs="Times New Roman"/>
          <w:sz w:val="24"/>
        </w:rPr>
        <w:t xml:space="preserve">with </w:t>
      </w:r>
      <w:r w:rsidR="002432E8">
        <w:rPr>
          <w:rFonts w:ascii="Times New Roman" w:eastAsia="Calibri" w:hAnsi="Times New Roman" w:cs="Times New Roman"/>
          <w:sz w:val="24"/>
        </w:rPr>
        <w:t>r</w:t>
      </w:r>
      <w:r w:rsidR="00007677">
        <w:rPr>
          <w:rFonts w:ascii="Times New Roman" w:eastAsia="Calibri" w:hAnsi="Times New Roman" w:cs="Times New Roman"/>
          <w:sz w:val="24"/>
        </w:rPr>
        <w:t>ightholders</w:t>
      </w:r>
      <w:r w:rsidRPr="00871CDA">
        <w:rPr>
          <w:rFonts w:ascii="Times New Roman" w:eastAsia="Calibri" w:hAnsi="Times New Roman" w:cs="Times New Roman"/>
          <w:sz w:val="24"/>
        </w:rPr>
        <w:t xml:space="preserve">. </w:t>
      </w:r>
      <w:r>
        <w:rPr>
          <w:rFonts w:ascii="Times New Roman" w:eastAsia="Calibri" w:hAnsi="Times New Roman" w:cs="Times New Roman"/>
          <w:sz w:val="24"/>
        </w:rPr>
        <w:t>The same exception across the EU is not likely to affect these practices for the same reasons explained under Option 1.</w:t>
      </w:r>
      <w:r w:rsidRPr="00871CDA">
        <w:rPr>
          <w:rFonts w:ascii="Times New Roman" w:eastAsia="Calibri" w:hAnsi="Times New Roman" w:cs="Times New Roman"/>
          <w:sz w:val="24"/>
        </w:rPr>
        <w:t xml:space="preserve"> </w:t>
      </w:r>
    </w:p>
    <w:p w:rsidR="00041DC6" w:rsidRDefault="00007677" w:rsidP="00DE20FF">
      <w:pPr>
        <w:pStyle w:val="Text1"/>
        <w:spacing w:before="0"/>
        <w:ind w:left="0"/>
        <w:rPr>
          <w:b/>
        </w:rPr>
      </w:pPr>
      <w:r>
        <w:rPr>
          <w:b/>
        </w:rPr>
        <w:t>Rightholders</w:t>
      </w:r>
      <w:r w:rsidR="00041DC6">
        <w:rPr>
          <w:b/>
        </w:rPr>
        <w:t xml:space="preserve"> </w:t>
      </w:r>
    </w:p>
    <w:p w:rsidR="00041DC6" w:rsidRDefault="00041DC6" w:rsidP="00DE20F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Impacts on</w:t>
      </w:r>
      <w:r w:rsidRPr="00871CDA">
        <w:rPr>
          <w:rFonts w:ascii="Times New Roman" w:eastAsia="Calibri" w:hAnsi="Times New Roman" w:cs="Times New Roman"/>
          <w:sz w:val="24"/>
          <w:szCs w:val="24"/>
          <w:u w:val="single"/>
        </w:rPr>
        <w:t xml:space="preserve"> revenues:</w:t>
      </w:r>
      <w:r w:rsidRPr="00871C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While this </w:t>
      </w:r>
      <w:r w:rsidR="00C05A74">
        <w:rPr>
          <w:rFonts w:ascii="Times New Roman" w:eastAsia="Calibri" w:hAnsi="Times New Roman" w:cs="Times New Roman"/>
          <w:sz w:val="24"/>
          <w:szCs w:val="24"/>
        </w:rPr>
        <w:t>o</w:t>
      </w:r>
      <w:r>
        <w:rPr>
          <w:rFonts w:ascii="Times New Roman" w:eastAsia="Calibri" w:hAnsi="Times New Roman" w:cs="Times New Roman"/>
          <w:sz w:val="24"/>
          <w:szCs w:val="24"/>
        </w:rPr>
        <w:t>ption implies the introduction of a new harmonised exception, t</w:t>
      </w:r>
      <w:r w:rsidRPr="00871CDA">
        <w:rPr>
          <w:rFonts w:ascii="Times New Roman" w:eastAsia="Calibri" w:hAnsi="Times New Roman" w:cs="Times New Roman"/>
          <w:sz w:val="24"/>
          <w:szCs w:val="24"/>
        </w:rPr>
        <w:t xml:space="preserve">he impact in terms of missed revenue is likely to be minimal for the same reasons as per </w:t>
      </w:r>
      <w:r>
        <w:rPr>
          <w:rFonts w:ascii="Times New Roman" w:eastAsia="Calibri" w:hAnsi="Times New Roman" w:cs="Times New Roman"/>
          <w:sz w:val="24"/>
          <w:szCs w:val="24"/>
        </w:rPr>
        <w:t>O</w:t>
      </w:r>
      <w:r w:rsidRPr="00871CDA">
        <w:rPr>
          <w:rFonts w:ascii="Times New Roman" w:eastAsia="Calibri" w:hAnsi="Times New Roman" w:cs="Times New Roman"/>
          <w:sz w:val="24"/>
          <w:szCs w:val="24"/>
        </w:rPr>
        <w:t>ption 1</w:t>
      </w:r>
      <w:r>
        <w:rPr>
          <w:rFonts w:ascii="Times New Roman" w:eastAsia="Calibri" w:hAnsi="Times New Roman" w:cs="Times New Roman"/>
          <w:sz w:val="24"/>
          <w:szCs w:val="24"/>
        </w:rPr>
        <w:t xml:space="preserve">, as this exception would only apply to works that CHIs already have in their permanent collections and have no bearing on the acquisition of permanent copies into a collection. </w:t>
      </w:r>
      <w:r w:rsidR="00007677">
        <w:rPr>
          <w:rFonts w:ascii="Times New Roman" w:eastAsia="Calibri" w:hAnsi="Times New Roman" w:cs="Times New Roman"/>
          <w:sz w:val="24"/>
          <w:szCs w:val="24"/>
        </w:rPr>
        <w:t>Rightholders</w:t>
      </w:r>
      <w:r>
        <w:rPr>
          <w:rFonts w:ascii="Times New Roman" w:eastAsia="Calibri" w:hAnsi="Times New Roman" w:cs="Times New Roman"/>
          <w:sz w:val="24"/>
          <w:szCs w:val="24"/>
        </w:rPr>
        <w:t xml:space="preserve"> could lose some revenue from </w:t>
      </w:r>
      <w:r w:rsidRPr="00871CDA">
        <w:rPr>
          <w:rFonts w:ascii="Times New Roman" w:eastAsia="Calibri" w:hAnsi="Times New Roman" w:cs="Times New Roman"/>
          <w:sz w:val="24"/>
          <w:szCs w:val="24"/>
        </w:rPr>
        <w:t xml:space="preserve">replacement copies </w:t>
      </w:r>
      <w:r>
        <w:rPr>
          <w:rFonts w:ascii="Times New Roman" w:eastAsia="Calibri" w:hAnsi="Times New Roman" w:cs="Times New Roman"/>
          <w:sz w:val="24"/>
          <w:szCs w:val="24"/>
        </w:rPr>
        <w:t xml:space="preserve">that could have been </w:t>
      </w:r>
      <w:r w:rsidRPr="00871CDA">
        <w:rPr>
          <w:rFonts w:ascii="Times New Roman" w:eastAsia="Calibri" w:hAnsi="Times New Roman" w:cs="Times New Roman"/>
          <w:sz w:val="24"/>
          <w:szCs w:val="24"/>
        </w:rPr>
        <w:t xml:space="preserve">bought on the market </w:t>
      </w:r>
      <w:r>
        <w:rPr>
          <w:rFonts w:ascii="Times New Roman" w:eastAsia="Calibri" w:hAnsi="Times New Roman" w:cs="Times New Roman"/>
          <w:sz w:val="24"/>
          <w:szCs w:val="24"/>
        </w:rPr>
        <w:t>in the absence of an exception, but that effect is expected to be negligible</w:t>
      </w:r>
      <w:r w:rsidRPr="00871C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Works enjoying a longer life thanks to preservation has a potential positive effect on the revenues of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Pr>
          <w:rFonts w:ascii="Times New Roman" w:eastAsia="Calibri" w:hAnsi="Times New Roman" w:cs="Times New Roman"/>
          <w:sz w:val="24"/>
          <w:szCs w:val="24"/>
        </w:rPr>
        <w:t xml:space="preserve"> in terms of possible future uses of the works and therefore licensing revenue.</w:t>
      </w:r>
    </w:p>
    <w:p w:rsidR="00041DC6" w:rsidRPr="00871CDA" w:rsidRDefault="00041DC6" w:rsidP="005C004E">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u w:val="single"/>
        </w:rPr>
        <w:t>Impacts on l</w:t>
      </w:r>
      <w:r w:rsidRPr="00871CDA">
        <w:rPr>
          <w:rFonts w:ascii="Times New Roman" w:eastAsia="Calibri" w:hAnsi="Times New Roman" w:cs="Times New Roman"/>
          <w:sz w:val="24"/>
          <w:u w:val="single"/>
        </w:rPr>
        <w:t>icensing market for electronic resources:</w:t>
      </w:r>
      <w:r w:rsidRPr="00871CDA">
        <w:rPr>
          <w:rFonts w:ascii="Times New Roman" w:eastAsia="Calibri" w:hAnsi="Times New Roman" w:cs="Times New Roman"/>
          <w:sz w:val="24"/>
        </w:rPr>
        <w:t xml:space="preserve"> </w:t>
      </w:r>
      <w:r>
        <w:rPr>
          <w:rFonts w:ascii="Times New Roman" w:eastAsia="Calibri" w:hAnsi="Times New Roman" w:cs="Times New Roman"/>
          <w:sz w:val="24"/>
        </w:rPr>
        <w:t>A</w:t>
      </w:r>
      <w:r w:rsidRPr="00871CDA">
        <w:rPr>
          <w:rFonts w:ascii="Times New Roman" w:eastAsia="Calibri" w:hAnsi="Times New Roman" w:cs="Times New Roman"/>
          <w:sz w:val="24"/>
        </w:rPr>
        <w:t xml:space="preserve">s the exception only applies to works that are already in the permanent collection of a CHI, the option would have a similar impact as in the baseline scenario and </w:t>
      </w:r>
      <w:r>
        <w:rPr>
          <w:rFonts w:ascii="Times New Roman" w:eastAsia="Calibri" w:hAnsi="Times New Roman" w:cs="Times New Roman"/>
          <w:sz w:val="24"/>
        </w:rPr>
        <w:t>O</w:t>
      </w:r>
      <w:r w:rsidRPr="00871CDA">
        <w:rPr>
          <w:rFonts w:ascii="Times New Roman" w:eastAsia="Calibri" w:hAnsi="Times New Roman" w:cs="Times New Roman"/>
          <w:sz w:val="24"/>
        </w:rPr>
        <w:t xml:space="preserve">ption 1, including as regards the </w:t>
      </w:r>
      <w:r w:rsidRPr="00871CDA">
        <w:rPr>
          <w:rFonts w:ascii="Times New Roman" w:eastAsia="Calibri" w:hAnsi="Times New Roman" w:cs="Times New Roman"/>
          <w:sz w:val="24"/>
          <w:szCs w:val="24"/>
        </w:rPr>
        <w:t xml:space="preserve">ability of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Pr="00871CDA">
        <w:rPr>
          <w:rFonts w:ascii="Times New Roman" w:eastAsia="Calibri" w:hAnsi="Times New Roman" w:cs="Times New Roman"/>
          <w:sz w:val="24"/>
          <w:szCs w:val="24"/>
        </w:rPr>
        <w:t xml:space="preserve"> to take measures to preserve the stability and security of the systems through which they deliver electronic </w:t>
      </w:r>
      <w:r w:rsidRPr="005C004E">
        <w:rPr>
          <w:rFonts w:ascii="Times New Roman" w:eastAsia="Calibri" w:hAnsi="Times New Roman" w:cs="Times New Roman"/>
          <w:sz w:val="24"/>
        </w:rPr>
        <w:t>content</w:t>
      </w:r>
      <w:r w:rsidRPr="00871CDA">
        <w:rPr>
          <w:rFonts w:ascii="Times New Roman" w:eastAsia="Calibri" w:hAnsi="Times New Roman" w:cs="Times New Roman"/>
          <w:sz w:val="24"/>
          <w:szCs w:val="24"/>
        </w:rPr>
        <w:t>.</w:t>
      </w:r>
    </w:p>
    <w:p w:rsidR="00041DC6" w:rsidRPr="00C32C45" w:rsidRDefault="00041DC6" w:rsidP="00DE20FF">
      <w:pPr>
        <w:spacing w:after="120" w:line="240" w:lineRule="auto"/>
        <w:jc w:val="both"/>
        <w:rPr>
          <w:rFonts w:ascii="Times New Roman Bold" w:eastAsia="Calibri" w:hAnsi="Times New Roman Bold" w:cs="Times New Roman"/>
          <w:b/>
          <w:smallCaps/>
          <w:sz w:val="24"/>
          <w:szCs w:val="24"/>
        </w:rPr>
      </w:pPr>
      <w:r w:rsidRPr="00C32C45">
        <w:rPr>
          <w:rFonts w:ascii="Times New Roman Bold" w:eastAsia="Calibri" w:hAnsi="Times New Roman Bold" w:cs="Times New Roman"/>
          <w:b/>
          <w:smallCaps/>
          <w:sz w:val="24"/>
          <w:szCs w:val="24"/>
        </w:rPr>
        <w:t>Social impacts</w:t>
      </w:r>
    </w:p>
    <w:p w:rsidR="00041DC6" w:rsidRDefault="00041DC6" w:rsidP="00DE20FF">
      <w:pPr>
        <w:spacing w:after="120" w:line="240" w:lineRule="auto"/>
        <w:jc w:val="both"/>
        <w:rPr>
          <w:rFonts w:ascii="Times New Roman" w:eastAsia="Calibri" w:hAnsi="Times New Roman" w:cs="Times New Roman"/>
          <w:sz w:val="24"/>
          <w:szCs w:val="24"/>
        </w:rPr>
      </w:pPr>
      <w:bookmarkStart w:id="116" w:name="_Toc414456198"/>
      <w:bookmarkStart w:id="117" w:name="_Toc414456467"/>
      <w:bookmarkStart w:id="118" w:name="_Toc414456620"/>
      <w:bookmarkStart w:id="119" w:name="_Toc427309300"/>
      <w:r w:rsidRPr="00871CDA">
        <w:rPr>
          <w:rFonts w:ascii="Times New Roman" w:eastAsia="Calibri" w:hAnsi="Times New Roman" w:cs="Times New Roman"/>
          <w:sz w:val="24"/>
          <w:szCs w:val="24"/>
        </w:rPr>
        <w:t xml:space="preserve">Positive effect </w:t>
      </w:r>
      <w:r w:rsidRPr="00672F6D">
        <w:rPr>
          <w:rFonts w:ascii="Times New Roman" w:eastAsia="Calibri" w:hAnsi="Times New Roman" w:cs="Times New Roman"/>
          <w:sz w:val="24"/>
          <w:szCs w:val="24"/>
        </w:rPr>
        <w:t>on cultural diversity</w:t>
      </w:r>
      <w:r>
        <w:rPr>
          <w:rFonts w:ascii="Times New Roman" w:eastAsia="Calibri" w:hAnsi="Times New Roman" w:cs="Times New Roman"/>
          <w:sz w:val="24"/>
          <w:szCs w:val="24"/>
        </w:rPr>
        <w:t xml:space="preserve"> </w:t>
      </w:r>
      <w:r w:rsidRPr="00871CDA">
        <w:rPr>
          <w:rFonts w:ascii="Times New Roman" w:eastAsia="Calibri" w:hAnsi="Times New Roman" w:cs="Times New Roman"/>
          <w:sz w:val="24"/>
          <w:szCs w:val="24"/>
        </w:rPr>
        <w:t xml:space="preserve">as this option is liable to increase preservation rates to a significant extent while not substantially affecting incentives to create for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Pr="00871CDA">
        <w:rPr>
          <w:rFonts w:ascii="Times New Roman" w:eastAsia="Calibri" w:hAnsi="Times New Roman" w:cs="Times New Roman"/>
          <w:sz w:val="24"/>
          <w:szCs w:val="24"/>
        </w:rPr>
        <w:t xml:space="preserve">. </w:t>
      </w:r>
    </w:p>
    <w:p w:rsidR="00041DC6" w:rsidRDefault="00041DC6" w:rsidP="00DE20FF">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szCs w:val="24"/>
        </w:rPr>
        <w:t xml:space="preserve">This would have a positive effect on society at large in the long term, with positive spill-over effects on </w:t>
      </w:r>
      <w:r>
        <w:rPr>
          <w:rFonts w:ascii="Times New Roman" w:eastAsia="Calibri" w:hAnsi="Times New Roman" w:cs="Times New Roman"/>
          <w:sz w:val="24"/>
        </w:rPr>
        <w:t>the arts, science, education and social development.</w:t>
      </w:r>
      <w:r w:rsidRPr="003B37A1">
        <w:rPr>
          <w:rFonts w:ascii="Times New Roman" w:eastAsia="Calibri" w:hAnsi="Times New Roman" w:cs="Times New Roman"/>
          <w:sz w:val="24"/>
          <w:szCs w:val="24"/>
        </w:rPr>
        <w:t xml:space="preserve"> </w:t>
      </w:r>
      <w:r w:rsidRPr="00871CDA">
        <w:rPr>
          <w:rFonts w:ascii="Times New Roman" w:eastAsia="Calibri" w:hAnsi="Times New Roman" w:cs="Times New Roman"/>
          <w:sz w:val="24"/>
          <w:szCs w:val="24"/>
        </w:rPr>
        <w:t>This option would not only benefit citizens of MS w</w:t>
      </w:r>
      <w:r>
        <w:rPr>
          <w:rFonts w:ascii="Times New Roman" w:eastAsia="Calibri" w:hAnsi="Times New Roman" w:cs="Times New Roman"/>
          <w:sz w:val="24"/>
          <w:szCs w:val="24"/>
        </w:rPr>
        <w:t>h</w:t>
      </w:r>
      <w:r w:rsidRPr="00871CDA">
        <w:rPr>
          <w:rFonts w:ascii="Times New Roman" w:eastAsia="Calibri" w:hAnsi="Times New Roman" w:cs="Times New Roman"/>
          <w:sz w:val="24"/>
          <w:szCs w:val="24"/>
        </w:rPr>
        <w:t>ere a preservation exception is currently missing, or restricted or unclear in scope, but also those of MS where it is already present. This is because European cultural heritage is often dispersed across different MS:</w:t>
      </w:r>
      <w:r w:rsidRPr="00871CDA">
        <w:rPr>
          <w:rFonts w:ascii="Times New Roman" w:eastAsia="Calibri" w:hAnsi="Times New Roman" w:cs="Times New Roman"/>
          <w:sz w:val="24"/>
          <w:szCs w:val="24"/>
          <w:vertAlign w:val="superscript"/>
        </w:rPr>
        <w:footnoteReference w:id="401"/>
      </w:r>
      <w:r w:rsidRPr="00871CDA">
        <w:rPr>
          <w:rFonts w:ascii="Times New Roman" w:eastAsia="Calibri" w:hAnsi="Times New Roman" w:cs="Times New Roman"/>
          <w:sz w:val="24"/>
          <w:szCs w:val="24"/>
        </w:rPr>
        <w:t xml:space="preserve"> parts of the cultural heritage of a MS that currently has a broad preservation exception might be held by CHIs in </w:t>
      </w:r>
      <w:r>
        <w:rPr>
          <w:rFonts w:ascii="Times New Roman" w:eastAsia="Calibri" w:hAnsi="Times New Roman" w:cs="Times New Roman"/>
          <w:sz w:val="24"/>
          <w:szCs w:val="24"/>
        </w:rPr>
        <w:t>MS</w:t>
      </w:r>
      <w:r w:rsidRPr="00871CDA">
        <w:rPr>
          <w:rFonts w:ascii="Times New Roman" w:eastAsia="Calibri" w:hAnsi="Times New Roman" w:cs="Times New Roman"/>
          <w:sz w:val="24"/>
          <w:szCs w:val="24"/>
        </w:rPr>
        <w:t xml:space="preserve"> where </w:t>
      </w:r>
      <w:r>
        <w:rPr>
          <w:rFonts w:ascii="Times New Roman" w:eastAsia="Calibri" w:hAnsi="Times New Roman" w:cs="Times New Roman"/>
          <w:sz w:val="24"/>
          <w:szCs w:val="24"/>
        </w:rPr>
        <w:t>there is</w:t>
      </w:r>
      <w:r w:rsidRPr="00871CDA">
        <w:rPr>
          <w:rFonts w:ascii="Times New Roman" w:eastAsia="Calibri" w:hAnsi="Times New Roman" w:cs="Times New Roman"/>
          <w:sz w:val="24"/>
          <w:szCs w:val="24"/>
        </w:rPr>
        <w:t xml:space="preserve"> currently </w:t>
      </w:r>
      <w:r>
        <w:rPr>
          <w:rFonts w:ascii="Times New Roman" w:eastAsia="Calibri" w:hAnsi="Times New Roman" w:cs="Times New Roman"/>
          <w:sz w:val="24"/>
          <w:szCs w:val="24"/>
        </w:rPr>
        <w:t>a</w:t>
      </w:r>
      <w:r w:rsidRPr="00871CDA">
        <w:rPr>
          <w:rFonts w:ascii="Times New Roman" w:eastAsia="Calibri" w:hAnsi="Times New Roman" w:cs="Times New Roman"/>
          <w:sz w:val="24"/>
          <w:szCs w:val="24"/>
        </w:rPr>
        <w:t xml:space="preserve"> narrower</w:t>
      </w:r>
      <w:r>
        <w:rPr>
          <w:rFonts w:ascii="Times New Roman" w:eastAsia="Calibri" w:hAnsi="Times New Roman" w:cs="Times New Roman"/>
          <w:sz w:val="24"/>
          <w:szCs w:val="24"/>
        </w:rPr>
        <w:t xml:space="preserve"> exception</w:t>
      </w:r>
      <w:r w:rsidRPr="00871CDA">
        <w:rPr>
          <w:rFonts w:ascii="Times New Roman" w:eastAsia="Calibri" w:hAnsi="Times New Roman" w:cs="Times New Roman"/>
          <w:sz w:val="24"/>
          <w:szCs w:val="24"/>
        </w:rPr>
        <w:t>.</w:t>
      </w:r>
    </w:p>
    <w:p w:rsidR="00041DC6" w:rsidRPr="00871CDA" w:rsidRDefault="00041DC6" w:rsidP="00041DC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871CDA">
        <w:rPr>
          <w:rFonts w:ascii="Times New Roman" w:eastAsia="Calibri" w:hAnsi="Times New Roman" w:cs="Times New Roman"/>
          <w:sz w:val="24"/>
          <w:szCs w:val="24"/>
        </w:rPr>
        <w:t xml:space="preserve">he contribution of this option to the </w:t>
      </w:r>
      <w:r>
        <w:rPr>
          <w:rFonts w:ascii="Times New Roman" w:eastAsia="Calibri" w:hAnsi="Times New Roman" w:cs="Times New Roman"/>
          <w:sz w:val="24"/>
          <w:szCs w:val="24"/>
        </w:rPr>
        <w:t xml:space="preserve">objectives of the </w:t>
      </w:r>
      <w:r w:rsidRPr="00871CDA">
        <w:rPr>
          <w:rFonts w:ascii="Times New Roman" w:eastAsia="Calibri" w:hAnsi="Times New Roman" w:cs="Times New Roman"/>
          <w:sz w:val="24"/>
          <w:szCs w:val="24"/>
        </w:rPr>
        <w:t xml:space="preserve">EU's policy </w:t>
      </w:r>
      <w:r w:rsidRPr="006955B8">
        <w:rPr>
          <w:rFonts w:ascii="Times New Roman" w:eastAsia="Calibri" w:hAnsi="Times New Roman" w:cs="Times New Roman"/>
          <w:sz w:val="24"/>
        </w:rPr>
        <w:t>o</w:t>
      </w:r>
      <w:r w:rsidRPr="00C32C45">
        <w:rPr>
          <w:rFonts w:ascii="Times New Roman" w:eastAsia="Calibri" w:hAnsi="Times New Roman" w:cs="Times New Roman"/>
          <w:sz w:val="24"/>
        </w:rPr>
        <w:t>n digital cultural heritage preservation</w:t>
      </w:r>
      <w:r w:rsidR="00C82616">
        <w:rPr>
          <w:rFonts w:ascii="Times New Roman" w:eastAsia="Calibri" w:hAnsi="Times New Roman" w:cs="Times New Roman"/>
          <w:sz w:val="24"/>
          <w:szCs w:val="24"/>
          <w:vertAlign w:val="superscript"/>
        </w:rPr>
        <w:t xml:space="preserve"> </w:t>
      </w:r>
      <w:r w:rsidRPr="00871CDA">
        <w:rPr>
          <w:rFonts w:ascii="Times New Roman" w:eastAsia="Calibri" w:hAnsi="Times New Roman" w:cs="Times New Roman"/>
          <w:sz w:val="24"/>
          <w:szCs w:val="24"/>
        </w:rPr>
        <w:t>would be substantial, as it would take away key obstacles (copyright clearance and uncertainty) th</w:t>
      </w:r>
      <w:r>
        <w:rPr>
          <w:rFonts w:ascii="Times New Roman" w:eastAsia="Calibri" w:hAnsi="Times New Roman" w:cs="Times New Roman"/>
          <w:sz w:val="24"/>
          <w:szCs w:val="24"/>
        </w:rPr>
        <w:t>at</w:t>
      </w:r>
      <w:r w:rsidRPr="00871CDA">
        <w:rPr>
          <w:rFonts w:ascii="Times New Roman" w:eastAsia="Calibri" w:hAnsi="Times New Roman" w:cs="Times New Roman"/>
          <w:sz w:val="24"/>
          <w:szCs w:val="24"/>
        </w:rPr>
        <w:t xml:space="preserve"> CHIs are faced with today when they want to make preservation copies in their collections.</w:t>
      </w:r>
    </w:p>
    <w:p w:rsidR="00041DC6" w:rsidRPr="00C32C45" w:rsidRDefault="00041DC6" w:rsidP="00DE20FF">
      <w:pPr>
        <w:spacing w:after="120" w:line="240" w:lineRule="auto"/>
        <w:jc w:val="both"/>
        <w:rPr>
          <w:rFonts w:ascii="Times New Roman Bold" w:eastAsia="Calibri" w:hAnsi="Times New Roman Bold" w:cs="Times New Roman"/>
          <w:b/>
          <w:smallCaps/>
          <w:sz w:val="24"/>
          <w:szCs w:val="24"/>
        </w:rPr>
      </w:pPr>
      <w:r>
        <w:rPr>
          <w:rFonts w:ascii="Times New Roman Bold" w:eastAsia="Calibri" w:hAnsi="Times New Roman Bold" w:cs="Times New Roman"/>
          <w:b/>
          <w:smallCaps/>
          <w:sz w:val="24"/>
          <w:szCs w:val="24"/>
        </w:rPr>
        <w:t>Impacts on f</w:t>
      </w:r>
      <w:r w:rsidRPr="00C32C45">
        <w:rPr>
          <w:rFonts w:ascii="Times New Roman Bold" w:eastAsia="Calibri" w:hAnsi="Times New Roman Bold" w:cs="Times New Roman"/>
          <w:b/>
          <w:smallCaps/>
          <w:sz w:val="24"/>
          <w:szCs w:val="24"/>
        </w:rPr>
        <w:t>undamental rights</w:t>
      </w:r>
    </w:p>
    <w:p w:rsidR="00041DC6" w:rsidRPr="00871CDA" w:rsidRDefault="00041DC6" w:rsidP="00041DC6">
      <w:pPr>
        <w:spacing w:after="120" w:line="240" w:lineRule="auto"/>
        <w:jc w:val="both"/>
        <w:rPr>
          <w:rFonts w:ascii="Times New Roman" w:eastAsia="Calibri" w:hAnsi="Times New Roman" w:cs="Times New Roman"/>
          <w:sz w:val="24"/>
        </w:rPr>
      </w:pPr>
      <w:r w:rsidRPr="00871CDA">
        <w:rPr>
          <w:rFonts w:ascii="Times New Roman" w:eastAsia="Calibri" w:hAnsi="Times New Roman" w:cs="Times New Roman"/>
          <w:sz w:val="24"/>
          <w:szCs w:val="24"/>
        </w:rPr>
        <w:t xml:space="preserve">The introduction of an EU-level compulsory exception to the reproduction right for preservation purposes would have a marginal impact </w:t>
      </w:r>
      <w:r>
        <w:rPr>
          <w:rFonts w:ascii="Times New Roman" w:eastAsia="Calibri" w:hAnsi="Times New Roman" w:cs="Times New Roman"/>
          <w:sz w:val="24"/>
          <w:szCs w:val="24"/>
        </w:rPr>
        <w:t xml:space="preserve">on </w:t>
      </w:r>
      <w:r w:rsidRPr="00871CDA">
        <w:rPr>
          <w:rFonts w:ascii="Times New Roman" w:eastAsia="Calibri" w:hAnsi="Times New Roman" w:cs="Times New Roman"/>
          <w:sz w:val="24"/>
          <w:szCs w:val="24"/>
        </w:rPr>
        <w:t>copyright as property right, as recognised by Article 17(2) of the</w:t>
      </w:r>
      <w:r w:rsidR="00BE5314">
        <w:rPr>
          <w:rFonts w:ascii="Times New Roman" w:eastAsia="Calibri" w:hAnsi="Times New Roman" w:cs="Times New Roman"/>
          <w:sz w:val="24"/>
          <w:szCs w:val="24"/>
        </w:rPr>
        <w:t xml:space="preserve"> </w:t>
      </w:r>
      <w:r w:rsidRPr="00871CDA">
        <w:rPr>
          <w:rFonts w:ascii="Times New Roman" w:eastAsia="Calibri" w:hAnsi="Times New Roman" w:cs="Times New Roman"/>
          <w:sz w:val="24"/>
          <w:szCs w:val="24"/>
        </w:rPr>
        <w:t xml:space="preserve">Charter, as it would only apply to authorisations for preservation copies by CHIs. </w:t>
      </w:r>
      <w:r w:rsidRPr="00871CDA">
        <w:rPr>
          <w:rFonts w:ascii="Times New Roman" w:eastAsia="Calibri" w:hAnsi="Times New Roman" w:cs="Times New Roman"/>
          <w:sz w:val="24"/>
        </w:rPr>
        <w:t>By supporting more preservation of works and their longer term availability, it can also have a positive impact on the arts and scientific research, relevant for the freedom of the arts and sciences (Article 13), and on education, protected under Article 14.</w:t>
      </w:r>
    </w:p>
    <w:p w:rsidR="00041DC6" w:rsidRPr="00492863" w:rsidRDefault="00041DC6" w:rsidP="00CF38F1">
      <w:pPr>
        <w:pStyle w:val="Heading3"/>
      </w:pPr>
      <w:bookmarkStart w:id="120" w:name="_Toc461114739"/>
      <w:bookmarkEnd w:id="116"/>
      <w:bookmarkEnd w:id="117"/>
      <w:bookmarkEnd w:id="118"/>
      <w:bookmarkEnd w:id="119"/>
      <w:r>
        <w:t>How d</w:t>
      </w:r>
      <w:r w:rsidRPr="009041EB">
        <w:t>o the options compare?</w:t>
      </w:r>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55"/>
        <w:gridCol w:w="1831"/>
        <w:gridCol w:w="1947"/>
        <w:gridCol w:w="1772"/>
      </w:tblGrid>
      <w:tr w:rsidR="00041DC6" w:rsidRPr="00871CDA" w:rsidTr="00023ED9">
        <w:tc>
          <w:tcPr>
            <w:tcW w:w="1783"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Option</w:t>
            </w:r>
          </w:p>
        </w:tc>
        <w:tc>
          <w:tcPr>
            <w:tcW w:w="1955"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Effectiveness</w:t>
            </w:r>
          </w:p>
        </w:tc>
        <w:tc>
          <w:tcPr>
            <w:tcW w:w="1831"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Efficiency</w:t>
            </w:r>
          </w:p>
        </w:tc>
        <w:tc>
          <w:tcPr>
            <w:tcW w:w="1947"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Impact on stakeholders</w:t>
            </w:r>
          </w:p>
        </w:tc>
        <w:tc>
          <w:tcPr>
            <w:tcW w:w="1772"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Social impacts and fundamental rights</w:t>
            </w:r>
          </w:p>
        </w:tc>
      </w:tr>
      <w:tr w:rsidR="00041DC6" w:rsidRPr="00871CDA" w:rsidTr="00023ED9">
        <w:tc>
          <w:tcPr>
            <w:tcW w:w="1783"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Baseline</w:t>
            </w:r>
          </w:p>
        </w:tc>
        <w:tc>
          <w:tcPr>
            <w:tcW w:w="1955"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Legal framework and space for preservation (esp. digital) will still be unclear or restrictive, and fragmented</w:t>
            </w:r>
            <w:r>
              <w:rPr>
                <w:rFonts w:ascii="Times New Roman" w:eastAsia="Calibri" w:hAnsi="Times New Roman" w:cs="Times New Roman"/>
                <w:color w:val="000000"/>
                <w:sz w:val="20"/>
                <w:szCs w:val="20"/>
              </w:rPr>
              <w:t>.</w:t>
            </w:r>
            <w:r w:rsidRPr="00871CDA">
              <w:rPr>
                <w:rFonts w:ascii="Times New Roman" w:eastAsia="Calibri" w:hAnsi="Times New Roman" w:cs="Times New Roman"/>
                <w:color w:val="000000"/>
                <w:sz w:val="20"/>
                <w:szCs w:val="20"/>
              </w:rPr>
              <w:t xml:space="preserve"> </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831"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No costs associated to the baseline option</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947"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No impact on stakeholders</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772" w:type="dxa"/>
            <w:shd w:val="clear" w:color="auto" w:fill="auto"/>
          </w:tcPr>
          <w:p w:rsidR="00041DC6" w:rsidRPr="00871CDA" w:rsidRDefault="001F36A0" w:rsidP="00023ED9">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871CDA">
              <w:rPr>
                <w:rFonts w:ascii="Times New Roman" w:eastAsia="Calibri" w:hAnsi="Times New Roman" w:cs="Times New Roman"/>
                <w:color w:val="000000"/>
                <w:sz w:val="20"/>
                <w:szCs w:val="20"/>
              </w:rPr>
              <w:t xml:space="preserve">0) </w:t>
            </w:r>
            <w:r>
              <w:rPr>
                <w:rFonts w:ascii="Times New Roman" w:eastAsia="Calibri" w:hAnsi="Times New Roman" w:cs="Times New Roman"/>
                <w:color w:val="000000"/>
                <w:sz w:val="20"/>
                <w:szCs w:val="20"/>
              </w:rPr>
              <w:t>No positive</w:t>
            </w:r>
            <w:r w:rsidRPr="00871CDA">
              <w:rPr>
                <w:rFonts w:ascii="Times New Roman" w:eastAsia="Calibri" w:hAnsi="Times New Roman" w:cs="Times New Roman"/>
                <w:color w:val="000000"/>
                <w:sz w:val="20"/>
                <w:szCs w:val="20"/>
              </w:rPr>
              <w:t xml:space="preserve"> impact on cultural diversity </w:t>
            </w:r>
            <w:r>
              <w:rPr>
                <w:rFonts w:ascii="Times New Roman" w:eastAsia="Calibri" w:hAnsi="Times New Roman" w:cs="Times New Roman"/>
                <w:color w:val="000000"/>
                <w:sz w:val="20"/>
                <w:szCs w:val="20"/>
              </w:rPr>
              <w:t xml:space="preserve">and the preservation of cultural heritage as a public good. </w:t>
            </w:r>
            <w:r w:rsidRPr="00871CDA">
              <w:rPr>
                <w:rFonts w:ascii="Times New Roman" w:eastAsia="Calibri" w:hAnsi="Times New Roman" w:cs="Times New Roman"/>
                <w:color w:val="000000"/>
                <w:sz w:val="20"/>
                <w:szCs w:val="20"/>
              </w:rPr>
              <w:t>No contribution to EU policy objectives on</w:t>
            </w:r>
            <w:r>
              <w:rPr>
                <w:rFonts w:ascii="Times New Roman" w:eastAsia="Calibri" w:hAnsi="Times New Roman" w:cs="Times New Roman"/>
                <w:color w:val="000000"/>
                <w:sz w:val="20"/>
                <w:szCs w:val="20"/>
              </w:rPr>
              <w:t xml:space="preserve"> cultural heritage preservation. No sensible impact on</w:t>
            </w:r>
            <w:r w:rsidRPr="00871CDA">
              <w:rPr>
                <w:rFonts w:ascii="Times New Roman" w:eastAsia="Calibri" w:hAnsi="Times New Roman" w:cs="Times New Roman"/>
                <w:color w:val="000000"/>
                <w:sz w:val="20"/>
                <w:szCs w:val="20"/>
              </w:rPr>
              <w:t xml:space="preserve"> fundamental rights. </w:t>
            </w:r>
          </w:p>
        </w:tc>
      </w:tr>
      <w:tr w:rsidR="00041DC6" w:rsidRPr="00871CDA" w:rsidTr="00023ED9">
        <w:tc>
          <w:tcPr>
            <w:tcW w:w="1783"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Option 1 – Guidance and 'peer review'</w:t>
            </w:r>
          </w:p>
          <w:p w:rsidR="00041DC6" w:rsidRPr="00871CDA" w:rsidRDefault="00041DC6" w:rsidP="00023ED9">
            <w:pPr>
              <w:spacing w:after="0" w:line="240" w:lineRule="auto"/>
              <w:rPr>
                <w:rFonts w:ascii="Times New Roman" w:eastAsia="Calibri" w:hAnsi="Times New Roman" w:cs="Times New Roman"/>
                <w:b/>
                <w:sz w:val="20"/>
                <w:szCs w:val="20"/>
              </w:rPr>
            </w:pPr>
          </w:p>
        </w:tc>
        <w:tc>
          <w:tcPr>
            <w:tcW w:w="1955"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Could result in some improvements in certain MS but would not bring about legal certainty and a better space for preservation across the EU and in cross-border settings</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831"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Limited costs linked to the organisation of the 'peer review'</w:t>
            </w:r>
            <w:r>
              <w:rPr>
                <w:rFonts w:ascii="Times New Roman" w:eastAsia="Calibri" w:hAnsi="Times New Roman" w:cs="Times New Roman"/>
                <w:color w:val="000000"/>
                <w:sz w:val="20"/>
                <w:szCs w:val="20"/>
              </w:rPr>
              <w:t>.</w:t>
            </w:r>
            <w:r w:rsidRPr="00871CDA">
              <w:rPr>
                <w:rFonts w:ascii="Times New Roman" w:eastAsia="Calibri" w:hAnsi="Times New Roman" w:cs="Times New Roman"/>
                <w:color w:val="000000"/>
                <w:sz w:val="20"/>
                <w:szCs w:val="20"/>
              </w:rPr>
              <w:t xml:space="preserve"> </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 </w:t>
            </w:r>
          </w:p>
        </w:tc>
        <w:tc>
          <w:tcPr>
            <w:tcW w:w="1947"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Main impacts on stakeholders would depend on actions taken at national level</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772"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(0/+) </w:t>
            </w:r>
            <w:r>
              <w:rPr>
                <w:rFonts w:ascii="Times New Roman" w:eastAsia="Calibri" w:hAnsi="Times New Roman" w:cs="Times New Roman"/>
                <w:color w:val="000000"/>
                <w:sz w:val="20"/>
                <w:szCs w:val="20"/>
              </w:rPr>
              <w:t>Some possible positive</w:t>
            </w:r>
            <w:r w:rsidRPr="00871CDA">
              <w:rPr>
                <w:rFonts w:ascii="Times New Roman" w:eastAsia="Calibri" w:hAnsi="Times New Roman" w:cs="Times New Roman"/>
                <w:color w:val="000000"/>
                <w:sz w:val="20"/>
                <w:szCs w:val="20"/>
              </w:rPr>
              <w:t xml:space="preserve"> impact on cultural diversity </w:t>
            </w:r>
            <w:r>
              <w:rPr>
                <w:rFonts w:ascii="Times New Roman" w:eastAsia="Calibri" w:hAnsi="Times New Roman" w:cs="Times New Roman"/>
                <w:color w:val="000000"/>
                <w:sz w:val="20"/>
                <w:szCs w:val="20"/>
              </w:rPr>
              <w:t xml:space="preserve">and the preservation of cultural heritage as a public good, depending on action taken at national level. </w:t>
            </w:r>
            <w:r w:rsidRPr="00871CDA">
              <w:rPr>
                <w:rFonts w:ascii="Times New Roman" w:eastAsia="Calibri" w:hAnsi="Times New Roman" w:cs="Times New Roman"/>
                <w:color w:val="000000"/>
                <w:sz w:val="20"/>
                <w:szCs w:val="20"/>
              </w:rPr>
              <w:t>Contribution to EU policy objectives on cultural heritage preservation</w:t>
            </w:r>
            <w:r>
              <w:rPr>
                <w:rFonts w:ascii="Times New Roman" w:eastAsia="Calibri" w:hAnsi="Times New Roman" w:cs="Times New Roman"/>
                <w:color w:val="000000"/>
                <w:sz w:val="20"/>
                <w:szCs w:val="20"/>
              </w:rPr>
              <w:t xml:space="preserve"> would also </w:t>
            </w:r>
            <w:r w:rsidRPr="00871CDA">
              <w:rPr>
                <w:rFonts w:ascii="Times New Roman" w:eastAsia="Calibri" w:hAnsi="Times New Roman" w:cs="Times New Roman"/>
                <w:color w:val="000000"/>
                <w:sz w:val="20"/>
                <w:szCs w:val="20"/>
              </w:rPr>
              <w:t>depend on actions taken at national level</w:t>
            </w:r>
            <w:r>
              <w:rPr>
                <w:rFonts w:ascii="Times New Roman" w:eastAsia="Calibri" w:hAnsi="Times New Roman" w:cs="Times New Roman"/>
                <w:color w:val="000000"/>
                <w:sz w:val="20"/>
                <w:szCs w:val="20"/>
              </w:rPr>
              <w:t>. No sensible impact on</w:t>
            </w:r>
            <w:r w:rsidRPr="00871CDA">
              <w:rPr>
                <w:rFonts w:ascii="Times New Roman" w:eastAsia="Calibri" w:hAnsi="Times New Roman" w:cs="Times New Roman"/>
                <w:color w:val="000000"/>
                <w:sz w:val="20"/>
                <w:szCs w:val="20"/>
              </w:rPr>
              <w:t xml:space="preserve"> fundamental rights. </w:t>
            </w:r>
          </w:p>
        </w:tc>
      </w:tr>
      <w:tr w:rsidR="00041DC6" w:rsidRPr="00871CDA" w:rsidTr="00023ED9">
        <w:trPr>
          <w:trHeight w:val="995"/>
        </w:trPr>
        <w:tc>
          <w:tcPr>
            <w:tcW w:w="1783" w:type="dxa"/>
            <w:shd w:val="clear" w:color="auto" w:fill="auto"/>
          </w:tcPr>
          <w:p w:rsidR="00041DC6" w:rsidRPr="00871CDA" w:rsidRDefault="00041DC6" w:rsidP="00023ED9">
            <w:pPr>
              <w:spacing w:after="0" w:line="240" w:lineRule="auto"/>
              <w:rPr>
                <w:rFonts w:ascii="Times New Roman" w:eastAsia="Calibri" w:hAnsi="Times New Roman" w:cs="Times New Roman"/>
                <w:b/>
                <w:sz w:val="20"/>
                <w:szCs w:val="20"/>
              </w:rPr>
            </w:pPr>
            <w:r w:rsidRPr="00871CDA">
              <w:rPr>
                <w:rFonts w:ascii="Times New Roman" w:eastAsia="Calibri" w:hAnsi="Times New Roman" w:cs="Times New Roman"/>
                <w:b/>
                <w:sz w:val="20"/>
                <w:szCs w:val="20"/>
              </w:rPr>
              <w:t xml:space="preserve">Option 2 – </w:t>
            </w:r>
            <w:r w:rsidRPr="00E06171">
              <w:rPr>
                <w:rFonts w:ascii="Times New Roman" w:eastAsia="Calibri" w:hAnsi="Times New Roman" w:cs="Times New Roman"/>
                <w:b/>
                <w:sz w:val="20"/>
                <w:szCs w:val="20"/>
              </w:rPr>
              <w:t>Mandatory harmonised exception for preservation purposes by cultural heritage institutions</w:t>
            </w:r>
          </w:p>
        </w:tc>
        <w:tc>
          <w:tcPr>
            <w:tcW w:w="1955"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 Would provide legal certainty and a clear and updated space for preservation across the EU, including in cross-border settings. </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831"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(0) No particular compliance costs</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p>
        </w:tc>
        <w:tc>
          <w:tcPr>
            <w:tcW w:w="1947"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Legal certainty and increased space to preserve for CHIs</w:t>
            </w:r>
            <w:r>
              <w:rPr>
                <w:rFonts w:ascii="Times New Roman" w:eastAsia="Calibri" w:hAnsi="Times New Roman" w:cs="Times New Roman"/>
                <w:color w:val="000000"/>
                <w:sz w:val="20"/>
                <w:szCs w:val="20"/>
              </w:rPr>
              <w:t>.</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 possible minimal loss of revenue for </w:t>
            </w:r>
            <w:r w:rsidR="002432E8">
              <w:rPr>
                <w:rFonts w:ascii="Times New Roman" w:eastAsia="Calibri" w:hAnsi="Times New Roman" w:cs="Times New Roman"/>
                <w:color w:val="000000"/>
                <w:sz w:val="20"/>
                <w:szCs w:val="20"/>
              </w:rPr>
              <w:t>r</w:t>
            </w:r>
            <w:r w:rsidR="00007677">
              <w:rPr>
                <w:rFonts w:ascii="Times New Roman" w:eastAsia="Calibri" w:hAnsi="Times New Roman" w:cs="Times New Roman"/>
                <w:color w:val="000000"/>
                <w:sz w:val="20"/>
                <w:szCs w:val="20"/>
              </w:rPr>
              <w:t>ightholders</w:t>
            </w:r>
            <w:r w:rsidRPr="00871CDA">
              <w:rPr>
                <w:rFonts w:ascii="Times New Roman" w:eastAsia="Calibri" w:hAnsi="Times New Roman" w:cs="Times New Roman"/>
                <w:color w:val="000000"/>
                <w:sz w:val="20"/>
                <w:szCs w:val="20"/>
              </w:rPr>
              <w:t xml:space="preserve"> from replacement copies bought on the market but more works preserved. No impact on licensing of electronic resources and security and stability of systems.</w:t>
            </w:r>
          </w:p>
        </w:tc>
        <w:tc>
          <w:tcPr>
            <w:tcW w:w="1772" w:type="dxa"/>
            <w:shd w:val="clear" w:color="auto" w:fill="auto"/>
          </w:tcPr>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 Positive impact on cultural diversity </w:t>
            </w:r>
            <w:r>
              <w:rPr>
                <w:rFonts w:ascii="Times New Roman" w:eastAsia="Calibri" w:hAnsi="Times New Roman" w:cs="Times New Roman"/>
                <w:color w:val="000000"/>
                <w:sz w:val="20"/>
                <w:szCs w:val="20"/>
              </w:rPr>
              <w:t xml:space="preserve">and the preservation of cultural heritage as a public good, </w:t>
            </w:r>
            <w:r w:rsidRPr="00871CDA">
              <w:rPr>
                <w:rFonts w:ascii="Times New Roman" w:eastAsia="Calibri" w:hAnsi="Times New Roman" w:cs="Times New Roman"/>
                <w:color w:val="000000"/>
                <w:sz w:val="20"/>
                <w:szCs w:val="20"/>
              </w:rPr>
              <w:t>as more works are likely to be preserved</w:t>
            </w:r>
            <w:r>
              <w:rPr>
                <w:rFonts w:ascii="Times New Roman" w:eastAsia="Calibri" w:hAnsi="Times New Roman" w:cs="Times New Roman"/>
                <w:color w:val="000000"/>
                <w:sz w:val="20"/>
                <w:szCs w:val="20"/>
              </w:rPr>
              <w:t>.</w:t>
            </w:r>
          </w:p>
          <w:p w:rsidR="00041DC6"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Positive contribution to the EU policy objectives on cultural heritage preservation</w:t>
            </w:r>
            <w:r>
              <w:rPr>
                <w:rFonts w:ascii="Times New Roman" w:eastAsia="Calibri" w:hAnsi="Times New Roman" w:cs="Times New Roman"/>
                <w:color w:val="000000"/>
                <w:sz w:val="20"/>
                <w:szCs w:val="20"/>
              </w:rPr>
              <w:t>.</w:t>
            </w:r>
            <w:r w:rsidRPr="00871CDA">
              <w:rPr>
                <w:rFonts w:ascii="Times New Roman" w:eastAsia="Calibri" w:hAnsi="Times New Roman" w:cs="Times New Roman"/>
                <w:color w:val="000000"/>
                <w:sz w:val="20"/>
                <w:szCs w:val="20"/>
              </w:rPr>
              <w:t xml:space="preserve"> </w:t>
            </w:r>
          </w:p>
          <w:p w:rsidR="00041DC6" w:rsidRPr="00871CDA" w:rsidRDefault="00041DC6" w:rsidP="00023ED9">
            <w:pPr>
              <w:autoSpaceDE w:val="0"/>
              <w:autoSpaceDN w:val="0"/>
              <w:adjustRightInd w:val="0"/>
              <w:spacing w:after="0" w:line="240" w:lineRule="auto"/>
              <w:rPr>
                <w:rFonts w:ascii="Times New Roman" w:eastAsia="Calibri" w:hAnsi="Times New Roman" w:cs="Times New Roman"/>
                <w:color w:val="000000"/>
                <w:sz w:val="20"/>
                <w:szCs w:val="20"/>
              </w:rPr>
            </w:pPr>
            <w:r w:rsidRPr="00871CDA">
              <w:rPr>
                <w:rFonts w:ascii="Times New Roman" w:eastAsia="Calibri" w:hAnsi="Times New Roman" w:cs="Times New Roman"/>
                <w:color w:val="000000"/>
                <w:sz w:val="20"/>
                <w:szCs w:val="20"/>
              </w:rPr>
              <w:t xml:space="preserve">(0) No </w:t>
            </w:r>
            <w:r>
              <w:rPr>
                <w:rFonts w:ascii="Times New Roman" w:eastAsia="Calibri" w:hAnsi="Times New Roman" w:cs="Times New Roman"/>
                <w:color w:val="000000"/>
                <w:sz w:val="20"/>
                <w:szCs w:val="20"/>
              </w:rPr>
              <w:t xml:space="preserve">tangible </w:t>
            </w:r>
            <w:r w:rsidRPr="00871CDA">
              <w:rPr>
                <w:rFonts w:ascii="Times New Roman" w:eastAsia="Calibri" w:hAnsi="Times New Roman" w:cs="Times New Roman"/>
                <w:color w:val="000000"/>
                <w:sz w:val="20"/>
                <w:szCs w:val="20"/>
              </w:rPr>
              <w:t>impact on fundamental rights</w:t>
            </w:r>
            <w:r>
              <w:rPr>
                <w:rFonts w:ascii="Times New Roman" w:eastAsia="Calibri" w:hAnsi="Times New Roman" w:cs="Times New Roman"/>
                <w:color w:val="000000"/>
                <w:sz w:val="20"/>
                <w:szCs w:val="20"/>
              </w:rPr>
              <w:t>.</w:t>
            </w:r>
          </w:p>
        </w:tc>
      </w:tr>
    </w:tbl>
    <w:p w:rsidR="00041DC6" w:rsidRPr="00871CDA" w:rsidRDefault="005C004E" w:rsidP="005C004E">
      <w:pPr>
        <w:spacing w:before="240" w:after="120" w:line="240" w:lineRule="auto"/>
        <w:jc w:val="both"/>
        <w:rPr>
          <w:rFonts w:ascii="Times New Roman" w:eastAsia="Calibri" w:hAnsi="Times New Roman" w:cs="Times New Roman"/>
          <w:sz w:val="24"/>
          <w:szCs w:val="24"/>
        </w:rPr>
      </w:pPr>
      <w:r w:rsidRPr="005C004E">
        <w:rPr>
          <w:rFonts w:ascii="Times New Roman" w:eastAsia="Calibri" w:hAnsi="Times New Roman" w:cs="Times New Roman"/>
          <w:b/>
          <w:sz w:val="24"/>
          <w:szCs w:val="24"/>
        </w:rPr>
        <w:t xml:space="preserve">Option 2 </w:t>
      </w:r>
      <w:r w:rsidRPr="00FF00F1">
        <w:rPr>
          <w:rFonts w:ascii="Times New Roman" w:eastAsia="Calibri" w:hAnsi="Times New Roman" w:cs="Times New Roman"/>
          <w:sz w:val="24"/>
          <w:szCs w:val="24"/>
        </w:rPr>
        <w:t>is the</w:t>
      </w:r>
      <w:r w:rsidR="00041DC6" w:rsidRPr="00FF00F1">
        <w:rPr>
          <w:rFonts w:ascii="Times New Roman" w:eastAsia="Calibri" w:hAnsi="Times New Roman" w:cs="Times New Roman"/>
          <w:sz w:val="24"/>
          <w:szCs w:val="24"/>
        </w:rPr>
        <w:t xml:space="preserve"> preferred option</w:t>
      </w:r>
      <w:r w:rsidR="00041DC6" w:rsidRPr="00871CDA">
        <w:rPr>
          <w:rFonts w:ascii="Times New Roman" w:eastAsia="Calibri" w:hAnsi="Times New Roman" w:cs="Times New Roman"/>
          <w:sz w:val="24"/>
          <w:szCs w:val="24"/>
        </w:rPr>
        <w:t xml:space="preserve"> is as it would provide the best environment and the largest space for preservation, including in digital environments, for CHIs while not generating particular compliance costs, or affecting the interests of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00041DC6" w:rsidRPr="00871CDA">
        <w:rPr>
          <w:rFonts w:ascii="Times New Roman" w:eastAsia="Calibri" w:hAnsi="Times New Roman" w:cs="Times New Roman"/>
          <w:sz w:val="24"/>
          <w:szCs w:val="24"/>
        </w:rPr>
        <w:t xml:space="preserve"> to any </w:t>
      </w:r>
      <w:r w:rsidR="00041DC6">
        <w:rPr>
          <w:rFonts w:ascii="Times New Roman" w:eastAsia="Calibri" w:hAnsi="Times New Roman" w:cs="Times New Roman"/>
          <w:sz w:val="24"/>
          <w:szCs w:val="24"/>
        </w:rPr>
        <w:t>meaningful</w:t>
      </w:r>
      <w:r w:rsidR="00041DC6" w:rsidRPr="00871CDA">
        <w:rPr>
          <w:rFonts w:ascii="Times New Roman" w:eastAsia="Calibri" w:hAnsi="Times New Roman" w:cs="Times New Roman"/>
          <w:sz w:val="24"/>
          <w:szCs w:val="24"/>
        </w:rPr>
        <w:t xml:space="preserve"> e</w:t>
      </w:r>
      <w:r w:rsidR="00041DC6">
        <w:rPr>
          <w:rFonts w:ascii="Times New Roman" w:eastAsia="Calibri" w:hAnsi="Times New Roman" w:cs="Times New Roman"/>
          <w:sz w:val="24"/>
          <w:szCs w:val="24"/>
        </w:rPr>
        <w:t>xtent</w:t>
      </w:r>
      <w:r w:rsidR="00041DC6" w:rsidRPr="00871CDA">
        <w:rPr>
          <w:rFonts w:ascii="Times New Roman" w:eastAsia="Calibri" w:hAnsi="Times New Roman" w:cs="Times New Roman"/>
          <w:sz w:val="24"/>
          <w:szCs w:val="24"/>
        </w:rPr>
        <w:t xml:space="preserve">. </w:t>
      </w:r>
      <w:r w:rsidR="00041DC6">
        <w:rPr>
          <w:rFonts w:ascii="Times New Roman" w:eastAsia="Calibri" w:hAnsi="Times New Roman" w:cs="Times New Roman"/>
          <w:sz w:val="24"/>
          <w:szCs w:val="24"/>
        </w:rPr>
        <w:t xml:space="preserve">This option would reduce costs for CHIs related to legal uncertainty, and for both CHIs and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00041DC6">
        <w:rPr>
          <w:rFonts w:ascii="Times New Roman" w:eastAsia="Calibri" w:hAnsi="Times New Roman" w:cs="Times New Roman"/>
          <w:sz w:val="24"/>
          <w:szCs w:val="24"/>
        </w:rPr>
        <w:t xml:space="preserve"> in terms of potential transaction costs related to requests for authorisations and their handling, to a larger extent than Option 1. At the same time, given the use at stake and the conditions attached to the exception foreseen by Option 2, it would not imply foregone costs for </w:t>
      </w:r>
      <w:r w:rsidR="002432E8">
        <w:rPr>
          <w:rFonts w:ascii="Times New Roman" w:eastAsia="Calibri" w:hAnsi="Times New Roman" w:cs="Times New Roman"/>
          <w:sz w:val="24"/>
          <w:szCs w:val="24"/>
        </w:rPr>
        <w:t>r</w:t>
      </w:r>
      <w:r w:rsidR="00007677">
        <w:rPr>
          <w:rFonts w:ascii="Times New Roman" w:eastAsia="Calibri" w:hAnsi="Times New Roman" w:cs="Times New Roman"/>
          <w:sz w:val="24"/>
          <w:szCs w:val="24"/>
        </w:rPr>
        <w:t>ightholders</w:t>
      </w:r>
      <w:r w:rsidR="00041DC6">
        <w:rPr>
          <w:rFonts w:ascii="Times New Roman" w:eastAsia="Calibri" w:hAnsi="Times New Roman" w:cs="Times New Roman"/>
          <w:sz w:val="24"/>
          <w:szCs w:val="24"/>
        </w:rPr>
        <w:t xml:space="preserve"> (related to missed revenues or licensing opportunities) to any meaningful degree. Furthermore, Option 1 might imply some compliance costs for MS that are not present in Option 2. Positive impacts on cultural diversity and, ultimately, the ability of people to engage with cultural heritage would be higher in Option 2 than in Option 1, with similar impacts on fundamental rights. </w:t>
      </w:r>
      <w:r w:rsidR="00041DC6" w:rsidRPr="00871CDA">
        <w:rPr>
          <w:rFonts w:ascii="Times New Roman" w:eastAsia="Calibri" w:hAnsi="Times New Roman" w:cs="Times New Roman"/>
          <w:sz w:val="24"/>
          <w:szCs w:val="24"/>
        </w:rPr>
        <w:t xml:space="preserve">As such </w:t>
      </w:r>
      <w:r w:rsidR="00041DC6">
        <w:rPr>
          <w:rFonts w:ascii="Times New Roman" w:eastAsia="Calibri" w:hAnsi="Times New Roman" w:cs="Times New Roman"/>
          <w:sz w:val="24"/>
          <w:szCs w:val="24"/>
        </w:rPr>
        <w:t>O</w:t>
      </w:r>
      <w:r w:rsidR="00041DC6" w:rsidRPr="00871CDA">
        <w:rPr>
          <w:rFonts w:ascii="Times New Roman" w:eastAsia="Calibri" w:hAnsi="Times New Roman" w:cs="Times New Roman"/>
          <w:sz w:val="24"/>
          <w:szCs w:val="24"/>
        </w:rPr>
        <w:t>ption 2 is the most effective and efficient.</w:t>
      </w:r>
      <w:r w:rsidR="00041DC6">
        <w:rPr>
          <w:rFonts w:ascii="Times New Roman" w:eastAsia="Calibri" w:hAnsi="Times New Roman" w:cs="Times New Roman"/>
          <w:sz w:val="24"/>
          <w:szCs w:val="24"/>
        </w:rPr>
        <w:t xml:space="preserve"> </w:t>
      </w:r>
    </w:p>
    <w:p w:rsidR="009C199B" w:rsidRDefault="002C6C36" w:rsidP="00041DC6">
      <w:pPr>
        <w:spacing w:after="12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Proportionality and impacts on MS: </w:t>
      </w:r>
      <w:r w:rsidR="00041DC6">
        <w:rPr>
          <w:rFonts w:ascii="Times New Roman" w:eastAsia="Calibri" w:hAnsi="Times New Roman" w:cs="Times New Roman"/>
          <w:sz w:val="24"/>
          <w:szCs w:val="24"/>
          <w:lang w:eastAsia="en-GB"/>
        </w:rPr>
        <w:t>O</w:t>
      </w:r>
      <w:r w:rsidR="00041DC6" w:rsidRPr="00871CDA">
        <w:rPr>
          <w:rFonts w:ascii="Times New Roman" w:eastAsia="Calibri" w:hAnsi="Times New Roman" w:cs="Times New Roman"/>
          <w:sz w:val="24"/>
          <w:szCs w:val="24"/>
          <w:lang w:eastAsia="en-GB"/>
        </w:rPr>
        <w:t>ption</w:t>
      </w:r>
      <w:r w:rsidR="00041DC6">
        <w:rPr>
          <w:rFonts w:ascii="Times New Roman" w:eastAsia="Calibri" w:hAnsi="Times New Roman" w:cs="Times New Roman"/>
          <w:sz w:val="24"/>
          <w:szCs w:val="24"/>
          <w:lang w:eastAsia="en-GB"/>
        </w:rPr>
        <w:t xml:space="preserve"> 2</w:t>
      </w:r>
      <w:r w:rsidR="00041DC6" w:rsidRPr="00871CDA">
        <w:rPr>
          <w:rFonts w:ascii="Times New Roman" w:eastAsia="Calibri" w:hAnsi="Times New Roman" w:cs="Times New Roman"/>
          <w:sz w:val="24"/>
          <w:szCs w:val="24"/>
          <w:lang w:eastAsia="en-GB"/>
        </w:rPr>
        <w:t xml:space="preserve"> is also </w:t>
      </w:r>
      <w:r w:rsidR="00041DC6" w:rsidRPr="00957EAA">
        <w:rPr>
          <w:rFonts w:ascii="Times New Roman" w:eastAsia="Calibri" w:hAnsi="Times New Roman" w:cs="Times New Roman"/>
          <w:sz w:val="24"/>
          <w:szCs w:val="24"/>
          <w:lang w:eastAsia="en-GB"/>
        </w:rPr>
        <w:t>proportionate</w:t>
      </w:r>
      <w:r w:rsidR="00041DC6" w:rsidRPr="00871CDA">
        <w:rPr>
          <w:rFonts w:ascii="Times New Roman" w:eastAsia="Calibri" w:hAnsi="Times New Roman" w:cs="Times New Roman"/>
          <w:sz w:val="24"/>
          <w:szCs w:val="24"/>
          <w:lang w:eastAsia="en-GB"/>
        </w:rPr>
        <w:t xml:space="preserve"> in that it addresse</w:t>
      </w:r>
      <w:r w:rsidR="00041DC6">
        <w:rPr>
          <w:rFonts w:ascii="Times New Roman" w:eastAsia="Calibri" w:hAnsi="Times New Roman" w:cs="Times New Roman"/>
          <w:sz w:val="24"/>
          <w:szCs w:val="24"/>
          <w:lang w:eastAsia="en-GB"/>
        </w:rPr>
        <w:t>s</w:t>
      </w:r>
      <w:r w:rsidR="00041DC6" w:rsidRPr="00871CDA">
        <w:rPr>
          <w:rFonts w:ascii="Times New Roman" w:eastAsia="Calibri" w:hAnsi="Times New Roman" w:cs="Times New Roman"/>
          <w:sz w:val="24"/>
          <w:szCs w:val="24"/>
          <w:lang w:eastAsia="en-GB"/>
        </w:rPr>
        <w:t xml:space="preserve"> the underlying problem without generating particular costs or putting special obligations on stakeholders.</w:t>
      </w:r>
      <w:bookmarkEnd w:id="113"/>
      <w:bookmarkEnd w:id="114"/>
      <w:bookmarkEnd w:id="115"/>
    </w:p>
    <w:p w:rsidR="001F7EDA" w:rsidRDefault="009C199B" w:rsidP="00041DC6">
      <w:pPr>
        <w:spacing w:after="12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Option 2</w:t>
      </w:r>
      <w:r w:rsidRPr="00ED050E">
        <w:rPr>
          <w:rFonts w:ascii="Times New Roman" w:eastAsia="Calibri" w:hAnsi="Times New Roman" w:cs="Times New Roman"/>
          <w:sz w:val="24"/>
          <w:szCs w:val="24"/>
          <w:lang w:eastAsia="en-GB"/>
        </w:rPr>
        <w:t xml:space="preserve"> will require an adaptation of national legal frameworks to different degrees, depending on the level of clarity and the scope of the current national exceptions applicable to preservation by CHIs (a table with a list of examples of the way it is currently implemented in MS is available in Annex 4). </w:t>
      </w:r>
      <w:r>
        <w:rPr>
          <w:rFonts w:ascii="Times New Roman" w:eastAsia="Calibri" w:hAnsi="Times New Roman" w:cs="Times New Roman"/>
          <w:sz w:val="24"/>
          <w:szCs w:val="24"/>
          <w:lang w:eastAsia="en-GB"/>
        </w:rPr>
        <w:t>N</w:t>
      </w:r>
      <w:r w:rsidRPr="00ED050E">
        <w:rPr>
          <w:rFonts w:ascii="Times New Roman" w:eastAsia="Calibri" w:hAnsi="Times New Roman" w:cs="Times New Roman"/>
          <w:sz w:val="24"/>
          <w:szCs w:val="24"/>
          <w:lang w:eastAsia="en-GB"/>
        </w:rPr>
        <w:t>ational preservation exceptions will have to be clear about the possibility for CHIs to make copies in any format and support (i.e. allow for format and media-shifting) and be adapted if and when restrictions to the use of digital methods to conduct preservation can be hampered by their current formulation.</w:t>
      </w:r>
      <w:r w:rsidR="001F7EDA">
        <w:rPr>
          <w:rFonts w:ascii="Times New Roman" w:eastAsia="Calibri" w:hAnsi="Times New Roman" w:cs="Times New Roman"/>
          <w:sz w:val="24"/>
          <w:szCs w:val="24"/>
          <w:lang w:eastAsia="en-GB"/>
        </w:rPr>
        <w:br w:type="page"/>
      </w:r>
    </w:p>
    <w:p w:rsidR="00C82122" w:rsidRPr="008012CB" w:rsidRDefault="00C82122" w:rsidP="005C004E">
      <w:pPr>
        <w:pStyle w:val="Heading1"/>
        <w:numPr>
          <w:ilvl w:val="0"/>
          <w:numId w:val="1"/>
        </w:numPr>
        <w:spacing w:before="240" w:after="240"/>
        <w:rPr>
          <w:b w:val="0"/>
          <w:bCs w:val="0"/>
          <w:caps w:val="0"/>
        </w:rPr>
      </w:pPr>
      <w:bookmarkStart w:id="121" w:name="_Toc461114740"/>
      <w:r w:rsidRPr="008012CB">
        <w:t>Achieving a well-functioning market place for copyright</w:t>
      </w:r>
      <w:bookmarkEnd w:id="121"/>
    </w:p>
    <w:p w:rsidR="00C82122" w:rsidRPr="008012CB" w:rsidRDefault="00C82122" w:rsidP="005C004E">
      <w:pPr>
        <w:pStyle w:val="Heading2"/>
        <w:numPr>
          <w:ilvl w:val="1"/>
          <w:numId w:val="1"/>
        </w:numPr>
        <w:spacing w:before="0" w:after="240"/>
        <w:rPr>
          <w:b w:val="0"/>
          <w:bCs w:val="0"/>
          <w:smallCaps/>
        </w:rPr>
      </w:pPr>
      <w:bookmarkStart w:id="122" w:name="_Toc461114741"/>
      <w:r w:rsidRPr="008012CB">
        <w:rPr>
          <w:rFonts w:ascii="Times New Roman Bold" w:hAnsi="Times New Roman Bold"/>
          <w:smallCaps/>
        </w:rPr>
        <w:t>Introduction</w:t>
      </w:r>
      <w:bookmarkEnd w:id="122"/>
    </w:p>
    <w:p w:rsidR="00C82122" w:rsidRPr="008012CB" w:rsidRDefault="00C82122" w:rsidP="00CF38F1">
      <w:pPr>
        <w:pStyle w:val="Heading3"/>
      </w:pPr>
      <w:bookmarkStart w:id="123" w:name="_Toc461114742"/>
      <w:r w:rsidRPr="008012CB">
        <w:t>Background</w:t>
      </w:r>
      <w:bookmarkEnd w:id="123"/>
    </w:p>
    <w:p w:rsidR="008C0F9E" w:rsidRPr="008012CB" w:rsidRDefault="008C0F9E" w:rsidP="008C0F9E">
      <w:pPr>
        <w:autoSpaceDE w:val="0"/>
        <w:autoSpaceDN w:val="0"/>
        <w:adjustRightInd w:val="0"/>
        <w:spacing w:after="120" w:line="240" w:lineRule="auto"/>
        <w:jc w:val="both"/>
        <w:rPr>
          <w:rFonts w:ascii="Times New Roman" w:hAnsi="Times New Roman" w:cs="Times New Roman"/>
          <w:sz w:val="24"/>
          <w:lang w:eastAsia="en-GB"/>
        </w:rPr>
      </w:pPr>
      <w:r w:rsidRPr="008012CB">
        <w:rPr>
          <w:rFonts w:ascii="Times New Roman" w:hAnsi="Times New Roman" w:cs="Times New Roman"/>
          <w:sz w:val="24"/>
          <w:lang w:eastAsia="en-GB"/>
        </w:rPr>
        <w:t xml:space="preserve">In the recent years, the internet has become the main marketplace for the distribution of and access to copyright protected content, involving a high number of market players and a diversity of business models. While online content services have become essential for the generation of revenues, </w:t>
      </w:r>
      <w:r w:rsidR="002432E8">
        <w:rPr>
          <w:rFonts w:ascii="Times New Roman" w:hAnsi="Times New Roman" w:cs="Times New Roman"/>
          <w:sz w:val="24"/>
          <w:lang w:eastAsia="en-GB"/>
        </w:rPr>
        <w:t>r</w:t>
      </w:r>
      <w:r w:rsidR="00007677">
        <w:rPr>
          <w:rFonts w:ascii="Times New Roman" w:hAnsi="Times New Roman" w:cs="Times New Roman"/>
          <w:sz w:val="24"/>
          <w:lang w:eastAsia="en-GB"/>
        </w:rPr>
        <w:t>ightholders</w:t>
      </w:r>
      <w:r w:rsidRPr="008012CB">
        <w:rPr>
          <w:rFonts w:ascii="Times New Roman" w:hAnsi="Times New Roman" w:cs="Times New Roman"/>
          <w:sz w:val="24"/>
          <w:lang w:eastAsia="en-GB"/>
        </w:rPr>
        <w:t xml:space="preserve"> face difficulties when seeking to moneti</w:t>
      </w:r>
      <w:r w:rsidR="0083659F">
        <w:rPr>
          <w:rFonts w:ascii="Times New Roman" w:hAnsi="Times New Roman" w:cs="Times New Roman"/>
          <w:sz w:val="24"/>
          <w:lang w:eastAsia="en-GB"/>
        </w:rPr>
        <w:t>s</w:t>
      </w:r>
      <w:r w:rsidRPr="008012CB">
        <w:rPr>
          <w:rFonts w:ascii="Times New Roman" w:hAnsi="Times New Roman" w:cs="Times New Roman"/>
          <w:sz w:val="24"/>
          <w:lang w:eastAsia="en-GB"/>
        </w:rPr>
        <w:t xml:space="preserve">e and control the distribution of their content online. There is a growing concern about the sharing of the value generated by some of the new forms of online content distribution. </w:t>
      </w:r>
    </w:p>
    <w:p w:rsidR="008C0F9E" w:rsidRPr="008012CB" w:rsidRDefault="008C0F9E" w:rsidP="008C0F9E">
      <w:pPr>
        <w:spacing w:line="240" w:lineRule="auto"/>
        <w:jc w:val="both"/>
        <w:rPr>
          <w:rFonts w:ascii="Times New Roman" w:hAnsi="Times New Roman" w:cs="Times New Roman"/>
          <w:sz w:val="24"/>
          <w:lang w:eastAsia="en-GB"/>
        </w:rPr>
      </w:pPr>
      <w:r w:rsidRPr="008012CB">
        <w:rPr>
          <w:rFonts w:ascii="Times New Roman" w:hAnsi="Times New Roman" w:cs="Times New Roman"/>
          <w:sz w:val="24"/>
          <w:lang w:eastAsia="en-GB"/>
        </w:rPr>
        <w:t xml:space="preserve">This section of the IA examines issues related to the distribution of value in the online environment, taking into account the initial investments in creative content and the new business models and licensing practices. It concentrates on difficulties faced by </w:t>
      </w:r>
      <w:r w:rsidR="002432E8">
        <w:rPr>
          <w:rFonts w:ascii="Times New Roman" w:hAnsi="Times New Roman" w:cs="Times New Roman"/>
          <w:sz w:val="24"/>
          <w:lang w:eastAsia="en-GB"/>
        </w:rPr>
        <w:t>r</w:t>
      </w:r>
      <w:r w:rsidR="00007677">
        <w:rPr>
          <w:rFonts w:ascii="Times New Roman" w:hAnsi="Times New Roman" w:cs="Times New Roman"/>
          <w:sz w:val="24"/>
          <w:lang w:eastAsia="en-GB"/>
        </w:rPr>
        <w:t>ightholders</w:t>
      </w:r>
      <w:r w:rsidRPr="008012CB">
        <w:rPr>
          <w:rFonts w:ascii="Times New Roman" w:hAnsi="Times New Roman" w:cs="Times New Roman"/>
          <w:sz w:val="24"/>
          <w:lang w:eastAsia="en-GB"/>
        </w:rPr>
        <w:t xml:space="preserve"> in negotiating with online services involved in the commercial reuse of copyright-protected content, in particular online services distributing content uploaded by end-users and news aggregators, social media and other online services providing access to publications. Problems related to the contractual relationships between authors and performers on the one hand and those to which they assign the rights for the exploitation of their works and performances, including online, on the other, are also considered in this section of the IA.</w:t>
      </w:r>
    </w:p>
    <w:p w:rsidR="008C0F9E" w:rsidRPr="008012CB" w:rsidRDefault="008C0F9E" w:rsidP="008C0F9E">
      <w:pPr>
        <w:spacing w:line="240" w:lineRule="auto"/>
        <w:jc w:val="both"/>
        <w:rPr>
          <w:rFonts w:ascii="Times New Roman" w:hAnsi="Times New Roman" w:cs="Times New Roman"/>
          <w:sz w:val="24"/>
          <w:lang w:eastAsia="en-GB"/>
        </w:rPr>
      </w:pPr>
      <w:r w:rsidRPr="008012CB">
        <w:rPr>
          <w:rFonts w:ascii="Times New Roman" w:hAnsi="Times New Roman" w:cs="Times New Roman"/>
          <w:sz w:val="24"/>
          <w:lang w:eastAsia="en-GB"/>
        </w:rPr>
        <w:t>The need to address issues related to the sharing of value in the online environment and the remuneration of creators was highlighted in the Copyright Communication of December 2015, which reminded the "</w:t>
      </w:r>
      <w:r w:rsidRPr="008012CB">
        <w:rPr>
          <w:rFonts w:ascii="Times New Roman" w:hAnsi="Times New Roman" w:cs="Times New Roman"/>
          <w:i/>
          <w:sz w:val="24"/>
          <w:lang w:eastAsia="en-GB"/>
        </w:rPr>
        <w:t>digital single market’s ambition to deliver opportunities for all and to recognise the value of content and of the investment that goes into it</w:t>
      </w:r>
      <w:r w:rsidRPr="008012CB">
        <w:rPr>
          <w:rFonts w:ascii="Times New Roman" w:hAnsi="Times New Roman" w:cs="Times New Roman"/>
          <w:sz w:val="24"/>
          <w:lang w:eastAsia="en-GB"/>
        </w:rPr>
        <w:t>."  The Commission's intention to take measures in this area was confirmed in the Communication on online platforms of May 2016.</w:t>
      </w:r>
      <w:r w:rsidRPr="008012CB">
        <w:rPr>
          <w:rFonts w:ascii="Times New Roman" w:hAnsi="Times New Roman" w:cs="Times New Roman"/>
          <w:sz w:val="24"/>
          <w:vertAlign w:val="superscript"/>
          <w:lang w:eastAsia="en-GB"/>
        </w:rPr>
        <w:footnoteReference w:id="402"/>
      </w:r>
    </w:p>
    <w:p w:rsidR="008C0F9E" w:rsidRPr="008012CB" w:rsidRDefault="008C0F9E" w:rsidP="00CF38F1">
      <w:pPr>
        <w:pStyle w:val="Heading3"/>
      </w:pPr>
      <w:bookmarkStart w:id="124" w:name="_Toc461114743"/>
      <w:r w:rsidRPr="008012CB">
        <w:t>Why should the EU act?</w:t>
      </w:r>
      <w:bookmarkEnd w:id="124"/>
    </w:p>
    <w:p w:rsidR="008C0F9E" w:rsidRPr="008012CB" w:rsidRDefault="008C0F9E" w:rsidP="008C0F9E">
      <w:pPr>
        <w:spacing w:after="120"/>
        <w:rPr>
          <w:rFonts w:ascii="Times New Roman" w:hAnsi="Times New Roman" w:cs="Times New Roman"/>
          <w:b/>
          <w:sz w:val="24"/>
          <w:szCs w:val="24"/>
        </w:rPr>
      </w:pPr>
      <w:r w:rsidRPr="008012CB">
        <w:rPr>
          <w:rFonts w:ascii="Times New Roman" w:hAnsi="Times New Roman" w:cs="Times New Roman"/>
          <w:b/>
          <w:sz w:val="24"/>
          <w:szCs w:val="24"/>
        </w:rPr>
        <w:t>Legal basis</w:t>
      </w:r>
    </w:p>
    <w:p w:rsidR="008C0F9E" w:rsidRPr="008012CB" w:rsidRDefault="008C0F9E" w:rsidP="008C0F9E">
      <w:pPr>
        <w:autoSpaceDE w:val="0"/>
        <w:autoSpaceDN w:val="0"/>
        <w:adjustRightInd w:val="0"/>
        <w:spacing w:after="120" w:line="240" w:lineRule="auto"/>
        <w:jc w:val="both"/>
        <w:rPr>
          <w:rFonts w:ascii="Times New Roman" w:hAnsi="Times New Roman" w:cs="Times New Roman"/>
          <w:sz w:val="24"/>
          <w:szCs w:val="24"/>
          <w:lang w:eastAsia="en-GB"/>
        </w:rPr>
      </w:pPr>
      <w:r w:rsidRPr="008012CB">
        <w:rPr>
          <w:rFonts w:ascii="Times New Roman" w:hAnsi="Times New Roman" w:cs="Times New Roman"/>
          <w:sz w:val="24"/>
          <w:szCs w:val="24"/>
          <w:lang w:eastAsia="en-GB"/>
        </w:rPr>
        <w:t xml:space="preserve">As indicated in the previous sections of the IA, the EU's right to act follows from Article 114 of the TFEU, which confers on the EU the power to adopt measures for the establishment and functioning of the internal market. It is also strongly linked to the harmonisation of the rights relevant for online dissemination achieved in the InfoSoc Directive. </w:t>
      </w:r>
    </w:p>
    <w:p w:rsidR="008C0F9E" w:rsidRPr="008012CB" w:rsidRDefault="008C0F9E" w:rsidP="008C0F9E">
      <w:pPr>
        <w:autoSpaceDE w:val="0"/>
        <w:autoSpaceDN w:val="0"/>
        <w:adjustRightInd w:val="0"/>
        <w:spacing w:after="120" w:line="240" w:lineRule="auto"/>
        <w:jc w:val="both"/>
        <w:rPr>
          <w:rFonts w:ascii="Times New Roman" w:hAnsi="Times New Roman" w:cs="Times New Roman"/>
          <w:sz w:val="24"/>
          <w:szCs w:val="24"/>
          <w:lang w:eastAsia="en-GB"/>
        </w:rPr>
      </w:pPr>
      <w:r w:rsidRPr="008012CB">
        <w:rPr>
          <w:rFonts w:ascii="Times New Roman" w:hAnsi="Times New Roman" w:cs="Times New Roman"/>
          <w:sz w:val="24"/>
          <w:szCs w:val="24"/>
          <w:lang w:eastAsia="en-GB"/>
        </w:rPr>
        <w:t xml:space="preserve">The measures envisaged in this section of the IA would allow </w:t>
      </w:r>
      <w:r w:rsidR="002432E8">
        <w:rPr>
          <w:rFonts w:ascii="Times New Roman" w:hAnsi="Times New Roman" w:cs="Times New Roman"/>
          <w:sz w:val="24"/>
          <w:lang w:eastAsia="en-GB"/>
        </w:rPr>
        <w:t>r</w:t>
      </w:r>
      <w:r w:rsidR="00007677">
        <w:rPr>
          <w:rFonts w:ascii="Times New Roman" w:hAnsi="Times New Roman" w:cs="Times New Roman"/>
          <w:sz w:val="24"/>
          <w:lang w:eastAsia="en-GB"/>
        </w:rPr>
        <w:t>ightholders</w:t>
      </w:r>
      <w:r w:rsidRPr="008012CB">
        <w:rPr>
          <w:rFonts w:ascii="Times New Roman" w:hAnsi="Times New Roman" w:cs="Times New Roman"/>
          <w:sz w:val="24"/>
          <w:lang w:eastAsia="en-GB"/>
        </w:rPr>
        <w:t xml:space="preserve"> to better exercise their rights in the online environment and would therefore contribute to improve the functioning of the Digital Single Market, as the main marketplace for the distribution of and access to copyright-protected content. </w:t>
      </w:r>
    </w:p>
    <w:p w:rsidR="008C0F9E" w:rsidRPr="008012CB" w:rsidRDefault="008C0F9E" w:rsidP="008C0F9E">
      <w:pPr>
        <w:autoSpaceDE w:val="0"/>
        <w:autoSpaceDN w:val="0"/>
        <w:adjustRightInd w:val="0"/>
        <w:spacing w:after="120" w:line="240" w:lineRule="auto"/>
        <w:jc w:val="both"/>
        <w:rPr>
          <w:rFonts w:ascii="Times New Roman" w:hAnsi="Times New Roman" w:cs="Times New Roman"/>
          <w:sz w:val="24"/>
          <w:szCs w:val="24"/>
          <w:lang w:eastAsia="en-GB"/>
        </w:rPr>
      </w:pPr>
      <w:r w:rsidRPr="008012CB">
        <w:rPr>
          <w:rFonts w:ascii="Times New Roman" w:hAnsi="Times New Roman" w:cs="Times New Roman"/>
          <w:sz w:val="24"/>
          <w:szCs w:val="24"/>
          <w:lang w:eastAsia="en-GB"/>
        </w:rPr>
        <w:t xml:space="preserve">Article 167(4) TFEU related to cultural diversity has been taken into account in the design and analysis of policy options presented in this section of the IA. </w:t>
      </w:r>
    </w:p>
    <w:p w:rsidR="009D59CB" w:rsidRDefault="009D59CB">
      <w:pPr>
        <w:rPr>
          <w:rFonts w:ascii="Times New Roman" w:hAnsi="Times New Roman" w:cs="Times New Roman"/>
          <w:b/>
          <w:sz w:val="24"/>
          <w:szCs w:val="24"/>
        </w:rPr>
      </w:pPr>
      <w:r>
        <w:rPr>
          <w:rFonts w:ascii="Times New Roman" w:hAnsi="Times New Roman" w:cs="Times New Roman"/>
          <w:b/>
          <w:sz w:val="24"/>
          <w:szCs w:val="24"/>
        </w:rPr>
        <w:br w:type="page"/>
      </w:r>
    </w:p>
    <w:p w:rsidR="008C0F9E" w:rsidRPr="008012CB" w:rsidRDefault="008C0F9E" w:rsidP="008C0F9E">
      <w:pPr>
        <w:spacing w:after="120"/>
        <w:rPr>
          <w:rFonts w:ascii="Times New Roman" w:hAnsi="Times New Roman" w:cs="Times New Roman"/>
          <w:b/>
          <w:sz w:val="24"/>
          <w:szCs w:val="24"/>
        </w:rPr>
      </w:pPr>
      <w:r w:rsidRPr="008012CB">
        <w:rPr>
          <w:rFonts w:ascii="Times New Roman" w:hAnsi="Times New Roman" w:cs="Times New Roman"/>
          <w:b/>
          <w:sz w:val="24"/>
          <w:szCs w:val="24"/>
        </w:rPr>
        <w:t xml:space="preserve">Subsidiarity and added value </w:t>
      </w:r>
    </w:p>
    <w:p w:rsidR="008C0F9E" w:rsidRPr="008012CB" w:rsidRDefault="008C0F9E" w:rsidP="008C0F9E">
      <w:pPr>
        <w:spacing w:line="240" w:lineRule="auto"/>
        <w:jc w:val="both"/>
        <w:rPr>
          <w:rFonts w:ascii="Times New Roman" w:hAnsi="Times New Roman" w:cs="Times New Roman"/>
          <w:sz w:val="24"/>
          <w:lang w:eastAsia="en-GB"/>
        </w:rPr>
      </w:pPr>
      <w:r w:rsidRPr="008012CB">
        <w:rPr>
          <w:rFonts w:ascii="Times New Roman" w:hAnsi="Times New Roman" w:cs="Times New Roman"/>
          <w:sz w:val="24"/>
          <w:lang w:eastAsia="en-GB"/>
        </w:rPr>
        <w:t xml:space="preserve">In the areas covered by this section of the IA, the rationale for EU action </w:t>
      </w:r>
      <w:r w:rsidRPr="008012CB">
        <w:rPr>
          <w:rFonts w:ascii="TimesNewRoman" w:hAnsi="TimesNewRoman" w:cs="TimesNewRoman"/>
          <w:sz w:val="24"/>
          <w:szCs w:val="24"/>
        </w:rPr>
        <w:t xml:space="preserve">stems both from the harmonisation already in place (notably in terms of rights) and the cross-border nature of the distribution of content online. </w:t>
      </w:r>
      <w:r w:rsidRPr="008012CB">
        <w:rPr>
          <w:rFonts w:ascii="Times New Roman" w:hAnsi="Times New Roman" w:cs="Times New Roman"/>
          <w:sz w:val="24"/>
          <w:lang w:eastAsia="en-GB"/>
        </w:rPr>
        <w:t xml:space="preserve">Intervention at national level would not be sufficiently efficient to ensure a well-functioning digital single market for the distribution of copyright protected content and could create new obstacles. </w:t>
      </w:r>
    </w:p>
    <w:p w:rsidR="00E3251E" w:rsidRDefault="006B14A0" w:rsidP="008C0F9E">
      <w:pPr>
        <w:spacing w:line="240" w:lineRule="auto"/>
        <w:jc w:val="both"/>
        <w:rPr>
          <w:rFonts w:ascii="Times New Roman" w:hAnsi="Times New Roman"/>
          <w:sz w:val="24"/>
          <w:lang w:eastAsia="en-GB"/>
        </w:rPr>
      </w:pPr>
      <w:r w:rsidRPr="00AD57F7">
        <w:rPr>
          <w:rFonts w:ascii="Times New Roman" w:hAnsi="Times New Roman"/>
          <w:sz w:val="24"/>
          <w:lang w:eastAsia="en-GB"/>
        </w:rPr>
        <w:t xml:space="preserve">The issues faced by </w:t>
      </w:r>
      <w:r w:rsidR="00007677">
        <w:rPr>
          <w:rFonts w:ascii="Times New Roman" w:hAnsi="Times New Roman"/>
          <w:sz w:val="24"/>
          <w:lang w:eastAsia="en-GB"/>
        </w:rPr>
        <w:t>Rightholders</w:t>
      </w:r>
      <w:r w:rsidRPr="00AD57F7">
        <w:rPr>
          <w:rFonts w:ascii="Times New Roman" w:hAnsi="Times New Roman"/>
          <w:sz w:val="24"/>
          <w:lang w:eastAsia="en-GB"/>
        </w:rPr>
        <w:t xml:space="preserve"> with regard to services that store and give access to large amounts of protected content uploaded by their users need to be addressed at EU level given the general cross</w:t>
      </w:r>
      <w:r w:rsidR="00507AC2">
        <w:rPr>
          <w:rFonts w:ascii="Times New Roman" w:hAnsi="Times New Roman"/>
          <w:sz w:val="24"/>
          <w:lang w:eastAsia="en-GB"/>
        </w:rPr>
        <w:t>-</w:t>
      </w:r>
      <w:r w:rsidRPr="00AD57F7">
        <w:rPr>
          <w:rFonts w:ascii="Times New Roman" w:hAnsi="Times New Roman"/>
          <w:sz w:val="24"/>
          <w:lang w:eastAsia="en-GB"/>
        </w:rPr>
        <w:t>border nature of those services which are used by the public to consume content online.  EU level action is needed in order to avoid possible fragmentation that could be generated by initiatives from MS establishing obligations on such services, and to ensure more level playing field for services involved in content distribution.</w:t>
      </w:r>
      <w:r>
        <w:rPr>
          <w:rFonts w:ascii="Times New Roman" w:hAnsi="Times New Roman"/>
          <w:sz w:val="24"/>
          <w:lang w:eastAsia="en-GB"/>
        </w:rPr>
        <w:t xml:space="preserve"> </w:t>
      </w:r>
    </w:p>
    <w:p w:rsidR="00E3251E" w:rsidRDefault="00D53784" w:rsidP="008C0F9E">
      <w:pPr>
        <w:spacing w:line="240" w:lineRule="auto"/>
        <w:jc w:val="both"/>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 xml:space="preserve">The problems faced today by news publishers have been identified by several EU MS. Some of them, notably </w:t>
      </w:r>
      <w:r w:rsidR="00911D82">
        <w:rPr>
          <w:rFonts w:ascii="Times New Roman" w:eastAsia="Times New Roman" w:hAnsi="Times New Roman" w:cs="Times New Roman"/>
          <w:sz w:val="24"/>
          <w:lang w:eastAsia="en-GB"/>
        </w:rPr>
        <w:t>DE</w:t>
      </w:r>
      <w:r>
        <w:rPr>
          <w:rFonts w:ascii="Times New Roman" w:eastAsia="Times New Roman" w:hAnsi="Times New Roman" w:cs="Times New Roman"/>
          <w:sz w:val="24"/>
          <w:lang w:eastAsia="en-GB"/>
        </w:rPr>
        <w:t xml:space="preserve"> and </w:t>
      </w:r>
      <w:r w:rsidR="00911D82">
        <w:rPr>
          <w:rFonts w:ascii="Times New Roman" w:eastAsia="Times New Roman" w:hAnsi="Times New Roman" w:cs="Times New Roman"/>
          <w:sz w:val="24"/>
          <w:lang w:eastAsia="en-GB"/>
        </w:rPr>
        <w:t>E</w:t>
      </w:r>
      <w:r>
        <w:rPr>
          <w:rFonts w:ascii="Times New Roman" w:eastAsia="Times New Roman" w:hAnsi="Times New Roman" w:cs="Times New Roman"/>
          <w:sz w:val="24"/>
          <w:lang w:eastAsia="en-GB"/>
        </w:rPr>
        <w:t xml:space="preserve">S, have adopted different legislative solutions at national level to address them. </w:t>
      </w:r>
      <w:r w:rsidR="00784322" w:rsidRPr="006F79C1">
        <w:rPr>
          <w:rFonts w:ascii="Times New Roman" w:eastAsia="Times New Roman" w:hAnsi="Times New Roman" w:cs="Times New Roman"/>
          <w:sz w:val="24"/>
          <w:lang w:eastAsia="en-GB"/>
        </w:rPr>
        <w:t xml:space="preserve">However, national solutions lack scale and may give rise to market fragmentation in the news publishing sector. </w:t>
      </w:r>
      <w:r w:rsidRPr="006F79C1">
        <w:rPr>
          <w:rFonts w:ascii="Times New Roman" w:eastAsia="Times New Roman" w:hAnsi="Times New Roman" w:cs="Times New Roman"/>
          <w:sz w:val="24"/>
          <w:lang w:eastAsia="en-GB"/>
        </w:rPr>
        <w:t xml:space="preserve">Intervention at the EU level is </w:t>
      </w:r>
      <w:r w:rsidR="006F79C1" w:rsidRPr="006F79C1">
        <w:rPr>
          <w:rFonts w:ascii="Times New Roman" w:eastAsia="Times New Roman" w:hAnsi="Times New Roman" w:cs="Times New Roman"/>
          <w:sz w:val="24"/>
          <w:lang w:eastAsia="en-GB"/>
        </w:rPr>
        <w:t xml:space="preserve">therefore </w:t>
      </w:r>
      <w:r w:rsidRPr="006F79C1">
        <w:rPr>
          <w:rFonts w:ascii="Times New Roman" w:eastAsia="Times New Roman" w:hAnsi="Times New Roman" w:cs="Times New Roman"/>
          <w:sz w:val="24"/>
          <w:lang w:eastAsia="en-GB"/>
        </w:rPr>
        <w:t xml:space="preserve">needed to </w:t>
      </w:r>
      <w:r w:rsidR="006F79C1" w:rsidRPr="006F79C1">
        <w:rPr>
          <w:rFonts w:ascii="Times New Roman" w:eastAsia="Times New Roman" w:hAnsi="Times New Roman" w:cs="Times New Roman"/>
          <w:sz w:val="24"/>
          <w:lang w:eastAsia="en-GB"/>
        </w:rPr>
        <w:t>address effectively the problems faced by the publishing industry</w:t>
      </w:r>
      <w:r w:rsidRPr="006F79C1">
        <w:rPr>
          <w:rFonts w:ascii="Times New Roman" w:eastAsia="Times New Roman" w:hAnsi="Times New Roman" w:cs="Times New Roman"/>
          <w:sz w:val="24"/>
          <w:lang w:eastAsia="en-GB"/>
        </w:rPr>
        <w:t>.</w:t>
      </w:r>
      <w:r>
        <w:rPr>
          <w:rFonts w:ascii="Times New Roman" w:eastAsia="Times New Roman" w:hAnsi="Times New Roman" w:cs="Times New Roman"/>
          <w:sz w:val="24"/>
          <w:lang w:eastAsia="en-GB"/>
        </w:rPr>
        <w:t xml:space="preserve"> Moreover, recent case-law has sparked off uncertainty in some MS concerning the possibility to keep long-existing national systems allowing publishers to have a share of the compensation stemming from exceptions and limitations to copyright</w:t>
      </w:r>
      <w:r w:rsidR="00911D82">
        <w:rPr>
          <w:rFonts w:ascii="Times New Roman" w:eastAsia="Times New Roman" w:hAnsi="Times New Roman" w:cs="Times New Roman"/>
          <w:sz w:val="24"/>
          <w:lang w:eastAsia="en-GB"/>
        </w:rPr>
        <w:t xml:space="preserve"> and MS whose national compensation schemes are more directly impacted have started considering passing national legislation but it is not clear to what extent the</w:t>
      </w:r>
      <w:r w:rsidR="0073439A">
        <w:rPr>
          <w:rFonts w:ascii="Times New Roman" w:eastAsia="Times New Roman" w:hAnsi="Times New Roman" w:cs="Times New Roman"/>
          <w:sz w:val="24"/>
          <w:lang w:eastAsia="en-GB"/>
        </w:rPr>
        <w:t>y</w:t>
      </w:r>
      <w:r w:rsidR="00911D82">
        <w:rPr>
          <w:rFonts w:ascii="Times New Roman" w:eastAsia="Times New Roman" w:hAnsi="Times New Roman" w:cs="Times New Roman"/>
          <w:sz w:val="24"/>
          <w:lang w:eastAsia="en-GB"/>
        </w:rPr>
        <w:t xml:space="preserve"> can do so under the current EU rules</w:t>
      </w:r>
      <w:r>
        <w:rPr>
          <w:rFonts w:ascii="Times New Roman" w:eastAsia="Times New Roman" w:hAnsi="Times New Roman" w:cs="Times New Roman"/>
          <w:sz w:val="24"/>
          <w:lang w:eastAsia="en-GB"/>
        </w:rPr>
        <w:t xml:space="preserve">. The necessary certainty in this regard can only be achieved </w:t>
      </w:r>
      <w:r w:rsidR="00911D82">
        <w:rPr>
          <w:rFonts w:ascii="Times New Roman" w:eastAsia="Times New Roman" w:hAnsi="Times New Roman" w:cs="Times New Roman"/>
          <w:sz w:val="24"/>
          <w:lang w:eastAsia="en-GB"/>
        </w:rPr>
        <w:t xml:space="preserve">by legislative intervention </w:t>
      </w:r>
      <w:r>
        <w:rPr>
          <w:rFonts w:ascii="Times New Roman" w:eastAsia="Times New Roman" w:hAnsi="Times New Roman" w:cs="Times New Roman"/>
          <w:sz w:val="24"/>
          <w:lang w:eastAsia="en-GB"/>
        </w:rPr>
        <w:t>at EU level.</w:t>
      </w:r>
    </w:p>
    <w:p w:rsidR="008C0F9E" w:rsidRPr="00F7354D" w:rsidRDefault="008C0F9E" w:rsidP="008C0F9E">
      <w:pPr>
        <w:pStyle w:val="ListParagraph"/>
        <w:numPr>
          <w:ilvl w:val="0"/>
          <w:numId w:val="54"/>
        </w:numPr>
        <w:autoSpaceDE w:val="0"/>
        <w:autoSpaceDN w:val="0"/>
        <w:adjustRightInd w:val="0"/>
        <w:spacing w:after="0" w:line="240" w:lineRule="auto"/>
        <w:ind w:left="426" w:hanging="426"/>
        <w:jc w:val="both"/>
        <w:rPr>
          <w:rFonts w:ascii="TimesNewRoman" w:hAnsi="TimesNewRoman" w:cs="TimesNewRoman"/>
          <w:sz w:val="24"/>
          <w:szCs w:val="24"/>
          <w:lang w:val="en-GB"/>
        </w:rPr>
      </w:pPr>
      <w:r w:rsidRPr="00131B94">
        <w:rPr>
          <w:rFonts w:ascii="Times New Roman" w:hAnsi="Times New Roman"/>
          <w:sz w:val="24"/>
          <w:lang w:val="en-GB"/>
        </w:rPr>
        <w:t xml:space="preserve">Although national rules may govern the contractual relationships between creators and those exploiting their works, the lack of transparency in this area constitutes an obstacle to the correct functioning of the single market for creators. </w:t>
      </w:r>
      <w:r w:rsidRPr="00131B94">
        <w:rPr>
          <w:rFonts w:ascii="TimesNewRoman" w:hAnsi="TimesNewRoman" w:cs="TimesNewRoman"/>
          <w:sz w:val="24"/>
          <w:szCs w:val="24"/>
          <w:lang w:val="en-GB"/>
        </w:rPr>
        <w:t xml:space="preserve">EU action is therefore necessary to determine the required level of transparency. Specific elements may nevertheless be left at the discretion of MS, in order to take account of the existing national rules and the specificities of each sector. </w:t>
      </w:r>
      <w:r w:rsidR="00A57992" w:rsidRPr="00F7354D">
        <w:rPr>
          <w:rFonts w:ascii="Times New Roman" w:hAnsi="Times New Roman"/>
          <w:sz w:val="24"/>
          <w:szCs w:val="24"/>
          <w:lang w:val="en-GB"/>
        </w:rPr>
        <w:t>It should be noted that European legislation has already intervened in the contractual relationships between authors and performers on the one hand and those commercially exploiting their works and performances on the other, notably in Directive 2006/115/EC</w:t>
      </w:r>
      <w:r w:rsidR="00F7354D">
        <w:rPr>
          <w:rStyle w:val="FootnoteReference"/>
          <w:rFonts w:ascii="Times New Roman" w:hAnsi="Times New Roman"/>
          <w:sz w:val="24"/>
          <w:szCs w:val="24"/>
        </w:rPr>
        <w:footnoteReference w:id="403"/>
      </w:r>
      <w:r w:rsidR="00A57992" w:rsidRPr="00F7354D">
        <w:rPr>
          <w:rFonts w:ascii="Times New Roman" w:hAnsi="Times New Roman"/>
          <w:sz w:val="24"/>
          <w:szCs w:val="24"/>
          <w:lang w:val="en-GB"/>
        </w:rPr>
        <w:t xml:space="preserve"> (presumptions of transfers of rights, unviable right of equitable remuneration</w:t>
      </w:r>
      <w:r w:rsidR="00F7354D" w:rsidRPr="00F7354D">
        <w:rPr>
          <w:rFonts w:ascii="Times New Roman" w:hAnsi="Times New Roman"/>
          <w:sz w:val="24"/>
          <w:szCs w:val="24"/>
          <w:lang w:val="en-GB"/>
        </w:rPr>
        <w:t xml:space="preserve"> - </w:t>
      </w:r>
      <w:r w:rsidR="00F7354D" w:rsidRPr="00F7354D">
        <w:rPr>
          <w:rFonts w:ascii="Times New Roman" w:eastAsia="Arial Unicode MS" w:hAnsi="Times New Roman"/>
          <w:sz w:val="24"/>
          <w:szCs w:val="24"/>
          <w:lang w:val="en-GB"/>
        </w:rPr>
        <w:t>the "</w:t>
      </w:r>
      <w:r w:rsidR="00F7354D" w:rsidRPr="00F7354D">
        <w:rPr>
          <w:rFonts w:ascii="Times New Roman" w:eastAsia="Arial Unicode MS" w:hAnsi="Times New Roman"/>
          <w:b/>
          <w:sz w:val="24"/>
          <w:szCs w:val="24"/>
          <w:lang w:val="en-GB"/>
        </w:rPr>
        <w:t>Rental and Lending right Directive</w:t>
      </w:r>
      <w:r w:rsidR="00F7354D" w:rsidRPr="00F7354D">
        <w:rPr>
          <w:rFonts w:ascii="Times New Roman" w:eastAsia="Arial Unicode MS" w:hAnsi="Times New Roman"/>
          <w:sz w:val="24"/>
          <w:szCs w:val="24"/>
          <w:lang w:val="en-GB"/>
        </w:rPr>
        <w:t>"</w:t>
      </w:r>
      <w:r w:rsidR="00A57992" w:rsidRPr="00F7354D">
        <w:rPr>
          <w:rFonts w:ascii="Times New Roman" w:hAnsi="Times New Roman"/>
          <w:sz w:val="24"/>
          <w:szCs w:val="24"/>
          <w:lang w:val="en-GB"/>
        </w:rPr>
        <w:t>) and in Directive 2011/77/EU</w:t>
      </w:r>
      <w:r w:rsidR="00F7354D">
        <w:rPr>
          <w:rStyle w:val="FootnoteReference"/>
          <w:rFonts w:ascii="Times New Roman" w:hAnsi="Times New Roman"/>
          <w:sz w:val="24"/>
          <w:szCs w:val="24"/>
          <w:lang w:val="en-GB"/>
        </w:rPr>
        <w:footnoteReference w:id="404"/>
      </w:r>
      <w:r w:rsidR="00A57992" w:rsidRPr="00F7354D">
        <w:rPr>
          <w:rFonts w:ascii="Times New Roman" w:hAnsi="Times New Roman"/>
          <w:sz w:val="24"/>
          <w:szCs w:val="24"/>
          <w:lang w:val="en-GB"/>
        </w:rPr>
        <w:t xml:space="preserve"> amending Directive 2006/116/EC (establishing a supplementary remuneration for certain performers linked to the extension of the term of protection for phonograms</w:t>
      </w:r>
      <w:r w:rsidR="00F7354D">
        <w:rPr>
          <w:rFonts w:ascii="Times New Roman" w:hAnsi="Times New Roman"/>
          <w:sz w:val="24"/>
          <w:szCs w:val="24"/>
          <w:lang w:val="en-GB"/>
        </w:rPr>
        <w:t xml:space="preserve"> – "</w:t>
      </w:r>
      <w:r w:rsidR="00F7354D" w:rsidRPr="00C74EBA">
        <w:rPr>
          <w:rFonts w:ascii="Times New Roman" w:hAnsi="Times New Roman"/>
          <w:b/>
          <w:sz w:val="24"/>
          <w:szCs w:val="24"/>
          <w:lang w:val="en-GB"/>
        </w:rPr>
        <w:t>The term of protection Directive</w:t>
      </w:r>
      <w:r w:rsidR="00F7354D">
        <w:rPr>
          <w:rFonts w:ascii="Times New Roman" w:hAnsi="Times New Roman"/>
          <w:sz w:val="24"/>
          <w:szCs w:val="24"/>
          <w:lang w:val="en-GB"/>
        </w:rPr>
        <w:t>"</w:t>
      </w:r>
      <w:r w:rsidR="00A57992" w:rsidRPr="00F7354D">
        <w:rPr>
          <w:rFonts w:ascii="Times New Roman" w:hAnsi="Times New Roman"/>
          <w:sz w:val="24"/>
          <w:szCs w:val="24"/>
          <w:lang w:val="en-GB"/>
        </w:rPr>
        <w:t xml:space="preserve">). </w:t>
      </w:r>
    </w:p>
    <w:p w:rsidR="008C0F9E" w:rsidRPr="008012CB" w:rsidRDefault="008C0F9E" w:rsidP="00CF38F1">
      <w:pPr>
        <w:pStyle w:val="Heading3"/>
      </w:pPr>
      <w:bookmarkStart w:id="125" w:name="_Toc461114744"/>
      <w:r w:rsidRPr="008012CB">
        <w:t>What should be achieved?</w:t>
      </w:r>
      <w:bookmarkEnd w:id="125"/>
    </w:p>
    <w:p w:rsidR="008C0F9E" w:rsidRPr="008012CB" w:rsidRDefault="008C0F9E" w:rsidP="008C0F9E">
      <w:pPr>
        <w:spacing w:line="240" w:lineRule="auto"/>
        <w:jc w:val="both"/>
        <w:rPr>
          <w:rFonts w:ascii="Times New Roman" w:hAnsi="Times New Roman" w:cs="Times New Roman"/>
          <w:sz w:val="24"/>
          <w:szCs w:val="24"/>
          <w:lang w:eastAsia="en-GB"/>
        </w:rPr>
      </w:pPr>
      <w:r w:rsidRPr="008012CB">
        <w:rPr>
          <w:rFonts w:ascii="Times New Roman" w:hAnsi="Times New Roman" w:cs="Times New Roman"/>
          <w:sz w:val="24"/>
          <w:szCs w:val="24"/>
          <w:lang w:eastAsia="en-GB"/>
        </w:rPr>
        <w:t xml:space="preserve">The general objective is to achieve a copyright marketplace and value chain that works efficiently for all players and gives the right incentives for investment in and dissemination of creative content. </w:t>
      </w:r>
    </w:p>
    <w:p w:rsidR="008C0F9E" w:rsidRPr="008012CB" w:rsidRDefault="00BC5C11" w:rsidP="008C0F9E">
      <w:pPr>
        <w:spacing w:before="120" w:after="0" w:line="240" w:lineRule="auto"/>
        <w:jc w:val="both"/>
        <w:rPr>
          <w:rFonts w:ascii="Times New Roman" w:eastAsia="Calibri" w:hAnsi="Times New Roman" w:cs="Times New Roman"/>
          <w:color w:val="000000"/>
          <w:sz w:val="24"/>
          <w:szCs w:val="24"/>
          <w:bdr w:val="none" w:sz="0" w:space="0" w:color="auto" w:frame="1"/>
          <w:lang w:eastAsia="en-GB"/>
        </w:rPr>
      </w:pPr>
      <w:r w:rsidRPr="008012CB">
        <w:rPr>
          <w:rFonts w:ascii="Times New Roman" w:eastAsia="Calibri" w:hAnsi="Times New Roman" w:cs="Times New Roman"/>
          <w:sz w:val="24"/>
          <w:szCs w:val="24"/>
          <w:lang w:eastAsia="en-GB"/>
        </w:rPr>
        <w:t xml:space="preserve">Specific objectives have been identified in each of the area covered: (i) </w:t>
      </w:r>
      <w:r w:rsidRPr="008012CB">
        <w:rPr>
          <w:rFonts w:ascii="Times New Roman" w:eastAsia="Calibri" w:hAnsi="Times New Roman" w:cs="Times New Roman"/>
          <w:sz w:val="24"/>
          <w:szCs w:val="24"/>
          <w:lang w:val="en-AU" w:eastAsia="en-GB"/>
        </w:rPr>
        <w:t xml:space="preserve">ensure that </w:t>
      </w:r>
      <w:r w:rsidR="00F7354D">
        <w:rPr>
          <w:rFonts w:ascii="Times New Roman" w:eastAsia="Calibri" w:hAnsi="Times New Roman" w:cs="Times New Roman"/>
          <w:sz w:val="24"/>
          <w:szCs w:val="24"/>
          <w:lang w:val="en-AU" w:eastAsia="en-GB"/>
        </w:rPr>
        <w:t>r</w:t>
      </w:r>
      <w:r w:rsidR="00007677">
        <w:rPr>
          <w:rFonts w:ascii="Times New Roman" w:eastAsia="Calibri" w:hAnsi="Times New Roman" w:cs="Times New Roman"/>
          <w:sz w:val="24"/>
          <w:szCs w:val="24"/>
          <w:lang w:val="en-AU" w:eastAsia="en-GB"/>
        </w:rPr>
        <w:t>ightholders</w:t>
      </w:r>
      <w:r w:rsidRPr="008012CB">
        <w:rPr>
          <w:rFonts w:ascii="Times New Roman" w:eastAsia="Calibri" w:hAnsi="Times New Roman" w:cs="Times New Roman"/>
          <w:sz w:val="24"/>
          <w:szCs w:val="24"/>
          <w:lang w:val="en-AU" w:eastAsia="en-GB"/>
        </w:rPr>
        <w:t xml:space="preserve"> benefit from a legal framework allowing them </w:t>
      </w:r>
      <w:r w:rsidRPr="008012CB">
        <w:rPr>
          <w:rFonts w:ascii="Times New Roman" w:eastAsia="Calibri" w:hAnsi="Times New Roman" w:cs="Times New Roman"/>
          <w:sz w:val="24"/>
          <w:szCs w:val="24"/>
          <w:lang w:eastAsia="en-GB"/>
        </w:rPr>
        <w:t xml:space="preserve">to negotiate and be remunerated for the online exploitation of their content by online services storing and giving access to large amounts of content uploaded by their users; and that there is a fair environment for all types of online content services; </w:t>
      </w:r>
      <w:r w:rsidRPr="008012CB">
        <w:rPr>
          <w:rFonts w:ascii="Times New Roman" w:eastAsia="Calibri" w:hAnsi="Times New Roman" w:cs="Times New Roman"/>
          <w:sz w:val="24"/>
          <w:szCs w:val="24"/>
          <w:lang w:val="en-AU" w:eastAsia="en-GB"/>
        </w:rPr>
        <w:t xml:space="preserve">(ii) ensure a fair share of revenues stemming from the use of publications among the different players of the publishing value chain and (iii) </w:t>
      </w:r>
      <w:r w:rsidRPr="008012CB">
        <w:rPr>
          <w:rFonts w:ascii="Times New Roman" w:eastAsia="Calibri" w:hAnsi="Times New Roman" w:cs="Times New Roman"/>
          <w:sz w:val="24"/>
          <w:szCs w:val="24"/>
          <w:lang w:eastAsia="en-GB"/>
        </w:rPr>
        <w:t>increase legal certainty, transparency and balance in the system that governs the remuneration of creators.</w:t>
      </w:r>
    </w:p>
    <w:p w:rsidR="008C0F9E" w:rsidRPr="008012CB" w:rsidRDefault="00427E47" w:rsidP="008C0F9E">
      <w:pPr>
        <w:spacing w:before="120" w:after="0" w:line="240" w:lineRule="auto"/>
        <w:jc w:val="both"/>
        <w:rPr>
          <w:rFonts w:ascii="Times New Roman" w:eastAsia="Calibri" w:hAnsi="Times New Roman" w:cs="Times New Roman"/>
          <w:color w:val="000000"/>
          <w:sz w:val="24"/>
          <w:szCs w:val="24"/>
          <w:bdr w:val="none" w:sz="0" w:space="0" w:color="auto" w:frame="1"/>
          <w:lang w:eastAsia="en-GB"/>
        </w:rPr>
      </w:pPr>
      <w:r w:rsidRPr="00427E47">
        <w:rPr>
          <w:noProof/>
          <w:lang w:eastAsia="en-GB"/>
        </w:rPr>
        <w:drawing>
          <wp:inline distT="0" distB="0" distL="0" distR="0" wp14:anchorId="3EA77023" wp14:editId="3885C52F">
            <wp:extent cx="5760720" cy="288709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2887097"/>
                    </a:xfrm>
                    <a:prstGeom prst="rect">
                      <a:avLst/>
                    </a:prstGeom>
                  </pic:spPr>
                </pic:pic>
              </a:graphicData>
            </a:graphic>
          </wp:inline>
        </w:drawing>
      </w:r>
    </w:p>
    <w:p w:rsidR="008C0F9E" w:rsidRPr="008012CB" w:rsidRDefault="008C0F9E" w:rsidP="00CF38F1">
      <w:pPr>
        <w:pStyle w:val="Heading3"/>
      </w:pPr>
      <w:bookmarkStart w:id="126" w:name="_Toc461114745"/>
      <w:r w:rsidRPr="008012CB">
        <w:t>Methodology</w:t>
      </w:r>
      <w:bookmarkEnd w:id="126"/>
    </w:p>
    <w:p w:rsidR="008C0F9E" w:rsidRPr="008012CB" w:rsidRDefault="008C0F9E" w:rsidP="008C0F9E">
      <w:pPr>
        <w:spacing w:after="120" w:line="240" w:lineRule="auto"/>
        <w:rPr>
          <w:rFonts w:ascii="Times New Roman" w:hAnsi="Times New Roman" w:cs="Times New Roman"/>
          <w:b/>
          <w:sz w:val="24"/>
          <w:szCs w:val="24"/>
        </w:rPr>
      </w:pPr>
      <w:r w:rsidRPr="008012CB">
        <w:rPr>
          <w:rFonts w:ascii="Times New Roman" w:hAnsi="Times New Roman" w:cs="Times New Roman"/>
          <w:b/>
          <w:sz w:val="24"/>
          <w:szCs w:val="24"/>
        </w:rPr>
        <w:t>Problem definition</w:t>
      </w:r>
    </w:p>
    <w:p w:rsidR="008C0F9E" w:rsidRPr="008012CB" w:rsidRDefault="008C0F9E" w:rsidP="008C0F9E">
      <w:pPr>
        <w:spacing w:line="240" w:lineRule="auto"/>
        <w:jc w:val="both"/>
        <w:rPr>
          <w:rFonts w:ascii="Times New Roman" w:hAnsi="Times New Roman"/>
          <w:sz w:val="24"/>
          <w:szCs w:val="24"/>
          <w:lang w:val="en-AU" w:eastAsia="en-GB"/>
        </w:rPr>
      </w:pPr>
      <w:r w:rsidRPr="008012CB">
        <w:rPr>
          <w:rFonts w:ascii="Times New Roman" w:hAnsi="Times New Roman"/>
          <w:sz w:val="24"/>
          <w:szCs w:val="24"/>
          <w:lang w:val="en-AU" w:eastAsia="en-GB"/>
        </w:rPr>
        <w:t xml:space="preserve">Two types of problems are described in this section of the IA, reflecting two aspects of the value chain: those faced 'upstream' by </w:t>
      </w:r>
      <w:r w:rsidR="00F7354D">
        <w:rPr>
          <w:rFonts w:ascii="Times New Roman" w:hAnsi="Times New Roman"/>
          <w:sz w:val="24"/>
          <w:szCs w:val="24"/>
          <w:lang w:val="en-AU" w:eastAsia="en-GB"/>
        </w:rPr>
        <w:t>r</w:t>
      </w:r>
      <w:r w:rsidR="00007677">
        <w:rPr>
          <w:rFonts w:ascii="Times New Roman" w:hAnsi="Times New Roman"/>
          <w:sz w:val="24"/>
          <w:szCs w:val="24"/>
          <w:lang w:val="en-AU" w:eastAsia="en-GB"/>
        </w:rPr>
        <w:t>ightholders</w:t>
      </w:r>
      <w:r w:rsidRPr="008012CB">
        <w:rPr>
          <w:rFonts w:ascii="Times New Roman" w:hAnsi="Times New Roman"/>
          <w:sz w:val="24"/>
          <w:szCs w:val="24"/>
          <w:lang w:val="en-AU" w:eastAsia="en-GB"/>
        </w:rPr>
        <w:t xml:space="preserve"> when trying to license their content to certain online content services (difficulties to negotiate on a fair basis and to obtain remuneration) and those faced 'downstream' by creators when negotiating contracts for the exploitation of their works (lack of transparency on the exploitation of the works). The latter are not specific to the online environment but have been exacerbated by the multiple forms of exploitation existing online. The specific drivers and consequences are illustrated in the problem tree below and further explained in the following sub-sections. </w:t>
      </w:r>
    </w:p>
    <w:p w:rsidR="008C0F9E" w:rsidRPr="008012CB" w:rsidRDefault="00427E47" w:rsidP="008C0F9E">
      <w:pPr>
        <w:spacing w:line="240" w:lineRule="auto"/>
        <w:jc w:val="both"/>
        <w:rPr>
          <w:rFonts w:ascii="Times New Roman" w:hAnsi="Times New Roman"/>
          <w:sz w:val="24"/>
          <w:szCs w:val="24"/>
          <w:lang w:val="en-AU" w:eastAsia="en-GB"/>
        </w:rPr>
      </w:pPr>
      <w:r w:rsidRPr="00427E47">
        <w:rPr>
          <w:noProof/>
          <w:lang w:eastAsia="en-GB"/>
        </w:rPr>
        <w:drawing>
          <wp:inline distT="0" distB="0" distL="0" distR="0" wp14:anchorId="7EEA6713" wp14:editId="01813D4A">
            <wp:extent cx="5760720" cy="37433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3743304"/>
                    </a:xfrm>
                    <a:prstGeom prst="rect">
                      <a:avLst/>
                    </a:prstGeom>
                  </pic:spPr>
                </pic:pic>
              </a:graphicData>
            </a:graphic>
          </wp:inline>
        </w:drawing>
      </w:r>
    </w:p>
    <w:p w:rsidR="008C0F9E" w:rsidRPr="008012CB" w:rsidRDefault="008C0F9E" w:rsidP="008C0F9E">
      <w:pPr>
        <w:rPr>
          <w:rFonts w:ascii="Times New Roman" w:hAnsi="Times New Roman" w:cs="Times New Roman"/>
          <w:b/>
          <w:sz w:val="24"/>
          <w:szCs w:val="24"/>
        </w:rPr>
      </w:pPr>
      <w:r w:rsidRPr="008012CB">
        <w:rPr>
          <w:rFonts w:ascii="Times New Roman" w:hAnsi="Times New Roman" w:cs="Times New Roman"/>
          <w:b/>
          <w:sz w:val="24"/>
          <w:szCs w:val="24"/>
        </w:rPr>
        <w:t>Identification of policy options</w:t>
      </w:r>
    </w:p>
    <w:p w:rsidR="008C0F9E" w:rsidRDefault="008C0F9E" w:rsidP="008C0F9E">
      <w:pPr>
        <w:spacing w:line="240" w:lineRule="auto"/>
        <w:jc w:val="both"/>
        <w:rPr>
          <w:rFonts w:ascii="Times New Roman" w:hAnsi="Times New Roman" w:cs="Times New Roman"/>
          <w:sz w:val="24"/>
          <w:lang w:eastAsia="en-GB"/>
        </w:rPr>
      </w:pPr>
      <w:r w:rsidRPr="008012CB">
        <w:rPr>
          <w:rFonts w:ascii="Times New Roman" w:hAnsi="Times New Roman" w:cs="Times New Roman"/>
          <w:sz w:val="24"/>
          <w:lang w:eastAsia="en-GB"/>
        </w:rPr>
        <w:t xml:space="preserve">The policy options examined in each of the three areas include the baseline option, a non-legislative option, and one or several legislative options. The legislative options have been designed taking account of the existing legal framework and the different forms of distribution of content online. In view of the differences between the upstream and downstream problems and the diverse situation of stakeholders, no common solution could be envisaged to </w:t>
      </w:r>
      <w:r w:rsidRPr="008012CB">
        <w:rPr>
          <w:rFonts w:ascii="Times New Roman" w:hAnsi="Times New Roman" w:cs="Times New Roman"/>
          <w:sz w:val="24"/>
          <w:szCs w:val="24"/>
          <w:lang w:eastAsia="en-GB"/>
        </w:rPr>
        <w:t>address</w:t>
      </w:r>
      <w:r w:rsidRPr="008012CB">
        <w:rPr>
          <w:rFonts w:ascii="Times New Roman" w:hAnsi="Times New Roman" w:cs="Times New Roman"/>
          <w:sz w:val="24"/>
          <w:lang w:eastAsia="en-GB"/>
        </w:rPr>
        <w:t xml:space="preserve"> in a general manner the concern about the sharing of value in the online environment. </w:t>
      </w:r>
    </w:p>
    <w:p w:rsidR="00FD170B" w:rsidRDefault="00FD170B" w:rsidP="00FD170B">
      <w:pPr>
        <w:autoSpaceDE w:val="0"/>
        <w:autoSpaceDN w:val="0"/>
        <w:adjustRightInd w:val="0"/>
        <w:spacing w:after="120" w:line="240" w:lineRule="auto"/>
        <w:jc w:val="both"/>
        <w:rPr>
          <w:rFonts w:ascii="Times New Roman" w:hAnsi="Times New Roman" w:cs="Times New Roman"/>
          <w:i/>
          <w:sz w:val="24"/>
          <w:szCs w:val="24"/>
          <w:lang w:eastAsia="en-GB"/>
        </w:rPr>
      </w:pPr>
      <w:r w:rsidRPr="00A0311A">
        <w:rPr>
          <w:rFonts w:ascii="Times New Roman" w:hAnsi="Times New Roman" w:cs="Times New Roman"/>
          <w:i/>
          <w:sz w:val="24"/>
          <w:szCs w:val="24"/>
          <w:lang w:eastAsia="en-GB"/>
        </w:rPr>
        <w:t>Views from stakeholders</w:t>
      </w:r>
      <w:r>
        <w:rPr>
          <w:rFonts w:ascii="Times New Roman" w:hAnsi="Times New Roman" w:cs="Times New Roman"/>
          <w:i/>
          <w:sz w:val="24"/>
          <w:szCs w:val="24"/>
          <w:lang w:eastAsia="en-GB"/>
        </w:rPr>
        <w:t xml:space="preserve">, </w:t>
      </w:r>
      <w:r w:rsidRPr="00A0311A">
        <w:rPr>
          <w:rFonts w:ascii="Times New Roman" w:hAnsi="Times New Roman" w:cs="Times New Roman"/>
          <w:i/>
          <w:sz w:val="24"/>
          <w:szCs w:val="24"/>
          <w:lang w:eastAsia="en-GB"/>
        </w:rPr>
        <w:t>European Parliament</w:t>
      </w:r>
      <w:r>
        <w:rPr>
          <w:rFonts w:ascii="Times New Roman" w:hAnsi="Times New Roman" w:cs="Times New Roman"/>
          <w:i/>
          <w:sz w:val="24"/>
          <w:szCs w:val="24"/>
          <w:lang w:eastAsia="en-GB"/>
        </w:rPr>
        <w:t xml:space="preserve"> and</w:t>
      </w:r>
      <w:r w:rsidRPr="00A91DA7">
        <w:rPr>
          <w:rFonts w:ascii="Times New Roman" w:hAnsi="Times New Roman" w:cs="Times New Roman"/>
          <w:i/>
          <w:sz w:val="24"/>
          <w:szCs w:val="24"/>
          <w:lang w:eastAsia="en-GB"/>
        </w:rPr>
        <w:t xml:space="preserve"> Member States </w:t>
      </w:r>
    </w:p>
    <w:p w:rsidR="00FD170B" w:rsidRDefault="00FD170B" w:rsidP="00FD170B">
      <w:pPr>
        <w:autoSpaceDE w:val="0"/>
        <w:autoSpaceDN w:val="0"/>
        <w:adjustRightInd w:val="0"/>
        <w:spacing w:after="12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views from the different stakeholders are reported after the description of each policy option.</w:t>
      </w:r>
    </w:p>
    <w:p w:rsidR="0085707C" w:rsidRDefault="00E2509A" w:rsidP="00AD57F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In its resolution of July 2015, the EP highlighted the need to "consider solutions for the displacement of value from content to services". </w:t>
      </w:r>
      <w:r>
        <w:rPr>
          <w:rFonts w:ascii="Times New Roman" w:hAnsi="Times New Roman" w:cs="Times New Roman"/>
          <w:sz w:val="24"/>
          <w:szCs w:val="24"/>
        </w:rPr>
        <w:t xml:space="preserve">The </w:t>
      </w:r>
      <w:r w:rsidR="000D5614">
        <w:rPr>
          <w:rFonts w:ascii="Times New Roman" w:hAnsi="Times New Roman" w:cs="Times New Roman"/>
          <w:sz w:val="24"/>
          <w:szCs w:val="24"/>
        </w:rPr>
        <w:t>resolution also "</w:t>
      </w:r>
      <w:r w:rsidR="000D5614" w:rsidRPr="000D5614">
        <w:rPr>
          <w:rFonts w:ascii="Times New Roman" w:hAnsi="Times New Roman" w:cs="Times New Roman"/>
          <w:sz w:val="24"/>
          <w:szCs w:val="24"/>
        </w:rPr>
        <w:t xml:space="preserve">recognises the role of producers and publishers in bringing works to the market, and the need for fair and appropriate remuneration for all categories of </w:t>
      </w:r>
      <w:r w:rsidR="00F7354D">
        <w:rPr>
          <w:rFonts w:ascii="Times New Roman" w:hAnsi="Times New Roman" w:cs="Times New Roman"/>
          <w:sz w:val="24"/>
          <w:szCs w:val="24"/>
        </w:rPr>
        <w:t>r</w:t>
      </w:r>
      <w:r w:rsidR="00007677">
        <w:rPr>
          <w:rFonts w:ascii="Times New Roman" w:hAnsi="Times New Roman" w:cs="Times New Roman"/>
          <w:sz w:val="24"/>
          <w:szCs w:val="24"/>
        </w:rPr>
        <w:t>ightholders</w:t>
      </w:r>
      <w:r w:rsidR="000D5614">
        <w:rPr>
          <w:rFonts w:ascii="Times New Roman" w:hAnsi="Times New Roman" w:cs="Times New Roman"/>
          <w:sz w:val="24"/>
          <w:szCs w:val="24"/>
        </w:rPr>
        <w:t xml:space="preserve">". Finally, the EP would strongly support solutions aimed at strengthening the contractual position of authors and performers. The recommendation </w:t>
      </w:r>
      <w:r w:rsidR="000D5614" w:rsidRPr="00AD57F7">
        <w:rPr>
          <w:rFonts w:ascii="Times New Roman" w:hAnsi="Times New Roman" w:cs="Times New Roman"/>
          <w:sz w:val="24"/>
          <w:szCs w:val="24"/>
        </w:rPr>
        <w:t>stresses "that authors and performers must receive fair remuneration in the digital environment and in the analogue world alike"</w:t>
      </w:r>
      <w:r w:rsidR="000D5614">
        <w:rPr>
          <w:rFonts w:ascii="Times New Roman" w:hAnsi="Times New Roman" w:cs="Times New Roman"/>
          <w:sz w:val="24"/>
          <w:szCs w:val="24"/>
        </w:rPr>
        <w:t>.</w:t>
      </w:r>
    </w:p>
    <w:p w:rsidR="002169CA" w:rsidRDefault="0085707C" w:rsidP="00AD57F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acknowledging the growing importance of online services in content distribution, MS </w:t>
      </w:r>
      <w:r w:rsidRPr="0085707C">
        <w:rPr>
          <w:rFonts w:ascii="Times New Roman" w:eastAsia="Calibri" w:hAnsi="Times New Roman" w:cs="Times New Roman"/>
          <w:sz w:val="24"/>
          <w:szCs w:val="24"/>
          <w:lang w:eastAsia="en-GB"/>
        </w:rPr>
        <w:t>have</w:t>
      </w:r>
      <w:r w:rsidR="00FD170B" w:rsidRPr="001F1862">
        <w:rPr>
          <w:rFonts w:ascii="Times New Roman" w:hAnsi="Times New Roman" w:cs="Times New Roman"/>
          <w:sz w:val="24"/>
          <w:szCs w:val="24"/>
        </w:rPr>
        <w:t xml:space="preserve"> </w:t>
      </w:r>
      <w:r w:rsidR="00FD170B" w:rsidRPr="00B307FD">
        <w:rPr>
          <w:rFonts w:ascii="Times New Roman" w:hAnsi="Times New Roman" w:cs="Times New Roman"/>
          <w:sz w:val="24"/>
          <w:szCs w:val="24"/>
        </w:rPr>
        <w:t>in ge</w:t>
      </w:r>
      <w:r w:rsidRPr="00DD78D1">
        <w:rPr>
          <w:rFonts w:ascii="Times New Roman" w:hAnsi="Times New Roman" w:cs="Times New Roman"/>
          <w:sz w:val="24"/>
          <w:szCs w:val="24"/>
        </w:rPr>
        <w:t xml:space="preserve">neral been cautious on issues related to the sharing of value in the online </w:t>
      </w:r>
      <w:r>
        <w:rPr>
          <w:rFonts w:ascii="Times New Roman" w:hAnsi="Times New Roman" w:cs="Times New Roman"/>
          <w:sz w:val="24"/>
          <w:szCs w:val="24"/>
        </w:rPr>
        <w:t xml:space="preserve">environment, </w:t>
      </w:r>
      <w:r w:rsidR="00FD170B" w:rsidRPr="0085707C">
        <w:rPr>
          <w:rFonts w:ascii="Times New Roman" w:hAnsi="Times New Roman" w:cs="Times New Roman"/>
          <w:sz w:val="24"/>
          <w:szCs w:val="24"/>
        </w:rPr>
        <w:t xml:space="preserve">waiting for the exact policy option that the Commission would bring forward. </w:t>
      </w:r>
    </w:p>
    <w:p w:rsidR="00FD170B" w:rsidRDefault="00AE0978" w:rsidP="00AD57F7">
      <w:pPr>
        <w:autoSpaceDE w:val="0"/>
        <w:autoSpaceDN w:val="0"/>
        <w:adjustRightInd w:val="0"/>
        <w:spacing w:after="120" w:line="240" w:lineRule="auto"/>
        <w:jc w:val="both"/>
        <w:rPr>
          <w:rFonts w:ascii="Times New Roman" w:hAnsi="Times New Roman" w:cs="Times New Roman"/>
          <w:sz w:val="24"/>
          <w:lang w:eastAsia="en-GB"/>
        </w:rPr>
      </w:pPr>
      <w:r>
        <w:rPr>
          <w:rFonts w:ascii="Times New Roman" w:hAnsi="Times New Roman" w:cs="Times New Roman"/>
          <w:sz w:val="24"/>
          <w:lang w:eastAsia="en-GB"/>
        </w:rPr>
        <w:t>MS have equally been cautious as regards the possible introduction of a related right for news publishers, although most of them generally recognise the seriousness of the problems faced by this industry in the digital environment</w:t>
      </w:r>
      <w:r w:rsidR="008350EF">
        <w:rPr>
          <w:rStyle w:val="FootnoteReference"/>
          <w:rFonts w:ascii="Times New Roman" w:hAnsi="Times New Roman" w:cs="Times New Roman"/>
          <w:sz w:val="24"/>
          <w:lang w:eastAsia="en-GB"/>
        </w:rPr>
        <w:footnoteReference w:id="405"/>
      </w:r>
      <w:r>
        <w:rPr>
          <w:rFonts w:ascii="Times New Roman" w:hAnsi="Times New Roman" w:cs="Times New Roman"/>
          <w:sz w:val="24"/>
          <w:lang w:eastAsia="en-GB"/>
        </w:rPr>
        <w:t xml:space="preserve"> and are likely to support a targeted intervention in this area, including as regard publishers' claim for compensation. </w:t>
      </w:r>
    </w:p>
    <w:p w:rsidR="00181FF9" w:rsidRDefault="00CE2198" w:rsidP="00AD57F7">
      <w:pPr>
        <w:spacing w:after="0" w:line="240" w:lineRule="auto"/>
        <w:jc w:val="both"/>
        <w:rPr>
          <w:rFonts w:ascii="Times New Roman" w:hAnsi="Times New Roman" w:cs="Times New Roman"/>
          <w:sz w:val="24"/>
          <w:lang w:eastAsia="en-GB"/>
        </w:rPr>
      </w:pPr>
      <w:r>
        <w:rPr>
          <w:rFonts w:ascii="Times New Roman" w:hAnsi="Times New Roman" w:cs="Times New Roman"/>
          <w:sz w:val="24"/>
          <w:lang w:eastAsia="en-GB"/>
        </w:rPr>
        <w:t xml:space="preserve">MS are expected to support the objective of increasing transparency in the system governing the remuneration of authors and creators, but are likely to favour non-legislative options at EU level. In the 2014 public consultation, several MS </w:t>
      </w:r>
      <w:r w:rsidR="000D5614" w:rsidRPr="00AD57F7">
        <w:rPr>
          <w:rFonts w:ascii="Times New Roman" w:hAnsi="Times New Roman" w:cs="Times New Roman"/>
          <w:sz w:val="24"/>
          <w:lang w:eastAsia="en-GB"/>
        </w:rPr>
        <w:t xml:space="preserve">highlighted the importance of appropriate and fair remuneration for authors and performers but considered that it was for MS to decide whether or not to intervene in this matter by legislative means. </w:t>
      </w:r>
    </w:p>
    <w:p w:rsidR="00181FF9" w:rsidRPr="008012CB" w:rsidRDefault="00181FF9" w:rsidP="00AD57F7">
      <w:pPr>
        <w:spacing w:after="0" w:line="240" w:lineRule="auto"/>
        <w:jc w:val="both"/>
        <w:rPr>
          <w:rFonts w:ascii="Times New Roman" w:hAnsi="Times New Roman" w:cs="Times New Roman"/>
          <w:sz w:val="24"/>
          <w:lang w:eastAsia="en-GB"/>
        </w:rPr>
      </w:pPr>
    </w:p>
    <w:p w:rsidR="008C0F9E" w:rsidRPr="008012CB" w:rsidRDefault="008C0F9E" w:rsidP="008C0F9E">
      <w:pPr>
        <w:rPr>
          <w:rFonts w:ascii="Times New Roman" w:hAnsi="Times New Roman" w:cs="Times New Roman"/>
          <w:b/>
          <w:sz w:val="24"/>
          <w:szCs w:val="24"/>
        </w:rPr>
      </w:pPr>
      <w:r w:rsidRPr="008012CB">
        <w:rPr>
          <w:rFonts w:ascii="Times New Roman" w:hAnsi="Times New Roman" w:cs="Times New Roman"/>
          <w:b/>
          <w:sz w:val="24"/>
          <w:szCs w:val="24"/>
        </w:rPr>
        <w:t>Impacts of policy options</w:t>
      </w:r>
    </w:p>
    <w:p w:rsidR="008C0F9E" w:rsidRPr="008012CB" w:rsidRDefault="008C0F9E" w:rsidP="008C0F9E">
      <w:pPr>
        <w:spacing w:after="120"/>
        <w:rPr>
          <w:rFonts w:ascii="Times New Roman" w:hAnsi="Times New Roman" w:cs="Times New Roman"/>
          <w:i/>
          <w:sz w:val="24"/>
          <w:szCs w:val="24"/>
        </w:rPr>
      </w:pPr>
      <w:r w:rsidRPr="008012CB">
        <w:rPr>
          <w:rFonts w:ascii="Times New Roman" w:hAnsi="Times New Roman" w:cs="Times New Roman"/>
          <w:i/>
          <w:sz w:val="24"/>
          <w:szCs w:val="24"/>
        </w:rPr>
        <w:t>Stakeholders affected</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The policy options considered in this section of the IA would directly affect certain types of online content services (in particular, those storing and giving access to content uploaded by users and those giving access to news content) and would also have an impact of the competitive situation of other types of online content services.</w:t>
      </w:r>
    </w:p>
    <w:p w:rsidR="008C0F9E" w:rsidRPr="008012CB" w:rsidRDefault="008C0F9E" w:rsidP="008C0F9E">
      <w:pPr>
        <w:spacing w:line="240" w:lineRule="auto"/>
        <w:jc w:val="both"/>
        <w:rPr>
          <w:rFonts w:ascii="Times New Roman" w:hAnsi="Times New Roman" w:cs="Times New Roman"/>
          <w:sz w:val="24"/>
          <w:lang w:eastAsia="en-GB"/>
        </w:rPr>
      </w:pPr>
      <w:r w:rsidRPr="008012CB">
        <w:rPr>
          <w:rFonts w:ascii="Times New Roman" w:hAnsi="Times New Roman" w:cs="Times New Roman"/>
          <w:sz w:val="24"/>
          <w:szCs w:val="24"/>
        </w:rPr>
        <w:t xml:space="preserve">The options envisaged to address the difficulties faced with </w:t>
      </w:r>
      <w:r w:rsidRPr="008012CB">
        <w:rPr>
          <w:rFonts w:ascii="Times New Roman" w:hAnsi="Times New Roman" w:cs="Times New Roman"/>
          <w:sz w:val="24"/>
          <w:lang w:eastAsia="en-GB"/>
        </w:rPr>
        <w:t xml:space="preserve">online services distributing content uploaded by end-users would affect all types of </w:t>
      </w:r>
      <w:r w:rsidR="00D67123">
        <w:rPr>
          <w:rFonts w:ascii="Times New Roman" w:hAnsi="Times New Roman" w:cs="Times New Roman"/>
          <w:sz w:val="24"/>
          <w:lang w:eastAsia="en-GB"/>
        </w:rPr>
        <w:t>r</w:t>
      </w:r>
      <w:r w:rsidR="00007677">
        <w:rPr>
          <w:rFonts w:ascii="Times New Roman" w:hAnsi="Times New Roman" w:cs="Times New Roman"/>
          <w:sz w:val="24"/>
          <w:lang w:eastAsia="en-GB"/>
        </w:rPr>
        <w:t>ightholders</w:t>
      </w:r>
      <w:r w:rsidRPr="008012CB">
        <w:rPr>
          <w:rFonts w:ascii="Times New Roman" w:hAnsi="Times New Roman" w:cs="Times New Roman"/>
          <w:sz w:val="24"/>
          <w:lang w:eastAsia="en-GB"/>
        </w:rPr>
        <w:t xml:space="preserve"> whose content is used by these services (in the music, </w:t>
      </w:r>
      <w:r w:rsidR="00F506EA">
        <w:rPr>
          <w:rFonts w:ascii="Times New Roman" w:hAnsi="Times New Roman" w:cs="Times New Roman"/>
          <w:sz w:val="24"/>
          <w:lang w:eastAsia="en-GB"/>
        </w:rPr>
        <w:t>AV</w:t>
      </w:r>
      <w:r w:rsidR="00F506EA" w:rsidRPr="008012CB">
        <w:rPr>
          <w:rFonts w:ascii="Times New Roman" w:hAnsi="Times New Roman" w:cs="Times New Roman"/>
          <w:sz w:val="24"/>
          <w:lang w:eastAsia="en-GB"/>
        </w:rPr>
        <w:t xml:space="preserve"> </w:t>
      </w:r>
      <w:r w:rsidRPr="008012CB">
        <w:rPr>
          <w:rFonts w:ascii="Times New Roman" w:hAnsi="Times New Roman" w:cs="Times New Roman"/>
          <w:sz w:val="24"/>
          <w:lang w:eastAsia="en-GB"/>
        </w:rPr>
        <w:t xml:space="preserve">and print sectors). </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lang w:eastAsia="en-GB"/>
        </w:rPr>
        <w:t xml:space="preserve">For the use of publications online, the options envisaged would have an impact on publishers (press and book publishers), as well as on authors and other creators of the individual contributions which compose a publication. </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The options envisaged in the area of remuneration would affect more strongly authors and performers and all types of parties they contract with (which could be producers, publishers, broadcasters but also online content services in some cases).</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The impacts on consumers are examined in the three areas covered by this section, notably in terms of access to content.</w:t>
      </w:r>
    </w:p>
    <w:p w:rsidR="008C0F9E" w:rsidRPr="008012CB" w:rsidRDefault="008C0F9E" w:rsidP="008C0F9E">
      <w:pPr>
        <w:spacing w:after="120"/>
        <w:rPr>
          <w:rFonts w:ascii="Times New Roman" w:hAnsi="Times New Roman" w:cs="Times New Roman"/>
          <w:i/>
          <w:sz w:val="24"/>
          <w:szCs w:val="24"/>
        </w:rPr>
      </w:pPr>
      <w:r w:rsidRPr="008012CB">
        <w:rPr>
          <w:rFonts w:ascii="Times New Roman" w:hAnsi="Times New Roman" w:cs="Times New Roman"/>
          <w:i/>
          <w:sz w:val="24"/>
          <w:szCs w:val="24"/>
        </w:rPr>
        <w:t>Type of impacts and availability of data</w:t>
      </w:r>
    </w:p>
    <w:p w:rsidR="008C0F9E" w:rsidRPr="008012CB" w:rsidRDefault="008C0F9E" w:rsidP="008C0F9E">
      <w:pPr>
        <w:spacing w:before="120"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0"/>
          <w:lang w:eastAsia="en-GB"/>
        </w:rPr>
        <w:t xml:space="preserve">Only the most significant and likely impacts are reported in this IA. The impacts are assessed by group of stakeholders </w:t>
      </w:r>
      <w:r w:rsidRPr="008012CB">
        <w:rPr>
          <w:rFonts w:ascii="Times New Roman" w:eastAsia="Calibri" w:hAnsi="Times New Roman" w:cs="Times New Roman"/>
          <w:sz w:val="24"/>
          <w:szCs w:val="24"/>
          <w:lang w:eastAsia="en-GB"/>
        </w:rPr>
        <w:t xml:space="preserve">(e.g. online services, </w:t>
      </w:r>
      <w:r w:rsidR="00D67123">
        <w:rPr>
          <w:rFonts w:ascii="Times New Roman" w:eastAsia="Calibri" w:hAnsi="Times New Roman" w:cs="Times New Roman"/>
          <w:sz w:val="24"/>
          <w:szCs w:val="24"/>
          <w:lang w:eastAsia="en-GB"/>
        </w:rPr>
        <w:t>r</w:t>
      </w:r>
      <w:r w:rsidR="00007677">
        <w:rPr>
          <w:rFonts w:ascii="Times New Roman" w:eastAsia="Calibri" w:hAnsi="Times New Roman" w:cs="Times New Roman"/>
          <w:sz w:val="24"/>
          <w:szCs w:val="24"/>
          <w:lang w:eastAsia="en-GB"/>
        </w:rPr>
        <w:t>ightholders</w:t>
      </w:r>
      <w:r w:rsidRPr="008012CB">
        <w:rPr>
          <w:rFonts w:ascii="Times New Roman" w:eastAsia="Calibri" w:hAnsi="Times New Roman" w:cs="Times New Roman"/>
          <w:sz w:val="24"/>
          <w:szCs w:val="24"/>
          <w:lang w:eastAsia="en-GB"/>
        </w:rPr>
        <w:t xml:space="preserve">, consumers), focusing mainly on economic impacts, for example in terms of exploitation of content, revenues, business models, competitive situation, compliance costs. These economic impacts are mostly assessed from a qualitative point of view, considering how the different policy options would affect the negotiations between those creating or investing in the creation of content and those distributing such content online. The limited availability of data in this area (beyond market data or specific examples provided by stakeholders which are presented in the problem definition where available) did not allow to elaborate a quantitative analysis of the impacts of the different policy options. </w:t>
      </w:r>
    </w:p>
    <w:p w:rsidR="008C0F9E" w:rsidRPr="008012CB" w:rsidRDefault="008C0F9E" w:rsidP="008C0F9E">
      <w:pPr>
        <w:spacing w:before="120" w:after="120" w:line="240" w:lineRule="auto"/>
        <w:jc w:val="both"/>
        <w:rPr>
          <w:rFonts w:ascii="Times New Roman" w:eastAsia="Calibri" w:hAnsi="Times New Roman" w:cs="Times New Roman"/>
          <w:sz w:val="24"/>
          <w:szCs w:val="20"/>
          <w:lang w:eastAsia="en-GB"/>
        </w:rPr>
      </w:pPr>
      <w:r w:rsidRPr="008012CB">
        <w:rPr>
          <w:rFonts w:ascii="Times New Roman" w:eastAsia="Calibri" w:hAnsi="Times New Roman" w:cs="Times New Roman"/>
          <w:sz w:val="24"/>
          <w:szCs w:val="24"/>
          <w:lang w:eastAsia="en-GB"/>
        </w:rPr>
        <w:t>In addition to the impacts on the different groups of stakeholders, broad social impacts (e.g. impacts on cultural diversity) and impacts on fundamental rights are assessed separately. All policy options considered in this section of the IA may have an impact on copyright as a property right (Article 17(2) of the Charter), on the freedom to conduct a business (Article 16) and on freedom of information (Article 11)</w:t>
      </w:r>
      <w:r w:rsidRPr="008012CB">
        <w:rPr>
          <w:rFonts w:ascii="Times New Roman" w:eastAsia="Calibri" w:hAnsi="Times New Roman" w:cs="Times New Roman"/>
          <w:sz w:val="24"/>
          <w:szCs w:val="20"/>
          <w:lang w:eastAsia="en-GB"/>
        </w:rPr>
        <w:t>. Impacts on third countries or on the environment are not elaborated upon as the policy options presented in this section of the IA are considered not to have any substantial impact on them.</w:t>
      </w:r>
    </w:p>
    <w:p w:rsidR="008C0F9E" w:rsidRPr="008012CB" w:rsidRDefault="008C0F9E" w:rsidP="008C0F9E">
      <w:pPr>
        <w:spacing w:after="120"/>
        <w:rPr>
          <w:rFonts w:ascii="Times New Roman" w:hAnsi="Times New Roman" w:cs="Times New Roman"/>
          <w:i/>
          <w:sz w:val="24"/>
          <w:szCs w:val="24"/>
        </w:rPr>
      </w:pPr>
      <w:r w:rsidRPr="008012CB">
        <w:rPr>
          <w:rFonts w:ascii="Times New Roman" w:hAnsi="Times New Roman" w:cs="Times New Roman"/>
          <w:i/>
          <w:sz w:val="24"/>
          <w:szCs w:val="24"/>
        </w:rPr>
        <w:t>Impacts on SMEs</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 xml:space="preserve">The large majority of companies that would be affected (as </w:t>
      </w:r>
      <w:r w:rsidR="00D67123">
        <w:rPr>
          <w:rFonts w:ascii="Times New Roman" w:hAnsi="Times New Roman" w:cs="Times New Roman"/>
          <w:sz w:val="24"/>
          <w:szCs w:val="24"/>
        </w:rPr>
        <w:t>r</w:t>
      </w:r>
      <w:r w:rsidR="00007677">
        <w:rPr>
          <w:rFonts w:ascii="Times New Roman" w:hAnsi="Times New Roman" w:cs="Times New Roman"/>
          <w:sz w:val="24"/>
          <w:szCs w:val="24"/>
        </w:rPr>
        <w:t>ightholders</w:t>
      </w:r>
      <w:r w:rsidRPr="008012CB">
        <w:rPr>
          <w:rFonts w:ascii="Times New Roman" w:hAnsi="Times New Roman" w:cs="Times New Roman"/>
          <w:sz w:val="24"/>
          <w:szCs w:val="24"/>
        </w:rPr>
        <w:t>, publishers, authors/performers or their contractual counterparties, but also certain types of online services) by the options considered in this section of the IA are SMEs, and more particularly micro-companies (90</w:t>
      </w:r>
      <w:r w:rsidR="000B17FD">
        <w:rPr>
          <w:rFonts w:ascii="Times New Roman" w:hAnsi="Times New Roman" w:cs="Times New Roman"/>
          <w:sz w:val="24"/>
          <w:szCs w:val="24"/>
        </w:rPr>
        <w:t xml:space="preserve"> </w:t>
      </w:r>
      <w:r w:rsidRPr="008012CB">
        <w:rPr>
          <w:rFonts w:ascii="Times New Roman" w:hAnsi="Times New Roman" w:cs="Times New Roman"/>
          <w:sz w:val="24"/>
          <w:szCs w:val="24"/>
        </w:rPr>
        <w:t>% of companies in the publishing of books, newspapers and journals and 96</w:t>
      </w:r>
      <w:r w:rsidR="000B17FD">
        <w:rPr>
          <w:rFonts w:ascii="Times New Roman" w:hAnsi="Times New Roman" w:cs="Times New Roman"/>
          <w:sz w:val="24"/>
          <w:szCs w:val="24"/>
        </w:rPr>
        <w:t xml:space="preserve"> </w:t>
      </w:r>
      <w:r w:rsidRPr="008012CB">
        <w:rPr>
          <w:rFonts w:ascii="Times New Roman" w:hAnsi="Times New Roman" w:cs="Times New Roman"/>
          <w:sz w:val="24"/>
          <w:szCs w:val="24"/>
        </w:rPr>
        <w:t>% of companies in the film and music production and 95</w:t>
      </w:r>
      <w:r w:rsidR="000B17FD">
        <w:rPr>
          <w:rFonts w:ascii="Times New Roman" w:hAnsi="Times New Roman" w:cs="Times New Roman"/>
          <w:sz w:val="24"/>
          <w:szCs w:val="24"/>
        </w:rPr>
        <w:t xml:space="preserve"> </w:t>
      </w:r>
      <w:r w:rsidRPr="008012CB">
        <w:rPr>
          <w:rFonts w:ascii="Times New Roman" w:hAnsi="Times New Roman" w:cs="Times New Roman"/>
          <w:sz w:val="24"/>
          <w:szCs w:val="24"/>
        </w:rPr>
        <w:t>% of companies involved in data processing, hosting and related activities or web portals)</w:t>
      </w:r>
      <w:r w:rsidRPr="008012CB">
        <w:rPr>
          <w:rFonts w:ascii="Times New Roman" w:hAnsi="Times New Roman" w:cs="Times New Roman"/>
          <w:sz w:val="24"/>
          <w:szCs w:val="24"/>
          <w:vertAlign w:val="superscript"/>
        </w:rPr>
        <w:footnoteReference w:id="406"/>
      </w:r>
      <w:r w:rsidRPr="008012CB">
        <w:rPr>
          <w:rFonts w:ascii="Times New Roman" w:hAnsi="Times New Roman" w:cs="Times New Roman"/>
          <w:sz w:val="24"/>
          <w:szCs w:val="24"/>
        </w:rPr>
        <w:t xml:space="preserve">. </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 xml:space="preserve">The policy options examined in relation to the use of content uploaded by users or the use of publications through online services would contribute to support SMEs and micro-companies in their negotiation with online content services. Certain options would however generate obligations for SMEs active as online services. Also, some of the policy options considered in the area of remuneration of authors and performers would create compliance costs for SMEs and micro-companies (notably producers or publishers) contracting with authors and performers. These costs are analysed in section 5.3.3 and in Annex 14. </w:t>
      </w:r>
    </w:p>
    <w:p w:rsidR="008C0F9E" w:rsidRPr="008012CB" w:rsidRDefault="008C0F9E" w:rsidP="008C0F9E">
      <w:pPr>
        <w:spacing w:line="240" w:lineRule="auto"/>
        <w:jc w:val="both"/>
        <w:rPr>
          <w:rFonts w:ascii="Times New Roman" w:hAnsi="Times New Roman" w:cs="Times New Roman"/>
          <w:sz w:val="24"/>
          <w:szCs w:val="24"/>
        </w:rPr>
      </w:pPr>
      <w:r w:rsidRPr="008012CB">
        <w:rPr>
          <w:rFonts w:ascii="Times New Roman" w:hAnsi="Times New Roman" w:cs="Times New Roman"/>
          <w:sz w:val="24"/>
          <w:szCs w:val="24"/>
        </w:rPr>
        <w:t xml:space="preserve">Considering the high number of SMEs and micro-companies in the creative industries and in the distribution of content online, exemptions or mitigating measures have not been deemed appropriate as they may create possibilities for businesses to circumvent the obligations and would not allow to reach the objectives defined above. </w:t>
      </w:r>
    </w:p>
    <w:p w:rsidR="008C0F9E" w:rsidRPr="008012CB" w:rsidRDefault="008C0F9E" w:rsidP="008C0F9E">
      <w:pPr>
        <w:spacing w:line="240" w:lineRule="auto"/>
        <w:jc w:val="both"/>
        <w:rPr>
          <w:rFonts w:ascii="Times New Roman" w:hAnsi="Times New Roman" w:cs="Times New Roman"/>
          <w:b/>
          <w:sz w:val="24"/>
          <w:szCs w:val="24"/>
        </w:rPr>
      </w:pPr>
      <w:r w:rsidRPr="008012CB">
        <w:rPr>
          <w:rFonts w:ascii="Times New Roman" w:hAnsi="Times New Roman" w:cs="Times New Roman"/>
          <w:b/>
          <w:sz w:val="24"/>
          <w:szCs w:val="24"/>
        </w:rPr>
        <w:t>Comparison of policy options</w:t>
      </w:r>
    </w:p>
    <w:p w:rsidR="002A7940" w:rsidRPr="008012CB" w:rsidRDefault="008C0F9E" w:rsidP="002A7940">
      <w:pPr>
        <w:spacing w:line="240" w:lineRule="auto"/>
        <w:jc w:val="both"/>
        <w:rPr>
          <w:rFonts w:ascii="Times New Roman" w:eastAsia="Calibri" w:hAnsi="Times New Roman" w:cs="Times New Roman"/>
          <w:color w:val="000000"/>
          <w:sz w:val="24"/>
          <w:szCs w:val="20"/>
          <w:lang w:eastAsia="en-GB"/>
        </w:rPr>
      </w:pPr>
      <w:r w:rsidRPr="008012CB">
        <w:rPr>
          <w:rFonts w:ascii="Times New Roman" w:eastAsia="Calibri" w:hAnsi="Times New Roman" w:cs="Times New Roman"/>
          <w:color w:val="000000"/>
          <w:sz w:val="24"/>
          <w:szCs w:val="20"/>
          <w:lang w:eastAsia="en-GB"/>
        </w:rPr>
        <w:t xml:space="preserve">The policy options are compared against the criteria of </w:t>
      </w:r>
      <w:r w:rsidRPr="008012CB">
        <w:rPr>
          <w:rFonts w:ascii="Times New Roman" w:eastAsia="Calibri" w:hAnsi="Times New Roman" w:cs="Times New Roman"/>
          <w:color w:val="000000"/>
          <w:sz w:val="24"/>
          <w:szCs w:val="20"/>
          <w:u w:val="single"/>
          <w:lang w:eastAsia="en-GB"/>
        </w:rPr>
        <w:t>effectiveness</w:t>
      </w:r>
      <w:r w:rsidRPr="008012CB">
        <w:rPr>
          <w:rFonts w:ascii="Times New Roman" w:eastAsia="Calibri" w:hAnsi="Times New Roman" w:cs="Times New Roman"/>
          <w:color w:val="000000"/>
          <w:sz w:val="24"/>
          <w:szCs w:val="20"/>
          <w:lang w:eastAsia="en-GB"/>
        </w:rPr>
        <w:t xml:space="preserve"> (i.e. to what extent they fulfil the specific objective), </w:t>
      </w:r>
      <w:r w:rsidRPr="008012CB">
        <w:rPr>
          <w:rFonts w:ascii="Times New Roman" w:eastAsia="Calibri" w:hAnsi="Times New Roman" w:cs="Times New Roman"/>
          <w:color w:val="000000"/>
          <w:sz w:val="24"/>
          <w:szCs w:val="20"/>
          <w:u w:val="single"/>
          <w:lang w:eastAsia="en-GB"/>
        </w:rPr>
        <w:t>efficiency</w:t>
      </w:r>
      <w:r w:rsidRPr="008012CB">
        <w:rPr>
          <w:rFonts w:ascii="Times New Roman" w:eastAsia="Calibri" w:hAnsi="Times New Roman" w:cs="Times New Roman"/>
          <w:color w:val="000000"/>
          <w:sz w:val="24"/>
          <w:szCs w:val="20"/>
          <w:lang w:eastAsia="en-GB"/>
        </w:rPr>
        <w:t xml:space="preserve"> (i.e. at what cost they do so), </w:t>
      </w:r>
      <w:r w:rsidRPr="008012CB">
        <w:rPr>
          <w:rFonts w:ascii="Times New Roman" w:eastAsia="Calibri" w:hAnsi="Times New Roman" w:cs="Times New Roman"/>
          <w:color w:val="000000"/>
          <w:sz w:val="24"/>
          <w:szCs w:val="20"/>
          <w:u w:val="single"/>
          <w:lang w:eastAsia="en-GB"/>
        </w:rPr>
        <w:t>impact on the different groups of stakeholders</w:t>
      </w:r>
      <w:r w:rsidRPr="008012CB">
        <w:rPr>
          <w:rFonts w:ascii="Times New Roman" w:eastAsia="Calibri" w:hAnsi="Times New Roman" w:cs="Times New Roman"/>
          <w:color w:val="000000"/>
          <w:sz w:val="24"/>
          <w:szCs w:val="20"/>
          <w:lang w:eastAsia="en-GB"/>
        </w:rPr>
        <w:t xml:space="preserve"> and </w:t>
      </w:r>
      <w:r w:rsidRPr="008012CB">
        <w:rPr>
          <w:rFonts w:ascii="Times New Roman" w:eastAsia="Calibri" w:hAnsi="Times New Roman" w:cs="Times New Roman"/>
          <w:color w:val="000000"/>
          <w:sz w:val="24"/>
          <w:szCs w:val="20"/>
          <w:u w:val="single"/>
          <w:lang w:eastAsia="en-GB"/>
        </w:rPr>
        <w:t>coherence</w:t>
      </w:r>
      <w:r w:rsidRPr="008012CB">
        <w:rPr>
          <w:rFonts w:ascii="Times New Roman" w:eastAsia="Calibri" w:hAnsi="Times New Roman" w:cs="Times New Roman"/>
          <w:color w:val="000000"/>
          <w:sz w:val="24"/>
          <w:szCs w:val="20"/>
          <w:lang w:eastAsia="en-GB"/>
        </w:rPr>
        <w:t xml:space="preserve"> with regard to cultural diversity, fundamental rights and/or other EU policies.  Each option is rated between "--" (very negative), "-" (negative), 0 (neutral), "+" (positive) and "++" (very </w:t>
      </w:r>
      <w:r w:rsidRPr="008012CB">
        <w:rPr>
          <w:rFonts w:ascii="Times New Roman" w:hAnsi="Times New Roman" w:cs="Times New Roman"/>
          <w:sz w:val="24"/>
          <w:szCs w:val="24"/>
        </w:rPr>
        <w:t>positive</w:t>
      </w:r>
      <w:r w:rsidRPr="008012CB">
        <w:rPr>
          <w:rFonts w:ascii="Times New Roman" w:eastAsia="Calibri" w:hAnsi="Times New Roman" w:cs="Times New Roman"/>
          <w:color w:val="000000"/>
          <w:sz w:val="24"/>
          <w:szCs w:val="20"/>
          <w:lang w:eastAsia="en-GB"/>
        </w:rPr>
        <w:t xml:space="preserve">). </w:t>
      </w:r>
      <w:bookmarkStart w:id="127" w:name="_Toc450810788"/>
      <w:bookmarkStart w:id="128" w:name="_Toc450811982"/>
      <w:bookmarkStart w:id="129" w:name="_Toc450811983"/>
      <w:bookmarkStart w:id="130" w:name="_Toc450811984"/>
      <w:bookmarkStart w:id="131" w:name="_Toc450811985"/>
      <w:bookmarkStart w:id="132" w:name="_Toc450811986"/>
      <w:bookmarkStart w:id="133" w:name="_Toc450811987"/>
      <w:bookmarkStart w:id="134" w:name="_Toc450811988"/>
      <w:bookmarkStart w:id="135" w:name="_Toc450811989"/>
      <w:bookmarkStart w:id="136" w:name="_Toc450811990"/>
      <w:bookmarkStart w:id="137" w:name="_Toc450811991"/>
      <w:bookmarkStart w:id="138" w:name="_Toc450811992"/>
      <w:bookmarkStart w:id="139" w:name="_Toc450811993"/>
      <w:bookmarkStart w:id="140" w:name="_Toc450811994"/>
      <w:bookmarkStart w:id="141" w:name="_Toc450811995"/>
      <w:bookmarkStart w:id="142" w:name="_Toc450811996"/>
      <w:bookmarkStart w:id="143" w:name="_Toc450811997"/>
      <w:bookmarkStart w:id="144" w:name="_Toc450811998"/>
      <w:bookmarkStart w:id="145" w:name="_Toc450811999"/>
      <w:bookmarkStart w:id="146" w:name="_Toc450813395"/>
      <w:bookmarkStart w:id="147" w:name="_Toc450813396"/>
      <w:bookmarkStart w:id="148" w:name="_Toc450813397"/>
      <w:bookmarkStart w:id="149" w:name="_Toc450813398"/>
      <w:bookmarkStart w:id="150" w:name="_Toc450813399"/>
      <w:bookmarkStart w:id="151" w:name="_Toc450813400"/>
      <w:bookmarkStart w:id="152" w:name="_Toc450813401"/>
      <w:bookmarkStart w:id="153" w:name="_Toc450813402"/>
      <w:bookmarkStart w:id="154" w:name="_Toc450813403"/>
      <w:bookmarkStart w:id="155" w:name="_Toc450813404"/>
      <w:bookmarkStart w:id="156" w:name="_Toc450813405"/>
      <w:bookmarkStart w:id="157" w:name="_Toc450813406"/>
      <w:bookmarkStart w:id="158" w:name="_Toc450813407"/>
      <w:bookmarkStart w:id="159" w:name="_Toc450813408"/>
      <w:bookmarkStart w:id="160" w:name="_Toc450813409"/>
      <w:bookmarkStart w:id="161" w:name="_Toc450813410"/>
      <w:bookmarkStart w:id="162" w:name="_Toc450813411"/>
      <w:bookmarkStart w:id="163" w:name="_Toc450813412"/>
      <w:bookmarkStart w:id="164" w:name="_Toc452641389"/>
      <w:bookmarkStart w:id="165" w:name="_Toc452641478"/>
      <w:bookmarkStart w:id="166" w:name="_Toc452652449"/>
      <w:bookmarkStart w:id="167" w:name="_Toc45267009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A7940" w:rsidRPr="008012CB" w:rsidRDefault="002A7940" w:rsidP="002A7940">
      <w:pPr>
        <w:spacing w:line="240" w:lineRule="auto"/>
        <w:jc w:val="both"/>
        <w:rPr>
          <w:rFonts w:ascii="Times New Roman" w:eastAsia="Calibri" w:hAnsi="Times New Roman" w:cs="Times New Roman"/>
          <w:color w:val="000000"/>
          <w:sz w:val="24"/>
          <w:szCs w:val="20"/>
          <w:lang w:eastAsia="en-GB"/>
        </w:rPr>
      </w:pPr>
    </w:p>
    <w:p w:rsidR="002A7940" w:rsidRPr="008012CB" w:rsidRDefault="002A7940" w:rsidP="002A7940">
      <w:pPr>
        <w:pStyle w:val="Heading2"/>
        <w:numPr>
          <w:ilvl w:val="1"/>
          <w:numId w:val="1"/>
        </w:numPr>
        <w:spacing w:before="0" w:after="240"/>
        <w:rPr>
          <w:b w:val="0"/>
          <w:bCs w:val="0"/>
          <w:smallCaps/>
        </w:rPr>
      </w:pPr>
      <w:bookmarkStart w:id="168" w:name="_Toc461114746"/>
      <w:r w:rsidRPr="008012CB">
        <w:rPr>
          <w:rFonts w:ascii="Times New Roman Bold" w:hAnsi="Times New Roman Bold"/>
          <w:smallCaps/>
        </w:rPr>
        <w:t>Use of protected content by online services storing and giving access to user uploaded content</w:t>
      </w:r>
      <w:bookmarkEnd w:id="168"/>
    </w:p>
    <w:p w:rsidR="002A7940" w:rsidRDefault="002A7940" w:rsidP="002A7940">
      <w:pPr>
        <w:pStyle w:val="Heading3"/>
      </w:pPr>
      <w:bookmarkStart w:id="169" w:name="_Toc461114747"/>
      <w:bookmarkStart w:id="170" w:name="_Toc438206622"/>
      <w:r w:rsidRPr="008012CB">
        <w:t>What is the problem and why is it a problem?</w:t>
      </w:r>
      <w:bookmarkEnd w:id="169"/>
    </w:p>
    <w:p w:rsidR="002A7940" w:rsidRPr="00353DAA" w:rsidRDefault="002A7940" w:rsidP="002A7940">
      <w:pPr>
        <w:spacing w:after="0" w:line="240" w:lineRule="auto"/>
        <w:jc w:val="both"/>
        <w:rPr>
          <w:rFonts w:ascii="Times New Roman" w:hAnsi="Times New Roman" w:cs="Times New Roman"/>
          <w:sz w:val="24"/>
          <w:szCs w:val="24"/>
        </w:rPr>
      </w:pPr>
      <w:r w:rsidRPr="00D1507D">
        <w:rPr>
          <w:rFonts w:ascii="Times New Roman" w:hAnsi="Times New Roman"/>
          <w:b/>
          <w:i/>
          <w:sz w:val="24"/>
        </w:rPr>
        <w:t xml:space="preserve">Problem: </w:t>
      </w:r>
      <w:r w:rsidR="00007677">
        <w:rPr>
          <w:rFonts w:ascii="Times New Roman" w:hAnsi="Times New Roman"/>
          <w:sz w:val="24"/>
        </w:rPr>
        <w:t>Rightholders</w:t>
      </w:r>
      <w:r w:rsidRPr="00D1507D">
        <w:rPr>
          <w:rFonts w:ascii="Times New Roman" w:hAnsi="Times New Roman"/>
          <w:sz w:val="24"/>
        </w:rPr>
        <w:t xml:space="preserve"> </w:t>
      </w:r>
      <w:r w:rsidRPr="00353DAA">
        <w:rPr>
          <w:rFonts w:ascii="Times New Roman" w:hAnsi="Times New Roman" w:cs="Times New Roman"/>
          <w:sz w:val="24"/>
          <w:szCs w:val="24"/>
        </w:rPr>
        <w:t>have no or</w:t>
      </w:r>
      <w:r w:rsidRPr="00D1507D">
        <w:rPr>
          <w:rFonts w:ascii="Times New Roman" w:hAnsi="Times New Roman"/>
          <w:sz w:val="24"/>
        </w:rPr>
        <w:t xml:space="preserve"> limited control over the use and the remuneration for the use of their content</w:t>
      </w:r>
      <w:r w:rsidRPr="00353DAA">
        <w:rPr>
          <w:rFonts w:ascii="Times New Roman" w:hAnsi="Times New Roman" w:cs="Times New Roman"/>
          <w:sz w:val="24"/>
          <w:szCs w:val="24"/>
        </w:rPr>
        <w:t xml:space="preserve"> by services storing and giving access to large amounts of protected content uploaded by their users.</w:t>
      </w:r>
    </w:p>
    <w:p w:rsidR="002A7940" w:rsidRPr="00D1507D" w:rsidRDefault="002A7940" w:rsidP="00D1507D"/>
    <w:p w:rsidR="002A7940" w:rsidRPr="0055729D" w:rsidRDefault="002A7940" w:rsidP="002A7940">
      <w:pPr>
        <w:autoSpaceDE w:val="0"/>
        <w:autoSpaceDN w:val="0"/>
        <w:adjustRightInd w:val="0"/>
        <w:spacing w:after="0" w:line="240" w:lineRule="auto"/>
        <w:jc w:val="both"/>
        <w:rPr>
          <w:rFonts w:ascii="Times New Roman" w:hAnsi="Times New Roman" w:cs="Times New Roman"/>
          <w:sz w:val="24"/>
          <w:szCs w:val="24"/>
          <w:u w:val="single"/>
          <w:lang w:eastAsia="en-GB"/>
        </w:rPr>
      </w:pPr>
      <w:r w:rsidRPr="00D1507D">
        <w:rPr>
          <w:rFonts w:ascii="Times New Roman" w:hAnsi="Times New Roman"/>
          <w:sz w:val="24"/>
          <w:u w:val="single"/>
        </w:rPr>
        <w:t>Description of the problem</w:t>
      </w:r>
      <w:r w:rsidRPr="00D67123">
        <w:rPr>
          <w:rFonts w:ascii="Times New Roman" w:hAnsi="Times New Roman"/>
          <w:sz w:val="24"/>
        </w:rPr>
        <w:t xml:space="preserve">: </w:t>
      </w:r>
      <w:r w:rsidRPr="00D1507D">
        <w:rPr>
          <w:rFonts w:ascii="Times New Roman" w:hAnsi="Times New Roman"/>
          <w:sz w:val="24"/>
        </w:rPr>
        <w:t xml:space="preserve">The functioning of the online content market place is complex. There has been a progressive shift from ownership to access-based models. Today, copyright protected content is no longer only distributed directly by a digital service provider to end users. Instead, access to online content often takes place at the end of a process in which several parties participate. As a result,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do not always have control over the way their content is distributed online.</w:t>
      </w:r>
    </w:p>
    <w:p w:rsidR="002A7940" w:rsidRPr="0055729D" w:rsidRDefault="002A7940" w:rsidP="002A7940">
      <w:pPr>
        <w:autoSpaceDE w:val="0"/>
        <w:autoSpaceDN w:val="0"/>
        <w:adjustRightInd w:val="0"/>
        <w:spacing w:after="0" w:line="240" w:lineRule="auto"/>
        <w:jc w:val="both"/>
        <w:rPr>
          <w:rFonts w:ascii="Times New Roman" w:hAnsi="Times New Roman" w:cs="Times New Roman"/>
          <w:sz w:val="24"/>
          <w:szCs w:val="24"/>
        </w:rPr>
      </w:pPr>
    </w:p>
    <w:p w:rsidR="002A7940" w:rsidRPr="00D1507D" w:rsidRDefault="002A7940" w:rsidP="00D1507D">
      <w:pPr>
        <w:autoSpaceDE w:val="0"/>
        <w:autoSpaceDN w:val="0"/>
        <w:adjustRightInd w:val="0"/>
        <w:spacing w:after="0" w:line="240" w:lineRule="auto"/>
        <w:jc w:val="both"/>
        <w:rPr>
          <w:rFonts w:ascii="Times New Roman" w:hAnsi="Times New Roman"/>
          <w:sz w:val="24"/>
        </w:rPr>
      </w:pPr>
      <w:r w:rsidRPr="00D1507D">
        <w:rPr>
          <w:rFonts w:ascii="Times New Roman" w:hAnsi="Times New Roman"/>
          <w:sz w:val="24"/>
        </w:rPr>
        <w:t xml:space="preserve">With the rise of Web 2.0 technologies, interactive services including participatory networks have emerged and increasing amounts of content is accessed through content sharing platforms that make available protected content uploaded by their </w:t>
      </w:r>
      <w:r w:rsidRPr="0055729D">
        <w:rPr>
          <w:rFonts w:ascii="Times New Roman" w:hAnsi="Times New Roman" w:cs="Times New Roman"/>
          <w:sz w:val="24"/>
          <w:szCs w:val="24"/>
        </w:rPr>
        <w:t>users without any involvement of rights holders.</w:t>
      </w:r>
      <w:r w:rsidRPr="00D1507D">
        <w:rPr>
          <w:rFonts w:ascii="Times New Roman" w:hAnsi="Times New Roman"/>
          <w:sz w:val="24"/>
        </w:rPr>
        <w:t xml:space="preserve"> </w:t>
      </w:r>
    </w:p>
    <w:p w:rsidR="002A7940" w:rsidRPr="0055729D" w:rsidRDefault="002A7940" w:rsidP="002A7940">
      <w:pPr>
        <w:autoSpaceDE w:val="0"/>
        <w:autoSpaceDN w:val="0"/>
        <w:adjustRightInd w:val="0"/>
        <w:spacing w:after="0" w:line="240" w:lineRule="auto"/>
        <w:jc w:val="both"/>
        <w:rPr>
          <w:rFonts w:ascii="Times New Roman" w:hAnsi="Times New Roman" w:cs="Times New Roman"/>
          <w:sz w:val="24"/>
          <w:szCs w:val="24"/>
        </w:rPr>
      </w:pPr>
    </w:p>
    <w:p w:rsidR="002A7940" w:rsidRPr="00D1507D" w:rsidRDefault="002A7940" w:rsidP="00D1507D">
      <w:pPr>
        <w:autoSpaceDE w:val="0"/>
        <w:autoSpaceDN w:val="0"/>
        <w:adjustRightInd w:val="0"/>
        <w:spacing w:after="0" w:line="240" w:lineRule="auto"/>
        <w:jc w:val="both"/>
        <w:rPr>
          <w:rFonts w:ascii="Times New Roman" w:hAnsi="Times New Roman"/>
          <w:sz w:val="24"/>
        </w:rPr>
      </w:pPr>
      <w:r w:rsidRPr="00D1507D">
        <w:rPr>
          <w:rFonts w:ascii="Times New Roman" w:hAnsi="Times New Roman"/>
          <w:color w:val="000000"/>
          <w:sz w:val="24"/>
          <w:u w:color="000000"/>
        </w:rPr>
        <w:t xml:space="preserve">Such user uploaded content </w:t>
      </w:r>
      <w:r w:rsidRPr="0055729D">
        <w:rPr>
          <w:rFonts w:ascii="Times New Roman" w:hAnsi="Times New Roman" w:cs="Times New Roman"/>
          <w:color w:val="000000"/>
          <w:sz w:val="24"/>
          <w:szCs w:val="24"/>
          <w:u w:color="000000"/>
        </w:rPr>
        <w:t>services</w:t>
      </w:r>
      <w:r w:rsidRPr="00D1507D">
        <w:rPr>
          <w:rFonts w:ascii="Times New Roman" w:hAnsi="Times New Roman"/>
          <w:color w:val="000000"/>
          <w:sz w:val="24"/>
          <w:u w:color="000000"/>
        </w:rPr>
        <w:t xml:space="preserve"> often provide the public with large amounts of protected content. In addition to </w:t>
      </w:r>
      <w:r w:rsidRPr="0055729D">
        <w:rPr>
          <w:rFonts w:ascii="Times New Roman" w:hAnsi="Times New Roman" w:cs="Times New Roman"/>
          <w:color w:val="000000"/>
          <w:sz w:val="24"/>
          <w:szCs w:val="24"/>
          <w:u w:color="000000"/>
        </w:rPr>
        <w:t>giving access to</w:t>
      </w:r>
      <w:r w:rsidRPr="00D1507D">
        <w:rPr>
          <w:rFonts w:ascii="Times New Roman" w:hAnsi="Times New Roman"/>
          <w:color w:val="000000"/>
          <w:sz w:val="24"/>
          <w:u w:color="000000"/>
        </w:rPr>
        <w:t xml:space="preserve"> the content, these platforms provide functionalities such as categorization, recommendations, playlists, or the ability to share content</w:t>
      </w:r>
      <w:r w:rsidRPr="00F170B0">
        <w:rPr>
          <w:rFonts w:ascii="Times New Roman" w:hAnsi="Times New Roman" w:cs="Times New Roman"/>
          <w:color w:val="000000"/>
          <w:sz w:val="24"/>
          <w:szCs w:val="24"/>
          <w:u w:color="000000"/>
        </w:rPr>
        <w:t>.</w:t>
      </w:r>
      <w:r w:rsidRPr="00D1507D">
        <w:rPr>
          <w:rFonts w:ascii="Times New Roman" w:hAnsi="Times New Roman"/>
          <w:color w:val="000000"/>
          <w:sz w:val="24"/>
          <w:u w:color="000000"/>
        </w:rPr>
        <w:t xml:space="preserve"> These services use copyright protected content in order to attract and retain users to their websites thereby increasing the value of their services. </w:t>
      </w:r>
      <w:r w:rsidRPr="00D1507D">
        <w:rPr>
          <w:rFonts w:ascii="Times New Roman" w:hAnsi="Times New Roman"/>
          <w:sz w:val="24"/>
        </w:rPr>
        <w:t>Access to such content is generally "free" for users and the service draws its revenues, directly or indirectly, from advertising and user data</w:t>
      </w:r>
      <w:r w:rsidRPr="00D1507D">
        <w:rPr>
          <w:rFonts w:ascii="Times New Roman" w:hAnsi="Times New Roman"/>
          <w:color w:val="000000"/>
          <w:sz w:val="24"/>
          <w:u w:color="000000"/>
        </w:rPr>
        <w:t xml:space="preserve">. </w:t>
      </w:r>
    </w:p>
    <w:p w:rsidR="002A7940" w:rsidRPr="0055729D" w:rsidRDefault="002A7940" w:rsidP="002A7940">
      <w:pPr>
        <w:pStyle w:val="NoSpacing"/>
      </w:pP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color w:val="000000"/>
          <w:sz w:val="24"/>
          <w:u w:color="000000"/>
        </w:rPr>
        <w:t xml:space="preserve">While some of the providers of these services have </w:t>
      </w:r>
      <w:r w:rsidRPr="00D1507D">
        <w:rPr>
          <w:rFonts w:ascii="Times New Roman" w:hAnsi="Times New Roman"/>
          <w:i/>
          <w:color w:val="000000"/>
          <w:sz w:val="24"/>
          <w:u w:color="000000"/>
        </w:rPr>
        <w:t>de facto</w:t>
      </w:r>
      <w:r w:rsidRPr="00D1507D">
        <w:rPr>
          <w:rFonts w:ascii="Times New Roman" w:hAnsi="Times New Roman"/>
          <w:color w:val="000000"/>
          <w:sz w:val="24"/>
          <w:u w:color="000000"/>
        </w:rPr>
        <w:t xml:space="preserve"> become major actors of online content distribution</w:t>
      </w:r>
      <w:r w:rsidRPr="00D1507D">
        <w:rPr>
          <w:rStyle w:val="FootnoteReference"/>
          <w:rFonts w:hAnsi="Times New Roman"/>
        </w:rPr>
        <w:footnoteReference w:id="407"/>
      </w:r>
      <w:r w:rsidRPr="00D1507D">
        <w:rPr>
          <w:rFonts w:ascii="Times New Roman" w:hAnsi="Times New Roman"/>
          <w:color w:val="000000"/>
          <w:sz w:val="24"/>
          <w:u w:color="000000"/>
        </w:rPr>
        <w:t xml:space="preserve"> and have </w:t>
      </w:r>
      <w:r w:rsidRPr="00D1507D">
        <w:rPr>
          <w:rFonts w:ascii="Times New Roman" w:hAnsi="Times New Roman"/>
          <w:sz w:val="24"/>
        </w:rPr>
        <w:t>substantial number of users</w:t>
      </w:r>
      <w:r w:rsidRPr="00D1507D">
        <w:rPr>
          <w:rStyle w:val="FootnoteReference"/>
        </w:rPr>
        <w:footnoteReference w:id="408"/>
      </w:r>
      <w:r w:rsidRPr="00D1507D">
        <w:rPr>
          <w:rFonts w:ascii="Times New Roman" w:hAnsi="Times New Roman"/>
          <w:sz w:val="24"/>
        </w:rPr>
        <w:t xml:space="preserve"> and significant market valuations</w:t>
      </w:r>
      <w:r w:rsidRPr="00D1507D">
        <w:rPr>
          <w:rFonts w:ascii="Times New Roman" w:hAnsi="Times New Roman"/>
          <w:sz w:val="24"/>
          <w:vertAlign w:val="superscript"/>
        </w:rPr>
        <w:footnoteReference w:id="409"/>
      </w:r>
      <w:r w:rsidRPr="00D1507D">
        <w:rPr>
          <w:rFonts w:ascii="Times New Roman" w:hAnsi="Times New Roman"/>
          <w:sz w:val="24"/>
        </w:rPr>
        <w:t xml:space="preserve">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are not necessarily able to enter into agreements with them for the use of their content. This affects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possibility to determine whether, and under which conditions, their content is made available on the services and to get an appropriate remuneration for it.</w:t>
      </w:r>
      <w:r w:rsidRPr="00D1507D">
        <w:rPr>
          <w:rFonts w:ascii="Times New Roman" w:hAnsi="Times New Roman"/>
          <w:sz w:val="24"/>
          <w:vertAlign w:val="superscript"/>
        </w:rPr>
        <w:footnoteReference w:id="410"/>
      </w:r>
      <w:r w:rsidRPr="00D1507D">
        <w:rPr>
          <w:rFonts w:ascii="Times New Roman" w:hAnsi="Times New Roman"/>
          <w:sz w:val="24"/>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 xml:space="preserve">Some online service providers refuse to negotiate any agreement, which means that despite the availability of copyright protected content on these platforms no revenues are generated for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for the use of their content. Refusals of agreements have above all been reported by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in the music and images sectors.</w:t>
      </w:r>
      <w:r w:rsidRPr="00D1507D">
        <w:rPr>
          <w:rFonts w:ascii="Times New Roman" w:hAnsi="Times New Roman"/>
          <w:sz w:val="24"/>
          <w:vertAlign w:val="superscript"/>
        </w:rPr>
        <w:footnoteReference w:id="411"/>
      </w:r>
      <w:r w:rsidRPr="00D1507D">
        <w:rPr>
          <w:rFonts w:ascii="Times New Roman" w:hAnsi="Times New Roman"/>
          <w:sz w:val="24"/>
        </w:rPr>
        <w:t xml:space="preserve"> At the same time, some online service providers have argued that </w:t>
      </w:r>
      <w:r w:rsidR="00D67123">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have requested terms that they considered unreasonable for the type of service they provide.</w:t>
      </w:r>
      <w:r w:rsidRPr="00D1507D">
        <w:rPr>
          <w:rFonts w:ascii="Times New Roman" w:hAnsi="Times New Roman"/>
          <w:sz w:val="24"/>
          <w:vertAlign w:val="superscript"/>
        </w:rPr>
        <w:footnoteReference w:id="412"/>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sz w:val="24"/>
          <w:highlight w:val="cyan"/>
        </w:rPr>
      </w:pPr>
      <w:r w:rsidRPr="00D1507D">
        <w:rPr>
          <w:rFonts w:ascii="Times New Roman" w:hAnsi="Times New Roman"/>
          <w:sz w:val="24"/>
        </w:rPr>
        <w:t xml:space="preserve">In some cases, platforms have offered </w:t>
      </w:r>
      <w:r w:rsidR="00007677">
        <w:rPr>
          <w:rFonts w:ascii="Times New Roman" w:hAnsi="Times New Roman"/>
          <w:sz w:val="24"/>
        </w:rPr>
        <w:t>rightholders</w:t>
      </w:r>
      <w:r w:rsidRPr="00D1507D">
        <w:rPr>
          <w:rFonts w:ascii="Times New Roman" w:hAnsi="Times New Roman"/>
          <w:sz w:val="24"/>
        </w:rPr>
        <w:t xml:space="preserve"> agreements for a share of the revenue generated by advertising placed around their content.</w:t>
      </w:r>
      <w:r w:rsidRPr="00D1507D">
        <w:rPr>
          <w:rFonts w:ascii="Times New Roman" w:hAnsi="Times New Roman"/>
          <w:sz w:val="24"/>
          <w:vertAlign w:val="superscript"/>
        </w:rPr>
        <w:footnoteReference w:id="413"/>
      </w:r>
      <w:r w:rsidRPr="00D1507D">
        <w:rPr>
          <w:rFonts w:ascii="Times New Roman" w:hAnsi="Times New Roman"/>
          <w:sz w:val="24"/>
        </w:rPr>
        <w:t xml:space="preserve"> However, these agreements have been reported by some </w:t>
      </w:r>
      <w:r w:rsidR="00007677">
        <w:rPr>
          <w:rFonts w:ascii="Times New Roman" w:hAnsi="Times New Roman"/>
          <w:sz w:val="24"/>
        </w:rPr>
        <w:t>rightholders</w:t>
      </w:r>
      <w:r w:rsidRPr="00D1507D">
        <w:rPr>
          <w:rFonts w:ascii="Times New Roman" w:hAnsi="Times New Roman"/>
          <w:sz w:val="24"/>
        </w:rPr>
        <w:t xml:space="preserve"> to be different from copyright licensing agreements as the platforms argue that they are not under a legal requirement to negotiate with </w:t>
      </w:r>
      <w:r w:rsidR="00007677">
        <w:rPr>
          <w:rFonts w:ascii="Times New Roman" w:hAnsi="Times New Roman"/>
          <w:sz w:val="24"/>
        </w:rPr>
        <w:t>rightholders</w:t>
      </w:r>
      <w:r w:rsidRPr="00D1507D">
        <w:rPr>
          <w:rFonts w:ascii="Times New Roman" w:hAnsi="Times New Roman"/>
          <w:sz w:val="24"/>
        </w:rPr>
        <w:t xml:space="preserve"> and that they enter into such "monetisation agreements" on a purely voluntary basis.</w:t>
      </w:r>
      <w:r w:rsidRPr="00D1507D">
        <w:rPr>
          <w:rFonts w:ascii="Times New Roman" w:hAnsi="Times New Roman"/>
          <w:sz w:val="24"/>
          <w:vertAlign w:val="superscript"/>
        </w:rPr>
        <w:footnoteReference w:id="414"/>
      </w:r>
      <w:r w:rsidRPr="00D1507D">
        <w:rPr>
          <w:rFonts w:ascii="Times New Roman" w:hAnsi="Times New Roman"/>
          <w:sz w:val="24"/>
        </w:rPr>
        <w:t xml:space="preserve"> </w:t>
      </w:r>
      <w:r w:rsidR="00007677">
        <w:rPr>
          <w:rFonts w:ascii="Times New Roman" w:hAnsi="Times New Roman"/>
          <w:sz w:val="24"/>
        </w:rPr>
        <w:t>Rightholders</w:t>
      </w:r>
      <w:r w:rsidRPr="00D1507D">
        <w:rPr>
          <w:rFonts w:ascii="Times New Roman" w:hAnsi="Times New Roman"/>
          <w:sz w:val="24"/>
        </w:rPr>
        <w:t xml:space="preserve"> argue that this alleged absence of legal requirement impedes fair negotiations. An example provided by the music industry shows that, in 2015, pure </w:t>
      </w:r>
      <w:r w:rsidRPr="00D1507D">
        <w:rPr>
          <w:rFonts w:ascii="Times New Roman" w:hAnsi="Times New Roman"/>
          <w:color w:val="000000"/>
          <w:sz w:val="24"/>
        </w:rPr>
        <w:t>advertising-supported online services storing and giving access to content uploaded by end users which have an estimated user base of more than 900 million generated revenues amounting to US$634 million, which is (approximately) four per cent of global music revenues.</w:t>
      </w:r>
      <w:r w:rsidRPr="00D1507D">
        <w:rPr>
          <w:rFonts w:ascii="Times New Roman" w:hAnsi="Times New Roman"/>
          <w:sz w:val="24"/>
          <w:vertAlign w:val="superscript"/>
        </w:rPr>
        <w:footnoteReference w:id="415"/>
      </w:r>
      <w:r w:rsidRPr="00D1507D">
        <w:rPr>
          <w:rFonts w:ascii="Times New Roman" w:hAnsi="Times New Roman"/>
          <w:sz w:val="24"/>
        </w:rPr>
        <w:t xml:space="preserve"> Given the significant user base, </w:t>
      </w:r>
      <w:r w:rsidR="00007677">
        <w:rPr>
          <w:rFonts w:ascii="Times New Roman" w:hAnsi="Times New Roman"/>
          <w:sz w:val="24"/>
        </w:rPr>
        <w:t>rightholders</w:t>
      </w:r>
      <w:r w:rsidRPr="00D1507D">
        <w:rPr>
          <w:rFonts w:ascii="Times New Roman" w:hAnsi="Times New Roman"/>
          <w:sz w:val="24"/>
        </w:rPr>
        <w:t xml:space="preserve"> argue that such revenues are insignificant compared to what other service providers</w:t>
      </w:r>
      <w:r w:rsidRPr="00D1507D">
        <w:rPr>
          <w:rFonts w:ascii="Times New Roman" w:hAnsi="Times New Roman"/>
          <w:sz w:val="24"/>
          <w:vertAlign w:val="superscript"/>
        </w:rPr>
        <w:footnoteReference w:id="416"/>
      </w:r>
      <w:r w:rsidRPr="00D1507D">
        <w:rPr>
          <w:rFonts w:ascii="Times New Roman" w:hAnsi="Times New Roman"/>
          <w:sz w:val="24"/>
        </w:rPr>
        <w:t xml:space="preserve"> are generating for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At the same time, there is publicly available information about the payments made by a major service provider to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for the use of their music.</w:t>
      </w:r>
      <w:r w:rsidRPr="00D1507D">
        <w:rPr>
          <w:rFonts w:ascii="Times New Roman" w:hAnsi="Times New Roman"/>
          <w:sz w:val="24"/>
          <w:vertAlign w:val="superscript"/>
        </w:rPr>
        <w:footnoteReference w:id="417"/>
      </w:r>
    </w:p>
    <w:p w:rsidR="002A7940" w:rsidRPr="0055729D" w:rsidRDefault="002A7940" w:rsidP="002A7940">
      <w:pPr>
        <w:spacing w:before="100" w:beforeAutospacing="1" w:after="0" w:line="240" w:lineRule="auto"/>
        <w:jc w:val="both"/>
        <w:rPr>
          <w:rFonts w:ascii="Times New Roman" w:hAnsi="Times New Roman" w:cs="Times New Roman"/>
          <w:sz w:val="24"/>
          <w:szCs w:val="24"/>
          <w:lang w:eastAsia="en-GB"/>
        </w:rPr>
      </w:pPr>
      <w:r w:rsidRPr="00D1507D">
        <w:rPr>
          <w:rFonts w:ascii="Times New Roman" w:hAnsi="Times New Roman"/>
          <w:sz w:val="24"/>
        </w:rPr>
        <w:t xml:space="preserve">The negotiation position of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is </w:t>
      </w:r>
      <w:r>
        <w:rPr>
          <w:rFonts w:ascii="Times New Roman" w:hAnsi="Times New Roman" w:cs="Times New Roman"/>
          <w:sz w:val="24"/>
          <w:szCs w:val="24"/>
        </w:rPr>
        <w:t>affected</w:t>
      </w:r>
      <w:r w:rsidRPr="00D1507D">
        <w:rPr>
          <w:rFonts w:ascii="Times New Roman" w:hAnsi="Times New Roman"/>
          <w:sz w:val="24"/>
        </w:rPr>
        <w:t xml:space="preserve"> by the fact that they are not in a position to keep their content away from these platforms</w:t>
      </w:r>
      <w:r w:rsidRPr="0055729D">
        <w:rPr>
          <w:rFonts w:ascii="Times New Roman" w:hAnsi="Times New Roman" w:cs="Times New Roman"/>
          <w:sz w:val="24"/>
          <w:szCs w:val="24"/>
          <w:lang w:eastAsia="en-GB"/>
        </w:rPr>
        <w:t xml:space="preserve">. </w:t>
      </w:r>
      <w:r w:rsidRPr="007F69DB">
        <w:rPr>
          <w:rFonts w:ascii="Times New Roman" w:hAnsi="Times New Roman" w:cs="Times New Roman"/>
          <w:sz w:val="24"/>
          <w:szCs w:val="24"/>
          <w:lang w:eastAsia="en-GB"/>
        </w:rPr>
        <w:t>Whe</w:t>
      </w:r>
      <w:r w:rsidR="007F69DB" w:rsidRPr="007F69DB">
        <w:rPr>
          <w:rFonts w:ascii="Times New Roman" w:hAnsi="Times New Roman" w:cs="Times New Roman"/>
          <w:sz w:val="24"/>
          <w:szCs w:val="24"/>
          <w:lang w:eastAsia="en-GB"/>
        </w:rPr>
        <w:t>n</w:t>
      </w:r>
      <w:r w:rsidR="007F69DB" w:rsidRPr="00D1507D">
        <w:rPr>
          <w:rFonts w:ascii="Times New Roman" w:hAnsi="Times New Roman"/>
          <w:sz w:val="24"/>
        </w:rPr>
        <w:t xml:space="preserve"> </w:t>
      </w:r>
      <w:r w:rsidRPr="00D1507D">
        <w:rPr>
          <w:rFonts w:ascii="Times New Roman" w:hAnsi="Times New Roman"/>
          <w:sz w:val="24"/>
        </w:rPr>
        <w:t>uploaded content is infringing, they can</w:t>
      </w:r>
      <w:r w:rsidRPr="0055729D">
        <w:rPr>
          <w:rFonts w:ascii="Times New Roman" w:hAnsi="Times New Roman" w:cs="Times New Roman"/>
          <w:sz w:val="24"/>
          <w:szCs w:val="24"/>
          <w:lang w:eastAsia="en-GB"/>
        </w:rPr>
        <w:t xml:space="preserve"> only</w:t>
      </w:r>
      <w:r w:rsidRPr="00D1507D">
        <w:rPr>
          <w:rFonts w:ascii="Times New Roman" w:hAnsi="Times New Roman"/>
          <w:sz w:val="24"/>
        </w:rPr>
        <w:t xml:space="preserve"> ask the platforms to take down the content, in each individual case, which leads to significant costs for them</w:t>
      </w:r>
      <w:r w:rsidRPr="0055729D">
        <w:rPr>
          <w:rFonts w:ascii="Times New Roman" w:hAnsi="Times New Roman" w:cs="Times New Roman"/>
          <w:sz w:val="24"/>
          <w:szCs w:val="24"/>
          <w:lang w:eastAsia="en-GB"/>
        </w:rPr>
        <w:t xml:space="preserve"> and appears insufficient to them  given the large scale of uploads</w:t>
      </w:r>
      <w:r w:rsidRPr="0055729D">
        <w:rPr>
          <w:rFonts w:ascii="Times New Roman" w:hAnsi="Times New Roman" w:cs="Times New Roman"/>
          <w:sz w:val="24"/>
          <w:szCs w:val="24"/>
        </w:rPr>
        <w:t>.</w:t>
      </w:r>
      <w:r w:rsidRPr="0055729D">
        <w:rPr>
          <w:rFonts w:ascii="Times New Roman" w:hAnsi="Times New Roman" w:cs="Times New Roman"/>
          <w:sz w:val="24"/>
          <w:szCs w:val="24"/>
          <w:vertAlign w:val="superscript"/>
        </w:rPr>
        <w:footnoteReference w:id="418"/>
      </w:r>
      <w:r w:rsidRPr="00D1507D">
        <w:rPr>
          <w:rFonts w:ascii="Times New Roman" w:hAnsi="Times New Roman"/>
          <w:sz w:val="24"/>
        </w:rPr>
        <w:t xml:space="preserve"> At the same time, some platforms have voluntarily taken measures to help</w:t>
      </w:r>
      <w:r w:rsidRPr="0055729D">
        <w:rPr>
          <w:rFonts w:ascii="Times New Roman" w:hAnsi="Times New Roman" w:cs="Times New Roman"/>
          <w:sz w:val="24"/>
          <w:szCs w:val="24"/>
          <w:lang w:eastAsia="en-GB"/>
        </w:rPr>
        <w:t xml:space="preserve"> </w:t>
      </w:r>
      <w:r w:rsidR="0002514A">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55729D">
        <w:rPr>
          <w:rFonts w:ascii="Times New Roman" w:hAnsi="Times New Roman" w:cs="Times New Roman"/>
          <w:sz w:val="24"/>
          <w:szCs w:val="24"/>
          <w:lang w:eastAsia="en-GB"/>
        </w:rPr>
        <w:t xml:space="preserve"> in</w:t>
      </w:r>
      <w:r w:rsidRPr="00D1507D">
        <w:rPr>
          <w:rFonts w:ascii="Times New Roman" w:hAnsi="Times New Roman"/>
          <w:sz w:val="24"/>
        </w:rPr>
        <w:t xml:space="preserve"> identifying and monetising the use of content on their services, in particular through content identification technologies. </w:t>
      </w:r>
      <w:r w:rsidRPr="0055729D">
        <w:rPr>
          <w:rFonts w:ascii="Times New Roman" w:hAnsi="Times New Roman" w:cs="Times New Roman"/>
          <w:sz w:val="24"/>
          <w:szCs w:val="24"/>
          <w:lang w:eastAsia="en-GB"/>
        </w:rPr>
        <w:t xml:space="preserve">Solutions have been developed both by user uploaded content platforms and technology providers and are based on different types of </w:t>
      </w:r>
      <w:r w:rsidRPr="00D1507D">
        <w:rPr>
          <w:rFonts w:ascii="Times New Roman" w:hAnsi="Times New Roman"/>
          <w:sz w:val="24"/>
        </w:rPr>
        <w:t>technologies</w:t>
      </w:r>
      <w:r w:rsidRPr="0055729D">
        <w:rPr>
          <w:rFonts w:ascii="Times New Roman" w:hAnsi="Times New Roman" w:cs="Times New Roman"/>
          <w:sz w:val="24"/>
          <w:szCs w:val="24"/>
          <w:lang w:eastAsia="en-GB"/>
        </w:rPr>
        <w:t>, providing for different functionalities or levels of services and identifying different types of content (e</w:t>
      </w:r>
      <w:r>
        <w:rPr>
          <w:rFonts w:ascii="Times New Roman" w:hAnsi="Times New Roman" w:cs="Times New Roman"/>
          <w:sz w:val="24"/>
          <w:szCs w:val="24"/>
          <w:lang w:eastAsia="en-GB"/>
        </w:rPr>
        <w:t>.</w:t>
      </w:r>
      <w:r w:rsidRPr="0055729D">
        <w:rPr>
          <w:rFonts w:ascii="Times New Roman" w:hAnsi="Times New Roman" w:cs="Times New Roman"/>
          <w:sz w:val="24"/>
          <w:szCs w:val="24"/>
          <w:lang w:eastAsia="en-GB"/>
        </w:rPr>
        <w:t>g</w:t>
      </w:r>
      <w:r>
        <w:rPr>
          <w:rFonts w:ascii="Times New Roman" w:hAnsi="Times New Roman" w:cs="Times New Roman"/>
          <w:sz w:val="24"/>
          <w:szCs w:val="24"/>
          <w:lang w:eastAsia="en-GB"/>
        </w:rPr>
        <w:t>.</w:t>
      </w:r>
      <w:r w:rsidRPr="0055729D">
        <w:rPr>
          <w:rFonts w:ascii="Times New Roman" w:hAnsi="Times New Roman" w:cs="Times New Roman"/>
          <w:sz w:val="24"/>
          <w:szCs w:val="24"/>
          <w:lang w:eastAsia="en-GB"/>
        </w:rPr>
        <w:t xml:space="preserve"> music, images, audiovisual)</w:t>
      </w:r>
      <w:r w:rsidR="00E37B6A">
        <w:rPr>
          <w:rFonts w:ascii="Times New Roman" w:hAnsi="Times New Roman" w:cs="Times New Roman"/>
          <w:sz w:val="24"/>
          <w:szCs w:val="24"/>
          <w:lang w:eastAsia="en-GB"/>
        </w:rPr>
        <w:t>.</w:t>
      </w:r>
      <w:r w:rsidRPr="0055729D">
        <w:rPr>
          <w:rFonts w:ascii="Times New Roman" w:hAnsi="Times New Roman" w:cs="Times New Roman"/>
          <w:sz w:val="24"/>
          <w:szCs w:val="24"/>
          <w:vertAlign w:val="superscript"/>
        </w:rPr>
        <w:footnoteReference w:id="419"/>
      </w:r>
      <w:r w:rsidRPr="0055729D">
        <w:rPr>
          <w:rFonts w:ascii="Times New Roman" w:hAnsi="Times New Roman" w:cs="Times New Roman"/>
          <w:sz w:val="24"/>
          <w:szCs w:val="24"/>
          <w:lang w:eastAsia="en-GB"/>
        </w:rPr>
        <w:t xml:space="preserve">They can be </w:t>
      </w:r>
      <w:r w:rsidRPr="00D1507D">
        <w:rPr>
          <w:rFonts w:ascii="Times New Roman" w:hAnsi="Times New Roman"/>
          <w:sz w:val="24"/>
        </w:rPr>
        <w:t>applied at the time of upload of the content</w:t>
      </w:r>
      <w:r w:rsidRPr="0055729D">
        <w:rPr>
          <w:rFonts w:ascii="Times New Roman" w:hAnsi="Times New Roman" w:cs="Times New Roman"/>
          <w:sz w:val="24"/>
          <w:szCs w:val="24"/>
          <w:lang w:eastAsia="en-GB"/>
        </w:rPr>
        <w:t xml:space="preserve"> or later on</w:t>
      </w:r>
      <w:r w:rsidRPr="00D1507D">
        <w:rPr>
          <w:rFonts w:ascii="Times New Roman" w:hAnsi="Times New Roman"/>
          <w:sz w:val="24"/>
        </w:rPr>
        <w:t xml:space="preserve"> to verify through an automated procedure whether the content uploaded by users is authorized or not, based on data provided by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w:t>
      </w:r>
      <w:r w:rsidRPr="00D1507D">
        <w:rPr>
          <w:rFonts w:ascii="Times New Roman" w:hAnsi="Times New Roman"/>
          <w:sz w:val="24"/>
          <w:vertAlign w:val="superscript"/>
        </w:rPr>
        <w:footnoteReference w:id="420"/>
      </w:r>
      <w:r w:rsidRPr="00D1507D">
        <w:rPr>
          <w:rFonts w:ascii="Times New Roman" w:hAnsi="Times New Roman"/>
          <w:sz w:val="24"/>
        </w:rPr>
        <w:t xml:space="preserve"> </w:t>
      </w:r>
    </w:p>
    <w:p w:rsidR="002A7940" w:rsidRPr="00D1507D" w:rsidRDefault="007F69DB" w:rsidP="00D1507D">
      <w:pPr>
        <w:spacing w:before="100" w:beforeAutospacing="1" w:after="0" w:line="240" w:lineRule="auto"/>
        <w:jc w:val="both"/>
        <w:rPr>
          <w:rFonts w:ascii="Times New Roman" w:hAnsi="Times New Roman"/>
          <w:sz w:val="24"/>
        </w:rPr>
      </w:pPr>
      <w:r>
        <w:rPr>
          <w:rFonts w:ascii="Times New Roman" w:hAnsi="Times New Roman" w:cs="Times New Roman"/>
          <w:sz w:val="24"/>
          <w:szCs w:val="24"/>
          <w:lang w:eastAsia="en-GB"/>
        </w:rPr>
        <w:t>While some</w:t>
      </w:r>
      <w:r w:rsidRPr="00D1507D">
        <w:rPr>
          <w:rFonts w:ascii="Times New Roman" w:hAnsi="Times New Roman"/>
          <w:sz w:val="24"/>
        </w:rPr>
        <w:t xml:space="preserve"> services </w:t>
      </w:r>
      <w:r>
        <w:rPr>
          <w:rFonts w:ascii="Times New Roman" w:hAnsi="Times New Roman" w:cs="Times New Roman"/>
          <w:sz w:val="24"/>
          <w:szCs w:val="24"/>
          <w:lang w:eastAsia="en-GB"/>
        </w:rPr>
        <w:t>have claimed</w:t>
      </w:r>
      <w:r w:rsidRPr="00D1507D">
        <w:rPr>
          <w:rFonts w:ascii="Times New Roman" w:hAnsi="Times New Roman"/>
          <w:sz w:val="24"/>
        </w:rPr>
        <w:t xml:space="preserve"> </w:t>
      </w:r>
      <w:r w:rsidR="002A7940" w:rsidRPr="00D1507D">
        <w:rPr>
          <w:rFonts w:ascii="Times New Roman" w:hAnsi="Times New Roman"/>
          <w:sz w:val="24"/>
        </w:rPr>
        <w:t>high rates of successful content identification</w:t>
      </w:r>
      <w:r w:rsidR="002A7940" w:rsidRPr="00D1507D">
        <w:rPr>
          <w:rFonts w:ascii="Times New Roman" w:hAnsi="Times New Roman"/>
          <w:sz w:val="24"/>
          <w:vertAlign w:val="superscript"/>
        </w:rPr>
        <w:footnoteReference w:id="421"/>
      </w:r>
      <w:r>
        <w:rPr>
          <w:rFonts w:ascii="Times New Roman" w:hAnsi="Times New Roman"/>
          <w:sz w:val="24"/>
        </w:rPr>
        <w:t>,</w:t>
      </w:r>
      <w:r w:rsidR="002A7940" w:rsidRPr="0055729D">
        <w:rPr>
          <w:rFonts w:ascii="Times New Roman" w:hAnsi="Times New Roman" w:cs="Times New Roman"/>
          <w:sz w:val="24"/>
          <w:szCs w:val="24"/>
          <w:lang w:eastAsia="en-GB"/>
        </w:rPr>
        <w:t xml:space="preserve"> the</w:t>
      </w:r>
      <w:r w:rsidR="002A7940" w:rsidRPr="00D1507D">
        <w:rPr>
          <w:rFonts w:ascii="Times New Roman" w:hAnsi="Times New Roman"/>
          <w:sz w:val="24"/>
        </w:rPr>
        <w:t xml:space="preserve"> identification of some types of content, </w:t>
      </w:r>
      <w:r w:rsidR="002A7940" w:rsidRPr="00D1507D">
        <w:rPr>
          <w:rFonts w:ascii="Times New Roman" w:hAnsi="Times New Roman"/>
          <w:sz w:val="24"/>
          <w:bdr w:val="none" w:sz="0" w:space="0" w:color="auto" w:frame="1"/>
        </w:rPr>
        <w:t xml:space="preserve">such as bootleg remixes and DJ sets, or more generally of content that has been transformed or differs significantly from the original content, may </w:t>
      </w:r>
      <w:r w:rsidR="002A7940" w:rsidRPr="00D1507D">
        <w:rPr>
          <w:rFonts w:ascii="Times New Roman" w:hAnsi="Times New Roman"/>
          <w:sz w:val="24"/>
        </w:rPr>
        <w:t>be very challenging.</w:t>
      </w:r>
      <w:r w:rsidR="002A7940" w:rsidRPr="00D1507D">
        <w:rPr>
          <w:rFonts w:ascii="Times New Roman" w:hAnsi="Times New Roman"/>
          <w:sz w:val="24"/>
          <w:bdr w:val="none" w:sz="0" w:space="0" w:color="auto" w:frame="1"/>
          <w:vertAlign w:val="superscript"/>
        </w:rPr>
        <w:footnoteReference w:id="422"/>
      </w:r>
      <w:r w:rsidR="002A7940" w:rsidRPr="00D1507D">
        <w:rPr>
          <w:rFonts w:ascii="Times New Roman" w:hAnsi="Times New Roman"/>
          <w:sz w:val="24"/>
          <w:bdr w:val="nil"/>
        </w:rPr>
        <w:t xml:space="preserve"> </w:t>
      </w:r>
      <w:r w:rsidR="002A7940" w:rsidRPr="0055729D">
        <w:rPr>
          <w:rFonts w:ascii="Times New Roman" w:hAnsi="Times New Roman" w:cs="Times New Roman"/>
          <w:sz w:val="24"/>
          <w:szCs w:val="24"/>
          <w:lang w:eastAsia="en-GB"/>
        </w:rPr>
        <w:t xml:space="preserve"> Also, it has been reported by </w:t>
      </w:r>
      <w:r w:rsidR="0002514A">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002A7940" w:rsidRPr="0055729D">
        <w:rPr>
          <w:rFonts w:ascii="Times New Roman" w:hAnsi="Times New Roman" w:cs="Times New Roman"/>
          <w:sz w:val="24"/>
          <w:szCs w:val="24"/>
          <w:lang w:eastAsia="en-GB"/>
        </w:rPr>
        <w:t xml:space="preserve"> that the functioning and efficiency of the technologies re</w:t>
      </w:r>
      <w:r w:rsidR="003E1E7B">
        <w:rPr>
          <w:rFonts w:ascii="Times New Roman" w:hAnsi="Times New Roman" w:cs="Times New Roman"/>
          <w:sz w:val="24"/>
          <w:szCs w:val="24"/>
          <w:lang w:eastAsia="en-GB"/>
        </w:rPr>
        <w:t xml:space="preserve">mains generally opaque for them (for instance with regard </w:t>
      </w:r>
      <w:r w:rsidR="003E1E7B" w:rsidRPr="003E1E7B">
        <w:rPr>
          <w:rFonts w:ascii="Times New Roman" w:hAnsi="Times New Roman" w:cs="Times New Roman"/>
          <w:sz w:val="24"/>
          <w:szCs w:val="24"/>
          <w:lang w:eastAsia="en-GB"/>
        </w:rPr>
        <w:t xml:space="preserve">to </w:t>
      </w:r>
      <w:r w:rsidR="002A7940" w:rsidRPr="003E1E7B">
        <w:rPr>
          <w:rFonts w:ascii="Times New Roman" w:hAnsi="Times New Roman" w:cs="Times New Roman"/>
          <w:sz w:val="24"/>
          <w:szCs w:val="24"/>
          <w:bdr w:val="none" w:sz="0" w:space="0" w:color="auto" w:frame="1"/>
        </w:rPr>
        <w:t>changes implemented by the service</w:t>
      </w:r>
      <w:r w:rsidR="003E1E7B">
        <w:rPr>
          <w:rFonts w:ascii="Times New Roman" w:hAnsi="Times New Roman" w:cs="Times New Roman"/>
          <w:sz w:val="24"/>
          <w:szCs w:val="24"/>
          <w:bdr w:val="none" w:sz="0" w:space="0" w:color="auto" w:frame="1"/>
        </w:rPr>
        <w:t xml:space="preserve"> or reasons why some content has not been identified</w:t>
      </w:r>
      <w:r w:rsidR="002A7940" w:rsidRPr="0055729D">
        <w:rPr>
          <w:rFonts w:ascii="Times New Roman" w:hAnsi="Times New Roman" w:cs="Times New Roman"/>
          <w:sz w:val="24"/>
          <w:szCs w:val="24"/>
          <w:bdr w:val="none" w:sz="0" w:space="0" w:color="auto" w:frame="1"/>
        </w:rPr>
        <w:t>). In parallel, it</w:t>
      </w:r>
      <w:r w:rsidR="002A7940" w:rsidRPr="00D1507D">
        <w:rPr>
          <w:rFonts w:ascii="Times New Roman" w:hAnsi="Times New Roman"/>
          <w:sz w:val="24"/>
          <w:bdr w:val="none" w:sz="0" w:space="0" w:color="auto" w:frame="1"/>
        </w:rPr>
        <w:t xml:space="preserve"> has been argued that content identification technologies may lead to "false positives" (i.e. situations where content is wrongly identified and removed).</w:t>
      </w:r>
      <w:r w:rsidR="002A7940" w:rsidRPr="00D1507D">
        <w:rPr>
          <w:rFonts w:ascii="Times New Roman" w:hAnsi="Times New Roman"/>
          <w:sz w:val="24"/>
          <w:bdr w:val="none" w:sz="0" w:space="0" w:color="auto" w:frame="1"/>
          <w:vertAlign w:val="superscript"/>
        </w:rPr>
        <w:footnoteReference w:id="423"/>
      </w:r>
      <w:r w:rsidR="002A7940" w:rsidRPr="00D1507D">
        <w:rPr>
          <w:rFonts w:ascii="Times New Roman" w:hAnsi="Times New Roman"/>
          <w:sz w:val="24"/>
          <w:bdr w:val="none" w:sz="0" w:space="0" w:color="auto" w:frame="1"/>
        </w:rPr>
        <w:t xml:space="preserve"> At this stage, it seems </w:t>
      </w:r>
      <w:r w:rsidR="002A7940" w:rsidRPr="0055729D">
        <w:rPr>
          <w:rFonts w:ascii="Times New Roman" w:hAnsi="Times New Roman" w:cs="Times New Roman"/>
          <w:sz w:val="24"/>
          <w:szCs w:val="24"/>
          <w:bdr w:val="none" w:sz="0" w:space="0" w:color="auto" w:frame="1"/>
        </w:rPr>
        <w:t xml:space="preserve">also </w:t>
      </w:r>
      <w:r w:rsidR="002A7940" w:rsidRPr="00D1507D">
        <w:rPr>
          <w:rFonts w:ascii="Times New Roman" w:hAnsi="Times New Roman"/>
          <w:sz w:val="24"/>
          <w:bdr w:val="none" w:sz="0" w:space="0" w:color="auto" w:frame="1"/>
        </w:rPr>
        <w:t xml:space="preserve">clear that cooperation with </w:t>
      </w:r>
      <w:r w:rsidR="0002514A">
        <w:rPr>
          <w:rFonts w:ascii="Times New Roman" w:hAnsi="Times New Roman"/>
          <w:sz w:val="24"/>
        </w:rPr>
        <w:t>r</w:t>
      </w:r>
      <w:r w:rsidR="00007677">
        <w:rPr>
          <w:rFonts w:ascii="Times New Roman" w:hAnsi="Times New Roman"/>
          <w:sz w:val="24"/>
        </w:rPr>
        <w:t>ightholders</w:t>
      </w:r>
      <w:r w:rsidR="002A7940" w:rsidRPr="00D1507D">
        <w:rPr>
          <w:rFonts w:ascii="Times New Roman" w:hAnsi="Times New Roman"/>
          <w:sz w:val="24"/>
        </w:rPr>
        <w:t xml:space="preserve"> is required (notably to provide data such as fingerprints) for the efficient functioning of these technologies.</w:t>
      </w:r>
      <w:r w:rsidR="002A7940" w:rsidRPr="00D1507D">
        <w:rPr>
          <w:rFonts w:ascii="Times New Roman" w:hAnsi="Times New Roman"/>
          <w:sz w:val="24"/>
          <w:vertAlign w:val="superscript"/>
        </w:rPr>
        <w:footnoteReference w:id="424"/>
      </w:r>
    </w:p>
    <w:p w:rsidR="002A7940" w:rsidRPr="00D1507D" w:rsidRDefault="002A7940" w:rsidP="00D1507D">
      <w:pPr>
        <w:spacing w:before="100" w:beforeAutospacing="1" w:after="0" w:line="240" w:lineRule="auto"/>
        <w:jc w:val="both"/>
        <w:rPr>
          <w:rFonts w:ascii="Times New Roman" w:hAnsi="Times New Roman"/>
          <w:sz w:val="24"/>
        </w:rPr>
      </w:pPr>
      <w:r w:rsidRPr="00D1507D">
        <w:rPr>
          <w:rFonts w:ascii="Times New Roman" w:hAnsi="Times New Roman"/>
          <w:sz w:val="24"/>
        </w:rPr>
        <w:t>The situation described is also said to result in a decrease of the value of copyright protected content. Several broadcasters for example have started legal actions against different online platforms that disseminate their programs online claiming that these platforms are actively exploiting the content and benefitting financially from it.</w:t>
      </w:r>
      <w:r w:rsidRPr="00D1507D">
        <w:rPr>
          <w:rFonts w:ascii="Times New Roman" w:hAnsi="Times New Roman"/>
          <w:sz w:val="24"/>
          <w:vertAlign w:val="superscript"/>
        </w:rPr>
        <w:footnoteReference w:id="425"/>
      </w:r>
      <w:r w:rsidRPr="00D1507D">
        <w:rPr>
          <w:rFonts w:ascii="Times New Roman" w:hAnsi="Times New Roman"/>
          <w:sz w:val="24"/>
        </w:rPr>
        <w:t xml:space="preserve"> They consider that these services limit their ability to monetize certain types of content on other services.</w:t>
      </w:r>
      <w:r w:rsidRPr="00D1507D">
        <w:rPr>
          <w:rFonts w:ascii="Times New Roman" w:hAnsi="Times New Roman"/>
          <w:sz w:val="24"/>
          <w:vertAlign w:val="superscript"/>
        </w:rPr>
        <w:footnoteReference w:id="426"/>
      </w:r>
    </w:p>
    <w:p w:rsidR="002A7940"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color w:val="000000"/>
          <w:sz w:val="24"/>
          <w:u w:color="000000"/>
          <w:bdr w:val="none" w:sz="0" w:space="0" w:color="auto" w:frame="1"/>
        </w:rPr>
      </w:pPr>
      <w:r w:rsidRPr="00D1507D">
        <w:rPr>
          <w:rFonts w:ascii="Times New Roman" w:hAnsi="Times New Roman"/>
          <w:sz w:val="24"/>
        </w:rPr>
        <w:t xml:space="preserve">Besides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other online content service providers (those that acquire a licen</w:t>
      </w:r>
      <w:r w:rsidR="00ED1297">
        <w:rPr>
          <w:rFonts w:ascii="Times New Roman" w:hAnsi="Times New Roman"/>
          <w:sz w:val="24"/>
        </w:rPr>
        <w:t>c</w:t>
      </w:r>
      <w:r w:rsidRPr="00D1507D">
        <w:rPr>
          <w:rFonts w:ascii="Times New Roman" w:hAnsi="Times New Roman"/>
          <w:sz w:val="24"/>
        </w:rPr>
        <w:t xml:space="preserve">e from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and distribute protected content directly to end users) are affected by this situation. They find themselves at a competitive disadvantage - they negotiate and conclude licen</w:t>
      </w:r>
      <w:r w:rsidR="00ED1297">
        <w:rPr>
          <w:rFonts w:ascii="Times New Roman" w:hAnsi="Times New Roman"/>
          <w:sz w:val="24"/>
        </w:rPr>
        <w:t>c</w:t>
      </w:r>
      <w:r w:rsidRPr="00D1507D">
        <w:rPr>
          <w:rFonts w:ascii="Times New Roman" w:hAnsi="Times New Roman"/>
          <w:sz w:val="24"/>
        </w:rPr>
        <w:t xml:space="preserve">es with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in order to operate their services</w:t>
      </w:r>
      <w:r w:rsidRPr="00D1507D">
        <w:rPr>
          <w:rFonts w:ascii="Times New Roman" w:hAnsi="Times New Roman"/>
          <w:sz w:val="24"/>
          <w:vertAlign w:val="superscript"/>
        </w:rPr>
        <w:footnoteReference w:id="427"/>
      </w:r>
      <w:r w:rsidRPr="00D1507D">
        <w:rPr>
          <w:rFonts w:ascii="Times New Roman" w:hAnsi="Times New Roman"/>
          <w:sz w:val="24"/>
        </w:rPr>
        <w:t xml:space="preserve"> while online platforms distributing user uploaded content have no or very limited content acquisition costs.</w:t>
      </w:r>
      <w:r w:rsidRPr="00D1507D">
        <w:rPr>
          <w:rFonts w:ascii="Times New Roman" w:hAnsi="Times New Roman"/>
          <w:sz w:val="24"/>
          <w:vertAlign w:val="superscript"/>
        </w:rPr>
        <w:footnoteReference w:id="428"/>
      </w:r>
      <w:r w:rsidRPr="00D1507D">
        <w:rPr>
          <w:rFonts w:ascii="Times New Roman" w:hAnsi="Times New Roman"/>
          <w:sz w:val="24"/>
        </w:rPr>
        <w:t xml:space="preserve"> This is particularly relevant as both online content distribution services and user uploaded platforms may be seen by consumers as equivalent sources for content consumption.</w:t>
      </w:r>
      <w:r w:rsidRPr="00D1507D">
        <w:rPr>
          <w:rFonts w:ascii="Times New Roman" w:hAnsi="Times New Roman"/>
          <w:sz w:val="24"/>
          <w:vertAlign w:val="superscript"/>
        </w:rPr>
        <w:footnoteReference w:id="429"/>
      </w:r>
      <w:r w:rsidRPr="00D1507D">
        <w:rPr>
          <w:rFonts w:ascii="Times New Roman" w:hAnsi="Times New Roman"/>
          <w:sz w:val="24"/>
        </w:rPr>
        <w:t xml:space="preserve"> This is notably the case in the music sector where platforms are largely used by consumers to access music online. In this context, a Eurobarometer on users’ preferences for accessing content online conducted in March 2016 shows that 31 % of respondents use most often video or music-sharing websites to access music online.</w:t>
      </w:r>
      <w:r w:rsidRPr="00D1507D">
        <w:rPr>
          <w:rFonts w:ascii="Times New Roman" w:hAnsi="Times New Roman"/>
          <w:sz w:val="24"/>
          <w:vertAlign w:val="superscript"/>
        </w:rPr>
        <w:footnoteReference w:id="430"/>
      </w:r>
      <w:r w:rsidRPr="00D1507D">
        <w:rPr>
          <w:rFonts w:ascii="Times New Roman" w:hAnsi="Times New Roman"/>
          <w:color w:val="000000"/>
          <w:sz w:val="24"/>
          <w:u w:color="000000"/>
          <w:bdr w:val="none" w:sz="0" w:space="0" w:color="auto" w:frame="1"/>
        </w:rPr>
        <w:t xml:space="preserve"> </w:t>
      </w:r>
    </w:p>
    <w:p w:rsidR="002A7940" w:rsidRPr="0055729D" w:rsidRDefault="002A7940" w:rsidP="002A7940">
      <w:pPr>
        <w:pStyle w:val="NoSpacing"/>
        <w:rPr>
          <w:lang w:eastAsia="en-GB"/>
        </w:rPr>
      </w:pPr>
    </w:p>
    <w:p w:rsidR="002A7940" w:rsidRPr="0055729D" w:rsidRDefault="002A7940" w:rsidP="002A7940">
      <w:pPr>
        <w:spacing w:after="0" w:line="240" w:lineRule="auto"/>
        <w:jc w:val="both"/>
        <w:rPr>
          <w:rFonts w:ascii="Times New Roman" w:hAnsi="Times New Roman" w:cs="Times New Roman"/>
          <w:sz w:val="24"/>
          <w:szCs w:val="24"/>
        </w:rPr>
      </w:pPr>
      <w:r w:rsidRPr="0055729D">
        <w:rPr>
          <w:rFonts w:ascii="Times New Roman" w:hAnsi="Times New Roman" w:cs="Times New Roman"/>
          <w:sz w:val="24"/>
          <w:szCs w:val="24"/>
          <w:u w:val="single"/>
        </w:rPr>
        <w:t>Drivers</w:t>
      </w:r>
      <w:r w:rsidRPr="0055729D">
        <w:rPr>
          <w:rFonts w:ascii="Times New Roman" w:hAnsi="Times New Roman" w:cs="Times New Roman"/>
          <w:sz w:val="24"/>
          <w:szCs w:val="24"/>
        </w:rPr>
        <w:t xml:space="preserve">: </w:t>
      </w:r>
    </w:p>
    <w:p w:rsidR="002A7940" w:rsidRDefault="002A7940" w:rsidP="002A7940">
      <w:pPr>
        <w:spacing w:after="0" w:line="240" w:lineRule="auto"/>
        <w:jc w:val="both"/>
        <w:rPr>
          <w:rFonts w:ascii="Times New Roman" w:hAnsi="Times New Roman" w:cs="Times New Roman"/>
          <w:sz w:val="24"/>
          <w:szCs w:val="24"/>
          <w:lang w:eastAsia="en-GB"/>
        </w:rPr>
      </w:pPr>
      <w:r w:rsidRPr="00D1507D">
        <w:rPr>
          <w:rFonts w:ascii="Times New Roman" w:hAnsi="Times New Roman"/>
          <w:i/>
          <w:sz w:val="24"/>
        </w:rPr>
        <w:t xml:space="preserve">[Presence of large amounts of </w:t>
      </w:r>
      <w:r w:rsidR="00E37B6A">
        <w:rPr>
          <w:rFonts w:ascii="Times New Roman" w:hAnsi="Times New Roman"/>
          <w:i/>
          <w:sz w:val="24"/>
        </w:rPr>
        <w:t xml:space="preserve">protected </w:t>
      </w:r>
      <w:r w:rsidRPr="00D1507D">
        <w:rPr>
          <w:rFonts w:ascii="Times New Roman" w:hAnsi="Times New Roman"/>
          <w:i/>
          <w:sz w:val="24"/>
        </w:rPr>
        <w:t xml:space="preserve">content which is uploaded by users] </w:t>
      </w:r>
      <w:r w:rsidRPr="00D1507D">
        <w:rPr>
          <w:rFonts w:ascii="Times New Roman" w:hAnsi="Times New Roman"/>
          <w:sz w:val="24"/>
        </w:rPr>
        <w:t xml:space="preserve">Given the fact that content is uploaded by users, it is in practice difficult for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to determine the availability of protected content on user uploaded platforms. </w:t>
      </w:r>
      <w:r w:rsidRPr="0055729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55729D">
        <w:rPr>
          <w:rFonts w:ascii="Times New Roman" w:hAnsi="Times New Roman" w:cs="Times New Roman"/>
          <w:sz w:val="24"/>
          <w:szCs w:val="24"/>
        </w:rPr>
        <w:t xml:space="preserve">case of platforms which services (or one of their services) result in the </w:t>
      </w:r>
      <w:r w:rsidRPr="008C616A">
        <w:rPr>
          <w:rFonts w:ascii="Times New Roman" w:hAnsi="Times New Roman" w:cs="Times New Roman"/>
          <w:sz w:val="24"/>
          <w:szCs w:val="24"/>
        </w:rPr>
        <w:t xml:space="preserve">provision of access to significant amounts of, e.g. </w:t>
      </w:r>
      <w:r w:rsidRPr="00D1507D">
        <w:rPr>
          <w:rFonts w:ascii="Times New Roman" w:hAnsi="Times New Roman"/>
          <w:sz w:val="24"/>
        </w:rPr>
        <w:t>videos or other AV works, music or pictures,</w:t>
      </w:r>
      <w:r w:rsidRPr="00D1507D" w:rsidDel="00C8046F">
        <w:rPr>
          <w:rFonts w:ascii="Times New Roman" w:hAnsi="Times New Roman"/>
          <w:sz w:val="24"/>
        </w:rPr>
        <w:t xml:space="preserve">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face particular difficulties when wanting to negotiate licen</w:t>
      </w:r>
      <w:r w:rsidR="00ED1297">
        <w:rPr>
          <w:rFonts w:ascii="Times New Roman" w:hAnsi="Times New Roman"/>
          <w:sz w:val="24"/>
        </w:rPr>
        <w:t>c</w:t>
      </w:r>
      <w:r w:rsidRPr="00D1507D">
        <w:rPr>
          <w:rFonts w:ascii="Times New Roman" w:hAnsi="Times New Roman"/>
          <w:sz w:val="24"/>
        </w:rPr>
        <w:t>es or reach agreements.</w:t>
      </w:r>
      <w:r w:rsidRPr="008C616A">
        <w:rPr>
          <w:rFonts w:ascii="Times New Roman" w:hAnsi="Times New Roman" w:cs="Times New Roman"/>
          <w:sz w:val="24"/>
          <w:szCs w:val="24"/>
        </w:rPr>
        <w:t xml:space="preserve"> </w:t>
      </w:r>
      <w:r w:rsidR="00007677">
        <w:rPr>
          <w:rFonts w:ascii="Times New Roman" w:hAnsi="Times New Roman" w:cs="Times New Roman"/>
          <w:sz w:val="24"/>
          <w:szCs w:val="24"/>
        </w:rPr>
        <w:t>Rightholders</w:t>
      </w:r>
      <w:r w:rsidRPr="008C616A">
        <w:rPr>
          <w:rFonts w:ascii="Times New Roman" w:hAnsi="Times New Roman" w:cs="Times New Roman"/>
          <w:sz w:val="24"/>
          <w:szCs w:val="24"/>
        </w:rPr>
        <w:t xml:space="preserve"> have described their negotiation relationship with certain of these platforms as a "take it or leave it" situation: they must either accept the terms offered by the service or continue to send notifications for each individual content which can be infringed thousands of times.</w:t>
      </w:r>
      <w:r w:rsidRPr="008C616A">
        <w:rPr>
          <w:rFonts w:ascii="Times New Roman" w:hAnsi="Times New Roman" w:cs="Times New Roman"/>
          <w:sz w:val="24"/>
          <w:szCs w:val="24"/>
          <w:vertAlign w:val="superscript"/>
          <w:lang w:eastAsia="en-GB"/>
        </w:rPr>
        <w:footnoteReference w:id="431"/>
      </w:r>
      <w:r w:rsidRPr="008C616A">
        <w:rPr>
          <w:rFonts w:ascii="Times New Roman" w:hAnsi="Times New Roman" w:cs="Times New Roman"/>
          <w:sz w:val="24"/>
          <w:szCs w:val="24"/>
          <w:lang w:eastAsia="en-GB"/>
        </w:rPr>
        <w:t xml:space="preserve">  </w:t>
      </w:r>
      <w:r w:rsidRPr="006E748E">
        <w:rPr>
          <w:rFonts w:ascii="Times New Roman" w:hAnsi="Times New Roman" w:cs="Times New Roman"/>
          <w:sz w:val="24"/>
          <w:szCs w:val="24"/>
          <w:lang w:eastAsia="en-GB"/>
        </w:rPr>
        <w:t xml:space="preserve">Such a situation is further exacerbated in certain cases by the difference in bargaining power between </w:t>
      </w:r>
      <w:r w:rsidR="0002514A">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6E748E">
        <w:rPr>
          <w:rFonts w:ascii="Times New Roman" w:hAnsi="Times New Roman" w:cs="Times New Roman"/>
          <w:sz w:val="24"/>
          <w:szCs w:val="24"/>
          <w:lang w:eastAsia="en-GB"/>
        </w:rPr>
        <w:t xml:space="preserve"> and some of user uploaded services which have gained an important position on the market.</w:t>
      </w:r>
      <w:r w:rsidRPr="006E748E">
        <w:rPr>
          <w:rStyle w:val="FootnoteReference"/>
          <w:rFonts w:ascii="Times New Roman" w:hAnsi="Times New Roman" w:cs="Times New Roman"/>
          <w:sz w:val="24"/>
          <w:szCs w:val="24"/>
          <w:lang w:eastAsia="en-GB"/>
        </w:rPr>
        <w:footnoteReference w:id="432"/>
      </w:r>
      <w:r w:rsidRPr="006E748E">
        <w:rPr>
          <w:rFonts w:ascii="Times New Roman" w:hAnsi="Times New Roman" w:cs="Times New Roman"/>
          <w:sz w:val="24"/>
          <w:szCs w:val="24"/>
          <w:lang w:eastAsia="en-GB"/>
        </w:rPr>
        <w:t xml:space="preserve"> Even if major user uploaded content services have put in place measures such as content</w:t>
      </w:r>
      <w:r w:rsidRPr="008C616A">
        <w:rPr>
          <w:rFonts w:ascii="Times New Roman" w:hAnsi="Times New Roman" w:cs="Times New Roman"/>
          <w:sz w:val="24"/>
          <w:szCs w:val="24"/>
          <w:lang w:eastAsia="en-GB"/>
        </w:rPr>
        <w:t xml:space="preserve"> identification technologies,</w:t>
      </w:r>
      <w:r w:rsidRPr="008C616A">
        <w:rPr>
          <w:rFonts w:ascii="Times New Roman" w:hAnsi="Times New Roman" w:cs="Times New Roman"/>
          <w:sz w:val="24"/>
          <w:szCs w:val="24"/>
          <w:vertAlign w:val="superscript"/>
          <w:lang w:eastAsia="en-GB"/>
        </w:rPr>
        <w:footnoteReference w:id="433"/>
      </w:r>
      <w:r w:rsidRPr="008C616A">
        <w:rPr>
          <w:rFonts w:ascii="Times New Roman" w:hAnsi="Times New Roman" w:cs="Times New Roman"/>
          <w:sz w:val="24"/>
          <w:szCs w:val="24"/>
          <w:lang w:eastAsia="en-GB"/>
        </w:rPr>
        <w:t xml:space="preserve"> their deployment remains voluntary and is subject to the conditions set by the services.</w:t>
      </w:r>
      <w:r w:rsidRPr="0055729D">
        <w:rPr>
          <w:rFonts w:ascii="Times New Roman" w:hAnsi="Times New Roman" w:cs="Times New Roman"/>
          <w:sz w:val="24"/>
          <w:szCs w:val="24"/>
          <w:lang w:eastAsia="en-GB"/>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i/>
          <w:sz w:val="24"/>
        </w:rPr>
      </w:pPr>
      <w:r w:rsidRPr="0055729D">
        <w:rPr>
          <w:rFonts w:ascii="Times New Roman" w:hAnsi="Times New Roman" w:cs="Times New Roman"/>
          <w:sz w:val="24"/>
          <w:szCs w:val="24"/>
        </w:rPr>
        <w:t>[</w:t>
      </w:r>
      <w:r w:rsidRPr="00D1507D">
        <w:rPr>
          <w:rFonts w:ascii="Times New Roman" w:hAnsi="Times New Roman"/>
          <w:i/>
          <w:sz w:val="24"/>
        </w:rPr>
        <w:t>Legal uncertainty hampering the possible negotiation of agreements</w:t>
      </w:r>
      <w:r>
        <w:rPr>
          <w:rFonts w:ascii="Times New Roman" w:hAnsi="Times New Roman" w:cs="Times New Roman"/>
          <w:i/>
          <w:sz w:val="24"/>
          <w:szCs w:val="24"/>
          <w:lang w:eastAsia="en-GB"/>
        </w:rPr>
        <w:t xml:space="preserve"> with </w:t>
      </w:r>
      <w:r w:rsidRPr="0055729D">
        <w:rPr>
          <w:rFonts w:ascii="Times New Roman" w:hAnsi="Times New Roman" w:cs="Times New Roman"/>
          <w:i/>
          <w:sz w:val="24"/>
          <w:szCs w:val="24"/>
        </w:rPr>
        <w:t>services storing and giving</w:t>
      </w:r>
      <w:r w:rsidRPr="0055729D">
        <w:rPr>
          <w:rFonts w:ascii="Times New Roman" w:hAnsi="Times New Roman" w:cs="Times New Roman"/>
          <w:bCs/>
          <w:i/>
          <w:iCs/>
          <w:sz w:val="24"/>
          <w:szCs w:val="24"/>
        </w:rPr>
        <w:t xml:space="preserve"> access to protected content uploaded by </w:t>
      </w:r>
      <w:r w:rsidRPr="0055729D">
        <w:rPr>
          <w:rFonts w:ascii="Times New Roman" w:hAnsi="Times New Roman" w:cs="Times New Roman"/>
          <w:i/>
          <w:sz w:val="24"/>
          <w:szCs w:val="24"/>
        </w:rPr>
        <w:t xml:space="preserve">their </w:t>
      </w:r>
      <w:r w:rsidRPr="0055729D">
        <w:rPr>
          <w:rFonts w:ascii="Times New Roman" w:hAnsi="Times New Roman" w:cs="Times New Roman"/>
          <w:bCs/>
          <w:i/>
          <w:iCs/>
          <w:sz w:val="24"/>
          <w:szCs w:val="24"/>
        </w:rPr>
        <w:t>users</w:t>
      </w:r>
      <w:r w:rsidRPr="00D1507D">
        <w:rPr>
          <w:rFonts w:ascii="Times New Roman" w:hAnsi="Times New Roman"/>
          <w:i/>
          <w:sz w:val="24"/>
        </w:rPr>
        <w:t xml:space="preserve">] </w:t>
      </w:r>
      <w:r w:rsidRPr="00D1507D">
        <w:rPr>
          <w:rFonts w:ascii="Times New Roman" w:hAnsi="Times New Roman"/>
          <w:sz w:val="24"/>
        </w:rPr>
        <w:t xml:space="preserve">Under copyright law,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can exercise their right to authorize and exploit commercially the communication to the public of their works or other protected subject-matter, by the conclusion of licen</w:t>
      </w:r>
      <w:r w:rsidR="00ED1297">
        <w:rPr>
          <w:rFonts w:ascii="Times New Roman" w:hAnsi="Times New Roman"/>
          <w:sz w:val="24"/>
        </w:rPr>
        <w:t>c</w:t>
      </w:r>
      <w:r w:rsidRPr="00D1507D">
        <w:rPr>
          <w:rFonts w:ascii="Times New Roman" w:hAnsi="Times New Roman"/>
          <w:sz w:val="24"/>
        </w:rPr>
        <w:t>es in return for payment of remuneration,</w:t>
      </w:r>
      <w:r w:rsidRPr="00D1507D">
        <w:rPr>
          <w:rFonts w:ascii="Times New Roman" w:hAnsi="Times New Roman"/>
          <w:sz w:val="24"/>
          <w:vertAlign w:val="superscript"/>
        </w:rPr>
        <w:footnoteReference w:id="434"/>
      </w:r>
      <w:r w:rsidRPr="00D1507D">
        <w:rPr>
          <w:rFonts w:ascii="Times New Roman" w:hAnsi="Times New Roman"/>
          <w:sz w:val="24"/>
        </w:rPr>
        <w:t xml:space="preserve"> if they so choose.</w:t>
      </w:r>
      <w:r w:rsidRPr="00D1507D">
        <w:rPr>
          <w:rFonts w:ascii="Times New Roman" w:hAnsi="Times New Roman"/>
          <w:sz w:val="24"/>
          <w:vertAlign w:val="superscript"/>
        </w:rPr>
        <w:footnoteReference w:id="435"/>
      </w:r>
      <w:r w:rsidRPr="00D1507D">
        <w:rPr>
          <w:rFonts w:ascii="Times New Roman" w:hAnsi="Times New Roman"/>
          <w:sz w:val="24"/>
        </w:rPr>
        <w:t xml:space="preserve"> When content is disseminated online, an act of communication to the public takes place which may, depending on the circumstances, involve more than one actor. The CJEU</w:t>
      </w:r>
      <w:r w:rsidR="00126B2F">
        <w:rPr>
          <w:rFonts w:ascii="Times New Roman" w:hAnsi="Times New Roman"/>
          <w:sz w:val="24"/>
        </w:rPr>
        <w:t xml:space="preserve"> </w:t>
      </w:r>
      <w:r w:rsidRPr="00D1507D">
        <w:rPr>
          <w:rFonts w:ascii="Times New Roman" w:hAnsi="Times New Roman"/>
          <w:sz w:val="24"/>
        </w:rPr>
        <w:t>has not addressed the specific case of online services giving access to content uploaded by their users.</w:t>
      </w:r>
      <w:r w:rsidRPr="00D1507D">
        <w:rPr>
          <w:rFonts w:ascii="Times New Roman" w:hAnsi="Times New Roman"/>
          <w:sz w:val="24"/>
          <w:vertAlign w:val="superscript"/>
        </w:rPr>
        <w:footnoteReference w:id="436"/>
      </w:r>
      <w:r w:rsidRPr="00D1507D">
        <w:rPr>
          <w:rFonts w:ascii="Times New Roman" w:hAnsi="Times New Roman"/>
          <w:sz w:val="24"/>
        </w:rPr>
        <w:t xml:space="preserve"> With some exceptions,</w:t>
      </w:r>
      <w:r w:rsidRPr="00D1507D">
        <w:rPr>
          <w:rFonts w:ascii="Times New Roman" w:hAnsi="Times New Roman"/>
          <w:sz w:val="24"/>
          <w:vertAlign w:val="superscript"/>
        </w:rPr>
        <w:footnoteReference w:id="437"/>
      </w:r>
      <w:r w:rsidRPr="00D1507D">
        <w:rPr>
          <w:rFonts w:ascii="Times New Roman" w:hAnsi="Times New Roman"/>
          <w:sz w:val="24"/>
        </w:rPr>
        <w:t xml:space="preserve"> national case law is not very clear either as to who engages into an act of communication to the public when content is uploaded on a sharing website. </w:t>
      </w:r>
      <w:r w:rsidRPr="00D1507D">
        <w:t xml:space="preserve"> </w:t>
      </w:r>
    </w:p>
    <w:p w:rsidR="002A7940" w:rsidRPr="00D1507D" w:rsidRDefault="002A7940" w:rsidP="002A7940">
      <w:pPr>
        <w:spacing w:before="100" w:beforeAutospacing="1" w:after="100" w:afterAutospacing="1" w:line="240" w:lineRule="auto"/>
        <w:jc w:val="both"/>
        <w:rPr>
          <w:rFonts w:ascii="Times New Roman" w:hAnsi="Times New Roman"/>
          <w:sz w:val="24"/>
        </w:rPr>
      </w:pPr>
      <w:r w:rsidRPr="00D1507D">
        <w:rPr>
          <w:rFonts w:ascii="Times New Roman" w:hAnsi="Times New Roman"/>
          <w:sz w:val="24"/>
        </w:rPr>
        <w:t xml:space="preserve">Additional uncertainty arises from the question of whether specific service providers that store and give access to content uploaded by a third party can benefit from the hosting service provider status provided under the </w:t>
      </w:r>
      <w:r w:rsidR="00131C6F">
        <w:rPr>
          <w:rFonts w:ascii="Times New Roman" w:hAnsi="Times New Roman"/>
          <w:sz w:val="24"/>
        </w:rPr>
        <w:t>Directive 2000/31/EC</w:t>
      </w:r>
      <w:r w:rsidR="00131C6F">
        <w:rPr>
          <w:rStyle w:val="FootnoteReference"/>
          <w:rFonts w:ascii="Times New Roman" w:hAnsi="Times New Roman"/>
          <w:sz w:val="24"/>
        </w:rPr>
        <w:footnoteReference w:id="438"/>
      </w:r>
      <w:r w:rsidR="006F4EE2">
        <w:rPr>
          <w:rFonts w:ascii="Times New Roman" w:hAnsi="Times New Roman"/>
          <w:sz w:val="24"/>
        </w:rPr>
        <w:t xml:space="preserve"> </w:t>
      </w:r>
      <w:r w:rsidR="00131C6F">
        <w:rPr>
          <w:rFonts w:ascii="Times New Roman" w:hAnsi="Times New Roman"/>
          <w:sz w:val="24"/>
        </w:rPr>
        <w:t>(</w:t>
      </w:r>
      <w:r w:rsidRPr="00D1507D">
        <w:rPr>
          <w:rFonts w:ascii="Times New Roman" w:hAnsi="Times New Roman"/>
          <w:sz w:val="24"/>
        </w:rPr>
        <w:t>E-Commerce Directive</w:t>
      </w:r>
      <w:r w:rsidR="00131C6F">
        <w:rPr>
          <w:rFonts w:ascii="Times New Roman" w:hAnsi="Times New Roman"/>
          <w:sz w:val="24"/>
        </w:rPr>
        <w:t>-</w:t>
      </w:r>
      <w:r w:rsidRPr="00D1507D">
        <w:rPr>
          <w:rFonts w:ascii="Times New Roman" w:hAnsi="Times New Roman"/>
          <w:sz w:val="24"/>
        </w:rPr>
        <w:t>"ECD").</w:t>
      </w:r>
      <w:r w:rsidRPr="00D1507D">
        <w:rPr>
          <w:rFonts w:ascii="Times New Roman" w:hAnsi="Times New Roman"/>
          <w:sz w:val="24"/>
          <w:vertAlign w:val="superscript"/>
        </w:rPr>
        <w:footnoteReference w:id="439"/>
      </w:r>
      <w:r w:rsidRPr="00D1507D">
        <w:rPr>
          <w:rFonts w:ascii="Times New Roman" w:hAnsi="Times New Roman"/>
          <w:sz w:val="24"/>
        </w:rPr>
        <w:t xml:space="preserve"> It is up to the courts to assess on a case by case basis whether a given service qualifies as a mere technical, automatic and passive hosting service provider</w:t>
      </w:r>
      <w:r w:rsidRPr="006E748E">
        <w:rPr>
          <w:rFonts w:ascii="Times New Roman" w:hAnsi="Times New Roman"/>
          <w:sz w:val="24"/>
        </w:rPr>
        <w:t xml:space="preserve">. </w:t>
      </w:r>
      <w:r w:rsidRPr="006E748E">
        <w:rPr>
          <w:rFonts w:ascii="Times New Roman" w:hAnsi="Times New Roman" w:cs="Times New Roman"/>
          <w:sz w:val="24"/>
          <w:szCs w:val="24"/>
        </w:rPr>
        <w:t>National</w:t>
      </w:r>
      <w:r w:rsidRPr="006E748E">
        <w:rPr>
          <w:rFonts w:ascii="Times New Roman" w:hAnsi="Times New Roman"/>
          <w:sz w:val="24"/>
        </w:rPr>
        <w:t xml:space="preserve"> courts have often </w:t>
      </w:r>
      <w:r w:rsidRPr="006E748E">
        <w:rPr>
          <w:rFonts w:ascii="Times New Roman" w:hAnsi="Times New Roman" w:cs="Times New Roman"/>
          <w:sz w:val="24"/>
          <w:szCs w:val="24"/>
        </w:rPr>
        <w:t>found</w:t>
      </w:r>
      <w:r w:rsidRPr="00D1507D">
        <w:rPr>
          <w:rFonts w:ascii="Times New Roman" w:hAnsi="Times New Roman"/>
          <w:sz w:val="24"/>
        </w:rPr>
        <w:t xml:space="preserve"> that user uploaded content services </w:t>
      </w:r>
      <w:r w:rsidRPr="006E748E">
        <w:rPr>
          <w:rFonts w:ascii="Times New Roman" w:hAnsi="Times New Roman" w:cs="Times New Roman"/>
          <w:sz w:val="24"/>
          <w:szCs w:val="24"/>
        </w:rPr>
        <w:t>were</w:t>
      </w:r>
      <w:r w:rsidRPr="00D1507D">
        <w:rPr>
          <w:rFonts w:ascii="Times New Roman" w:hAnsi="Times New Roman"/>
          <w:sz w:val="24"/>
        </w:rPr>
        <w:t xml:space="preserve"> covered by Article 14 ECD</w:t>
      </w:r>
      <w:r w:rsidRPr="006E748E">
        <w:rPr>
          <w:rFonts w:ascii="Times New Roman" w:hAnsi="Times New Roman" w:cs="Times New Roman"/>
          <w:sz w:val="24"/>
          <w:szCs w:val="24"/>
        </w:rPr>
        <w:t>.</w:t>
      </w:r>
      <w:r w:rsidRPr="006E748E">
        <w:rPr>
          <w:rStyle w:val="FootnoteReference"/>
          <w:rFonts w:ascii="Times New Roman" w:hAnsi="Times New Roman" w:cs="Times New Roman"/>
          <w:sz w:val="24"/>
          <w:szCs w:val="24"/>
        </w:rPr>
        <w:footnoteReference w:id="440"/>
      </w:r>
      <w:r w:rsidRPr="006E748E">
        <w:rPr>
          <w:rFonts w:ascii="Times New Roman" w:hAnsi="Times New Roman" w:cs="Times New Roman"/>
          <w:sz w:val="24"/>
          <w:szCs w:val="24"/>
        </w:rPr>
        <w:t xml:space="preserve"> However,</w:t>
      </w:r>
      <w:r w:rsidRPr="00D1507D">
        <w:rPr>
          <w:rFonts w:ascii="Times New Roman" w:hAnsi="Times New Roman"/>
          <w:sz w:val="24"/>
        </w:rPr>
        <w:t xml:space="preserve"> in a number of </w:t>
      </w:r>
      <w:r w:rsidRPr="006E748E">
        <w:rPr>
          <w:rFonts w:ascii="Times New Roman" w:hAnsi="Times New Roman" w:cs="Times New Roman"/>
          <w:sz w:val="24"/>
          <w:szCs w:val="24"/>
        </w:rPr>
        <w:t xml:space="preserve">recent </w:t>
      </w:r>
      <w:r w:rsidRPr="00D1507D">
        <w:rPr>
          <w:rFonts w:ascii="Times New Roman" w:hAnsi="Times New Roman"/>
          <w:sz w:val="24"/>
        </w:rPr>
        <w:t>cases</w:t>
      </w:r>
      <w:r w:rsidRPr="006E748E">
        <w:rPr>
          <w:rFonts w:ascii="Times New Roman" w:hAnsi="Times New Roman" w:cs="Times New Roman"/>
          <w:sz w:val="24"/>
          <w:szCs w:val="24"/>
        </w:rPr>
        <w:t>, national courts have deemed such services to go beyond Article 14 ECD, highlighting</w:t>
      </w:r>
      <w:r w:rsidRPr="00D1507D">
        <w:rPr>
          <w:rFonts w:ascii="Times New Roman" w:hAnsi="Times New Roman"/>
          <w:sz w:val="24"/>
        </w:rPr>
        <w:t xml:space="preserve"> the importance of protected content for </w:t>
      </w:r>
      <w:r w:rsidRPr="006E748E">
        <w:rPr>
          <w:rFonts w:ascii="Times New Roman" w:hAnsi="Times New Roman" w:cs="Times New Roman"/>
          <w:sz w:val="24"/>
          <w:szCs w:val="24"/>
        </w:rPr>
        <w:t>the</w:t>
      </w:r>
      <w:r w:rsidRPr="00D1507D">
        <w:rPr>
          <w:rFonts w:ascii="Times New Roman" w:hAnsi="Times New Roman"/>
          <w:sz w:val="24"/>
        </w:rPr>
        <w:t xml:space="preserve"> business models and </w:t>
      </w:r>
      <w:r w:rsidRPr="006E748E">
        <w:rPr>
          <w:rFonts w:ascii="Times New Roman" w:hAnsi="Times New Roman"/>
          <w:sz w:val="24"/>
        </w:rPr>
        <w:t xml:space="preserve">the </w:t>
      </w:r>
      <w:r w:rsidRPr="00D1507D">
        <w:rPr>
          <w:rFonts w:ascii="Times New Roman" w:hAnsi="Times New Roman"/>
          <w:sz w:val="24"/>
        </w:rPr>
        <w:t>revenues</w:t>
      </w:r>
      <w:r w:rsidRPr="006E748E">
        <w:rPr>
          <w:rFonts w:ascii="Times New Roman" w:hAnsi="Times New Roman" w:cs="Times New Roman"/>
          <w:sz w:val="24"/>
          <w:szCs w:val="24"/>
        </w:rPr>
        <w:t xml:space="preserve"> of user uploaded content services</w:t>
      </w:r>
      <w:r w:rsidR="006E748E" w:rsidRPr="006E748E">
        <w:rPr>
          <w:rFonts w:ascii="Times New Roman" w:hAnsi="Times New Roman" w:cs="Times New Roman"/>
          <w:sz w:val="24"/>
          <w:szCs w:val="24"/>
        </w:rPr>
        <w:t>.</w:t>
      </w:r>
      <w:r w:rsidRPr="006E748E">
        <w:rPr>
          <w:rFonts w:ascii="Times New Roman" w:hAnsi="Times New Roman" w:cs="Times New Roman"/>
          <w:sz w:val="24"/>
          <w:szCs w:val="24"/>
          <w:vertAlign w:val="superscript"/>
        </w:rPr>
        <w:footnoteReference w:id="441"/>
      </w:r>
    </w:p>
    <w:p w:rsidR="002A7940" w:rsidRPr="00D1507D" w:rsidRDefault="002A7940" w:rsidP="00D1507D">
      <w:pPr>
        <w:spacing w:before="100" w:beforeAutospacing="1" w:after="0" w:line="240" w:lineRule="auto"/>
        <w:jc w:val="both"/>
        <w:rPr>
          <w:rFonts w:ascii="Times New Roman" w:hAnsi="Times New Roman"/>
          <w:sz w:val="24"/>
          <w:u w:val="single"/>
        </w:rPr>
      </w:pPr>
      <w:r w:rsidRPr="00D1507D">
        <w:rPr>
          <w:rFonts w:ascii="Times New Roman" w:hAnsi="Times New Roman"/>
          <w:sz w:val="24"/>
          <w:u w:val="single"/>
        </w:rPr>
        <w:t>Consequences</w:t>
      </w:r>
      <w:r w:rsidRPr="006F4EE2">
        <w:rPr>
          <w:rFonts w:ascii="Times New Roman" w:hAnsi="Times New Roman"/>
          <w:sz w:val="24"/>
        </w:rPr>
        <w:t xml:space="preserve">: </w:t>
      </w:r>
      <w:r w:rsidRPr="00D1507D">
        <w:rPr>
          <w:rFonts w:ascii="Times New Roman" w:hAnsi="Times New Roman"/>
          <w:sz w:val="24"/>
        </w:rPr>
        <w:t xml:space="preserve">The </w:t>
      </w:r>
      <w:r w:rsidRPr="0055729D">
        <w:rPr>
          <w:rFonts w:ascii="Times New Roman" w:hAnsi="Times New Roman" w:cs="Times New Roman"/>
          <w:sz w:val="24"/>
          <w:szCs w:val="24"/>
        </w:rPr>
        <w:t>situation</w:t>
      </w:r>
      <w:r w:rsidRPr="00D1507D">
        <w:rPr>
          <w:rFonts w:ascii="Times New Roman" w:hAnsi="Times New Roman"/>
          <w:sz w:val="24"/>
        </w:rPr>
        <w:t xml:space="preserve"> above has led to the situation where </w:t>
      </w:r>
      <w:r w:rsidR="006C75B2">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are confronted with large use of their content on user uploaded content services</w:t>
      </w:r>
      <w:r w:rsidR="00E37B6A">
        <w:rPr>
          <w:rFonts w:ascii="Times New Roman" w:hAnsi="Times New Roman"/>
          <w:sz w:val="24"/>
        </w:rPr>
        <w:t xml:space="preserve">, </w:t>
      </w:r>
      <w:r w:rsidR="00E37B6A" w:rsidRPr="00353DAA">
        <w:rPr>
          <w:rFonts w:ascii="Times New Roman" w:hAnsi="Times New Roman" w:cs="Times New Roman"/>
          <w:sz w:val="24"/>
          <w:szCs w:val="24"/>
        </w:rPr>
        <w:t>have no or</w:t>
      </w:r>
      <w:r w:rsidR="00E37B6A" w:rsidRPr="00DC4788">
        <w:rPr>
          <w:rFonts w:ascii="Times New Roman" w:hAnsi="Times New Roman"/>
          <w:sz w:val="24"/>
        </w:rPr>
        <w:t xml:space="preserve"> limited control over the use of their content</w:t>
      </w:r>
      <w:r w:rsidR="00E37B6A">
        <w:rPr>
          <w:rFonts w:ascii="Times New Roman" w:hAnsi="Times New Roman"/>
          <w:sz w:val="24"/>
        </w:rPr>
        <w:t xml:space="preserve">, </w:t>
      </w:r>
      <w:r w:rsidRPr="00D1507D">
        <w:rPr>
          <w:rFonts w:ascii="Times New Roman" w:hAnsi="Times New Roman"/>
          <w:sz w:val="24"/>
        </w:rPr>
        <w:t xml:space="preserve">and fail (or have difficulties) to </w:t>
      </w:r>
      <w:r w:rsidRPr="0055729D">
        <w:rPr>
          <w:rFonts w:ascii="Times New Roman" w:hAnsi="Times New Roman" w:cs="Times New Roman"/>
          <w:sz w:val="24"/>
          <w:szCs w:val="24"/>
          <w:lang w:eastAsia="en-GB"/>
        </w:rPr>
        <w:t>enter into</w:t>
      </w:r>
      <w:r w:rsidRPr="00D1507D">
        <w:rPr>
          <w:rFonts w:ascii="Times New Roman" w:hAnsi="Times New Roman"/>
          <w:sz w:val="24"/>
        </w:rPr>
        <w:t xml:space="preserve"> agreements </w:t>
      </w:r>
      <w:r w:rsidRPr="0055729D">
        <w:rPr>
          <w:rFonts w:ascii="Times New Roman" w:hAnsi="Times New Roman" w:cs="Times New Roman"/>
          <w:sz w:val="24"/>
          <w:szCs w:val="24"/>
          <w:lang w:eastAsia="en-GB"/>
        </w:rPr>
        <w:t>for the use of their content and obtain a remuneration</w:t>
      </w:r>
      <w:r w:rsidRPr="00D1507D">
        <w:rPr>
          <w:rFonts w:ascii="Times New Roman" w:hAnsi="Times New Roman"/>
          <w:sz w:val="24"/>
        </w:rPr>
        <w:t>.</w:t>
      </w:r>
    </w:p>
    <w:p w:rsidR="002A7940" w:rsidRPr="0055729D" w:rsidRDefault="002A7940" w:rsidP="002A7940">
      <w:pPr>
        <w:spacing w:after="0" w:line="240" w:lineRule="auto"/>
        <w:jc w:val="both"/>
        <w:rPr>
          <w:rFonts w:ascii="Times New Roman" w:hAnsi="Times New Roman" w:cs="Times New Roman"/>
          <w:sz w:val="24"/>
          <w:szCs w:val="24"/>
          <w:lang w:eastAsia="en-GB"/>
        </w:rPr>
      </w:pPr>
    </w:p>
    <w:p w:rsidR="002A7940" w:rsidRPr="00D1507D" w:rsidRDefault="002A7940" w:rsidP="00D1507D">
      <w:pPr>
        <w:pStyle w:val="Body"/>
        <w:spacing w:after="0"/>
        <w:rPr>
          <w:rFonts w:hAnsi="Times New Roman"/>
          <w:u w:val="single"/>
        </w:rPr>
      </w:pPr>
      <w:r w:rsidRPr="00D1507D">
        <w:rPr>
          <w:rFonts w:hAnsi="Times New Roman"/>
          <w:u w:val="single"/>
        </w:rPr>
        <w:t xml:space="preserve">How </w:t>
      </w:r>
      <w:r w:rsidRPr="0055729D">
        <w:rPr>
          <w:rFonts w:hAnsi="Times New Roman" w:cs="Times New Roman"/>
          <w:u w:val="single"/>
        </w:rPr>
        <w:t xml:space="preserve">would </w:t>
      </w:r>
      <w:r w:rsidRPr="00D1507D">
        <w:rPr>
          <w:rFonts w:hAnsi="Times New Roman"/>
          <w:u w:val="single"/>
        </w:rPr>
        <w:t>the problem evolve</w:t>
      </w:r>
      <w:r w:rsidRPr="006F4EE2">
        <w:rPr>
          <w:rFonts w:hAnsi="Times New Roman" w:cs="Times New Roman"/>
          <w:u w:val="single"/>
        </w:rPr>
        <w:t>?</w:t>
      </w:r>
      <w:r w:rsidRPr="006F4EE2">
        <w:rPr>
          <w:rFonts w:hAnsi="Times New Roman"/>
        </w:rPr>
        <w:t xml:space="preserve">: </w:t>
      </w:r>
      <w:r w:rsidRPr="00D1507D">
        <w:rPr>
          <w:rFonts w:hAnsi="Times New Roman"/>
        </w:rPr>
        <w:t xml:space="preserve">If no action is taken at EU level, the described </w:t>
      </w:r>
      <w:r w:rsidRPr="0055729D">
        <w:rPr>
          <w:rFonts w:eastAsia="Times New Roman" w:hAnsi="Times New Roman" w:cs="Times New Roman"/>
        </w:rPr>
        <w:t>situation</w:t>
      </w:r>
      <w:r w:rsidRPr="00D1507D">
        <w:rPr>
          <w:rFonts w:hAnsi="Times New Roman"/>
        </w:rPr>
        <w:t xml:space="preserve"> is likely to remain and affect </w:t>
      </w:r>
      <w:r w:rsidRPr="003D6D95">
        <w:rPr>
          <w:rFonts w:hAnsi="Times New Roman" w:cs="Times New Roman"/>
        </w:rPr>
        <w:t xml:space="preserve">negatively </w:t>
      </w:r>
      <w:r w:rsidR="006C75B2">
        <w:rPr>
          <w:rFonts w:hAnsi="Times New Roman"/>
        </w:rPr>
        <w:t>r</w:t>
      </w:r>
      <w:r w:rsidR="00007677">
        <w:rPr>
          <w:rFonts w:hAnsi="Times New Roman"/>
        </w:rPr>
        <w:t>ightholders</w:t>
      </w:r>
      <w:r w:rsidRPr="00D1507D">
        <w:rPr>
          <w:rFonts w:hAnsi="Times New Roman"/>
        </w:rPr>
        <w:t>' possibilities to negotiate agreements</w:t>
      </w:r>
      <w:r w:rsidRPr="003D6D95">
        <w:rPr>
          <w:rFonts w:hAnsi="Times New Roman" w:cs="Times New Roman"/>
        </w:rPr>
        <w:t xml:space="preserve"> and the level playing field on the online content market.</w:t>
      </w:r>
      <w:r w:rsidRPr="00D1507D">
        <w:rPr>
          <w:rFonts w:hAnsi="Times New Roman"/>
        </w:rPr>
        <w:t xml:space="preserve"> This in turn risks constraining the </w:t>
      </w:r>
      <w:r>
        <w:rPr>
          <w:rFonts w:eastAsia="Times New Roman" w:hAnsi="Times New Roman" w:cs="Times New Roman"/>
        </w:rPr>
        <w:t>sustainable</w:t>
      </w:r>
      <w:r w:rsidRPr="0055729D">
        <w:rPr>
          <w:rFonts w:hAnsi="Times New Roman" w:cs="Times New Roman"/>
        </w:rPr>
        <w:t xml:space="preserve"> </w:t>
      </w:r>
      <w:r w:rsidRPr="00D1507D">
        <w:rPr>
          <w:rFonts w:hAnsi="Times New Roman"/>
        </w:rPr>
        <w:t xml:space="preserve">growth of </w:t>
      </w:r>
      <w:r>
        <w:rPr>
          <w:rFonts w:hAnsi="Times New Roman" w:cs="Times New Roman"/>
        </w:rPr>
        <w:t xml:space="preserve">digital content markets and future investment in content creation and </w:t>
      </w:r>
      <w:r w:rsidRPr="001C6314">
        <w:rPr>
          <w:rFonts w:hAnsi="Times New Roman" w:cs="Times New Roman"/>
        </w:rPr>
        <w:t>production</w:t>
      </w:r>
      <w:r w:rsidRPr="00D1507D">
        <w:rPr>
          <w:rFonts w:hAnsi="Times New Roman"/>
        </w:rPr>
        <w:t xml:space="preserve">. The general trend in content consumption, which is moving away from physical media towards the digital services, may further exacerbate the current problem, as seems to be indicated by the fact that the increase in consumption has not been accompanied by a proportionate increase in payments to </w:t>
      </w:r>
      <w:r w:rsidR="006C75B2">
        <w:rPr>
          <w:rFonts w:hAnsi="Times New Roman"/>
        </w:rPr>
        <w:t>r</w:t>
      </w:r>
      <w:r w:rsidR="00007677">
        <w:rPr>
          <w:rFonts w:hAnsi="Times New Roman"/>
        </w:rPr>
        <w:t>ightholders</w:t>
      </w:r>
      <w:r w:rsidRPr="00D1507D">
        <w:rPr>
          <w:rStyle w:val="FootnoteReference"/>
        </w:rPr>
        <w:footnoteReference w:id="442"/>
      </w:r>
      <w:r w:rsidRPr="0055729D">
        <w:rPr>
          <w:rFonts w:eastAsia="Times New Roman" w:hAnsi="Times New Roman" w:cs="Times New Roman"/>
        </w:rPr>
        <w:t>.</w:t>
      </w:r>
    </w:p>
    <w:p w:rsidR="002A7940" w:rsidRPr="00D1507D" w:rsidRDefault="002A7940" w:rsidP="00D1507D">
      <w:pPr>
        <w:spacing w:before="100" w:beforeAutospacing="1" w:after="0" w:line="240" w:lineRule="auto"/>
        <w:jc w:val="both"/>
        <w:rPr>
          <w:rFonts w:ascii="Times New Roman" w:hAnsi="Times New Roman"/>
          <w:sz w:val="24"/>
        </w:rPr>
      </w:pPr>
      <w:r w:rsidRPr="00D1507D">
        <w:rPr>
          <w:rFonts w:ascii="Times New Roman" w:hAnsi="Times New Roman"/>
          <w:sz w:val="24"/>
        </w:rPr>
        <w:t>At the same time the market has been undergoing certain changes with</w:t>
      </w:r>
      <w:r w:rsidRPr="0055729D">
        <w:rPr>
          <w:rFonts w:ascii="Times New Roman" w:eastAsia="Times New Roman" w:hAnsi="Times New Roman" w:cs="Times New Roman"/>
          <w:sz w:val="24"/>
          <w:szCs w:val="24"/>
        </w:rPr>
        <w:t xml:space="preserve"> technologies being more generally available and deployed and</w:t>
      </w:r>
      <w:r w:rsidRPr="00D1507D">
        <w:rPr>
          <w:rFonts w:ascii="Times New Roman" w:hAnsi="Times New Roman"/>
          <w:sz w:val="24"/>
        </w:rPr>
        <w:t xml:space="preserve"> licensing and partnership agreements being struck between </w:t>
      </w:r>
      <w:r w:rsidR="006C75B2">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and online services that had so far refused to conclude agreements</w:t>
      </w:r>
      <w:r w:rsidRPr="00D1507D">
        <w:rPr>
          <w:rStyle w:val="FootnoteReference"/>
        </w:rPr>
        <w:footnoteReference w:id="443"/>
      </w:r>
      <w:r w:rsidRPr="0055729D">
        <w:rPr>
          <w:rFonts w:ascii="Times New Roman" w:hAnsi="Times New Roman" w:cs="Times New Roman"/>
          <w:sz w:val="24"/>
          <w:szCs w:val="24"/>
          <w:lang w:eastAsia="en-GB"/>
        </w:rPr>
        <w:t xml:space="preserve">. </w:t>
      </w:r>
      <w:r w:rsidRPr="00D1507D">
        <w:rPr>
          <w:rFonts w:ascii="Times New Roman" w:hAnsi="Times New Roman"/>
          <w:sz w:val="24"/>
        </w:rPr>
        <w:t xml:space="preserve"> This trend may continue but it may still follow the pattern whereby services operate without the </w:t>
      </w:r>
      <w:r w:rsidR="006C75B2">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agreement and build an audience before agreements are concluded.</w:t>
      </w:r>
      <w:r w:rsidRPr="00D1507D">
        <w:rPr>
          <w:rFonts w:ascii="Times New Roman" w:hAnsi="Times New Roman"/>
          <w:sz w:val="24"/>
          <w:vertAlign w:val="superscript"/>
        </w:rPr>
        <w:footnoteReference w:id="444"/>
      </w:r>
      <w:r w:rsidRPr="00D1507D">
        <w:rPr>
          <w:rFonts w:ascii="Times New Roman" w:hAnsi="Times New Roman"/>
          <w:sz w:val="24"/>
        </w:rPr>
        <w:t xml:space="preserve"> Moreover, </w:t>
      </w:r>
      <w:r>
        <w:rPr>
          <w:rFonts w:ascii="Times New Roman" w:eastAsia="Times New Roman" w:hAnsi="Times New Roman" w:cs="Times New Roman"/>
          <w:sz w:val="24"/>
          <w:szCs w:val="24"/>
        </w:rPr>
        <w:t xml:space="preserve">whereas </w:t>
      </w:r>
      <w:r w:rsidRPr="0055729D">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is</w:t>
      </w:r>
      <w:r w:rsidRPr="00D1507D">
        <w:rPr>
          <w:rFonts w:ascii="Times New Roman" w:hAnsi="Times New Roman"/>
          <w:sz w:val="24"/>
        </w:rPr>
        <w:t xml:space="preserve"> possible that the CJEU will bring clarity to the question of whether an uploaded content service is responsible for acts of communication to the public and/or can benefit from the hosting provider status under the ECD</w:t>
      </w:r>
      <w:r w:rsidRPr="0055729D">
        <w:rPr>
          <w:rFonts w:ascii="Times New Roman" w:eastAsia="Times New Roman" w:hAnsi="Times New Roman" w:cs="Times New Roman"/>
          <w:sz w:val="24"/>
          <w:szCs w:val="24"/>
        </w:rPr>
        <w:t>, this</w:t>
      </w:r>
      <w:r w:rsidRPr="00D1507D">
        <w:rPr>
          <w:rFonts w:ascii="Times New Roman" w:hAnsi="Times New Roman"/>
          <w:sz w:val="24"/>
        </w:rPr>
        <w:t xml:space="preserve"> cannot be predicted as it is entirely dependent on referrals by national courts. </w:t>
      </w:r>
      <w:r>
        <w:rPr>
          <w:rFonts w:ascii="Times New Roman" w:hAnsi="Times New Roman" w:cs="Times New Roman"/>
          <w:sz w:val="24"/>
          <w:szCs w:val="24"/>
        </w:rPr>
        <w:t xml:space="preserve"> </w:t>
      </w:r>
      <w:r w:rsidRPr="00D1507D">
        <w:rPr>
          <w:rFonts w:ascii="Times New Roman" w:hAnsi="Times New Roman"/>
          <w:sz w:val="24"/>
        </w:rPr>
        <w:t>Under such circumstances</w:t>
      </w:r>
      <w:r w:rsidRPr="00087898">
        <w:rPr>
          <w:rFonts w:ascii="Times New Roman" w:eastAsia="Times New Roman" w:hAnsi="Times New Roman" w:cs="Times New Roman"/>
          <w:sz w:val="24"/>
          <w:szCs w:val="24"/>
        </w:rPr>
        <w:t>,</w:t>
      </w:r>
      <w:r w:rsidRPr="00087898">
        <w:rPr>
          <w:rFonts w:ascii="Times New Roman" w:hAnsi="Times New Roman"/>
          <w:sz w:val="24"/>
        </w:rPr>
        <w:t xml:space="preserve"> </w:t>
      </w:r>
      <w:r w:rsidRPr="00087898">
        <w:rPr>
          <w:rFonts w:ascii="Times New Roman" w:hAnsi="Times New Roman" w:cs="Times New Roman"/>
          <w:sz w:val="24"/>
          <w:szCs w:val="24"/>
        </w:rPr>
        <w:t>rights</w:t>
      </w:r>
      <w:r w:rsidRPr="00D1507D">
        <w:rPr>
          <w:rFonts w:ascii="Times New Roman" w:hAnsi="Times New Roman"/>
          <w:sz w:val="24"/>
        </w:rPr>
        <w:t xml:space="preserve"> holders will continue to have </w:t>
      </w:r>
      <w:r w:rsidRPr="00087898">
        <w:rPr>
          <w:rFonts w:ascii="Times New Roman" w:hAnsi="Times New Roman" w:cs="Times New Roman"/>
          <w:sz w:val="24"/>
          <w:szCs w:val="24"/>
        </w:rPr>
        <w:t xml:space="preserve">limited possibilities to determine the conditions of and the remuneration for the exploitation </w:t>
      </w:r>
      <w:r w:rsidRPr="00087898">
        <w:rPr>
          <w:rFonts w:ascii="Times New Roman" w:hAnsi="Times New Roman"/>
          <w:sz w:val="24"/>
        </w:rPr>
        <w:t>of their works and other protected subject matter by user uploaded content service providers</w:t>
      </w:r>
      <w:r w:rsidRPr="00087898">
        <w:rPr>
          <w:rFonts w:ascii="Times New Roman" w:hAnsi="Times New Roman" w:cs="Times New Roman"/>
          <w:sz w:val="24"/>
          <w:szCs w:val="24"/>
        </w:rPr>
        <w:t xml:space="preserve">. </w:t>
      </w:r>
      <w:r w:rsidRPr="00087898">
        <w:rPr>
          <w:rFonts w:ascii="Times New Roman" w:hAnsi="Times New Roman"/>
          <w:sz w:val="24"/>
        </w:rPr>
        <w:t>The situation</w:t>
      </w:r>
      <w:r w:rsidRPr="00087898">
        <w:rPr>
          <w:rFonts w:ascii="Times New Roman" w:hAnsi="Times New Roman" w:cs="Times New Roman"/>
          <w:sz w:val="24"/>
          <w:szCs w:val="24"/>
        </w:rPr>
        <w:t xml:space="preserve"> </w:t>
      </w:r>
      <w:r w:rsidRPr="00087898">
        <w:rPr>
          <w:rFonts w:ascii="Times New Roman" w:hAnsi="Times New Roman"/>
          <w:sz w:val="24"/>
        </w:rPr>
        <w:t xml:space="preserve">will continue to have </w:t>
      </w:r>
      <w:r w:rsidRPr="00D1507D">
        <w:rPr>
          <w:rFonts w:ascii="Times New Roman" w:hAnsi="Times New Roman"/>
          <w:sz w:val="24"/>
        </w:rPr>
        <w:t xml:space="preserve">a negative effect on </w:t>
      </w:r>
      <w:r w:rsidRPr="00087898">
        <w:rPr>
          <w:rFonts w:ascii="Times New Roman" w:hAnsi="Times New Roman" w:cs="Times New Roman"/>
          <w:sz w:val="24"/>
          <w:szCs w:val="24"/>
        </w:rPr>
        <w:t>the functioning of the online market place</w:t>
      </w:r>
      <w:r w:rsidRPr="00D1507D">
        <w:rPr>
          <w:rFonts w:ascii="Times New Roman" w:hAnsi="Times New Roman"/>
          <w:sz w:val="24"/>
        </w:rPr>
        <w:t>.</w:t>
      </w:r>
    </w:p>
    <w:p w:rsidR="002A7940" w:rsidRPr="0055729D" w:rsidRDefault="002A7940" w:rsidP="002A7940">
      <w:pPr>
        <w:rPr>
          <w:lang w:eastAsia="en-GB"/>
        </w:rPr>
      </w:pPr>
    </w:p>
    <w:p w:rsidR="002A7940" w:rsidRDefault="002A7940" w:rsidP="002A7940">
      <w:pPr>
        <w:pStyle w:val="Heading3"/>
      </w:pPr>
      <w:bookmarkStart w:id="171" w:name="_Toc461114748"/>
      <w:r w:rsidRPr="008012CB">
        <w:t>What are the various options to achieve the objectives?</w:t>
      </w:r>
      <w:bookmarkEnd w:id="170"/>
      <w:bookmarkEnd w:id="171"/>
    </w:p>
    <w:p w:rsidR="002A7940" w:rsidRPr="000938D1" w:rsidRDefault="002A7940" w:rsidP="000938D1">
      <w:pPr>
        <w:spacing w:after="0" w:line="240" w:lineRule="auto"/>
        <w:jc w:val="both"/>
        <w:rPr>
          <w:rFonts w:ascii="Times New Roman" w:hAnsi="Times New Roman"/>
          <w:b/>
          <w:sz w:val="24"/>
        </w:rPr>
      </w:pPr>
      <w:bookmarkStart w:id="172" w:name="_Toc438206623"/>
      <w:bookmarkStart w:id="173" w:name="_Toc454561767"/>
      <w:r w:rsidRPr="000938D1">
        <w:rPr>
          <w:rFonts w:ascii="Times New Roman" w:hAnsi="Times New Roman"/>
          <w:b/>
          <w:sz w:val="24"/>
        </w:rPr>
        <w:t>Baseline</w:t>
      </w:r>
      <w:bookmarkEnd w:id="172"/>
      <w:bookmarkEnd w:id="173"/>
    </w:p>
    <w:p w:rsidR="002A7940" w:rsidRPr="0055729D" w:rsidRDefault="002A7940" w:rsidP="002A7940">
      <w:pPr>
        <w:spacing w:after="0" w:line="240" w:lineRule="auto"/>
        <w:jc w:val="both"/>
        <w:rPr>
          <w:rFonts w:ascii="Times New Roman" w:hAnsi="Times New Roman" w:cs="Times New Roman"/>
          <w:sz w:val="24"/>
          <w:szCs w:val="24"/>
        </w:rPr>
      </w:pPr>
      <w:r w:rsidRPr="0055729D">
        <w:rPr>
          <w:rFonts w:ascii="Times New Roman" w:hAnsi="Times New Roman" w:cs="Times New Roman"/>
          <w:sz w:val="24"/>
          <w:szCs w:val="24"/>
        </w:rPr>
        <w:t xml:space="preserve">No policy intervention. </w:t>
      </w:r>
      <w:r w:rsidRPr="002B3021">
        <w:rPr>
          <w:rFonts w:ascii="Times New Roman" w:hAnsi="Times New Roman"/>
          <w:sz w:val="24"/>
          <w:lang w:val="en-US"/>
        </w:rPr>
        <w:t xml:space="preserve">This option would rely on the </w:t>
      </w:r>
      <w:r w:rsidRPr="0055729D">
        <w:rPr>
          <w:rFonts w:ascii="Times New Roman" w:hAnsi="Times New Roman" w:cs="Times New Roman"/>
          <w:sz w:val="24"/>
          <w:szCs w:val="24"/>
          <w:lang w:eastAsia="en-GB"/>
        </w:rPr>
        <w:t xml:space="preserve">voluntary deployment of </w:t>
      </w:r>
      <w:r w:rsidRPr="00D1507D">
        <w:rPr>
          <w:rFonts w:ascii="Times New Roman" w:hAnsi="Times New Roman"/>
          <w:sz w:val="24"/>
        </w:rPr>
        <w:t xml:space="preserve">technologies </w:t>
      </w:r>
      <w:r w:rsidRPr="0055729D">
        <w:rPr>
          <w:rFonts w:ascii="Times New Roman" w:hAnsi="Times New Roman" w:cs="Times New Roman"/>
          <w:sz w:val="24"/>
          <w:szCs w:val="24"/>
          <w:lang w:eastAsia="en-GB"/>
        </w:rPr>
        <w:t xml:space="preserve">by user uploaded content services, which </w:t>
      </w:r>
      <w:r w:rsidRPr="00D1507D">
        <w:rPr>
          <w:rFonts w:ascii="Times New Roman" w:hAnsi="Times New Roman"/>
          <w:sz w:val="24"/>
        </w:rPr>
        <w:t xml:space="preserve">will </w:t>
      </w:r>
      <w:r w:rsidRPr="0055729D">
        <w:rPr>
          <w:rFonts w:ascii="Times New Roman" w:hAnsi="Times New Roman" w:cs="Times New Roman"/>
          <w:sz w:val="24"/>
          <w:szCs w:val="24"/>
          <w:lang w:eastAsia="en-GB"/>
        </w:rPr>
        <w:t xml:space="preserve">continue to apply their own terms and level of transparency as to the functioning of the technologies. </w:t>
      </w:r>
    </w:p>
    <w:p w:rsidR="002A7940" w:rsidRPr="00D1507D" w:rsidRDefault="002A7940" w:rsidP="00D1507D">
      <w:pPr>
        <w:spacing w:after="0" w:line="240" w:lineRule="auto"/>
        <w:jc w:val="both"/>
        <w:rPr>
          <w:rFonts w:ascii="Times New Roman" w:hAnsi="Times New Roman"/>
          <w:sz w:val="24"/>
        </w:rPr>
      </w:pPr>
    </w:p>
    <w:p w:rsidR="002A7940" w:rsidRPr="00D1507D" w:rsidRDefault="002A7940" w:rsidP="00D1507D">
      <w:pPr>
        <w:pStyle w:val="Body"/>
        <w:pBdr>
          <w:top w:val="single" w:sz="4" w:space="1" w:color="auto"/>
          <w:left w:val="single" w:sz="4" w:space="2" w:color="auto"/>
          <w:bottom w:val="single" w:sz="4" w:space="1" w:color="auto"/>
          <w:right w:val="single" w:sz="4" w:space="1" w:color="auto"/>
        </w:pBdr>
        <w:shd w:val="clear" w:color="auto" w:fill="D9D9D9" w:themeFill="background1" w:themeFillShade="D9"/>
        <w:spacing w:after="0"/>
        <w:rPr>
          <w:rFonts w:hAnsi="Times New Roman"/>
          <w:i/>
        </w:rPr>
      </w:pPr>
      <w:r w:rsidRPr="00D1507D">
        <w:rPr>
          <w:rFonts w:hAnsi="Times New Roman"/>
          <w:i/>
        </w:rPr>
        <w:t>Stakeholders' views</w:t>
      </w:r>
    </w:p>
    <w:p w:rsidR="002A7940" w:rsidRPr="00BD1E79" w:rsidRDefault="00007677" w:rsidP="002A7940">
      <w:pPr>
        <w:pStyle w:val="ListNumber"/>
        <w:numPr>
          <w:ilvl w:val="0"/>
          <w:numId w:val="0"/>
        </w:numPr>
        <w:pBdr>
          <w:top w:val="single" w:sz="4" w:space="1" w:color="auto"/>
          <w:left w:val="single" w:sz="4" w:space="2" w:color="auto"/>
          <w:bottom w:val="single" w:sz="4" w:space="1" w:color="auto"/>
          <w:right w:val="single" w:sz="4" w:space="1" w:color="auto"/>
        </w:pBdr>
        <w:shd w:val="clear" w:color="auto" w:fill="D9D9D9" w:themeFill="background1" w:themeFillShade="D9"/>
        <w:spacing w:after="0"/>
        <w:rPr>
          <w:szCs w:val="24"/>
        </w:rPr>
      </w:pPr>
      <w:r>
        <w:rPr>
          <w:i/>
          <w:bdr w:val="nil"/>
          <w:lang w:val="en-US"/>
        </w:rPr>
        <w:t>Rightholders</w:t>
      </w:r>
      <w:r w:rsidR="002A7940" w:rsidRPr="00D1507D">
        <w:rPr>
          <w:lang w:val="en-US"/>
        </w:rPr>
        <w:t xml:space="preserve"> will not support this option as they consider that the current legal framework </w:t>
      </w:r>
      <w:r w:rsidR="002A7940" w:rsidRPr="005F650E">
        <w:rPr>
          <w:szCs w:val="24"/>
          <w:lang w:val="en-US"/>
        </w:rPr>
        <w:t>needs to be clarified</w:t>
      </w:r>
      <w:r w:rsidR="000C01B7" w:rsidRPr="00D1507D">
        <w:rPr>
          <w:lang w:val="en-US"/>
        </w:rPr>
        <w:t xml:space="preserve"> and that </w:t>
      </w:r>
      <w:r w:rsidR="000C01B7">
        <w:rPr>
          <w:lang w:val="en-US"/>
        </w:rPr>
        <w:t xml:space="preserve"> players on </w:t>
      </w:r>
      <w:r w:rsidR="000C01B7" w:rsidRPr="00D1507D">
        <w:rPr>
          <w:lang w:val="en-US"/>
        </w:rPr>
        <w:t xml:space="preserve">the </w:t>
      </w:r>
      <w:r w:rsidR="002A7940" w:rsidRPr="00D1507D">
        <w:rPr>
          <w:lang w:val="en-US"/>
        </w:rPr>
        <w:t xml:space="preserve">market </w:t>
      </w:r>
      <w:r w:rsidR="000C01B7" w:rsidRPr="00D1507D">
        <w:rPr>
          <w:lang w:val="en-US"/>
        </w:rPr>
        <w:t xml:space="preserve">will </w:t>
      </w:r>
      <w:r w:rsidR="000C01B7">
        <w:rPr>
          <w:lang w:val="en-US"/>
        </w:rPr>
        <w:t xml:space="preserve">generally </w:t>
      </w:r>
      <w:r w:rsidR="000C01B7" w:rsidRPr="00D1507D">
        <w:rPr>
          <w:lang w:val="en-US"/>
        </w:rPr>
        <w:t xml:space="preserve">not </w:t>
      </w:r>
      <w:r w:rsidR="000C01B7">
        <w:rPr>
          <w:lang w:val="en-US"/>
        </w:rPr>
        <w:t>improve</w:t>
      </w:r>
      <w:r w:rsidR="002A7940" w:rsidRPr="00D1507D">
        <w:rPr>
          <w:lang w:val="en-US"/>
        </w:rPr>
        <w:t xml:space="preserve"> </w:t>
      </w:r>
      <w:r w:rsidR="000C01B7" w:rsidRPr="00D1507D">
        <w:rPr>
          <w:lang w:val="en-US"/>
        </w:rPr>
        <w:t>the</w:t>
      </w:r>
      <w:r w:rsidR="002A7940" w:rsidRPr="00D1507D">
        <w:rPr>
          <w:lang w:val="en-US"/>
        </w:rPr>
        <w:t xml:space="preserve"> </w:t>
      </w:r>
      <w:r w:rsidR="002A7940" w:rsidRPr="000C01B7">
        <w:rPr>
          <w:szCs w:val="24"/>
          <w:lang w:val="en-US"/>
        </w:rPr>
        <w:t>effi</w:t>
      </w:r>
      <w:r w:rsidR="000C01B7" w:rsidRPr="000C01B7">
        <w:rPr>
          <w:szCs w:val="24"/>
          <w:lang w:val="en-US"/>
        </w:rPr>
        <w:t>ciency and transparency of technical measures when used</w:t>
      </w:r>
      <w:r w:rsidR="002A7940" w:rsidRPr="00D1507D">
        <w:rPr>
          <w:bdr w:val="nil"/>
          <w:lang w:val="en-US"/>
        </w:rPr>
        <w:t>.</w:t>
      </w:r>
      <w:r w:rsidR="002A7940" w:rsidRPr="00D1507D">
        <w:rPr>
          <w:lang w:val="en-US"/>
        </w:rPr>
        <w:t xml:space="preserve"> Online service providers storing and giving access to user uploaded content will support this option as they consider that the legal framework is clear and that they are already taking voluntary measures</w:t>
      </w:r>
      <w:r w:rsidR="006F4EE2">
        <w:rPr>
          <w:lang w:val="en-US"/>
        </w:rPr>
        <w:t>.</w:t>
      </w:r>
      <w:r w:rsidR="002A7940" w:rsidRPr="00D1507D">
        <w:rPr>
          <w:rStyle w:val="FootnoteReference"/>
        </w:rPr>
        <w:footnoteReference w:id="445"/>
      </w:r>
      <w:r w:rsidR="002A7940" w:rsidRPr="00D1507D">
        <w:rPr>
          <w:lang w:val="en-US"/>
        </w:rPr>
        <w:t xml:space="preserve"> Other content service providers are likely not to be in favour of this option as it maintains the imbalance on the market. Consumers will be in favour of this option as they do not see the need for a change to the status quo and will fear that any intervention may have a negative impact on the freedom of information/expression</w:t>
      </w:r>
      <w:r w:rsidR="006F4EE2">
        <w:rPr>
          <w:lang w:val="en-US"/>
        </w:rPr>
        <w:t>.</w:t>
      </w:r>
      <w:r w:rsidR="002A7940" w:rsidRPr="00D1507D">
        <w:rPr>
          <w:vertAlign w:val="superscript"/>
          <w:lang w:val="en-US"/>
        </w:rPr>
        <w:footnoteReference w:id="446"/>
      </w:r>
      <w:r w:rsidR="002A7940" w:rsidRPr="00BD1E79">
        <w:rPr>
          <w:szCs w:val="24"/>
          <w:lang w:val="en-US"/>
        </w:rPr>
        <w:t xml:space="preserve">  </w:t>
      </w:r>
    </w:p>
    <w:p w:rsidR="002A7940" w:rsidRPr="00D1507D" w:rsidRDefault="002A7940" w:rsidP="00D1507D">
      <w:pPr>
        <w:pBdr>
          <w:top w:val="nil"/>
          <w:left w:val="nil"/>
          <w:bottom w:val="nil"/>
          <w:right w:val="nil"/>
        </w:pBdr>
        <w:spacing w:after="0" w:line="240" w:lineRule="auto"/>
        <w:jc w:val="both"/>
        <w:rPr>
          <w:rFonts w:ascii="Times New Roman" w:hAnsi="Times New Roman"/>
          <w:b/>
          <w:sz w:val="24"/>
        </w:rPr>
      </w:pPr>
    </w:p>
    <w:p w:rsidR="002A7940" w:rsidRPr="00D1507D" w:rsidRDefault="002A7940" w:rsidP="00D1507D">
      <w:pPr>
        <w:spacing w:after="0" w:line="240" w:lineRule="auto"/>
        <w:jc w:val="both"/>
        <w:rPr>
          <w:b/>
        </w:rPr>
      </w:pPr>
      <w:r w:rsidRPr="00D1507D">
        <w:rPr>
          <w:rFonts w:ascii="Times New Roman" w:hAnsi="Times New Roman"/>
          <w:b/>
          <w:sz w:val="24"/>
        </w:rPr>
        <w:t xml:space="preserve">Option 1 – Stakeholder dialogues between </w:t>
      </w:r>
      <w:r w:rsidR="001C2ABE">
        <w:rPr>
          <w:rFonts w:ascii="Times New Roman" w:hAnsi="Times New Roman"/>
          <w:b/>
          <w:sz w:val="24"/>
        </w:rPr>
        <w:t>r</w:t>
      </w:r>
      <w:r w:rsidR="00007677">
        <w:rPr>
          <w:rFonts w:ascii="Times New Roman" w:hAnsi="Times New Roman"/>
          <w:b/>
          <w:sz w:val="24"/>
        </w:rPr>
        <w:t>ightholders</w:t>
      </w:r>
      <w:r w:rsidRPr="00D1507D">
        <w:rPr>
          <w:rFonts w:ascii="Times New Roman" w:hAnsi="Times New Roman"/>
          <w:b/>
          <w:sz w:val="24"/>
        </w:rPr>
        <w:t xml:space="preserve"> and online services which store and give access to large amounts of content uploaded by their users </w:t>
      </w:r>
    </w:p>
    <w:p w:rsidR="002A7940" w:rsidRPr="0055729D" w:rsidRDefault="002A7940" w:rsidP="002A7940">
      <w:pPr>
        <w:spacing w:after="0" w:line="240" w:lineRule="auto"/>
        <w:jc w:val="both"/>
        <w:rPr>
          <w:rFonts w:ascii="Times New Roman" w:hAnsi="Times New Roman" w:cs="Times New Roman"/>
          <w:b/>
          <w:sz w:val="24"/>
          <w:szCs w:val="24"/>
          <w:lang w:eastAsia="en-GB"/>
        </w:rPr>
      </w:pPr>
    </w:p>
    <w:p w:rsidR="002A7940" w:rsidRPr="00531146" w:rsidRDefault="002A7940" w:rsidP="00D1507D">
      <w:pPr>
        <w:spacing w:after="0" w:line="240" w:lineRule="auto"/>
        <w:jc w:val="both"/>
        <w:rPr>
          <w:i/>
        </w:rPr>
      </w:pPr>
      <w:r w:rsidRPr="00D1507D">
        <w:rPr>
          <w:rFonts w:ascii="Times New Roman" w:hAnsi="Times New Roman"/>
          <w:i/>
          <w:sz w:val="24"/>
        </w:rPr>
        <w:t>Main elements:</w:t>
      </w:r>
    </w:p>
    <w:p w:rsidR="002A7940" w:rsidRPr="0055729D" w:rsidRDefault="002A7940" w:rsidP="002A7940">
      <w:pPr>
        <w:spacing w:after="0" w:line="240" w:lineRule="auto"/>
        <w:jc w:val="both"/>
        <w:rPr>
          <w:rFonts w:ascii="Times New Roman" w:hAnsi="Times New Roman" w:cs="Times New Roman"/>
          <w:i/>
          <w:sz w:val="24"/>
          <w:szCs w:val="24"/>
        </w:rPr>
      </w:pPr>
    </w:p>
    <w:p w:rsidR="002A7940" w:rsidRPr="00531146" w:rsidRDefault="002A7940" w:rsidP="00D1507D">
      <w:pPr>
        <w:pStyle w:val="EBparagraph"/>
        <w:numPr>
          <w:ilvl w:val="0"/>
          <w:numId w:val="50"/>
        </w:numPr>
        <w:spacing w:after="0"/>
      </w:pPr>
      <w:r w:rsidRPr="00D1507D">
        <w:rPr>
          <w:rFonts w:ascii="Times New Roman" w:hAnsi="Times New Roman"/>
          <w:sz w:val="24"/>
        </w:rPr>
        <w:t>The Commission would launch stakeholder dialogues that would bring together</w:t>
      </w:r>
      <w:r w:rsidRPr="00D1507D">
        <w:rPr>
          <w:rFonts w:ascii="Times New Roman" w:hAnsi="Times New Roman"/>
          <w:b/>
          <w:sz w:val="24"/>
        </w:rPr>
        <w:t xml:space="preserve">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and </w:t>
      </w:r>
      <w:r w:rsidRPr="0055729D">
        <w:rPr>
          <w:rFonts w:ascii="Times New Roman" w:hAnsi="Times New Roman" w:cs="Times New Roman"/>
          <w:sz w:val="24"/>
          <w:szCs w:val="24"/>
          <w:lang w:eastAsia="en-GB"/>
        </w:rPr>
        <w:t xml:space="preserve">providers of </w:t>
      </w:r>
      <w:r w:rsidRPr="00D1507D">
        <w:rPr>
          <w:rFonts w:ascii="Times New Roman" w:hAnsi="Times New Roman"/>
          <w:sz w:val="24"/>
        </w:rPr>
        <w:t xml:space="preserve">user uploaded content services to encourage them to define best practices for the use of </w:t>
      </w:r>
      <w:r>
        <w:rPr>
          <w:rFonts w:ascii="Times New Roman" w:hAnsi="Times New Roman" w:cs="Times New Roman"/>
          <w:sz w:val="24"/>
          <w:szCs w:val="24"/>
          <w:lang w:eastAsia="en-GB"/>
        </w:rPr>
        <w:t xml:space="preserve">technologies such as </w:t>
      </w:r>
      <w:r w:rsidRPr="0055729D">
        <w:rPr>
          <w:rFonts w:ascii="Times New Roman" w:hAnsi="Times New Roman" w:cs="Times New Roman"/>
          <w:sz w:val="24"/>
          <w:szCs w:val="24"/>
          <w:lang w:eastAsia="en-GB"/>
        </w:rPr>
        <w:t xml:space="preserve">content recognition technologies and </w:t>
      </w:r>
      <w:r w:rsidRPr="00176A40">
        <w:rPr>
          <w:rFonts w:ascii="Times New Roman" w:hAnsi="Times New Roman" w:cs="Times New Roman"/>
          <w:sz w:val="24"/>
          <w:szCs w:val="24"/>
          <w:lang w:eastAsia="en-GB"/>
        </w:rPr>
        <w:t>to promote their use</w:t>
      </w:r>
      <w:r w:rsidR="00176A40" w:rsidRPr="00176A40">
        <w:rPr>
          <w:rFonts w:ascii="Times New Roman" w:hAnsi="Times New Roman" w:cs="Times New Roman"/>
          <w:sz w:val="24"/>
          <w:szCs w:val="24"/>
          <w:lang w:eastAsia="en-GB"/>
        </w:rPr>
        <w:t>.</w:t>
      </w:r>
      <w:r w:rsidRPr="00176A40">
        <w:rPr>
          <w:rFonts w:ascii="Times New Roman" w:hAnsi="Times New Roman" w:cs="Times New Roman"/>
          <w:sz w:val="24"/>
          <w:szCs w:val="24"/>
          <w:lang w:eastAsia="en-GB"/>
        </w:rPr>
        <w:t xml:space="preserve"> It would aim at improving the capacity of </w:t>
      </w:r>
      <w:r w:rsidR="0002514A">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sidRPr="00176A40">
        <w:rPr>
          <w:rFonts w:ascii="Times New Roman" w:hAnsi="Times New Roman" w:cs="Times New Roman"/>
          <w:sz w:val="24"/>
          <w:szCs w:val="24"/>
          <w:lang w:eastAsia="en-GB"/>
        </w:rPr>
        <w:t xml:space="preserve"> to determine </w:t>
      </w:r>
      <w:r w:rsidR="000C01B7" w:rsidRPr="00176A40">
        <w:rPr>
          <w:rFonts w:ascii="Times New Roman" w:hAnsi="Times New Roman" w:cs="Times New Roman"/>
          <w:sz w:val="24"/>
          <w:szCs w:val="24"/>
          <w:lang w:eastAsia="en-GB"/>
        </w:rPr>
        <w:t>the conditions</w:t>
      </w:r>
      <w:r w:rsidR="00176A40" w:rsidRPr="00176A40">
        <w:rPr>
          <w:rFonts w:ascii="Times New Roman" w:hAnsi="Times New Roman" w:cs="Times New Roman"/>
          <w:sz w:val="24"/>
          <w:szCs w:val="24"/>
          <w:lang w:eastAsia="en-GB"/>
        </w:rPr>
        <w:t xml:space="preserve"> for the use of and remuneration </w:t>
      </w:r>
      <w:r w:rsidR="00176A40">
        <w:rPr>
          <w:rFonts w:ascii="Times New Roman" w:hAnsi="Times New Roman"/>
          <w:sz w:val="24"/>
        </w:rPr>
        <w:t>for their</w:t>
      </w:r>
      <w:r w:rsidR="00176A40" w:rsidRPr="00D1507D">
        <w:rPr>
          <w:rFonts w:ascii="Times New Roman" w:hAnsi="Times New Roman"/>
          <w:sz w:val="24"/>
        </w:rPr>
        <w:t xml:space="preserve"> content</w:t>
      </w:r>
      <w:r w:rsidRPr="00D1507D">
        <w:rPr>
          <w:rFonts w:ascii="Times New Roman" w:hAnsi="Times New Roman"/>
          <w:sz w:val="24"/>
        </w:rPr>
        <w:t xml:space="preserve">. </w:t>
      </w:r>
    </w:p>
    <w:p w:rsidR="002A7940" w:rsidRPr="00E37B6A" w:rsidRDefault="002A7940" w:rsidP="002A7940">
      <w:pPr>
        <w:pStyle w:val="EBparagraph"/>
        <w:numPr>
          <w:ilvl w:val="0"/>
          <w:numId w:val="50"/>
        </w:numPr>
        <w:spacing w:after="0"/>
        <w:rPr>
          <w:rFonts w:ascii="Times New Roman" w:hAnsi="Times New Roman" w:cs="Times New Roman"/>
          <w:sz w:val="24"/>
          <w:szCs w:val="24"/>
        </w:rPr>
      </w:pPr>
      <w:r w:rsidRPr="00C66501">
        <w:rPr>
          <w:rFonts w:ascii="Times New Roman" w:hAnsi="Times New Roman"/>
          <w:sz w:val="24"/>
        </w:rPr>
        <w:t>The dialogues would focus on service providers which store and provide access to large amounts of copyright protected content</w:t>
      </w:r>
      <w:r w:rsidRPr="0055729D">
        <w:rPr>
          <w:rFonts w:ascii="Times New Roman" w:hAnsi="Times New Roman" w:cs="Times New Roman"/>
          <w:sz w:val="24"/>
          <w:szCs w:val="24"/>
        </w:rPr>
        <w:t xml:space="preserve"> uploaded by their users</w:t>
      </w:r>
      <w:r w:rsidR="00176A40">
        <w:rPr>
          <w:rFonts w:ascii="Times New Roman" w:hAnsi="Times New Roman" w:cs="Times New Roman"/>
          <w:sz w:val="24"/>
          <w:szCs w:val="24"/>
        </w:rPr>
        <w:t xml:space="preserve"> </w:t>
      </w:r>
      <w:r>
        <w:rPr>
          <w:rFonts w:ascii="Times New Roman" w:hAnsi="Times New Roman" w:cs="Times New Roman"/>
          <w:sz w:val="24"/>
          <w:szCs w:val="24"/>
        </w:rPr>
        <w:t>as,</w:t>
      </w:r>
      <w:r w:rsidRPr="00C66501">
        <w:rPr>
          <w:rFonts w:ascii="Times New Roman" w:hAnsi="Times New Roman"/>
          <w:sz w:val="24"/>
        </w:rPr>
        <w:t xml:space="preserve"> </w:t>
      </w:r>
      <w:r w:rsidRPr="00D1507D">
        <w:rPr>
          <w:rFonts w:ascii="Times New Roman" w:hAnsi="Times New Roman"/>
          <w:sz w:val="24"/>
        </w:rPr>
        <w:t xml:space="preserve">in view of the </w:t>
      </w:r>
      <w:r w:rsidRPr="00D1507D">
        <w:rPr>
          <w:rFonts w:ascii="Times New Roman" w:hAnsi="Times New Roman" w:cs="Times New Roman"/>
          <w:sz w:val="24"/>
          <w:szCs w:val="24"/>
        </w:rPr>
        <w:t xml:space="preserve">amount of content </w:t>
      </w:r>
      <w:r w:rsidRPr="00E37B6A">
        <w:rPr>
          <w:rFonts w:ascii="Times New Roman" w:hAnsi="Times New Roman" w:cs="Times New Roman"/>
          <w:sz w:val="24"/>
          <w:szCs w:val="24"/>
        </w:rPr>
        <w:t xml:space="preserve">available and </w:t>
      </w:r>
      <w:r w:rsidRPr="00C66501">
        <w:rPr>
          <w:rFonts w:ascii="Times New Roman" w:hAnsi="Times New Roman" w:cs="Times New Roman"/>
          <w:sz w:val="24"/>
          <w:szCs w:val="24"/>
        </w:rPr>
        <w:t xml:space="preserve">the size of </w:t>
      </w:r>
      <w:r w:rsidRPr="00E37B6A">
        <w:rPr>
          <w:rFonts w:ascii="Times New Roman" w:hAnsi="Times New Roman" w:cs="Times New Roman"/>
          <w:sz w:val="24"/>
          <w:szCs w:val="24"/>
        </w:rPr>
        <w:t>their audience, they have</w:t>
      </w:r>
      <w:r w:rsidRPr="00C66501">
        <w:rPr>
          <w:rFonts w:ascii="Times New Roman" w:hAnsi="Times New Roman" w:cs="Times New Roman"/>
          <w:sz w:val="24"/>
          <w:szCs w:val="24"/>
        </w:rPr>
        <w:t xml:space="preserve"> an </w:t>
      </w:r>
      <w:r w:rsidRPr="00E37B6A">
        <w:rPr>
          <w:rFonts w:ascii="Times New Roman" w:hAnsi="Times New Roman" w:cs="Times New Roman"/>
          <w:sz w:val="24"/>
          <w:szCs w:val="24"/>
        </w:rPr>
        <w:t xml:space="preserve">important impact on the online content market. </w:t>
      </w:r>
    </w:p>
    <w:p w:rsidR="002A7940" w:rsidRPr="00531146" w:rsidRDefault="00176A40" w:rsidP="00D1507D">
      <w:pPr>
        <w:pStyle w:val="EBparagraph"/>
        <w:numPr>
          <w:ilvl w:val="0"/>
          <w:numId w:val="50"/>
        </w:numPr>
        <w:spacing w:after="0"/>
      </w:pPr>
      <w:r w:rsidRPr="001D5DE0">
        <w:rPr>
          <w:rFonts w:ascii="Times New Roman" w:hAnsi="Times New Roman"/>
          <w:sz w:val="24"/>
        </w:rPr>
        <w:t>T</w:t>
      </w:r>
      <w:r w:rsidR="002A7940" w:rsidRPr="001D5DE0">
        <w:rPr>
          <w:rFonts w:ascii="Times New Roman" w:hAnsi="Times New Roman"/>
          <w:sz w:val="24"/>
        </w:rPr>
        <w:t>echnology providers would be involved in the dialogue. Account would be taken of existing technologies, their availability, efficiency and costs for each contracting party in order to</w:t>
      </w:r>
      <w:r w:rsidR="002A7940" w:rsidRPr="00D1507D">
        <w:rPr>
          <w:rFonts w:ascii="Times New Roman" w:hAnsi="Times New Roman"/>
          <w:sz w:val="24"/>
        </w:rPr>
        <w:t xml:space="preserve"> find a balanced approach. The best practices could also focus on the ways to ensure that the services (i) obtain the necessary data from </w:t>
      </w:r>
      <w:r w:rsidR="0002514A">
        <w:rPr>
          <w:rFonts w:ascii="Times New Roman" w:hAnsi="Times New Roman"/>
          <w:sz w:val="24"/>
        </w:rPr>
        <w:t>r</w:t>
      </w:r>
      <w:r w:rsidR="00007677">
        <w:rPr>
          <w:rFonts w:ascii="Times New Roman" w:hAnsi="Times New Roman"/>
          <w:sz w:val="24"/>
        </w:rPr>
        <w:t>ightholders</w:t>
      </w:r>
      <w:r w:rsidR="002A7940" w:rsidRPr="00D1507D">
        <w:rPr>
          <w:rFonts w:ascii="Times New Roman" w:hAnsi="Times New Roman"/>
          <w:sz w:val="24"/>
        </w:rPr>
        <w:t xml:space="preserve"> to make the technologies work and (ii) are transparent towards </w:t>
      </w:r>
      <w:r w:rsidR="0002514A">
        <w:rPr>
          <w:rFonts w:ascii="Times New Roman" w:hAnsi="Times New Roman"/>
          <w:sz w:val="24"/>
        </w:rPr>
        <w:t>r</w:t>
      </w:r>
      <w:r w:rsidR="00007677">
        <w:rPr>
          <w:rFonts w:ascii="Times New Roman" w:hAnsi="Times New Roman"/>
          <w:sz w:val="24"/>
        </w:rPr>
        <w:t>ightholders</w:t>
      </w:r>
      <w:r w:rsidR="002A7940" w:rsidRPr="00D1507D">
        <w:rPr>
          <w:rFonts w:ascii="Times New Roman" w:hAnsi="Times New Roman"/>
          <w:sz w:val="24"/>
        </w:rPr>
        <w:t xml:space="preserve"> in terms of the operation, characteristics and efficiency of the technologies used. </w:t>
      </w:r>
    </w:p>
    <w:p w:rsidR="002A7940" w:rsidRPr="0055729D" w:rsidRDefault="002A7940" w:rsidP="002A7940">
      <w:pPr>
        <w:pStyle w:val="EBparagraph"/>
        <w:numPr>
          <w:ilvl w:val="0"/>
          <w:numId w:val="50"/>
        </w:numPr>
        <w:spacing w:after="0"/>
        <w:rPr>
          <w:rFonts w:ascii="Times New Roman" w:hAnsi="Times New Roman" w:cs="Times New Roman"/>
          <w:sz w:val="24"/>
          <w:szCs w:val="24"/>
        </w:rPr>
      </w:pPr>
      <w:r w:rsidRPr="002B3021">
        <w:rPr>
          <w:rFonts w:ascii="Times New Roman" w:hAnsi="Times New Roman"/>
          <w:sz w:val="24"/>
        </w:rPr>
        <w:t>Given the different dynamics in each sector (music, audiovisual, images), the dialogues would be conducted on a sector by sector basis</w:t>
      </w:r>
    </w:p>
    <w:p w:rsidR="002A7940" w:rsidRPr="0055729D" w:rsidRDefault="002A7940" w:rsidP="002A7940">
      <w:pPr>
        <w:pStyle w:val="EBparagraph"/>
        <w:spacing w:after="0"/>
        <w:ind w:left="720"/>
        <w:rPr>
          <w:rFonts w:ascii="Times New Roman" w:hAnsi="Times New Roman" w:cs="Times New Roman"/>
          <w:sz w:val="24"/>
          <w:szCs w:val="24"/>
          <w:lang w:eastAsia="en-GB"/>
        </w:rPr>
      </w:pPr>
    </w:p>
    <w:p w:rsidR="002A7940" w:rsidRPr="00D1507D" w:rsidRDefault="002A7940" w:rsidP="00D1507D">
      <w:pPr>
        <w:pStyle w:val="Body"/>
        <w:pBdr>
          <w:top w:val="single" w:sz="4" w:space="1" w:color="auto"/>
          <w:left w:val="single" w:sz="4" w:space="1" w:color="auto"/>
          <w:bottom w:val="single" w:sz="4" w:space="1" w:color="auto"/>
          <w:right w:val="single" w:sz="4" w:space="1" w:color="auto"/>
        </w:pBdr>
        <w:shd w:val="clear" w:color="auto" w:fill="D9D9D9" w:themeFill="background1" w:themeFillShade="D9"/>
        <w:spacing w:after="0"/>
        <w:rPr>
          <w:rFonts w:hAnsi="Times New Roman"/>
          <w:i/>
        </w:rPr>
      </w:pPr>
      <w:r w:rsidRPr="00D1507D">
        <w:rPr>
          <w:rFonts w:hAnsi="Times New Roman"/>
          <w:i/>
        </w:rPr>
        <w:t>Stakeholders' views</w:t>
      </w:r>
    </w:p>
    <w:p w:rsidR="002A7940" w:rsidRPr="00D1507D" w:rsidRDefault="002A7940" w:rsidP="00D1507D">
      <w:pPr>
        <w:pStyle w:val="Body"/>
        <w:pBdr>
          <w:top w:val="single" w:sz="4" w:space="1" w:color="auto"/>
          <w:left w:val="single" w:sz="4" w:space="1" w:color="auto"/>
          <w:bottom w:val="single" w:sz="4" w:space="1" w:color="auto"/>
          <w:right w:val="single" w:sz="4" w:space="1" w:color="auto"/>
        </w:pBdr>
        <w:shd w:val="clear" w:color="auto" w:fill="D9D9D9" w:themeFill="background1" w:themeFillShade="D9"/>
        <w:spacing w:after="0"/>
        <w:rPr>
          <w:rFonts w:hAnsi="Times New Roman"/>
        </w:rPr>
      </w:pPr>
      <w:r w:rsidRPr="00D1507D">
        <w:rPr>
          <w:rFonts w:hAnsi="Times New Roman"/>
        </w:rPr>
        <w:t>Due to the non-binding nature of this option, rights holders will oppose it</w:t>
      </w:r>
      <w:r w:rsidRPr="00BD1E79">
        <w:rPr>
          <w:rFonts w:hAnsi="Times New Roman" w:cs="Times New Roman"/>
        </w:rPr>
        <w:t xml:space="preserve"> as they will consider it </w:t>
      </w:r>
      <w:r w:rsidRPr="003D6D95">
        <w:rPr>
          <w:rFonts w:hAnsi="Times New Roman" w:cs="Times New Roman"/>
        </w:rPr>
        <w:t>would</w:t>
      </w:r>
      <w:r w:rsidRPr="00BD1E79">
        <w:rPr>
          <w:rFonts w:hAnsi="Times New Roman" w:cs="Times New Roman"/>
        </w:rPr>
        <w:t xml:space="preserve"> not improve the current situation to a sufficient degree.  Online</w:t>
      </w:r>
      <w:r w:rsidRPr="00D1507D">
        <w:rPr>
          <w:rFonts w:hAnsi="Times New Roman"/>
        </w:rPr>
        <w:t xml:space="preserve"> service providers giving access to user uploaded content may support it</w:t>
      </w:r>
      <w:r w:rsidRPr="00BD1E79">
        <w:rPr>
          <w:rFonts w:hAnsi="Times New Roman" w:cs="Times New Roman"/>
        </w:rPr>
        <w:t xml:space="preserve"> while arguing that they already implement on a voluntary basis the necessary technologies that allow </w:t>
      </w:r>
      <w:r w:rsidR="0002514A">
        <w:rPr>
          <w:rFonts w:hAnsi="Times New Roman" w:cs="Times New Roman"/>
        </w:rPr>
        <w:t>r</w:t>
      </w:r>
      <w:r w:rsidR="00007677">
        <w:rPr>
          <w:rFonts w:hAnsi="Times New Roman" w:cs="Times New Roman"/>
        </w:rPr>
        <w:t>ightholders</w:t>
      </w:r>
      <w:r w:rsidRPr="00BD1E79">
        <w:rPr>
          <w:rFonts w:hAnsi="Times New Roman" w:cs="Times New Roman"/>
        </w:rPr>
        <w:t xml:space="preserve"> to decide on the use of their content</w:t>
      </w:r>
      <w:r w:rsidRPr="00D1507D">
        <w:rPr>
          <w:rFonts w:hAnsi="Times New Roman"/>
        </w:rPr>
        <w:t>.</w:t>
      </w:r>
      <w:r w:rsidRPr="00D1507D">
        <w:rPr>
          <w:rStyle w:val="FootnoteReference"/>
        </w:rPr>
        <w:footnoteReference w:id="447"/>
      </w:r>
      <w:r w:rsidRPr="00D1507D">
        <w:rPr>
          <w:rFonts w:hAnsi="Times New Roman"/>
        </w:rPr>
        <w:t xml:space="preserve"> Other content service providers are likely to find this option insufficient. Consumers are likely to view the </w:t>
      </w:r>
      <w:r w:rsidRPr="00D1507D">
        <w:rPr>
          <w:rFonts w:hAnsi="Times New Roman"/>
          <w:lang w:val="en-US"/>
        </w:rPr>
        <w:t>possible stakeholders' dialogue</w:t>
      </w:r>
      <w:r w:rsidR="00D92142">
        <w:rPr>
          <w:rFonts w:hAnsi="Times New Roman"/>
          <w:lang w:val="en-US"/>
        </w:rPr>
        <w:t>s</w:t>
      </w:r>
      <w:r w:rsidRPr="00D1507D">
        <w:rPr>
          <w:rFonts w:hAnsi="Times New Roman"/>
          <w:lang w:val="en-US"/>
        </w:rPr>
        <w:t xml:space="preserve"> </w:t>
      </w:r>
      <w:r w:rsidRPr="00D1507D">
        <w:rPr>
          <w:rFonts w:hAnsi="Times New Roman"/>
        </w:rPr>
        <w:t xml:space="preserve">as impacting negatively </w:t>
      </w:r>
      <w:r w:rsidRPr="002B3021">
        <w:rPr>
          <w:rFonts w:hAnsi="Times New Roman"/>
        </w:rPr>
        <w:t>the</w:t>
      </w:r>
      <w:r>
        <w:rPr>
          <w:rFonts w:hAnsi="Times New Roman"/>
        </w:rPr>
        <w:t>ir</w:t>
      </w:r>
      <w:r w:rsidRPr="00D1507D">
        <w:rPr>
          <w:rFonts w:hAnsi="Times New Roman"/>
        </w:rPr>
        <w:t xml:space="preserve"> freedom of expression</w:t>
      </w:r>
      <w:r w:rsidRPr="00BD1E79">
        <w:rPr>
          <w:rFonts w:hAnsi="Times New Roman" w:cs="Times New Roman"/>
        </w:rPr>
        <w:t xml:space="preserve"> </w:t>
      </w:r>
      <w:r>
        <w:rPr>
          <w:rFonts w:hAnsi="Times New Roman" w:cs="Times New Roman"/>
        </w:rPr>
        <w:t>(</w:t>
      </w:r>
      <w:r w:rsidRPr="00BD1E79">
        <w:rPr>
          <w:rFonts w:hAnsi="Times New Roman" w:cs="Times New Roman"/>
        </w:rPr>
        <w:t>as it could result in a wider and more efficient deployment of content recognition technologies on the basis of industry agreements</w:t>
      </w:r>
      <w:r>
        <w:rPr>
          <w:rFonts w:hAnsi="Times New Roman" w:cs="Times New Roman"/>
        </w:rPr>
        <w:t>).</w:t>
      </w:r>
      <w:r w:rsidRPr="00D1507D">
        <w:rPr>
          <w:rFonts w:hAnsi="Times New Roman"/>
          <w:vertAlign w:val="superscript"/>
        </w:rPr>
        <w:footnoteReference w:id="448"/>
      </w:r>
      <w:r w:rsidRPr="00D1507D">
        <w:rPr>
          <w:rFonts w:hAnsi="Times New Roman"/>
        </w:rPr>
        <w:t xml:space="preserve">  </w:t>
      </w:r>
    </w:p>
    <w:p w:rsidR="002A7940" w:rsidRPr="0055729D" w:rsidRDefault="002A7940" w:rsidP="002A7940">
      <w:pPr>
        <w:spacing w:after="0" w:line="240" w:lineRule="auto"/>
        <w:jc w:val="both"/>
        <w:rPr>
          <w:rFonts w:ascii="Times New Roman" w:hAnsi="Times New Roman" w:cs="Times New Roman"/>
          <w:b/>
          <w:sz w:val="24"/>
          <w:szCs w:val="24"/>
          <w:lang w:eastAsia="en-GB"/>
        </w:rPr>
      </w:pPr>
    </w:p>
    <w:p w:rsidR="002A7940" w:rsidRPr="00D1507D" w:rsidRDefault="002A7940" w:rsidP="00D1507D">
      <w:pPr>
        <w:spacing w:after="0" w:line="240" w:lineRule="auto"/>
        <w:jc w:val="both"/>
        <w:rPr>
          <w:b/>
        </w:rPr>
      </w:pPr>
      <w:r w:rsidRPr="00D1507D">
        <w:rPr>
          <w:rFonts w:ascii="Times New Roman" w:hAnsi="Times New Roman"/>
          <w:b/>
          <w:sz w:val="24"/>
        </w:rPr>
        <w:t xml:space="preserve">Option 2 – An obligation on </w:t>
      </w:r>
      <w:r w:rsidRPr="0055729D">
        <w:rPr>
          <w:rFonts w:ascii="Times New Roman" w:hAnsi="Times New Roman" w:cs="Times New Roman"/>
          <w:b/>
          <w:sz w:val="24"/>
          <w:szCs w:val="24"/>
        </w:rPr>
        <w:t xml:space="preserve">online </w:t>
      </w:r>
      <w:r w:rsidRPr="00D1507D">
        <w:rPr>
          <w:rFonts w:ascii="Times New Roman" w:hAnsi="Times New Roman"/>
          <w:b/>
          <w:sz w:val="24"/>
        </w:rPr>
        <w:t xml:space="preserve">services </w:t>
      </w:r>
      <w:r w:rsidRPr="0055729D">
        <w:rPr>
          <w:rFonts w:ascii="Times New Roman" w:hAnsi="Times New Roman" w:cs="Times New Roman"/>
          <w:b/>
          <w:sz w:val="24"/>
          <w:szCs w:val="24"/>
        </w:rPr>
        <w:t xml:space="preserve">which store and give access </w:t>
      </w:r>
      <w:r w:rsidRPr="00D1507D">
        <w:rPr>
          <w:rFonts w:ascii="Times New Roman" w:hAnsi="Times New Roman"/>
          <w:b/>
          <w:sz w:val="24"/>
        </w:rPr>
        <w:t xml:space="preserve">to </w:t>
      </w:r>
      <w:r w:rsidRPr="0055729D">
        <w:rPr>
          <w:rFonts w:ascii="Times New Roman" w:hAnsi="Times New Roman" w:cs="Times New Roman"/>
          <w:b/>
          <w:sz w:val="24"/>
          <w:szCs w:val="24"/>
          <w:lang w:eastAsia="en-GB"/>
        </w:rPr>
        <w:t xml:space="preserve">large amounts of </w:t>
      </w:r>
      <w:r w:rsidRPr="0055729D">
        <w:rPr>
          <w:rFonts w:ascii="Times New Roman" w:hAnsi="Times New Roman" w:cs="Times New Roman"/>
          <w:b/>
          <w:sz w:val="24"/>
          <w:szCs w:val="24"/>
        </w:rPr>
        <w:t xml:space="preserve">content uploaded by their users to </w:t>
      </w:r>
      <w:r w:rsidRPr="00D1507D">
        <w:rPr>
          <w:rFonts w:ascii="Times New Roman" w:hAnsi="Times New Roman"/>
          <w:b/>
          <w:sz w:val="24"/>
        </w:rPr>
        <w:t>put in place appropriate technologies</w:t>
      </w:r>
      <w:r w:rsidRPr="0055729D">
        <w:rPr>
          <w:rFonts w:ascii="Times New Roman" w:hAnsi="Times New Roman" w:cs="Times New Roman"/>
          <w:b/>
          <w:sz w:val="24"/>
          <w:szCs w:val="24"/>
        </w:rPr>
        <w:t xml:space="preserve"> and to increase transparency</w:t>
      </w:r>
      <w:r>
        <w:rPr>
          <w:rFonts w:ascii="Times New Roman" w:hAnsi="Times New Roman" w:cs="Times New Roman"/>
          <w:b/>
          <w:sz w:val="24"/>
          <w:szCs w:val="24"/>
        </w:rPr>
        <w:t xml:space="preserve"> </w:t>
      </w:r>
      <w:r w:rsidRPr="0055729D">
        <w:rPr>
          <w:rFonts w:ascii="Times New Roman" w:hAnsi="Times New Roman" w:cs="Times New Roman"/>
          <w:b/>
          <w:sz w:val="24"/>
          <w:szCs w:val="24"/>
        </w:rPr>
        <w:t>vis</w:t>
      </w:r>
      <w:r>
        <w:rPr>
          <w:rFonts w:ascii="Times New Roman" w:hAnsi="Times New Roman" w:cs="Times New Roman"/>
          <w:b/>
          <w:sz w:val="24"/>
          <w:szCs w:val="24"/>
        </w:rPr>
        <w:t>-</w:t>
      </w:r>
      <w:r w:rsidRPr="0055729D">
        <w:rPr>
          <w:rFonts w:ascii="Times New Roman" w:hAnsi="Times New Roman" w:cs="Times New Roman"/>
          <w:b/>
          <w:sz w:val="24"/>
          <w:szCs w:val="24"/>
        </w:rPr>
        <w:t>a</w:t>
      </w:r>
      <w:r>
        <w:rPr>
          <w:rFonts w:ascii="Times New Roman" w:hAnsi="Times New Roman" w:cs="Times New Roman"/>
          <w:b/>
          <w:sz w:val="24"/>
          <w:szCs w:val="24"/>
        </w:rPr>
        <w:t>-</w:t>
      </w:r>
      <w:r w:rsidRPr="0055729D">
        <w:rPr>
          <w:rFonts w:ascii="Times New Roman" w:hAnsi="Times New Roman" w:cs="Times New Roman"/>
          <w:b/>
          <w:sz w:val="24"/>
          <w:szCs w:val="24"/>
        </w:rPr>
        <w:t xml:space="preserve">vis </w:t>
      </w:r>
      <w:r w:rsidR="0002514A">
        <w:rPr>
          <w:rFonts w:ascii="Times New Roman" w:hAnsi="Times New Roman" w:cs="Times New Roman"/>
          <w:b/>
          <w:sz w:val="24"/>
          <w:szCs w:val="24"/>
        </w:rPr>
        <w:t>r</w:t>
      </w:r>
      <w:r w:rsidR="00007677">
        <w:rPr>
          <w:rFonts w:ascii="Times New Roman" w:hAnsi="Times New Roman" w:cs="Times New Roman"/>
          <w:b/>
          <w:sz w:val="24"/>
          <w:szCs w:val="24"/>
        </w:rPr>
        <w:t>ightholders</w:t>
      </w:r>
      <w:r w:rsidRPr="0055729D">
        <w:rPr>
          <w:rFonts w:ascii="Times New Roman" w:hAnsi="Times New Roman" w:cs="Times New Roman"/>
          <w:b/>
          <w:sz w:val="24"/>
          <w:szCs w:val="24"/>
        </w:rPr>
        <w:t xml:space="preserve"> </w:t>
      </w:r>
    </w:p>
    <w:p w:rsidR="002A7940" w:rsidRPr="0055729D" w:rsidRDefault="002A7940" w:rsidP="002A7940">
      <w:pPr>
        <w:spacing w:after="0" w:line="240" w:lineRule="auto"/>
        <w:jc w:val="both"/>
        <w:rPr>
          <w:rFonts w:ascii="Times New Roman" w:hAnsi="Times New Roman" w:cs="Times New Roman"/>
          <w:i/>
          <w:sz w:val="24"/>
          <w:szCs w:val="24"/>
        </w:rPr>
      </w:pPr>
    </w:p>
    <w:p w:rsidR="002A7940" w:rsidRPr="00531146" w:rsidRDefault="002A7940" w:rsidP="00D1507D">
      <w:pPr>
        <w:spacing w:after="0" w:line="240" w:lineRule="auto"/>
        <w:jc w:val="both"/>
        <w:rPr>
          <w:i/>
        </w:rPr>
      </w:pPr>
      <w:r w:rsidRPr="00D1507D">
        <w:rPr>
          <w:rFonts w:ascii="Times New Roman" w:hAnsi="Times New Roman"/>
          <w:i/>
          <w:sz w:val="24"/>
        </w:rPr>
        <w:t>Main elements:</w:t>
      </w:r>
    </w:p>
    <w:p w:rsidR="002A7940" w:rsidRPr="00176A40" w:rsidRDefault="002A7940" w:rsidP="002A7940">
      <w:pPr>
        <w:pStyle w:val="ListParagraph"/>
        <w:ind w:left="0"/>
        <w:rPr>
          <w:rFonts w:ascii="Times New Roman" w:hAnsi="Times New Roman"/>
          <w:sz w:val="24"/>
          <w:szCs w:val="24"/>
          <w:lang w:val="en-GB"/>
        </w:rPr>
      </w:pPr>
    </w:p>
    <w:p w:rsidR="002A7940" w:rsidRPr="00657C48" w:rsidRDefault="002A7940" w:rsidP="00D1507D">
      <w:pPr>
        <w:pStyle w:val="ListParagraph"/>
        <w:numPr>
          <w:ilvl w:val="0"/>
          <w:numId w:val="53"/>
        </w:numPr>
        <w:spacing w:before="240" w:line="240" w:lineRule="auto"/>
        <w:jc w:val="both"/>
        <w:rPr>
          <w:lang w:val="en-GB"/>
        </w:rPr>
      </w:pPr>
      <w:r w:rsidRPr="00176A40">
        <w:rPr>
          <w:rFonts w:ascii="Times New Roman" w:hAnsi="Times New Roman"/>
          <w:sz w:val="24"/>
          <w:szCs w:val="24"/>
          <w:lang w:val="en-GB"/>
        </w:rPr>
        <w:t xml:space="preserve">This option would establish an obligation on service providers which store and provide access to large amounts of copyright protected content to put in place measures, such as content identification technologies, to allow </w:t>
      </w:r>
      <w:r w:rsidR="0002514A">
        <w:rPr>
          <w:rFonts w:ascii="Times New Roman" w:hAnsi="Times New Roman"/>
          <w:sz w:val="24"/>
          <w:szCs w:val="24"/>
          <w:lang w:val="en-GB"/>
        </w:rPr>
        <w:t>r</w:t>
      </w:r>
      <w:r w:rsidR="00007677">
        <w:rPr>
          <w:rFonts w:ascii="Times New Roman" w:hAnsi="Times New Roman"/>
          <w:sz w:val="24"/>
          <w:szCs w:val="24"/>
          <w:lang w:val="en-GB"/>
        </w:rPr>
        <w:t>ightholders</w:t>
      </w:r>
      <w:r w:rsidRPr="00176A40">
        <w:rPr>
          <w:rFonts w:ascii="Times New Roman" w:hAnsi="Times New Roman"/>
          <w:sz w:val="24"/>
          <w:szCs w:val="24"/>
          <w:lang w:val="en-GB"/>
        </w:rPr>
        <w:t xml:space="preserve"> to determine better the conditions for the use of their content. </w:t>
      </w:r>
      <w:r w:rsidRPr="00176A40">
        <w:rPr>
          <w:rFonts w:ascii="Times New Roman" w:eastAsiaTheme="minorEastAsia" w:hAnsi="Times New Roman"/>
          <w:sz w:val="24"/>
          <w:szCs w:val="24"/>
          <w:bdr w:val="nil"/>
          <w:lang w:val="en-GB"/>
        </w:rPr>
        <w:t>The</w:t>
      </w:r>
      <w:r w:rsidRPr="00176A40">
        <w:rPr>
          <w:rFonts w:ascii="Times New Roman" w:eastAsia="Arial Unicode MS" w:hAnsi="Times New Roman"/>
          <w:sz w:val="24"/>
          <w:szCs w:val="24"/>
          <w:bdr w:val="nil"/>
          <w:lang w:val="en-GB"/>
        </w:rPr>
        <w:t xml:space="preserve"> </w:t>
      </w:r>
      <w:r w:rsidRPr="00176A40">
        <w:rPr>
          <w:rFonts w:ascii="Times New Roman" w:hAnsi="Times New Roman"/>
          <w:sz w:val="24"/>
          <w:szCs w:val="24"/>
          <w:lang w:val="en-GB"/>
        </w:rPr>
        <w:t xml:space="preserve">determination of what constitutes "large amounts of content" will need to be made on the basis of a combination of factors including the </w:t>
      </w:r>
      <w:r w:rsidRPr="00176A40">
        <w:rPr>
          <w:rFonts w:ascii="Times New Roman" w:eastAsiaTheme="minorEastAsia" w:hAnsi="Times New Roman"/>
          <w:sz w:val="24"/>
          <w:szCs w:val="24"/>
          <w:lang w:val="en-GB"/>
        </w:rPr>
        <w:t>number of users and visitors and the amount of content uploaded</w:t>
      </w:r>
      <w:r w:rsidRPr="00176A40">
        <w:rPr>
          <w:rFonts w:ascii="Times New Roman" w:hAnsi="Times New Roman"/>
          <w:sz w:val="24"/>
          <w:szCs w:val="24"/>
          <w:lang w:val="en-GB"/>
        </w:rPr>
        <w:t xml:space="preserve"> over a certain period of time.</w:t>
      </w:r>
      <w:r w:rsidRPr="00176A40">
        <w:rPr>
          <w:rStyle w:val="FootnoteReference"/>
          <w:rFonts w:ascii="Times New Roman" w:hAnsi="Times New Roman"/>
          <w:sz w:val="24"/>
          <w:szCs w:val="24"/>
        </w:rPr>
        <w:footnoteReference w:id="449"/>
      </w:r>
      <w:r w:rsidRPr="00176A40">
        <w:rPr>
          <w:rFonts w:ascii="Times New Roman" w:hAnsi="Times New Roman"/>
          <w:sz w:val="24"/>
          <w:lang w:val="en-GB"/>
        </w:rPr>
        <w:t xml:space="preserve"> These factors are independent from the size of the service provider itself, which can also be an SME. </w:t>
      </w:r>
      <w:r w:rsidRPr="00D1507D">
        <w:rPr>
          <w:rFonts w:ascii="Times New Roman" w:hAnsi="Times New Roman"/>
          <w:sz w:val="24"/>
          <w:lang w:val="en-GB"/>
        </w:rPr>
        <w:t>It is clear that online service providers may have very different services (a user uploaded content platform, their own channels, third party channels). This obligation would only apply to the user uploaded content services to the extent that the content is copyright protected.</w:t>
      </w:r>
    </w:p>
    <w:p w:rsidR="00176A40" w:rsidRPr="00176A40" w:rsidRDefault="00176A40" w:rsidP="00176A40">
      <w:pPr>
        <w:pStyle w:val="ListParagraph"/>
        <w:spacing w:before="240" w:line="240" w:lineRule="auto"/>
        <w:jc w:val="both"/>
        <w:rPr>
          <w:rFonts w:ascii="Times New Roman" w:hAnsi="Times New Roman"/>
          <w:sz w:val="24"/>
          <w:lang w:val="en-GB"/>
        </w:rPr>
      </w:pPr>
    </w:p>
    <w:p w:rsidR="002A7940" w:rsidRPr="00176A40" w:rsidRDefault="002A7940" w:rsidP="00176A40">
      <w:pPr>
        <w:pStyle w:val="ListParagraph"/>
        <w:numPr>
          <w:ilvl w:val="0"/>
          <w:numId w:val="52"/>
        </w:numPr>
        <w:spacing w:before="240" w:line="240" w:lineRule="auto"/>
        <w:jc w:val="both"/>
        <w:rPr>
          <w:rFonts w:ascii="Times New Roman" w:hAnsi="Times New Roman"/>
          <w:sz w:val="24"/>
          <w:szCs w:val="24"/>
          <w:lang w:val="en-GB"/>
        </w:rPr>
      </w:pPr>
      <w:r w:rsidRPr="00176A40">
        <w:rPr>
          <w:rFonts w:ascii="Times New Roman" w:hAnsi="Times New Roman"/>
          <w:sz w:val="24"/>
          <w:szCs w:val="24"/>
          <w:lang w:val="en-GB"/>
        </w:rPr>
        <w:t xml:space="preserve">These services will be targeted because they have become important sources of access to content online and </w:t>
      </w:r>
      <w:r w:rsidR="00176A40" w:rsidRPr="00176A40">
        <w:rPr>
          <w:rFonts w:ascii="Times New Roman" w:hAnsi="Times New Roman"/>
          <w:sz w:val="24"/>
          <w:szCs w:val="24"/>
          <w:lang w:val="en-GB"/>
        </w:rPr>
        <w:t xml:space="preserve">also </w:t>
      </w:r>
      <w:r w:rsidRPr="00176A40">
        <w:rPr>
          <w:rFonts w:ascii="Times New Roman" w:hAnsi="Times New Roman"/>
          <w:sz w:val="24"/>
          <w:szCs w:val="24"/>
          <w:lang w:val="en-GB"/>
        </w:rPr>
        <w:t>in view of their role in giving access to the public to works and other protected subject matter</w:t>
      </w:r>
      <w:r w:rsidR="00D92142">
        <w:rPr>
          <w:rFonts w:ascii="Times New Roman" w:hAnsi="Times New Roman"/>
          <w:sz w:val="24"/>
          <w:szCs w:val="24"/>
          <w:lang w:val="en-GB"/>
        </w:rPr>
        <w:t>,</w:t>
      </w:r>
      <w:r w:rsidRPr="00176A40">
        <w:rPr>
          <w:rFonts w:ascii="Times New Roman" w:hAnsi="Times New Roman"/>
          <w:sz w:val="24"/>
          <w:szCs w:val="24"/>
          <w:lang w:val="en-GB"/>
        </w:rPr>
        <w:t xml:space="preserve"> requir</w:t>
      </w:r>
      <w:r w:rsidR="00D92142">
        <w:rPr>
          <w:rFonts w:ascii="Times New Roman" w:hAnsi="Times New Roman"/>
          <w:sz w:val="24"/>
          <w:szCs w:val="24"/>
          <w:lang w:val="en-GB"/>
        </w:rPr>
        <w:t>ing</w:t>
      </w:r>
      <w:r w:rsidRPr="00176A40">
        <w:rPr>
          <w:rFonts w:ascii="Times New Roman" w:hAnsi="Times New Roman"/>
          <w:sz w:val="24"/>
          <w:szCs w:val="24"/>
          <w:lang w:val="en-GB"/>
        </w:rPr>
        <w:t xml:space="preserve"> the conclusion of licensing agreements with </w:t>
      </w:r>
      <w:r w:rsidR="0002514A">
        <w:rPr>
          <w:rFonts w:ascii="Times New Roman" w:hAnsi="Times New Roman"/>
          <w:sz w:val="24"/>
          <w:szCs w:val="24"/>
          <w:lang w:val="en-GB"/>
        </w:rPr>
        <w:t>r</w:t>
      </w:r>
      <w:r w:rsidR="00007677">
        <w:rPr>
          <w:rFonts w:ascii="Times New Roman" w:hAnsi="Times New Roman"/>
          <w:sz w:val="24"/>
          <w:szCs w:val="24"/>
          <w:lang w:val="en-GB"/>
        </w:rPr>
        <w:t>ightholders</w:t>
      </w:r>
      <w:r w:rsidRPr="00176A40">
        <w:rPr>
          <w:rFonts w:ascii="Times New Roman" w:hAnsi="Times New Roman"/>
          <w:sz w:val="24"/>
          <w:szCs w:val="24"/>
          <w:lang w:val="en-GB"/>
        </w:rPr>
        <w:t xml:space="preserve">. </w:t>
      </w:r>
    </w:p>
    <w:p w:rsidR="00176A40" w:rsidRPr="00176A40" w:rsidRDefault="00176A40" w:rsidP="00176A40">
      <w:pPr>
        <w:pStyle w:val="ListParagraph"/>
        <w:spacing w:before="240" w:line="240" w:lineRule="auto"/>
        <w:jc w:val="both"/>
        <w:rPr>
          <w:rFonts w:ascii="Times New Roman" w:hAnsi="Times New Roman"/>
          <w:sz w:val="24"/>
          <w:szCs w:val="24"/>
          <w:lang w:val="en-GB"/>
        </w:rPr>
      </w:pPr>
    </w:p>
    <w:p w:rsidR="002A7940" w:rsidRPr="00176A40" w:rsidRDefault="002A7940" w:rsidP="002A7940">
      <w:pPr>
        <w:pStyle w:val="ListParagraph"/>
        <w:numPr>
          <w:ilvl w:val="0"/>
          <w:numId w:val="52"/>
        </w:numPr>
        <w:spacing w:before="240" w:line="240" w:lineRule="auto"/>
        <w:jc w:val="both"/>
        <w:rPr>
          <w:rFonts w:ascii="Times New Roman" w:hAnsi="Times New Roman"/>
          <w:sz w:val="24"/>
          <w:szCs w:val="24"/>
          <w:lang w:val="en-GB"/>
        </w:rPr>
      </w:pPr>
      <w:r w:rsidRPr="00176A40">
        <w:rPr>
          <w:rFonts w:ascii="Times New Roman" w:hAnsi="Times New Roman"/>
          <w:sz w:val="24"/>
          <w:szCs w:val="24"/>
          <w:lang w:val="en-GB"/>
        </w:rPr>
        <w:t xml:space="preserve">Cooperation with </w:t>
      </w:r>
      <w:r w:rsidR="0002514A">
        <w:rPr>
          <w:rFonts w:ascii="Times New Roman" w:hAnsi="Times New Roman"/>
          <w:sz w:val="24"/>
          <w:szCs w:val="24"/>
          <w:lang w:val="en-GB"/>
        </w:rPr>
        <w:t>r</w:t>
      </w:r>
      <w:r w:rsidR="00007677">
        <w:rPr>
          <w:rFonts w:ascii="Times New Roman" w:hAnsi="Times New Roman"/>
          <w:sz w:val="24"/>
          <w:szCs w:val="24"/>
          <w:lang w:val="en-GB"/>
        </w:rPr>
        <w:t>ightholders</w:t>
      </w:r>
      <w:r w:rsidRPr="00176A40">
        <w:rPr>
          <w:rFonts w:ascii="Times New Roman" w:hAnsi="Times New Roman"/>
          <w:sz w:val="24"/>
          <w:szCs w:val="24"/>
          <w:lang w:val="en-GB"/>
        </w:rPr>
        <w:t xml:space="preserve"> will be required for the functioning of the measures, such as content identification technologies. </w:t>
      </w:r>
      <w:r w:rsidR="00007677">
        <w:rPr>
          <w:rFonts w:ascii="Times New Roman" w:hAnsi="Times New Roman"/>
          <w:sz w:val="24"/>
          <w:szCs w:val="24"/>
          <w:lang w:val="en-GB"/>
        </w:rPr>
        <w:t>Rightholders</w:t>
      </w:r>
      <w:r w:rsidRPr="00176A40">
        <w:rPr>
          <w:rFonts w:ascii="Times New Roman" w:hAnsi="Times New Roman"/>
          <w:sz w:val="24"/>
          <w:szCs w:val="24"/>
          <w:lang w:val="en-GB"/>
        </w:rPr>
        <w:t xml:space="preserve"> should provide the data that are necessary for the services to identify the content whereas the services would be obliged to provide adequate information to </w:t>
      </w:r>
      <w:r w:rsidR="0002514A">
        <w:rPr>
          <w:rFonts w:ascii="Times New Roman" w:hAnsi="Times New Roman"/>
          <w:sz w:val="24"/>
          <w:szCs w:val="24"/>
          <w:lang w:val="en-GB"/>
        </w:rPr>
        <w:t>r</w:t>
      </w:r>
      <w:r w:rsidR="00007677">
        <w:rPr>
          <w:rFonts w:ascii="Times New Roman" w:hAnsi="Times New Roman"/>
          <w:sz w:val="24"/>
          <w:szCs w:val="24"/>
          <w:lang w:val="en-GB"/>
        </w:rPr>
        <w:t>ightholders</w:t>
      </w:r>
      <w:r w:rsidRPr="00176A40">
        <w:rPr>
          <w:rFonts w:ascii="Times New Roman" w:hAnsi="Times New Roman"/>
          <w:sz w:val="24"/>
          <w:szCs w:val="24"/>
          <w:lang w:val="en-GB"/>
        </w:rPr>
        <w:t xml:space="preserve"> on the deployment and functioning of the technologies. This could, for instance, include information on the type of technologies used, periods of unavailability (e.g. due to maintenance), plans for further improvements, success rates of the technologies deployed for identifying content and information on possible reasons for failures of identification.</w:t>
      </w:r>
    </w:p>
    <w:p w:rsidR="002A7940" w:rsidRPr="00176A40" w:rsidRDefault="002A7940" w:rsidP="002A7940">
      <w:pPr>
        <w:pStyle w:val="ListParagraph"/>
        <w:spacing w:before="240" w:line="240" w:lineRule="auto"/>
        <w:jc w:val="both"/>
        <w:rPr>
          <w:rFonts w:ascii="Times New Roman" w:hAnsi="Times New Roman"/>
          <w:sz w:val="24"/>
          <w:szCs w:val="24"/>
          <w:lang w:val="en-GB"/>
        </w:rPr>
      </w:pPr>
    </w:p>
    <w:p w:rsidR="002A7940" w:rsidRPr="00176A40" w:rsidRDefault="002A7940" w:rsidP="002A7940">
      <w:pPr>
        <w:pStyle w:val="ListParagraph"/>
        <w:numPr>
          <w:ilvl w:val="0"/>
          <w:numId w:val="52"/>
        </w:numPr>
        <w:spacing w:before="240" w:line="240" w:lineRule="auto"/>
        <w:jc w:val="both"/>
        <w:rPr>
          <w:lang w:val="en-GB"/>
        </w:rPr>
      </w:pPr>
      <w:r w:rsidRPr="00176A40">
        <w:rPr>
          <w:rFonts w:ascii="Times New Roman" w:hAnsi="Times New Roman"/>
          <w:sz w:val="24"/>
          <w:szCs w:val="24"/>
          <w:lang w:val="en-GB"/>
        </w:rPr>
        <w:t>In order to safeguard end users' rights, the services will be required to provide for procedures that enable users to contest situations where the application of the technology would limit the uploads of content in an unjustified manner.</w:t>
      </w:r>
    </w:p>
    <w:p w:rsidR="002A7940" w:rsidRPr="00AC6A2B" w:rsidRDefault="002A7940" w:rsidP="002A7940">
      <w:pPr>
        <w:pStyle w:val="ListParagraph"/>
        <w:spacing w:before="240" w:line="240" w:lineRule="auto"/>
        <w:jc w:val="both"/>
        <w:rPr>
          <w:highlight w:val="yellow"/>
          <w:lang w:val="en-GB"/>
        </w:rPr>
      </w:pPr>
    </w:p>
    <w:p w:rsidR="002A7940" w:rsidRPr="00657C48" w:rsidRDefault="002A7940" w:rsidP="00D1507D">
      <w:pPr>
        <w:pStyle w:val="ListParagraph"/>
        <w:numPr>
          <w:ilvl w:val="0"/>
          <w:numId w:val="52"/>
        </w:numPr>
        <w:spacing w:before="240" w:line="240" w:lineRule="auto"/>
        <w:jc w:val="both"/>
        <w:rPr>
          <w:lang w:val="en-GB"/>
        </w:rPr>
      </w:pPr>
      <w:r w:rsidRPr="00D1507D">
        <w:rPr>
          <w:rStyle w:val="CommentReference"/>
          <w:sz w:val="24"/>
          <w:lang w:val="en-GB"/>
        </w:rPr>
        <w:t>T</w:t>
      </w:r>
      <w:r w:rsidRPr="00D1507D">
        <w:rPr>
          <w:rFonts w:ascii="Times New Roman" w:hAnsi="Times New Roman"/>
          <w:sz w:val="24"/>
          <w:lang w:val="en-GB"/>
        </w:rPr>
        <w:t xml:space="preserve">he above obligations will be without prejudice to liability regimes applicable to copyright infringements and the application of Article 14 ECD. </w:t>
      </w:r>
      <w:r w:rsidRPr="008C616A">
        <w:rPr>
          <w:rFonts w:ascii="Times New Roman" w:hAnsi="Times New Roman"/>
          <w:sz w:val="24"/>
          <w:szCs w:val="24"/>
          <w:lang w:val="en-GB"/>
        </w:rPr>
        <w:t xml:space="preserve"> In particular, with regard to services that are covered by Article 14 ECD, the obligation to put in place content identification technologies would not take away the </w:t>
      </w:r>
      <w:r>
        <w:rPr>
          <w:rFonts w:ascii="Times New Roman" w:hAnsi="Times New Roman"/>
          <w:sz w:val="24"/>
          <w:szCs w:val="24"/>
          <w:lang w:val="en-GB"/>
        </w:rPr>
        <w:t>safe harbour</w:t>
      </w:r>
      <w:r w:rsidRPr="008C616A">
        <w:rPr>
          <w:rFonts w:ascii="Times New Roman" w:hAnsi="Times New Roman"/>
          <w:sz w:val="24"/>
          <w:szCs w:val="24"/>
          <w:lang w:val="en-GB"/>
        </w:rPr>
        <w:t xml:space="preserve"> provided that the conditions of Article 14 are fulfilled. </w:t>
      </w:r>
      <w:r>
        <w:rPr>
          <w:rFonts w:ascii="Times New Roman" w:hAnsi="Times New Roman"/>
          <w:sz w:val="24"/>
          <w:szCs w:val="24"/>
          <w:lang w:val="en-GB"/>
        </w:rPr>
        <w:t>The n</w:t>
      </w:r>
      <w:r w:rsidRPr="008C616A">
        <w:rPr>
          <w:rFonts w:ascii="Times New Roman" w:hAnsi="Times New Roman"/>
          <w:sz w:val="24"/>
          <w:szCs w:val="24"/>
          <w:lang w:val="en-GB"/>
        </w:rPr>
        <w:t xml:space="preserve">otice and takedown regime will continue to apply for hosting service providers covered by </w:t>
      </w:r>
      <w:r>
        <w:rPr>
          <w:rFonts w:ascii="Times New Roman" w:hAnsi="Times New Roman"/>
          <w:sz w:val="24"/>
          <w:szCs w:val="24"/>
          <w:lang w:val="en-GB"/>
        </w:rPr>
        <w:t>A</w:t>
      </w:r>
      <w:r w:rsidRPr="008C616A">
        <w:rPr>
          <w:rFonts w:ascii="Times New Roman" w:hAnsi="Times New Roman"/>
          <w:sz w:val="24"/>
          <w:szCs w:val="24"/>
          <w:lang w:val="en-GB"/>
        </w:rPr>
        <w:t>rticle 14 with respect to content not covered by agreements or in cases where the content is not properly identified.</w:t>
      </w:r>
    </w:p>
    <w:p w:rsidR="002A7940" w:rsidRPr="00531146" w:rsidRDefault="002A7940" w:rsidP="00D1507D">
      <w:pPr>
        <w:numPr>
          <w:ilvl w:val="0"/>
          <w:numId w:val="51"/>
        </w:numPr>
        <w:spacing w:before="240" w:after="0" w:line="240" w:lineRule="auto"/>
        <w:jc w:val="both"/>
      </w:pPr>
      <w:r w:rsidRPr="00D1507D">
        <w:rPr>
          <w:rFonts w:ascii="Times New Roman" w:hAnsi="Times New Roman"/>
          <w:sz w:val="24"/>
        </w:rPr>
        <w:t xml:space="preserve">Member States would be required to facilitate cooperation between service providers and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where appropriate, notably in cases where no individual agreement is reached between the parties on appropriate measures to be put in place by the services. </w:t>
      </w:r>
    </w:p>
    <w:p w:rsidR="002A7940" w:rsidRPr="0055729D" w:rsidRDefault="002A7940" w:rsidP="00D1507D">
      <w:pPr>
        <w:spacing w:before="120" w:after="0" w:line="240" w:lineRule="auto"/>
        <w:jc w:val="both"/>
        <w:rPr>
          <w:rFonts w:ascii="Times New Roman" w:hAnsi="Times New Roman" w:cs="Times New Roman"/>
          <w:sz w:val="24"/>
          <w:szCs w:val="24"/>
          <w:lang w:eastAsia="en-GB"/>
        </w:rPr>
      </w:pPr>
    </w:p>
    <w:p w:rsidR="002A7940" w:rsidRPr="00D1507D" w:rsidRDefault="002A7940" w:rsidP="00D1507D">
      <w:pPr>
        <w:pStyle w:val="Body"/>
        <w:pBdr>
          <w:top w:val="single" w:sz="4" w:space="1" w:color="auto"/>
          <w:left w:val="single" w:sz="4" w:space="2" w:color="auto"/>
          <w:bottom w:val="single" w:sz="4" w:space="1" w:color="auto"/>
          <w:right w:val="single" w:sz="4" w:space="1" w:color="auto"/>
        </w:pBdr>
        <w:shd w:val="clear" w:color="auto" w:fill="D9D9D9" w:themeFill="background1" w:themeFillShade="D9"/>
        <w:spacing w:after="0"/>
        <w:rPr>
          <w:rFonts w:hAnsi="Times New Roman"/>
          <w:i/>
        </w:rPr>
      </w:pPr>
      <w:r w:rsidRPr="00D1507D">
        <w:rPr>
          <w:rFonts w:hAnsi="Times New Roman"/>
          <w:i/>
        </w:rPr>
        <w:t>Stakeholders' views</w:t>
      </w:r>
    </w:p>
    <w:p w:rsidR="002A7940" w:rsidRPr="00D1507D" w:rsidRDefault="00007677" w:rsidP="00D1507D">
      <w:pPr>
        <w:pStyle w:val="ListNumber"/>
        <w:numPr>
          <w:ilvl w:val="0"/>
          <w:numId w:val="0"/>
        </w:numPr>
        <w:pBdr>
          <w:top w:val="single" w:sz="4" w:space="1" w:color="auto"/>
          <w:left w:val="single" w:sz="4" w:space="2" w:color="auto"/>
          <w:bottom w:val="single" w:sz="4" w:space="1" w:color="auto"/>
          <w:right w:val="single" w:sz="4" w:space="1" w:color="auto"/>
        </w:pBdr>
        <w:shd w:val="clear" w:color="auto" w:fill="D9D9D9" w:themeFill="background1" w:themeFillShade="D9"/>
        <w:spacing w:after="0"/>
        <w:rPr>
          <w:rFonts w:eastAsia="Times New Roman"/>
          <w:szCs w:val="24"/>
        </w:rPr>
      </w:pPr>
      <w:r>
        <w:t>Rightholders</w:t>
      </w:r>
      <w:r w:rsidR="002A7940" w:rsidRPr="00D1507D">
        <w:t xml:space="preserve"> may support this option if it establishes </w:t>
      </w:r>
      <w:r w:rsidR="002A7940" w:rsidRPr="00A24222">
        <w:rPr>
          <w:szCs w:val="24"/>
        </w:rPr>
        <w:t>an</w:t>
      </w:r>
      <w:r w:rsidR="002A7940" w:rsidRPr="00087898">
        <w:rPr>
          <w:sz w:val="20"/>
          <w:bdr w:val="nil"/>
          <w:lang w:val="en-US"/>
        </w:rPr>
        <w:t xml:space="preserve"> </w:t>
      </w:r>
      <w:r w:rsidR="002A7940" w:rsidRPr="00D1507D">
        <w:rPr>
          <w:bdr w:val="nil"/>
          <w:lang w:val="en-US"/>
        </w:rPr>
        <w:t>obligation on</w:t>
      </w:r>
      <w:r w:rsidR="002A7940" w:rsidRPr="00087898">
        <w:rPr>
          <w:sz w:val="20"/>
          <w:bdr w:val="nil"/>
          <w:lang w:val="en-US"/>
        </w:rPr>
        <w:t xml:space="preserve"> </w:t>
      </w:r>
      <w:r w:rsidR="002A7940" w:rsidRPr="00A24222">
        <w:rPr>
          <w:szCs w:val="24"/>
        </w:rPr>
        <w:t>service providers</w:t>
      </w:r>
      <w:r w:rsidR="002A7940" w:rsidRPr="00D1507D">
        <w:t xml:space="preserve"> to take </w:t>
      </w:r>
      <w:r w:rsidR="002A7940" w:rsidRPr="00A24222">
        <w:rPr>
          <w:szCs w:val="24"/>
        </w:rPr>
        <w:t>effective</w:t>
      </w:r>
      <w:r w:rsidR="002A7940" w:rsidRPr="00D1507D">
        <w:t xml:space="preserve"> measures</w:t>
      </w:r>
      <w:r w:rsidR="002A7940" w:rsidRPr="00A24222">
        <w:rPr>
          <w:szCs w:val="24"/>
        </w:rPr>
        <w:t xml:space="preserve"> that improve the current situation</w:t>
      </w:r>
      <w:r w:rsidR="00B812A2">
        <w:rPr>
          <w:szCs w:val="24"/>
        </w:rPr>
        <w:t>,</w:t>
      </w:r>
      <w:r w:rsidR="002A7940" w:rsidRPr="00A24222">
        <w:rPr>
          <w:rStyle w:val="FootnoteReference"/>
          <w:szCs w:val="24"/>
        </w:rPr>
        <w:footnoteReference w:id="450"/>
      </w:r>
      <w:r w:rsidR="00B812A2">
        <w:rPr>
          <w:szCs w:val="24"/>
        </w:rPr>
        <w:t xml:space="preserve"> </w:t>
      </w:r>
      <w:r w:rsidR="00D92142">
        <w:rPr>
          <w:szCs w:val="24"/>
        </w:rPr>
        <w:t xml:space="preserve">and provided there is sufficient </w:t>
      </w:r>
      <w:r w:rsidR="002A7940" w:rsidRPr="00A24222">
        <w:rPr>
          <w:rFonts w:eastAsia="Times New Roman"/>
          <w:szCs w:val="24"/>
        </w:rPr>
        <w:t>clari</w:t>
      </w:r>
      <w:r w:rsidR="00D92142">
        <w:rPr>
          <w:rFonts w:eastAsia="Times New Roman"/>
          <w:szCs w:val="24"/>
        </w:rPr>
        <w:t>ty as regards</w:t>
      </w:r>
      <w:r w:rsidR="002A7940" w:rsidRPr="00A24222">
        <w:rPr>
          <w:rFonts w:eastAsia="Times New Roman"/>
          <w:szCs w:val="24"/>
        </w:rPr>
        <w:t xml:space="preserve"> the </w:t>
      </w:r>
      <w:r w:rsidR="002A7940" w:rsidRPr="00B91031">
        <w:rPr>
          <w:rFonts w:eastAsia="Times New Roman"/>
          <w:szCs w:val="24"/>
        </w:rPr>
        <w:t xml:space="preserve">notion of </w:t>
      </w:r>
      <w:r w:rsidR="002A7940" w:rsidRPr="00A24222">
        <w:rPr>
          <w:rFonts w:eastAsia="Times New Roman"/>
          <w:szCs w:val="24"/>
        </w:rPr>
        <w:t>communication to the public</w:t>
      </w:r>
      <w:r w:rsidR="002A7940" w:rsidRPr="00B91031">
        <w:rPr>
          <w:rFonts w:eastAsia="Times New Roman"/>
          <w:szCs w:val="24"/>
        </w:rPr>
        <w:t>.</w:t>
      </w:r>
      <w:r w:rsidR="002A7940" w:rsidRPr="00A24222">
        <w:rPr>
          <w:szCs w:val="24"/>
        </w:rPr>
        <w:t xml:space="preserve"> </w:t>
      </w:r>
      <w:r w:rsidR="002A7940" w:rsidRPr="002D646F">
        <w:rPr>
          <w:rFonts w:eastAsiaTheme="minorEastAsia"/>
          <w:szCs w:val="24"/>
          <w:lang w:eastAsia="zh-CN"/>
        </w:rPr>
        <w:t>Online</w:t>
      </w:r>
      <w:r w:rsidR="002A7940" w:rsidRPr="00D1507D">
        <w:t xml:space="preserve"> service providers storing and giving access to large amounts of user uploaded content </w:t>
      </w:r>
      <w:r w:rsidR="002A7940" w:rsidRPr="00BC25EE">
        <w:rPr>
          <w:rFonts w:eastAsiaTheme="minorEastAsia"/>
          <w:szCs w:val="24"/>
          <w:lang w:eastAsia="zh-CN"/>
        </w:rPr>
        <w:t>are likely to</w:t>
      </w:r>
      <w:r w:rsidR="002A7940" w:rsidRPr="00BC25EE">
        <w:rPr>
          <w:rFonts w:eastAsiaTheme="minorEastAsia"/>
          <w:szCs w:val="24"/>
        </w:rPr>
        <w:t xml:space="preserve"> </w:t>
      </w:r>
      <w:r w:rsidR="002A7940" w:rsidRPr="00D1507D">
        <w:t xml:space="preserve">oppose this option, </w:t>
      </w:r>
      <w:r w:rsidR="002A7940" w:rsidRPr="00BC25EE">
        <w:rPr>
          <w:rFonts w:eastAsiaTheme="minorEastAsia"/>
          <w:szCs w:val="24"/>
          <w:lang w:eastAsia="zh-CN"/>
        </w:rPr>
        <w:t>including those</w:t>
      </w:r>
      <w:r w:rsidR="002A7940" w:rsidRPr="00D1507D">
        <w:t xml:space="preserve"> that already use </w:t>
      </w:r>
      <w:r w:rsidR="002A7940" w:rsidRPr="00BC25EE">
        <w:rPr>
          <w:rFonts w:eastAsiaTheme="minorEastAsia"/>
          <w:szCs w:val="24"/>
          <w:lang w:eastAsia="zh-CN"/>
        </w:rPr>
        <w:t>the</w:t>
      </w:r>
      <w:r w:rsidR="002A7940" w:rsidRPr="00D1507D">
        <w:t xml:space="preserve"> technologies </w:t>
      </w:r>
      <w:r w:rsidR="002A7940" w:rsidRPr="00BC25EE">
        <w:rPr>
          <w:rFonts w:eastAsiaTheme="minorEastAsia"/>
          <w:szCs w:val="24"/>
          <w:lang w:eastAsia="zh-CN"/>
        </w:rPr>
        <w:t>- as they</w:t>
      </w:r>
      <w:r w:rsidR="002A7940">
        <w:rPr>
          <w:rFonts w:eastAsiaTheme="minorEastAsia"/>
          <w:szCs w:val="24"/>
          <w:lang w:eastAsia="zh-CN"/>
        </w:rPr>
        <w:t xml:space="preserve"> would</w:t>
      </w:r>
      <w:r w:rsidR="002A7940" w:rsidRPr="00BC25EE">
        <w:rPr>
          <w:rFonts w:eastAsiaTheme="minorEastAsia"/>
          <w:szCs w:val="24"/>
          <w:lang w:eastAsia="zh-CN"/>
        </w:rPr>
        <w:t xml:space="preserve"> want their initiatives to remain</w:t>
      </w:r>
      <w:r w:rsidR="002A7940" w:rsidRPr="00D1507D">
        <w:t xml:space="preserve"> voluntary. They </w:t>
      </w:r>
      <w:r w:rsidR="002A7940">
        <w:rPr>
          <w:rFonts w:eastAsiaTheme="minorEastAsia"/>
          <w:szCs w:val="24"/>
        </w:rPr>
        <w:t xml:space="preserve">will </w:t>
      </w:r>
      <w:r w:rsidR="002A7940" w:rsidRPr="00BC25EE">
        <w:rPr>
          <w:rFonts w:eastAsiaTheme="minorEastAsia"/>
          <w:szCs w:val="24"/>
          <w:lang w:eastAsia="zh-CN"/>
        </w:rPr>
        <w:t>also</w:t>
      </w:r>
      <w:r w:rsidR="002A7940" w:rsidRPr="00D1507D">
        <w:t xml:space="preserve"> argue that the intervention would counter the freedom of expression and freedom to conduct business</w:t>
      </w:r>
      <w:r w:rsidR="00B812A2">
        <w:t>.</w:t>
      </w:r>
      <w:r w:rsidR="002A7940" w:rsidRPr="00D1507D">
        <w:rPr>
          <w:rStyle w:val="FootnoteReference"/>
        </w:rPr>
        <w:footnoteReference w:id="451"/>
      </w:r>
      <w:r w:rsidR="002A7940" w:rsidRPr="00D1507D">
        <w:rPr>
          <w:lang w:val="en-US"/>
        </w:rPr>
        <w:t xml:space="preserve">Other content service providers are likely to support this option if it improves the level playing field on the online content market. Consumers are likely to argue that this option will have a negative impact on </w:t>
      </w:r>
      <w:r w:rsidR="002A7940" w:rsidRPr="002B3021">
        <w:rPr>
          <w:lang w:val="en-US"/>
        </w:rPr>
        <w:t>the</w:t>
      </w:r>
      <w:r w:rsidR="002A7940">
        <w:rPr>
          <w:lang w:val="en-US"/>
        </w:rPr>
        <w:t>ir</w:t>
      </w:r>
      <w:r w:rsidR="002A7940" w:rsidRPr="00D1507D">
        <w:rPr>
          <w:lang w:val="en-US"/>
        </w:rPr>
        <w:t xml:space="preserve"> freedom of expression/information</w:t>
      </w:r>
      <w:r w:rsidR="00B812A2">
        <w:rPr>
          <w:lang w:val="en-US"/>
        </w:rPr>
        <w:t>.</w:t>
      </w:r>
      <w:r w:rsidR="002A7940" w:rsidRPr="00D1507D">
        <w:rPr>
          <w:vertAlign w:val="superscript"/>
          <w:lang w:val="en-US"/>
        </w:rPr>
        <w:footnoteReference w:id="452"/>
      </w:r>
      <w:r w:rsidR="002A7940" w:rsidRPr="00BD1E79">
        <w:rPr>
          <w:szCs w:val="24"/>
          <w:lang w:val="en-US"/>
        </w:rPr>
        <w:t xml:space="preserve"> </w:t>
      </w:r>
    </w:p>
    <w:p w:rsidR="002A7940" w:rsidRPr="00D1507D" w:rsidRDefault="002A7940" w:rsidP="00D1507D"/>
    <w:p w:rsidR="002A7940" w:rsidRPr="008012CB" w:rsidRDefault="002A7940" w:rsidP="002A7940">
      <w:pPr>
        <w:pStyle w:val="Heading3"/>
      </w:pPr>
      <w:bookmarkStart w:id="174" w:name="_Toc438206624"/>
      <w:bookmarkStart w:id="175" w:name="_Toc461114749"/>
      <w:r w:rsidRPr="008012CB">
        <w:t>What are the impacts of the different policy options and who will be affected?</w:t>
      </w:r>
      <w:bookmarkEnd w:id="174"/>
      <w:bookmarkEnd w:id="175"/>
    </w:p>
    <w:p w:rsidR="002A7940" w:rsidRPr="0055729D" w:rsidRDefault="002A7940" w:rsidP="00D1507D">
      <w:pPr>
        <w:pBdr>
          <w:top w:val="single" w:sz="4" w:space="0" w:color="auto"/>
          <w:left w:val="single" w:sz="4" w:space="0" w:color="auto"/>
          <w:bottom w:val="single" w:sz="4" w:space="1" w:color="auto"/>
          <w:right w:val="single" w:sz="4" w:space="1" w:color="auto"/>
        </w:pBdr>
        <w:spacing w:after="0" w:line="240" w:lineRule="auto"/>
        <w:jc w:val="both"/>
        <w:rPr>
          <w:rFonts w:ascii="Times New Roman" w:eastAsia="Arial Unicode MS" w:hAnsi="Times New Roman" w:cs="Times New Roman"/>
          <w:b/>
          <w:i/>
          <w:sz w:val="20"/>
          <w:szCs w:val="20"/>
          <w:lang w:val="en-US" w:eastAsia="en-GB"/>
        </w:rPr>
      </w:pPr>
      <w:r w:rsidRPr="0055729D">
        <w:rPr>
          <w:rFonts w:ascii="Times New Roman" w:eastAsia="Arial Unicode MS" w:hAnsi="Times New Roman" w:cs="Times New Roman"/>
          <w:b/>
          <w:i/>
          <w:sz w:val="20"/>
          <w:szCs w:val="20"/>
          <w:lang w:val="en-US" w:eastAsia="en-GB"/>
        </w:rPr>
        <w:t>Approach</w:t>
      </w:r>
    </w:p>
    <w:p w:rsidR="002A7940" w:rsidRPr="00D1507D" w:rsidRDefault="002A7940" w:rsidP="00D1507D">
      <w:pPr>
        <w:pBdr>
          <w:top w:val="single" w:sz="4" w:space="0" w:color="auto"/>
          <w:left w:val="single" w:sz="4" w:space="0" w:color="auto"/>
          <w:bottom w:val="single" w:sz="4" w:space="1" w:color="auto"/>
          <w:right w:val="single" w:sz="4" w:space="1" w:color="auto"/>
        </w:pBdr>
        <w:spacing w:line="240" w:lineRule="auto"/>
        <w:jc w:val="both"/>
        <w:rPr>
          <w:rFonts w:ascii="Times New Roman" w:hAnsi="Times New Roman"/>
          <w:sz w:val="20"/>
        </w:rPr>
      </w:pPr>
      <w:r w:rsidRPr="00D1507D">
        <w:rPr>
          <w:rFonts w:ascii="Times New Roman" w:hAnsi="Times New Roman"/>
          <w:sz w:val="20"/>
        </w:rPr>
        <w:t xml:space="preserve">The options presented above would have an impact on </w:t>
      </w:r>
      <w:r w:rsidR="00687496">
        <w:rPr>
          <w:rFonts w:ascii="Times New Roman" w:hAnsi="Times New Roman"/>
          <w:sz w:val="20"/>
        </w:rPr>
        <w:t>r</w:t>
      </w:r>
      <w:r w:rsidR="00007677">
        <w:rPr>
          <w:rFonts w:ascii="Times New Roman" w:hAnsi="Times New Roman"/>
          <w:sz w:val="20"/>
        </w:rPr>
        <w:t>ightholders</w:t>
      </w:r>
      <w:r w:rsidRPr="00D1507D">
        <w:rPr>
          <w:rFonts w:ascii="Times New Roman" w:hAnsi="Times New Roman"/>
          <w:sz w:val="20"/>
        </w:rPr>
        <w:t xml:space="preserve"> across all sectors, on online services that store and give access to the public to large amounts of </w:t>
      </w:r>
      <w:r w:rsidRPr="0055729D">
        <w:rPr>
          <w:rFonts w:ascii="Times New Roman" w:hAnsi="Times New Roman" w:cs="Times New Roman"/>
          <w:sz w:val="20"/>
          <w:szCs w:val="20"/>
        </w:rPr>
        <w:t>content</w:t>
      </w:r>
      <w:r w:rsidRPr="00D1507D">
        <w:rPr>
          <w:rFonts w:ascii="Times New Roman" w:hAnsi="Times New Roman"/>
          <w:sz w:val="20"/>
        </w:rPr>
        <w:t xml:space="preserve"> uploaded </w:t>
      </w:r>
      <w:r w:rsidRPr="0055729D">
        <w:rPr>
          <w:rFonts w:ascii="Times New Roman" w:hAnsi="Times New Roman" w:cs="Times New Roman"/>
          <w:sz w:val="20"/>
          <w:szCs w:val="20"/>
        </w:rPr>
        <w:t>by their users</w:t>
      </w:r>
      <w:r w:rsidRPr="00D1507D">
        <w:rPr>
          <w:rFonts w:ascii="Times New Roman" w:hAnsi="Times New Roman"/>
          <w:sz w:val="20"/>
        </w:rPr>
        <w:t xml:space="preserve">, as well as on online content services that distribute content provided directly by </w:t>
      </w:r>
      <w:r w:rsidR="00687496">
        <w:rPr>
          <w:rFonts w:ascii="Times New Roman" w:hAnsi="Times New Roman"/>
          <w:sz w:val="20"/>
        </w:rPr>
        <w:t>r</w:t>
      </w:r>
      <w:r w:rsidR="00007677">
        <w:rPr>
          <w:rFonts w:ascii="Times New Roman" w:hAnsi="Times New Roman"/>
          <w:sz w:val="20"/>
        </w:rPr>
        <w:t>ightholders</w:t>
      </w:r>
      <w:r w:rsidRPr="00D1507D">
        <w:rPr>
          <w:rFonts w:ascii="Times New Roman" w:hAnsi="Times New Roman"/>
          <w:sz w:val="20"/>
        </w:rPr>
        <w:t xml:space="preserve"> and that can be perceived, from a user perspective, as equivalent sources for content consumption. The options also affect consumers. The likely impacts on each stakeholder group are presented separately. </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rPr>
        <w:t xml:space="preserve">For </w:t>
      </w:r>
      <w:r w:rsidR="00687496">
        <w:rPr>
          <w:rFonts w:ascii="Times New Roman" w:hAnsi="Times New Roman" w:cs="Times New Roman"/>
          <w:sz w:val="20"/>
          <w:szCs w:val="20"/>
          <w:u w:val="single"/>
        </w:rPr>
        <w:t>r</w:t>
      </w:r>
      <w:r w:rsidR="00007677">
        <w:rPr>
          <w:rFonts w:ascii="Times New Roman" w:hAnsi="Times New Roman" w:cs="Times New Roman"/>
          <w:sz w:val="20"/>
          <w:szCs w:val="20"/>
          <w:u w:val="single"/>
        </w:rPr>
        <w:t>ightholders</w:t>
      </w:r>
      <w:r w:rsidRPr="00F170B0">
        <w:rPr>
          <w:rFonts w:ascii="Times New Roman" w:hAnsi="Times New Roman" w:cs="Times New Roman"/>
          <w:sz w:val="20"/>
          <w:szCs w:val="20"/>
        </w:rPr>
        <w:t xml:space="preserve">: the impacts assessed are those on </w:t>
      </w:r>
      <w:r w:rsidRPr="0055729D">
        <w:rPr>
          <w:rFonts w:ascii="Times New Roman" w:eastAsiaTheme="minorEastAsia" w:hAnsi="Times New Roman" w:cs="Times New Roman"/>
          <w:sz w:val="20"/>
          <w:szCs w:val="20"/>
          <w:lang w:eastAsia="en-GB"/>
        </w:rPr>
        <w:t xml:space="preserve">their capacity to control better </w:t>
      </w:r>
      <w:r w:rsidRPr="00F170B0">
        <w:rPr>
          <w:rFonts w:ascii="Times New Roman" w:hAnsi="Times New Roman" w:cs="Times New Roman"/>
          <w:sz w:val="20"/>
          <w:szCs w:val="20"/>
        </w:rPr>
        <w:t xml:space="preserve">the </w:t>
      </w:r>
      <w:r w:rsidRPr="0055729D">
        <w:rPr>
          <w:rFonts w:ascii="Times New Roman" w:eastAsiaTheme="minorEastAsia" w:hAnsi="Times New Roman" w:cs="Times New Roman"/>
          <w:sz w:val="20"/>
          <w:szCs w:val="20"/>
          <w:lang w:eastAsia="en-GB"/>
        </w:rPr>
        <w:t>availability of their content on user uploaded content services and thereby be in a better position to negotiate</w:t>
      </w:r>
      <w:r w:rsidRPr="00F170B0">
        <w:rPr>
          <w:rFonts w:ascii="Times New Roman" w:hAnsi="Times New Roman" w:cs="Times New Roman"/>
          <w:sz w:val="20"/>
          <w:szCs w:val="20"/>
        </w:rPr>
        <w:t xml:space="preserve"> with the services the </w:t>
      </w:r>
      <w:r w:rsidRPr="0055729D">
        <w:rPr>
          <w:rFonts w:ascii="Times New Roman" w:eastAsiaTheme="minorEastAsia" w:hAnsi="Times New Roman" w:cs="Times New Roman"/>
          <w:sz w:val="20"/>
          <w:szCs w:val="20"/>
          <w:lang w:eastAsia="en-GB"/>
        </w:rPr>
        <w:t xml:space="preserve">conditions of such </w:t>
      </w:r>
      <w:r w:rsidRPr="00F170B0">
        <w:rPr>
          <w:rFonts w:ascii="Times New Roman" w:hAnsi="Times New Roman" w:cs="Times New Roman"/>
          <w:sz w:val="20"/>
          <w:szCs w:val="20"/>
        </w:rPr>
        <w:t>use</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u w:val="single"/>
        </w:rPr>
        <w:t>For online services that store and give access to large amounts of user uploaded content:</w:t>
      </w:r>
      <w:r w:rsidRPr="00F170B0">
        <w:rPr>
          <w:rFonts w:ascii="Times New Roman" w:hAnsi="Times New Roman" w:cs="Times New Roman"/>
          <w:sz w:val="20"/>
          <w:szCs w:val="20"/>
        </w:rPr>
        <w:t xml:space="preserve"> the most important impacts described relate to the </w:t>
      </w:r>
      <w:r w:rsidRPr="0055729D">
        <w:rPr>
          <w:rFonts w:ascii="Times New Roman" w:eastAsiaTheme="minorEastAsia" w:hAnsi="Times New Roman" w:cs="Times New Roman"/>
          <w:sz w:val="20"/>
          <w:szCs w:val="20"/>
          <w:lang w:eastAsia="en-GB"/>
        </w:rPr>
        <w:t xml:space="preserve">implementation of technologies and the </w:t>
      </w:r>
      <w:r w:rsidRPr="00F170B0">
        <w:rPr>
          <w:rFonts w:ascii="Times New Roman" w:hAnsi="Times New Roman" w:cs="Times New Roman"/>
          <w:sz w:val="20"/>
          <w:szCs w:val="20"/>
        </w:rPr>
        <w:t xml:space="preserve">negotiation with </w:t>
      </w:r>
      <w:r w:rsidR="00687496">
        <w:rPr>
          <w:rFonts w:ascii="Times New Roman" w:hAnsi="Times New Roman" w:cs="Times New Roman"/>
          <w:sz w:val="20"/>
          <w:szCs w:val="20"/>
        </w:rPr>
        <w:t>r</w:t>
      </w:r>
      <w:r w:rsidR="00007677">
        <w:rPr>
          <w:rFonts w:ascii="Times New Roman" w:hAnsi="Times New Roman" w:cs="Times New Roman"/>
          <w:sz w:val="20"/>
          <w:szCs w:val="20"/>
        </w:rPr>
        <w:t>ightholders</w:t>
      </w:r>
      <w:r w:rsidRPr="00F170B0">
        <w:rPr>
          <w:rFonts w:ascii="Times New Roman" w:hAnsi="Times New Roman" w:cs="Times New Roman"/>
          <w:sz w:val="20"/>
          <w:szCs w:val="20"/>
        </w:rPr>
        <w:t xml:space="preserve"> </w:t>
      </w:r>
      <w:r w:rsidRPr="0055729D">
        <w:rPr>
          <w:rFonts w:ascii="Times New Roman" w:eastAsiaTheme="minorEastAsia" w:hAnsi="Times New Roman" w:cs="Times New Roman"/>
          <w:sz w:val="20"/>
          <w:szCs w:val="20"/>
          <w:lang w:eastAsia="en-GB"/>
        </w:rPr>
        <w:t xml:space="preserve">in case they want to keep the content on their services </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u w:val="single"/>
        </w:rPr>
        <w:t>For other online content service providers distributing content</w:t>
      </w:r>
      <w:r w:rsidRPr="00F170B0">
        <w:rPr>
          <w:rFonts w:ascii="Times New Roman" w:hAnsi="Times New Roman" w:cs="Times New Roman"/>
          <w:sz w:val="20"/>
          <w:szCs w:val="20"/>
        </w:rPr>
        <w:t>: the main impacts relate to the level playing field in the market and to their business model.</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u w:val="single"/>
        </w:rPr>
        <w:t>For consumers/end users:</w:t>
      </w:r>
      <w:r w:rsidRPr="00F170B0">
        <w:rPr>
          <w:rFonts w:ascii="Times New Roman" w:hAnsi="Times New Roman" w:cs="Times New Roman"/>
          <w:sz w:val="20"/>
          <w:szCs w:val="20"/>
        </w:rPr>
        <w:t xml:space="preserve"> the impact is assessed on the content consumption possibilities and the possibility for them to upload content.</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rPr>
        <w:t xml:space="preserve">The policy options are also assessed in relation to their social impact, with focus on </w:t>
      </w:r>
      <w:r w:rsidRPr="00F170B0">
        <w:rPr>
          <w:rFonts w:ascii="Times New Roman" w:hAnsi="Times New Roman" w:cs="Times New Roman"/>
          <w:sz w:val="20"/>
          <w:szCs w:val="20"/>
          <w:u w:val="single"/>
        </w:rPr>
        <w:t>cultural diversity.</w:t>
      </w:r>
    </w:p>
    <w:p w:rsidR="002A7940" w:rsidRPr="00F170B0" w:rsidRDefault="002A7940" w:rsidP="00D1507D">
      <w:pPr>
        <w:numPr>
          <w:ilvl w:val="0"/>
          <w:numId w:val="27"/>
        </w:numPr>
        <w:pBdr>
          <w:top w:val="single" w:sz="4" w:space="0" w:color="auto"/>
          <w:left w:val="single" w:sz="4" w:space="0" w:color="auto"/>
          <w:bottom w:val="single" w:sz="4" w:space="1" w:color="auto"/>
          <w:right w:val="single" w:sz="4" w:space="1" w:color="auto"/>
        </w:pBdr>
        <w:tabs>
          <w:tab w:val="left" w:pos="0"/>
        </w:tabs>
        <w:spacing w:after="0" w:line="240" w:lineRule="auto"/>
        <w:ind w:left="284" w:hanging="284"/>
        <w:contextualSpacing/>
        <w:jc w:val="both"/>
        <w:rPr>
          <w:rFonts w:ascii="Times New Roman" w:hAnsi="Times New Roman" w:cs="Times New Roman"/>
          <w:sz w:val="20"/>
          <w:szCs w:val="20"/>
        </w:rPr>
      </w:pPr>
      <w:r w:rsidRPr="00F170B0">
        <w:rPr>
          <w:rFonts w:ascii="Times New Roman" w:hAnsi="Times New Roman" w:cs="Times New Roman"/>
          <w:sz w:val="20"/>
          <w:szCs w:val="20"/>
          <w:u w:val="single"/>
        </w:rPr>
        <w:t xml:space="preserve">For fundamental freedoms, </w:t>
      </w:r>
      <w:r w:rsidRPr="00F170B0">
        <w:rPr>
          <w:rFonts w:ascii="Times New Roman" w:hAnsi="Times New Roman" w:cs="Times New Roman"/>
          <w:sz w:val="20"/>
          <w:szCs w:val="20"/>
        </w:rPr>
        <w:t>the impact is assessed on copyright as a property right, freedom of expression and information</w:t>
      </w:r>
      <w:r w:rsidRPr="00D1507D">
        <w:rPr>
          <w:rFonts w:ascii="Times New Roman" w:hAnsi="Times New Roman"/>
          <w:color w:val="000000"/>
          <w:sz w:val="20"/>
          <w:u w:color="000000"/>
        </w:rPr>
        <w:t xml:space="preserve">, </w:t>
      </w:r>
      <w:r w:rsidRPr="00F170B0">
        <w:rPr>
          <w:rFonts w:ascii="Times New Roman" w:hAnsi="Times New Roman" w:cs="Times New Roman"/>
          <w:sz w:val="20"/>
          <w:szCs w:val="20"/>
        </w:rPr>
        <w:t xml:space="preserve">as well as the freedom to conduct a business </w:t>
      </w:r>
      <w:r w:rsidRPr="00D1507D">
        <w:rPr>
          <w:rFonts w:ascii="Times New Roman" w:hAnsi="Times New Roman"/>
          <w:color w:val="000000"/>
          <w:sz w:val="20"/>
          <w:u w:color="000000"/>
        </w:rPr>
        <w:t>as recognised respectively by Articles 17, 11 and 16 of the Charter.</w:t>
      </w:r>
    </w:p>
    <w:p w:rsidR="002A7940" w:rsidRPr="00D1507D" w:rsidRDefault="002A7940" w:rsidP="00D1507D">
      <w:pPr>
        <w:pBdr>
          <w:top w:val="single" w:sz="4" w:space="0" w:color="auto"/>
          <w:left w:val="single" w:sz="4" w:space="0" w:color="auto"/>
          <w:bottom w:val="single" w:sz="4" w:space="1" w:color="auto"/>
          <w:right w:val="single" w:sz="4" w:space="1" w:color="auto"/>
        </w:pBdr>
        <w:tabs>
          <w:tab w:val="left" w:pos="0"/>
        </w:tabs>
        <w:spacing w:line="240" w:lineRule="auto"/>
        <w:jc w:val="both"/>
        <w:rPr>
          <w:rFonts w:ascii="Times New Roman" w:hAnsi="Times New Roman"/>
          <w:sz w:val="20"/>
        </w:rPr>
      </w:pPr>
      <w:r w:rsidRPr="00D1507D">
        <w:rPr>
          <w:rFonts w:ascii="Times New Roman" w:hAnsi="Times New Roman"/>
          <w:sz w:val="20"/>
        </w:rPr>
        <w:t>The assessment below is mainly qualitative, based on the data publicly available, replies submitted via the public consultation on online platforms</w:t>
      </w:r>
      <w:r w:rsidRPr="00D1507D">
        <w:rPr>
          <w:rFonts w:ascii="Times New Roman" w:hAnsi="Times New Roman"/>
          <w:sz w:val="20"/>
          <w:vertAlign w:val="superscript"/>
        </w:rPr>
        <w:footnoteReference w:id="453"/>
      </w:r>
      <w:r w:rsidRPr="00D1507D">
        <w:rPr>
          <w:rFonts w:ascii="Times New Roman" w:hAnsi="Times New Roman"/>
          <w:sz w:val="20"/>
        </w:rPr>
        <w:t>, or provided by relevant stakeholders</w:t>
      </w:r>
      <w:r w:rsidR="00176A40" w:rsidRPr="00D1507D">
        <w:rPr>
          <w:rFonts w:ascii="Times New Roman" w:hAnsi="Times New Roman"/>
          <w:sz w:val="20"/>
        </w:rPr>
        <w:t>, as well as a Flash Eurobarometer survey on users' preferences in accessing content online conducted in March 2016</w:t>
      </w:r>
      <w:r w:rsidRPr="00D1507D">
        <w:rPr>
          <w:rFonts w:ascii="Times New Roman" w:hAnsi="Times New Roman"/>
          <w:sz w:val="20"/>
        </w:rPr>
        <w:t>.</w:t>
      </w:r>
    </w:p>
    <w:p w:rsidR="002A7940" w:rsidRPr="00531146" w:rsidRDefault="002A7940" w:rsidP="00D1507D">
      <w:pPr>
        <w:spacing w:after="0" w:line="240" w:lineRule="auto"/>
        <w:jc w:val="both"/>
        <w:rPr>
          <w:b/>
          <w:color w:val="000000"/>
          <w:u w:val="single" w:color="000000"/>
        </w:rPr>
      </w:pPr>
      <w:r w:rsidRPr="00D1507D">
        <w:rPr>
          <w:rFonts w:ascii="Times New Roman" w:hAnsi="Times New Roman"/>
          <w:b/>
          <w:color w:val="000000"/>
          <w:sz w:val="24"/>
          <w:u w:val="single" w:color="000000"/>
        </w:rPr>
        <w:t>Baseline</w:t>
      </w:r>
    </w:p>
    <w:p w:rsidR="002A7940" w:rsidRPr="00D92142" w:rsidRDefault="002A7940" w:rsidP="002A7940">
      <w:pPr>
        <w:spacing w:after="0" w:line="240" w:lineRule="auto"/>
        <w:jc w:val="both"/>
        <w:rPr>
          <w:rFonts w:ascii="Times New Roman" w:hAnsi="Times New Roman" w:cs="Times New Roman"/>
          <w:b/>
          <w:color w:val="000000"/>
          <w:sz w:val="24"/>
          <w:szCs w:val="24"/>
          <w:u w:val="single" w:color="000000"/>
        </w:rPr>
      </w:pPr>
    </w:p>
    <w:p w:rsidR="002A7940" w:rsidRDefault="002A7940" w:rsidP="00D1507D">
      <w:pPr>
        <w:spacing w:before="120" w:after="0" w:line="240" w:lineRule="auto"/>
        <w:jc w:val="both"/>
        <w:rPr>
          <w:b/>
          <w:smallCaps/>
          <w:szCs w:val="24"/>
        </w:rPr>
      </w:pPr>
      <w:r w:rsidRPr="00D1507D">
        <w:rPr>
          <w:rFonts w:ascii="Times New Roman" w:hAnsi="Times New Roman" w:cs="Times New Roman"/>
          <w:b/>
          <w:smallCaps/>
          <w:sz w:val="24"/>
          <w:szCs w:val="24"/>
        </w:rPr>
        <w:t>Impacts on stakeholders</w:t>
      </w:r>
    </w:p>
    <w:p w:rsidR="00D92142" w:rsidRPr="00C61019" w:rsidRDefault="00D92142" w:rsidP="00D1507D">
      <w:pPr>
        <w:spacing w:before="120" w:after="0" w:line="240" w:lineRule="auto"/>
        <w:jc w:val="both"/>
        <w:rPr>
          <w:b/>
          <w:color w:val="000000"/>
          <w:szCs w:val="24"/>
          <w:u w:val="single" w:color="000000"/>
        </w:rPr>
      </w:pPr>
    </w:p>
    <w:p w:rsidR="002A7940" w:rsidRPr="00D1507D" w:rsidRDefault="002A7940" w:rsidP="00D1507D">
      <w:pPr>
        <w:spacing w:after="0" w:line="240" w:lineRule="auto"/>
        <w:jc w:val="both"/>
        <w:rPr>
          <w:szCs w:val="24"/>
        </w:rPr>
      </w:pPr>
      <w:r w:rsidRPr="00D1507D">
        <w:rPr>
          <w:rFonts w:ascii="Times New Roman" w:hAnsi="Times New Roman" w:cs="Times New Roman"/>
          <w:b/>
          <w:sz w:val="24"/>
          <w:szCs w:val="24"/>
        </w:rPr>
        <w:t>Creative industries/</w:t>
      </w:r>
      <w:r w:rsidR="00007677">
        <w:rPr>
          <w:rFonts w:ascii="Times New Roman" w:hAnsi="Times New Roman" w:cs="Times New Roman"/>
          <w:b/>
          <w:sz w:val="24"/>
          <w:szCs w:val="24"/>
        </w:rPr>
        <w:t>Rightholders</w:t>
      </w:r>
      <w:r w:rsidRPr="00D1507D">
        <w:rPr>
          <w:rFonts w:ascii="Times New Roman" w:hAnsi="Times New Roman" w:cs="Times New Roman"/>
          <w:b/>
          <w:sz w:val="24"/>
          <w:szCs w:val="24"/>
        </w:rPr>
        <w:t>:</w:t>
      </w:r>
      <w:r w:rsidRPr="00D1507D">
        <w:rPr>
          <w:rFonts w:ascii="Times New Roman" w:hAnsi="Times New Roman" w:cs="Times New Roman"/>
          <w:sz w:val="24"/>
          <w:szCs w:val="24"/>
        </w:rPr>
        <w:t xml:space="preserve"> </w:t>
      </w:r>
    </w:p>
    <w:p w:rsidR="002A7940" w:rsidRPr="00D1507D" w:rsidRDefault="002A7940" w:rsidP="00D1507D">
      <w:pPr>
        <w:spacing w:after="0" w:line="240" w:lineRule="auto"/>
        <w:jc w:val="both"/>
      </w:pPr>
      <w:r w:rsidRPr="00D1507D">
        <w:rPr>
          <w:szCs w:val="24"/>
          <w:u w:val="single"/>
        </w:rPr>
        <w:t xml:space="preserve">Impact on </w:t>
      </w:r>
      <w:r w:rsidRPr="00D92142">
        <w:rPr>
          <w:szCs w:val="24"/>
          <w:u w:val="single"/>
        </w:rPr>
        <w:t>their capacity</w:t>
      </w:r>
      <w:r w:rsidRPr="00D1507D">
        <w:rPr>
          <w:szCs w:val="24"/>
          <w:u w:val="single"/>
        </w:rPr>
        <w:t xml:space="preserve"> to </w:t>
      </w:r>
      <w:r w:rsidRPr="00D92142">
        <w:rPr>
          <w:szCs w:val="24"/>
          <w:u w:val="single"/>
        </w:rPr>
        <w:t>control better</w:t>
      </w:r>
      <w:r w:rsidRPr="00D1507D">
        <w:rPr>
          <w:szCs w:val="24"/>
          <w:u w:val="single"/>
        </w:rPr>
        <w:t xml:space="preserve"> the </w:t>
      </w:r>
      <w:r w:rsidRPr="00D92142">
        <w:rPr>
          <w:szCs w:val="24"/>
          <w:u w:val="single"/>
        </w:rPr>
        <w:t>availability</w:t>
      </w:r>
      <w:r w:rsidRPr="00D1507D">
        <w:rPr>
          <w:szCs w:val="24"/>
          <w:u w:val="single"/>
        </w:rPr>
        <w:t xml:space="preserve"> of </w:t>
      </w:r>
      <w:r w:rsidRPr="00D1507D">
        <w:rPr>
          <w:rFonts w:ascii="Times New Roman" w:hAnsi="Times New Roman" w:cs="Times New Roman"/>
          <w:sz w:val="24"/>
          <w:szCs w:val="24"/>
          <w:u w:val="single"/>
          <w:lang w:eastAsia="en-GB"/>
        </w:rPr>
        <w:t>their</w:t>
      </w:r>
      <w:r w:rsidRPr="00D1507D">
        <w:rPr>
          <w:rFonts w:ascii="Times New Roman" w:hAnsi="Times New Roman" w:cs="Times New Roman"/>
          <w:sz w:val="24"/>
          <w:szCs w:val="24"/>
          <w:u w:val="single"/>
        </w:rPr>
        <w:t xml:space="preserve"> content</w:t>
      </w:r>
      <w:r w:rsidRPr="00D1507D">
        <w:rPr>
          <w:rFonts w:ascii="Times New Roman" w:hAnsi="Times New Roman" w:cs="Times New Roman"/>
          <w:sz w:val="24"/>
          <w:szCs w:val="24"/>
          <w:u w:val="single"/>
          <w:lang w:eastAsia="en-GB"/>
        </w:rPr>
        <w:t xml:space="preserve"> on </w:t>
      </w:r>
      <w:r w:rsidRPr="00D1507D">
        <w:rPr>
          <w:rFonts w:ascii="Times New Roman" w:hAnsi="Times New Roman" w:cs="Times New Roman"/>
          <w:sz w:val="24"/>
          <w:szCs w:val="24"/>
          <w:u w:val="single"/>
        </w:rPr>
        <w:t>user uploaded content services</w:t>
      </w:r>
      <w:r w:rsidRPr="00D1507D">
        <w:rPr>
          <w:rFonts w:ascii="Times New Roman" w:hAnsi="Times New Roman" w:cs="Times New Roman"/>
          <w:sz w:val="24"/>
          <w:szCs w:val="24"/>
          <w:u w:val="single"/>
          <w:lang w:eastAsia="en-GB"/>
        </w:rPr>
        <w:t xml:space="preserve"> and thereby negotiate with the services the conditions of such use</w:t>
      </w:r>
      <w:r w:rsidRPr="00D1507D">
        <w:rPr>
          <w:rFonts w:ascii="Times New Roman" w:hAnsi="Times New Roman" w:cs="Times New Roman"/>
          <w:i/>
          <w:sz w:val="24"/>
          <w:szCs w:val="24"/>
          <w:lang w:eastAsia="en-GB"/>
        </w:rPr>
        <w:t>:</w:t>
      </w:r>
      <w:r w:rsidRPr="00D1507D">
        <w:rPr>
          <w:rFonts w:ascii="Times New Roman" w:hAnsi="Times New Roman" w:cs="Times New Roman"/>
          <w:sz w:val="24"/>
          <w:szCs w:val="24"/>
          <w:lang w:eastAsia="en-GB"/>
        </w:rPr>
        <w:t xml:space="preserve"> as the implementation by the services of technologies</w:t>
      </w:r>
      <w:r w:rsidR="00176A40" w:rsidRPr="00D1507D">
        <w:rPr>
          <w:rFonts w:ascii="Times New Roman" w:hAnsi="Times New Roman" w:cs="Times New Roman"/>
          <w:sz w:val="24"/>
          <w:szCs w:val="24"/>
          <w:lang w:eastAsia="en-GB"/>
        </w:rPr>
        <w:t>, such as</w:t>
      </w:r>
      <w:r w:rsidRPr="00D1507D">
        <w:rPr>
          <w:rFonts w:ascii="Times New Roman" w:hAnsi="Times New Roman" w:cs="Times New Roman"/>
          <w:sz w:val="24"/>
          <w:szCs w:val="24"/>
          <w:lang w:eastAsia="en-GB"/>
        </w:rPr>
        <w:t xml:space="preserve"> </w:t>
      </w:r>
      <w:r w:rsidR="00176A40" w:rsidRPr="00D1507D">
        <w:rPr>
          <w:rFonts w:ascii="Times New Roman" w:hAnsi="Times New Roman" w:cs="Times New Roman"/>
          <w:sz w:val="24"/>
          <w:szCs w:val="24"/>
          <w:lang w:eastAsia="en-GB"/>
        </w:rPr>
        <w:t xml:space="preserve">content identification technologies,  </w:t>
      </w:r>
      <w:r w:rsidRPr="00D1507D">
        <w:rPr>
          <w:rFonts w:ascii="Times New Roman" w:hAnsi="Times New Roman" w:cs="Times New Roman"/>
          <w:sz w:val="24"/>
          <w:szCs w:val="24"/>
          <w:lang w:eastAsia="en-GB"/>
        </w:rPr>
        <w:t xml:space="preserve">will remain voluntary and based on the terms set by the services, </w:t>
      </w:r>
      <w:r w:rsidRPr="00D1507D">
        <w:rPr>
          <w:rFonts w:ascii="Times New Roman" w:hAnsi="Times New Roman" w:cs="Times New Roman"/>
          <w:sz w:val="24"/>
          <w:szCs w:val="24"/>
        </w:rPr>
        <w:t xml:space="preserve">it is likely that the baseline scenario will not lead to improvements for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D1507D">
        <w:rPr>
          <w:rFonts w:ascii="Times New Roman" w:hAnsi="Times New Roman" w:cs="Times New Roman"/>
          <w:sz w:val="24"/>
          <w:szCs w:val="24"/>
        </w:rPr>
        <w:t xml:space="preserve"> </w:t>
      </w:r>
      <w:r w:rsidRPr="00D1507D">
        <w:rPr>
          <w:rFonts w:ascii="Times New Roman" w:eastAsia="Arial Unicode MS" w:hAnsi="Times New Roman" w:cs="Times New Roman"/>
          <w:sz w:val="24"/>
          <w:szCs w:val="24"/>
          <w:lang w:val="en-US"/>
        </w:rPr>
        <w:t>who are</w:t>
      </w:r>
      <w:r w:rsidRPr="00D1507D">
        <w:rPr>
          <w:rFonts w:ascii="Times New Roman" w:hAnsi="Times New Roman" w:cs="Times New Roman"/>
          <w:sz w:val="24"/>
          <w:szCs w:val="24"/>
        </w:rPr>
        <w:t xml:space="preserve"> likely to continue having difficulties to enter into negotiations and/or negotiate fair terms for the use of their content</w:t>
      </w:r>
      <w:r w:rsidR="00D92142">
        <w:rPr>
          <w:rFonts w:ascii="Times New Roman" w:hAnsi="Times New Roman" w:cs="Times New Roman"/>
          <w:sz w:val="24"/>
          <w:szCs w:val="24"/>
        </w:rPr>
        <w:t>.</w:t>
      </w:r>
      <w:r w:rsidRPr="00D1507D">
        <w:rPr>
          <w:rFonts w:ascii="Times New Roman" w:hAnsi="Times New Roman" w:cs="Times New Roman"/>
          <w:sz w:val="24"/>
          <w:szCs w:val="24"/>
          <w:vertAlign w:val="superscript"/>
        </w:rPr>
        <w:footnoteReference w:id="454"/>
      </w:r>
      <w:r w:rsidR="00D92142">
        <w:rPr>
          <w:rFonts w:ascii="Times New Roman" w:hAnsi="Times New Roman" w:cs="Times New Roman"/>
          <w:sz w:val="24"/>
          <w:szCs w:val="24"/>
        </w:rPr>
        <w:t xml:space="preserve"> </w:t>
      </w:r>
      <w:r w:rsidRPr="00D1507D">
        <w:rPr>
          <w:rFonts w:ascii="Times New Roman" w:hAnsi="Times New Roman" w:cs="Times New Roman"/>
          <w:sz w:val="24"/>
          <w:szCs w:val="24"/>
        </w:rPr>
        <w:t>While some of the service providers may voluntarily or under pressure from artists</w:t>
      </w:r>
      <w:r w:rsidRPr="00D1507D">
        <w:rPr>
          <w:rFonts w:ascii="Times New Roman" w:hAnsi="Times New Roman" w:cs="Times New Roman"/>
          <w:sz w:val="24"/>
          <w:szCs w:val="24"/>
          <w:vertAlign w:val="superscript"/>
        </w:rPr>
        <w:footnoteReference w:id="455"/>
      </w:r>
      <w:r w:rsidRPr="00D1507D">
        <w:rPr>
          <w:rFonts w:ascii="Times New Roman" w:hAnsi="Times New Roman" w:cs="Times New Roman"/>
          <w:sz w:val="24"/>
          <w:szCs w:val="24"/>
        </w:rPr>
        <w:t xml:space="preserve"> and from major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D1507D">
        <w:rPr>
          <w:rFonts w:ascii="Times New Roman" w:hAnsi="Times New Roman" w:cs="Times New Roman"/>
          <w:sz w:val="24"/>
          <w:szCs w:val="24"/>
        </w:rPr>
        <w:t xml:space="preserve"> (including risks of litigation)</w:t>
      </w:r>
      <w:r w:rsidRPr="00D1507D">
        <w:rPr>
          <w:rFonts w:ascii="Times New Roman" w:hAnsi="Times New Roman" w:cs="Times New Roman"/>
          <w:sz w:val="24"/>
          <w:szCs w:val="24"/>
          <w:vertAlign w:val="superscript"/>
        </w:rPr>
        <w:footnoteReference w:id="456"/>
      </w:r>
      <w:r w:rsidRPr="00D1507D">
        <w:rPr>
          <w:rFonts w:ascii="Times New Roman" w:hAnsi="Times New Roman"/>
          <w:sz w:val="24"/>
        </w:rPr>
        <w:t xml:space="preserve"> decide to seek agreements for the use of copyright protected content, this is unlikely to become a general trend in the short to mid-term. It can be expected that the ability to negotiate agreements will </w:t>
      </w:r>
      <w:r w:rsidRPr="0055729D">
        <w:rPr>
          <w:rFonts w:ascii="Times New Roman" w:hAnsi="Times New Roman" w:cs="Times New Roman"/>
          <w:sz w:val="24"/>
          <w:szCs w:val="24"/>
        </w:rPr>
        <w:t xml:space="preserve">also </w:t>
      </w:r>
      <w:r w:rsidRPr="00D1507D">
        <w:rPr>
          <w:rFonts w:ascii="Times New Roman" w:hAnsi="Times New Roman"/>
          <w:sz w:val="24"/>
        </w:rPr>
        <w:t xml:space="preserve">depend on the market position of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with small </w:t>
      </w:r>
      <w:r w:rsidR="0002514A">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likely to continue to face more difficulties than major ones</w:t>
      </w:r>
      <w:r w:rsidRPr="00D1507D">
        <w:rPr>
          <w:rFonts w:ascii="Times New Roman" w:hAnsi="Times New Roman"/>
          <w:sz w:val="24"/>
          <w:vertAlign w:val="superscript"/>
        </w:rPr>
        <w:footnoteReference w:id="457"/>
      </w:r>
      <w:r w:rsidRPr="0055729D">
        <w:rPr>
          <w:rFonts w:ascii="Times New Roman" w:hAnsi="Times New Roman" w:cs="Times New Roman"/>
          <w:sz w:val="24"/>
          <w:szCs w:val="24"/>
        </w:rPr>
        <w:t>.</w:t>
      </w:r>
    </w:p>
    <w:p w:rsidR="002A7940" w:rsidRPr="0055729D" w:rsidRDefault="002A7940" w:rsidP="002A7940">
      <w:pPr>
        <w:spacing w:after="0" w:line="240" w:lineRule="auto"/>
        <w:jc w:val="both"/>
        <w:rPr>
          <w:rFonts w:ascii="Times New Roman" w:hAnsi="Times New Roman" w:cs="Times New Roman"/>
          <w:b/>
          <w:sz w:val="24"/>
          <w:szCs w:val="24"/>
        </w:rPr>
      </w:pPr>
    </w:p>
    <w:p w:rsidR="002A7940" w:rsidRPr="00D1507D" w:rsidRDefault="002A7940" w:rsidP="00D1507D">
      <w:pPr>
        <w:spacing w:after="0" w:line="240" w:lineRule="auto"/>
        <w:jc w:val="both"/>
        <w:rPr>
          <w:b/>
        </w:rPr>
      </w:pPr>
      <w:r w:rsidRPr="00D1507D">
        <w:rPr>
          <w:rFonts w:ascii="Times New Roman" w:hAnsi="Times New Roman"/>
          <w:b/>
          <w:sz w:val="24"/>
        </w:rPr>
        <w:t>Online services that store and give access to large amounts of user uploaded content</w:t>
      </w:r>
      <w:r w:rsidRPr="0055729D">
        <w:rPr>
          <w:rFonts w:ascii="Times New Roman" w:hAnsi="Times New Roman" w:cs="Times New Roman"/>
          <w:b/>
          <w:sz w:val="24"/>
          <w:szCs w:val="24"/>
        </w:rPr>
        <w:t>:</w:t>
      </w:r>
    </w:p>
    <w:p w:rsidR="002A7940" w:rsidRPr="00D1507D" w:rsidRDefault="002A7940" w:rsidP="00D1507D">
      <w:pPr>
        <w:spacing w:after="0" w:line="240" w:lineRule="auto"/>
        <w:jc w:val="both"/>
        <w:rPr>
          <w:rFonts w:ascii="Times New Roman" w:hAnsi="Times New Roman"/>
          <w:sz w:val="24"/>
        </w:rPr>
      </w:pPr>
      <w:r w:rsidRPr="00BD1E79">
        <w:rPr>
          <w:rFonts w:ascii="Times New Roman" w:hAnsi="Times New Roman" w:cs="Times New Roman"/>
          <w:sz w:val="24"/>
          <w:szCs w:val="24"/>
          <w:u w:val="single"/>
        </w:rPr>
        <w:t xml:space="preserve">Compliance costs/ investments needed for putting in place appropriate measures and negotiating with </w:t>
      </w:r>
      <w:r w:rsidR="00687496">
        <w:rPr>
          <w:rFonts w:ascii="Times New Roman" w:hAnsi="Times New Roman" w:cs="Times New Roman"/>
          <w:sz w:val="24"/>
          <w:szCs w:val="24"/>
          <w:u w:val="single"/>
        </w:rPr>
        <w:t>r</w:t>
      </w:r>
      <w:r w:rsidR="00007677">
        <w:rPr>
          <w:rFonts w:ascii="Times New Roman" w:hAnsi="Times New Roman" w:cs="Times New Roman"/>
          <w:sz w:val="24"/>
          <w:szCs w:val="24"/>
          <w:u w:val="single"/>
        </w:rPr>
        <w:t>ightholders</w:t>
      </w:r>
      <w:r w:rsidRPr="00BD1E79">
        <w:rPr>
          <w:rFonts w:ascii="Times New Roman" w:hAnsi="Times New Roman" w:cs="Times New Roman"/>
          <w:sz w:val="24"/>
          <w:szCs w:val="24"/>
          <w:u w:val="single"/>
        </w:rPr>
        <w:t xml:space="preserve"> the use of their content</w:t>
      </w:r>
      <w:r w:rsidR="00E53185">
        <w:rPr>
          <w:rFonts w:ascii="Times New Roman" w:hAnsi="Times New Roman" w:cs="Times New Roman"/>
          <w:sz w:val="24"/>
          <w:szCs w:val="24"/>
          <w:u w:val="single"/>
        </w:rPr>
        <w:t>:</w:t>
      </w:r>
      <w:r w:rsidRPr="0055729D">
        <w:rPr>
          <w:rFonts w:ascii="Times New Roman" w:hAnsi="Times New Roman" w:cs="Times New Roman"/>
          <w:i/>
          <w:sz w:val="24"/>
          <w:szCs w:val="24"/>
        </w:rPr>
        <w:t xml:space="preserve"> </w:t>
      </w:r>
      <w:r w:rsidRPr="0055729D">
        <w:rPr>
          <w:rFonts w:ascii="Times New Roman" w:hAnsi="Times New Roman" w:cs="Times New Roman"/>
          <w:sz w:val="24"/>
          <w:szCs w:val="24"/>
        </w:rPr>
        <w:t>no impact. The services are likely to continue to use technologies on a voluntary basis and subject to their own terms</w:t>
      </w:r>
      <w:r w:rsidR="00B812A2">
        <w:rPr>
          <w:rFonts w:ascii="Times New Roman" w:hAnsi="Times New Roman" w:cs="Times New Roman"/>
          <w:sz w:val="24"/>
          <w:szCs w:val="24"/>
        </w:rPr>
        <w:t>.</w:t>
      </w:r>
      <w:r w:rsidRPr="0055729D">
        <w:rPr>
          <w:rFonts w:ascii="Times New Roman" w:hAnsi="Times New Roman" w:cs="Times New Roman"/>
          <w:sz w:val="24"/>
          <w:szCs w:val="24"/>
          <w:vertAlign w:val="superscript"/>
        </w:rPr>
        <w:footnoteReference w:id="458"/>
      </w:r>
      <w:r w:rsidRPr="0055729D">
        <w:rPr>
          <w:rFonts w:ascii="Times New Roman" w:hAnsi="Times New Roman" w:cs="Times New Roman"/>
          <w:sz w:val="24"/>
          <w:szCs w:val="24"/>
        </w:rPr>
        <w:t xml:space="preserve">   An evolution could result from case law in some </w:t>
      </w:r>
      <w:r>
        <w:rPr>
          <w:rFonts w:ascii="Times New Roman" w:hAnsi="Times New Roman" w:cs="Times New Roman"/>
          <w:sz w:val="24"/>
          <w:szCs w:val="24"/>
        </w:rPr>
        <w:t>MS</w:t>
      </w:r>
      <w:r w:rsidRPr="0055729D">
        <w:rPr>
          <w:rStyle w:val="FootnoteReference"/>
          <w:rFonts w:ascii="Times New Roman" w:hAnsi="Times New Roman" w:cs="Times New Roman"/>
          <w:sz w:val="24"/>
          <w:szCs w:val="24"/>
        </w:rPr>
        <w:footnoteReference w:id="459"/>
      </w:r>
      <w:r w:rsidRPr="0055729D">
        <w:rPr>
          <w:rFonts w:ascii="Times New Roman" w:hAnsi="Times New Roman" w:cs="Times New Roman"/>
          <w:sz w:val="24"/>
          <w:szCs w:val="24"/>
        </w:rPr>
        <w:t xml:space="preserve"> but it would however remain subject to national courts and may lead to diverging obligations for the services</w:t>
      </w:r>
      <w:r>
        <w:rPr>
          <w:rFonts w:ascii="Times New Roman" w:hAnsi="Times New Roman" w:cs="Times New Roman"/>
          <w:sz w:val="24"/>
          <w:szCs w:val="24"/>
        </w:rPr>
        <w:t xml:space="preserve"> in different Member States</w:t>
      </w:r>
      <w:r w:rsidRPr="0055729D">
        <w:rPr>
          <w:rFonts w:ascii="Times New Roman" w:hAnsi="Times New Roman" w:cs="Times New Roman"/>
          <w:sz w:val="24"/>
          <w:szCs w:val="24"/>
        </w:rPr>
        <w:t xml:space="preserve">. Given the importance of protected content for </w:t>
      </w:r>
      <w:r w:rsidRPr="00D1507D">
        <w:rPr>
          <w:rFonts w:ascii="Times New Roman" w:hAnsi="Times New Roman"/>
          <w:sz w:val="24"/>
        </w:rPr>
        <w:t xml:space="preserve">the </w:t>
      </w:r>
      <w:r w:rsidRPr="0055729D">
        <w:rPr>
          <w:rFonts w:ascii="Times New Roman" w:hAnsi="Times New Roman" w:cs="Times New Roman"/>
          <w:sz w:val="24"/>
          <w:szCs w:val="24"/>
        </w:rPr>
        <w:t xml:space="preserve">business models </w:t>
      </w:r>
      <w:r w:rsidRPr="00D1507D">
        <w:rPr>
          <w:rFonts w:ascii="Times New Roman" w:hAnsi="Times New Roman"/>
          <w:sz w:val="24"/>
        </w:rPr>
        <w:t xml:space="preserve">of </w:t>
      </w:r>
      <w:r w:rsidRPr="0055729D">
        <w:rPr>
          <w:rFonts w:ascii="Times New Roman" w:hAnsi="Times New Roman" w:cs="Times New Roman"/>
          <w:sz w:val="24"/>
          <w:szCs w:val="24"/>
        </w:rPr>
        <w:t>user uploaded content services</w:t>
      </w:r>
      <w:r w:rsidRPr="00D1507D">
        <w:rPr>
          <w:rFonts w:ascii="Times New Roman" w:hAnsi="Times New Roman"/>
          <w:sz w:val="24"/>
        </w:rPr>
        <w:t xml:space="preserve">, a certain evolution can be expected in the mid to long term </w:t>
      </w:r>
      <w:r w:rsidRPr="0055729D">
        <w:rPr>
          <w:rFonts w:ascii="Times New Roman" w:hAnsi="Times New Roman" w:cs="Times New Roman"/>
          <w:sz w:val="24"/>
          <w:szCs w:val="24"/>
        </w:rPr>
        <w:t xml:space="preserve">with </w:t>
      </w:r>
      <w:r w:rsidRPr="002B3021">
        <w:rPr>
          <w:rFonts w:ascii="Times New Roman" w:hAnsi="Times New Roman"/>
          <w:sz w:val="24"/>
        </w:rPr>
        <w:t xml:space="preserve">regard to agreements with </w:t>
      </w:r>
      <w:r w:rsidR="00687496">
        <w:rPr>
          <w:rFonts w:ascii="Times New Roman" w:hAnsi="Times New Roman"/>
          <w:sz w:val="24"/>
        </w:rPr>
        <w:t>r</w:t>
      </w:r>
      <w:r w:rsidR="00007677">
        <w:rPr>
          <w:rFonts w:ascii="Times New Roman" w:hAnsi="Times New Roman"/>
          <w:sz w:val="24"/>
        </w:rPr>
        <w:t>ightholders</w:t>
      </w:r>
      <w:r w:rsidRPr="002B3021">
        <w:rPr>
          <w:rFonts w:ascii="Times New Roman" w:hAnsi="Times New Roman"/>
          <w:sz w:val="24"/>
        </w:rPr>
        <w:t xml:space="preserve"> </w:t>
      </w:r>
      <w:r w:rsidRPr="0055729D">
        <w:rPr>
          <w:rFonts w:ascii="Times New Roman" w:hAnsi="Times New Roman" w:cs="Times New Roman"/>
          <w:sz w:val="24"/>
          <w:szCs w:val="24"/>
        </w:rPr>
        <w:t xml:space="preserve">for content that the services </w:t>
      </w:r>
      <w:r>
        <w:rPr>
          <w:rFonts w:ascii="Times New Roman" w:hAnsi="Times New Roman" w:cs="Times New Roman"/>
          <w:sz w:val="24"/>
          <w:szCs w:val="24"/>
        </w:rPr>
        <w:t>would want</w:t>
      </w:r>
      <w:r w:rsidRPr="0055729D">
        <w:rPr>
          <w:rFonts w:ascii="Times New Roman" w:hAnsi="Times New Roman" w:cs="Times New Roman"/>
          <w:sz w:val="24"/>
          <w:szCs w:val="24"/>
        </w:rPr>
        <w:t xml:space="preserve"> to </w:t>
      </w:r>
      <w:r>
        <w:rPr>
          <w:rFonts w:ascii="Times New Roman" w:hAnsi="Times New Roman" w:cs="Times New Roman"/>
          <w:sz w:val="24"/>
          <w:szCs w:val="24"/>
        </w:rPr>
        <w:t>have</w:t>
      </w:r>
      <w:r w:rsidRPr="0055729D">
        <w:rPr>
          <w:rFonts w:ascii="Times New Roman" w:hAnsi="Times New Roman" w:cs="Times New Roman"/>
          <w:sz w:val="24"/>
          <w:szCs w:val="24"/>
        </w:rPr>
        <w:t xml:space="preserve"> on their websites. This trend is </w:t>
      </w:r>
      <w:r>
        <w:rPr>
          <w:rFonts w:ascii="Times New Roman" w:hAnsi="Times New Roman" w:cs="Times New Roman"/>
          <w:sz w:val="24"/>
          <w:szCs w:val="24"/>
        </w:rPr>
        <w:t>confirmed</w:t>
      </w:r>
      <w:r w:rsidRPr="0055729D">
        <w:rPr>
          <w:rFonts w:ascii="Times New Roman" w:hAnsi="Times New Roman" w:cs="Times New Roman"/>
          <w:sz w:val="24"/>
          <w:szCs w:val="24"/>
        </w:rPr>
        <w:t xml:space="preserve"> by agreements</w:t>
      </w:r>
      <w:r w:rsidRPr="00D1507D">
        <w:rPr>
          <w:rFonts w:ascii="Times New Roman" w:hAnsi="Times New Roman"/>
          <w:sz w:val="24"/>
        </w:rPr>
        <w:t xml:space="preserve"> that </w:t>
      </w:r>
      <w:r w:rsidRPr="0055729D">
        <w:rPr>
          <w:rFonts w:ascii="Times New Roman" w:hAnsi="Times New Roman" w:cs="Times New Roman"/>
          <w:sz w:val="24"/>
          <w:szCs w:val="24"/>
        </w:rPr>
        <w:t xml:space="preserve">have </w:t>
      </w:r>
      <w:r w:rsidRPr="00D1507D">
        <w:rPr>
          <w:rFonts w:ascii="Times New Roman" w:hAnsi="Times New Roman"/>
          <w:sz w:val="24"/>
        </w:rPr>
        <w:t xml:space="preserve">already </w:t>
      </w:r>
      <w:r w:rsidRPr="0055729D">
        <w:rPr>
          <w:rFonts w:ascii="Times New Roman" w:hAnsi="Times New Roman" w:cs="Times New Roman"/>
          <w:sz w:val="24"/>
          <w:szCs w:val="24"/>
        </w:rPr>
        <w:t>been concluded</w:t>
      </w:r>
      <w:r w:rsidRPr="00D1507D">
        <w:rPr>
          <w:rFonts w:ascii="Times New Roman" w:hAnsi="Times New Roman"/>
          <w:sz w:val="24"/>
        </w:rPr>
        <w:t xml:space="preserve"> (not only in the music sector</w:t>
      </w:r>
      <w:r w:rsidRPr="00D1507D">
        <w:rPr>
          <w:rFonts w:ascii="Times New Roman" w:hAnsi="Times New Roman"/>
          <w:sz w:val="24"/>
          <w:vertAlign w:val="superscript"/>
        </w:rPr>
        <w:footnoteReference w:id="460"/>
      </w:r>
      <w:r w:rsidRPr="00D1507D">
        <w:rPr>
          <w:rFonts w:ascii="Times New Roman" w:hAnsi="Times New Roman"/>
          <w:sz w:val="24"/>
        </w:rPr>
        <w:t xml:space="preserve"> </w:t>
      </w:r>
      <w:r w:rsidRPr="0055729D">
        <w:rPr>
          <w:rFonts w:ascii="Times New Roman" w:hAnsi="Times New Roman" w:cs="Times New Roman"/>
          <w:sz w:val="24"/>
          <w:szCs w:val="24"/>
        </w:rPr>
        <w:t xml:space="preserve"> </w:t>
      </w:r>
      <w:r w:rsidRPr="00D1507D">
        <w:rPr>
          <w:rFonts w:ascii="Times New Roman" w:hAnsi="Times New Roman"/>
          <w:sz w:val="24"/>
        </w:rPr>
        <w:t xml:space="preserve">but also in the </w:t>
      </w:r>
      <w:r>
        <w:rPr>
          <w:rFonts w:ascii="Times New Roman" w:hAnsi="Times New Roman" w:cs="Times New Roman"/>
          <w:sz w:val="24"/>
          <w:szCs w:val="24"/>
        </w:rPr>
        <w:t>AV</w:t>
      </w:r>
      <w:r w:rsidRPr="00D1507D">
        <w:rPr>
          <w:rFonts w:ascii="Times New Roman" w:hAnsi="Times New Roman"/>
          <w:sz w:val="24"/>
        </w:rPr>
        <w:t xml:space="preserve"> and in the images sector where a few partnerships are being concluded).</w:t>
      </w:r>
      <w:r w:rsidRPr="00D1507D">
        <w:rPr>
          <w:rFonts w:ascii="Times New Roman" w:hAnsi="Times New Roman"/>
          <w:sz w:val="24"/>
          <w:vertAlign w:val="superscript"/>
        </w:rPr>
        <w:footnoteReference w:id="461"/>
      </w:r>
      <w:r w:rsidRPr="00D1507D">
        <w:rPr>
          <w:rFonts w:ascii="Times New Roman" w:hAnsi="Times New Roman"/>
          <w:sz w:val="24"/>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pPr>
      <w:r w:rsidRPr="00D1507D">
        <w:rPr>
          <w:rFonts w:ascii="Times New Roman" w:hAnsi="Times New Roman"/>
          <w:b/>
          <w:sz w:val="24"/>
        </w:rPr>
        <w:t>Other content service providers</w:t>
      </w:r>
      <w:r w:rsidRPr="0055729D">
        <w:rPr>
          <w:rFonts w:ascii="Times New Roman" w:hAnsi="Times New Roman" w:cs="Times New Roman"/>
          <w:sz w:val="24"/>
          <w:szCs w:val="24"/>
        </w:rPr>
        <w:t xml:space="preserve">: </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u w:val="single"/>
        </w:rPr>
        <w:t>Impact on the level playing field</w:t>
      </w:r>
      <w:r w:rsidRPr="00B812A2">
        <w:rPr>
          <w:rFonts w:ascii="Times New Roman" w:hAnsi="Times New Roman"/>
          <w:sz w:val="24"/>
        </w:rPr>
        <w:t>:</w:t>
      </w:r>
      <w:r w:rsidRPr="00D1507D">
        <w:rPr>
          <w:rFonts w:ascii="Times New Roman" w:hAnsi="Times New Roman"/>
          <w:sz w:val="24"/>
        </w:rPr>
        <w:t xml:space="preserve"> </w:t>
      </w:r>
      <w:r w:rsidRPr="0055729D">
        <w:rPr>
          <w:rFonts w:ascii="Times New Roman" w:hAnsi="Times New Roman" w:cs="Times New Roman"/>
          <w:sz w:val="24"/>
          <w:szCs w:val="24"/>
        </w:rPr>
        <w:t>no</w:t>
      </w:r>
      <w:r w:rsidRPr="00D1507D">
        <w:rPr>
          <w:rFonts w:ascii="Times New Roman" w:hAnsi="Times New Roman"/>
          <w:sz w:val="24"/>
        </w:rPr>
        <w:t xml:space="preserve"> impact. They will continue to face an uneven playing field. This uncertain environment and diverging legal and financial obligations will put new entrants under unfair competitive pressure from incumbent services that do not play by the same rules. This may constitute a deterrent for new services to enter the market.</w:t>
      </w:r>
      <w:r w:rsidRPr="00D1507D" w:rsidDel="00775CE9">
        <w:rPr>
          <w:rFonts w:ascii="Times New Roman" w:hAnsi="Times New Roman"/>
          <w:sz w:val="24"/>
        </w:rPr>
        <w:t xml:space="preserve"> </w:t>
      </w:r>
    </w:p>
    <w:p w:rsidR="002A7940" w:rsidRPr="00D1507D" w:rsidRDefault="002A7940" w:rsidP="00D1507D">
      <w:pPr>
        <w:spacing w:after="0" w:line="240" w:lineRule="auto"/>
        <w:jc w:val="both"/>
        <w:rPr>
          <w:rFonts w:ascii="Times New Roman" w:hAnsi="Times New Roman" w:cs="Times New Roman"/>
          <w:sz w:val="24"/>
          <w:szCs w:val="24"/>
        </w:rPr>
      </w:pPr>
      <w:r w:rsidRPr="00D1507D">
        <w:rPr>
          <w:rFonts w:ascii="Times New Roman" w:hAnsi="Times New Roman"/>
          <w:sz w:val="24"/>
          <w:u w:val="single"/>
        </w:rPr>
        <w:t>Impact on their business model</w:t>
      </w:r>
      <w:r w:rsidRPr="00B812A2">
        <w:rPr>
          <w:rFonts w:ascii="Times New Roman" w:hAnsi="Times New Roman"/>
          <w:sz w:val="24"/>
        </w:rPr>
        <w:t xml:space="preserve">: </w:t>
      </w:r>
      <w:r w:rsidRPr="00D1507D">
        <w:rPr>
          <w:rFonts w:ascii="Times New Roman" w:hAnsi="Times New Roman"/>
          <w:sz w:val="24"/>
        </w:rPr>
        <w:t xml:space="preserve">The pressure to compete with user uploaded services which </w:t>
      </w:r>
      <w:r w:rsidRPr="00D1507D">
        <w:rPr>
          <w:rFonts w:ascii="Times New Roman" w:hAnsi="Times New Roman" w:cs="Times New Roman"/>
          <w:sz w:val="24"/>
          <w:szCs w:val="24"/>
        </w:rPr>
        <w:t>face lower operating costs will continue to make it more difficult for these other online content services to have or build a sustainable business model.</w:t>
      </w:r>
      <w:r w:rsidRPr="00D1507D">
        <w:rPr>
          <w:rFonts w:ascii="Times New Roman" w:hAnsi="Times New Roman" w:cs="Times New Roman"/>
          <w:sz w:val="24"/>
          <w:szCs w:val="24"/>
          <w:vertAlign w:val="superscript"/>
        </w:rPr>
        <w:footnoteReference w:id="462"/>
      </w:r>
      <w:r w:rsidRPr="00D1507D">
        <w:rPr>
          <w:rFonts w:ascii="Times New Roman" w:hAnsi="Times New Roman" w:cs="Times New Roman"/>
          <w:sz w:val="24"/>
          <w:szCs w:val="24"/>
        </w:rPr>
        <w:t xml:space="preserve"> </w:t>
      </w:r>
    </w:p>
    <w:p w:rsidR="002A7940" w:rsidRPr="0048209F" w:rsidRDefault="002A7940" w:rsidP="002A7940">
      <w:pPr>
        <w:spacing w:after="0" w:line="240" w:lineRule="auto"/>
        <w:jc w:val="both"/>
        <w:rPr>
          <w:rFonts w:ascii="Times New Roman" w:hAnsi="Times New Roman" w:cs="Times New Roman"/>
          <w:b/>
          <w:sz w:val="24"/>
          <w:szCs w:val="24"/>
        </w:rPr>
      </w:pPr>
    </w:p>
    <w:p w:rsidR="002A7940" w:rsidRPr="00D1507D" w:rsidRDefault="002A7940" w:rsidP="00D1507D">
      <w:pPr>
        <w:spacing w:after="0" w:line="240" w:lineRule="auto"/>
        <w:jc w:val="both"/>
      </w:pPr>
      <w:r w:rsidRPr="00D1507D">
        <w:rPr>
          <w:b/>
          <w:szCs w:val="24"/>
        </w:rPr>
        <w:t>Consumers</w:t>
      </w:r>
      <w:r w:rsidRPr="00D1507D">
        <w:rPr>
          <w:rFonts w:ascii="Times New Roman" w:hAnsi="Times New Roman" w:cs="Times New Roman"/>
          <w:b/>
          <w:sz w:val="24"/>
          <w:szCs w:val="24"/>
        </w:rPr>
        <w:t xml:space="preserve">: </w:t>
      </w:r>
      <w:r w:rsidRPr="00D1507D">
        <w:rPr>
          <w:rFonts w:ascii="Times New Roman" w:hAnsi="Times New Roman" w:cs="Times New Roman"/>
          <w:sz w:val="24"/>
          <w:szCs w:val="24"/>
        </w:rPr>
        <w:t>no impact in the short to mid-term as the user uploaded content services will in the majority</w:t>
      </w:r>
      <w:r w:rsidRPr="00D1507D">
        <w:rPr>
          <w:rFonts w:ascii="Times New Roman" w:hAnsi="Times New Roman"/>
          <w:sz w:val="24"/>
        </w:rPr>
        <w:t xml:space="preserve"> of cases continue to operate in the same manner. In the long term, there could be a risk of reducing consumer choice if the current situation affects fair competition in the market and the availability of content</w:t>
      </w:r>
      <w:r w:rsidRPr="0055729D">
        <w:rPr>
          <w:rFonts w:ascii="Times New Roman" w:hAnsi="Times New Roman" w:cs="Times New Roman"/>
          <w:sz w:val="24"/>
          <w:szCs w:val="24"/>
        </w:rPr>
        <w:t>.</w:t>
      </w:r>
    </w:p>
    <w:p w:rsidR="002A7940" w:rsidRPr="00D1507D" w:rsidRDefault="002A7940" w:rsidP="00D1507D">
      <w:pPr>
        <w:spacing w:before="120" w:after="0" w:line="240" w:lineRule="auto"/>
        <w:jc w:val="both"/>
        <w:rPr>
          <w:rFonts w:ascii="Times New Roman" w:hAnsi="Times New Roman"/>
          <w:b/>
          <w:smallCaps/>
        </w:rPr>
      </w:pPr>
      <w:r w:rsidRPr="00D1507D">
        <w:rPr>
          <w:rFonts w:ascii="Times New Roman" w:hAnsi="Times New Roman"/>
          <w:b/>
          <w:smallCaps/>
          <w:sz w:val="24"/>
        </w:rPr>
        <w:t>Social impacts</w:t>
      </w:r>
    </w:p>
    <w:p w:rsidR="002A7940" w:rsidRPr="00D1507D" w:rsidRDefault="002A7940" w:rsidP="00D1507D">
      <w:pPr>
        <w:spacing w:after="0" w:line="240" w:lineRule="auto"/>
        <w:jc w:val="both"/>
      </w:pPr>
      <w:r w:rsidRPr="00D1507D">
        <w:rPr>
          <w:rFonts w:ascii="Times New Roman" w:hAnsi="Times New Roman"/>
          <w:sz w:val="24"/>
        </w:rPr>
        <w:t xml:space="preserve">There could be an indirect negative impact on cultural diversity in the long term if the revenues generated for the commercial use of copyright protected content cannot sustain the production of new (and diverse) content.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b/>
        </w:rPr>
      </w:pPr>
      <w:r w:rsidRPr="00D1507D">
        <w:rPr>
          <w:rFonts w:ascii="Times New Roman" w:hAnsi="Times New Roman"/>
          <w:b/>
          <w:smallCaps/>
          <w:sz w:val="24"/>
        </w:rPr>
        <w:t>Impacts on fundamental rights</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This option has no direct impact on copyright as a property right, nor on the freedom of expression and information or the freedom to conduct a business.</w:t>
      </w:r>
      <w:r w:rsidRPr="00D1507D" w:rsidDel="00235CD7">
        <w:rPr>
          <w:rFonts w:ascii="Times New Roman" w:hAnsi="Times New Roman"/>
          <w:sz w:val="24"/>
        </w:rPr>
        <w:t xml:space="preserve"> </w:t>
      </w:r>
    </w:p>
    <w:p w:rsidR="002A7940" w:rsidRPr="0055729D" w:rsidRDefault="002A7940" w:rsidP="002A7940">
      <w:pPr>
        <w:keepNext/>
        <w:keepLines/>
        <w:suppressAutoHyphens/>
        <w:autoSpaceDN w:val="0"/>
        <w:spacing w:after="0" w:line="240" w:lineRule="auto"/>
        <w:jc w:val="both"/>
        <w:textAlignment w:val="baseline"/>
        <w:rPr>
          <w:rFonts w:ascii="Times New Roman" w:hAnsi="Times New Roman" w:cs="Times New Roman"/>
          <w:b/>
          <w:i/>
          <w:kern w:val="3"/>
          <w:sz w:val="24"/>
          <w:szCs w:val="24"/>
          <w:u w:val="single"/>
          <w:lang w:eastAsia="zh-CN"/>
        </w:rPr>
      </w:pPr>
    </w:p>
    <w:p w:rsidR="002A7940" w:rsidRPr="00D1507D" w:rsidRDefault="002A7940" w:rsidP="00D1507D">
      <w:pPr>
        <w:spacing w:after="0" w:line="240" w:lineRule="auto"/>
        <w:jc w:val="both"/>
        <w:rPr>
          <w:b/>
          <w:u w:val="single"/>
        </w:rPr>
      </w:pPr>
      <w:r w:rsidRPr="00D1507D">
        <w:rPr>
          <w:rFonts w:ascii="Times New Roman" w:hAnsi="Times New Roman"/>
          <w:b/>
          <w:sz w:val="24"/>
          <w:u w:val="single"/>
        </w:rPr>
        <w:t xml:space="preserve">Option 1 – Stakeholder dialogues between </w:t>
      </w:r>
      <w:r w:rsidR="00687496">
        <w:rPr>
          <w:rFonts w:ascii="Times New Roman" w:hAnsi="Times New Roman"/>
          <w:b/>
          <w:sz w:val="24"/>
          <w:u w:val="single"/>
        </w:rPr>
        <w:t>r</w:t>
      </w:r>
      <w:r w:rsidR="00007677">
        <w:rPr>
          <w:rFonts w:ascii="Times New Roman" w:hAnsi="Times New Roman"/>
          <w:b/>
          <w:sz w:val="24"/>
          <w:u w:val="single"/>
        </w:rPr>
        <w:t>ightholders</w:t>
      </w:r>
      <w:r w:rsidRPr="00D1507D">
        <w:rPr>
          <w:rFonts w:ascii="Times New Roman" w:hAnsi="Times New Roman"/>
          <w:b/>
          <w:sz w:val="24"/>
          <w:u w:val="single"/>
        </w:rPr>
        <w:t xml:space="preserve"> and services which store and give access to large amounts of content uploaded by their users </w:t>
      </w:r>
      <w:r w:rsidRPr="00F170B0">
        <w:rPr>
          <w:rFonts w:ascii="Times New Roman" w:hAnsi="Times New Roman" w:cs="Times New Roman"/>
          <w:b/>
          <w:sz w:val="24"/>
          <w:szCs w:val="24"/>
          <w:u w:val="single"/>
        </w:rPr>
        <w:t xml:space="preserve"> </w:t>
      </w:r>
    </w:p>
    <w:p w:rsidR="002A7940" w:rsidRPr="00531146" w:rsidRDefault="002A7940" w:rsidP="00D1507D">
      <w:pPr>
        <w:spacing w:before="120" w:after="0" w:line="240" w:lineRule="auto"/>
        <w:jc w:val="both"/>
        <w:rPr>
          <w:b/>
          <w:color w:val="000000"/>
          <w:u w:val="single" w:color="000000"/>
        </w:rPr>
      </w:pPr>
      <w:r w:rsidRPr="00D1507D">
        <w:rPr>
          <w:rFonts w:ascii="Times New Roman" w:hAnsi="Times New Roman"/>
          <w:b/>
          <w:smallCaps/>
          <w:sz w:val="24"/>
        </w:rPr>
        <w:t>Impacts on stakeholders</w:t>
      </w:r>
    </w:p>
    <w:p w:rsidR="002A7940" w:rsidRPr="0055729D" w:rsidRDefault="002A7940" w:rsidP="002A7940">
      <w:pPr>
        <w:spacing w:after="0" w:line="240" w:lineRule="auto"/>
        <w:jc w:val="both"/>
        <w:rPr>
          <w:rFonts w:ascii="Times New Roman" w:hAnsi="Times New Roman" w:cs="Times New Roman"/>
          <w:b/>
          <w:sz w:val="24"/>
          <w:szCs w:val="24"/>
        </w:rPr>
      </w:pPr>
    </w:p>
    <w:p w:rsidR="002A7940" w:rsidRPr="00D1507D" w:rsidRDefault="002A7940" w:rsidP="00D1507D">
      <w:pPr>
        <w:spacing w:after="0" w:line="240" w:lineRule="auto"/>
        <w:jc w:val="both"/>
      </w:pPr>
      <w:r w:rsidRPr="00D1507D">
        <w:rPr>
          <w:rFonts w:ascii="Times New Roman" w:hAnsi="Times New Roman"/>
          <w:b/>
          <w:sz w:val="24"/>
        </w:rPr>
        <w:t>Creative industries/</w:t>
      </w:r>
      <w:r w:rsidR="00007677">
        <w:rPr>
          <w:rFonts w:ascii="Times New Roman" w:hAnsi="Times New Roman"/>
          <w:b/>
          <w:sz w:val="24"/>
        </w:rPr>
        <w:t>Rightholders</w:t>
      </w:r>
    </w:p>
    <w:p w:rsidR="002A7940" w:rsidRPr="0055729D" w:rsidRDefault="002A7940" w:rsidP="002A7940">
      <w:pPr>
        <w:spacing w:after="0" w:line="240" w:lineRule="auto"/>
        <w:jc w:val="both"/>
        <w:rPr>
          <w:rFonts w:ascii="Times New Roman" w:hAnsi="Times New Roman" w:cs="Times New Roman"/>
          <w:sz w:val="24"/>
          <w:szCs w:val="24"/>
        </w:rPr>
      </w:pPr>
      <w:r w:rsidRPr="00BD1E79">
        <w:rPr>
          <w:rFonts w:ascii="Times New Roman" w:hAnsi="Times New Roman" w:cs="Times New Roman"/>
          <w:sz w:val="24"/>
          <w:szCs w:val="24"/>
          <w:u w:val="single"/>
          <w:lang w:eastAsia="en-GB"/>
        </w:rPr>
        <w:t>Impact on their capacity to control better the availability of their content on user uploaded content services and thereby negotiate with the services the conditions of such use</w:t>
      </w:r>
      <w:r w:rsidRPr="00B812A2">
        <w:rPr>
          <w:rFonts w:ascii="Times New Roman" w:hAnsi="Times New Roman" w:cs="Times New Roman"/>
          <w:sz w:val="24"/>
          <w:szCs w:val="24"/>
          <w:lang w:eastAsia="en-GB"/>
        </w:rPr>
        <w:t xml:space="preserve">: </w:t>
      </w:r>
      <w:r w:rsidRPr="0055729D">
        <w:rPr>
          <w:rFonts w:ascii="Times New Roman" w:hAnsi="Times New Roman" w:cs="Times New Roman"/>
          <w:sz w:val="24"/>
          <w:szCs w:val="24"/>
        </w:rPr>
        <w:t xml:space="preserve">due to </w:t>
      </w:r>
      <w:r>
        <w:rPr>
          <w:rFonts w:ascii="Times New Roman" w:hAnsi="Times New Roman" w:cs="Times New Roman"/>
          <w:sz w:val="24"/>
          <w:szCs w:val="24"/>
        </w:rPr>
        <w:t xml:space="preserve">its voluntary nature, </w:t>
      </w:r>
      <w:r w:rsidRPr="0055729D">
        <w:rPr>
          <w:rFonts w:ascii="Times New Roman" w:hAnsi="Times New Roman" w:cs="Times New Roman"/>
          <w:sz w:val="24"/>
          <w:szCs w:val="24"/>
        </w:rPr>
        <w:t>it seems unlikely that stakeholder dialogue</w:t>
      </w:r>
      <w:r w:rsidR="0048209F">
        <w:rPr>
          <w:rFonts w:ascii="Times New Roman" w:hAnsi="Times New Roman" w:cs="Times New Roman"/>
          <w:sz w:val="24"/>
          <w:szCs w:val="24"/>
        </w:rPr>
        <w:t>s</w:t>
      </w:r>
      <w:r w:rsidRPr="0055729D">
        <w:rPr>
          <w:rFonts w:ascii="Times New Roman" w:hAnsi="Times New Roman" w:cs="Times New Roman"/>
          <w:sz w:val="24"/>
          <w:szCs w:val="24"/>
        </w:rPr>
        <w:t xml:space="preserve"> will result in sufficient improvements in the take up, efficiency and transparency of technologies in comparison to the possible evolution of the market. </w:t>
      </w:r>
      <w:r w:rsidRPr="004C1952">
        <w:rPr>
          <w:rFonts w:ascii="Times New Roman" w:hAnsi="Times New Roman" w:cs="Times New Roman"/>
          <w:sz w:val="24"/>
          <w:szCs w:val="24"/>
        </w:rPr>
        <w:t>The voluntary nature of the dialogue</w:t>
      </w:r>
      <w:r w:rsidR="0048209F">
        <w:rPr>
          <w:rFonts w:ascii="Times New Roman" w:hAnsi="Times New Roman" w:cs="Times New Roman"/>
          <w:sz w:val="24"/>
          <w:szCs w:val="24"/>
        </w:rPr>
        <w:t>s</w:t>
      </w:r>
      <w:r w:rsidRPr="004C1952">
        <w:rPr>
          <w:rFonts w:ascii="Times New Roman" w:hAnsi="Times New Roman" w:cs="Times New Roman"/>
          <w:sz w:val="24"/>
          <w:szCs w:val="24"/>
        </w:rPr>
        <w:t xml:space="preserve"> is likely not to change the behaviour patterns of services which have not deployed any technologies so far or for those which have been using these technologies on a voluntary basis for several years, but under their own terms. </w:t>
      </w:r>
      <w:r w:rsidR="00007677">
        <w:rPr>
          <w:rFonts w:ascii="Times New Roman" w:hAnsi="Times New Roman" w:cs="Times New Roman"/>
          <w:sz w:val="24"/>
          <w:szCs w:val="24"/>
        </w:rPr>
        <w:t>Rightholders</w:t>
      </w:r>
      <w:r w:rsidRPr="0055729D">
        <w:rPr>
          <w:rFonts w:ascii="Times New Roman" w:hAnsi="Times New Roman" w:cs="Times New Roman"/>
          <w:sz w:val="24"/>
          <w:szCs w:val="24"/>
        </w:rPr>
        <w:t xml:space="preserve"> will remain in a weak bargaining position for the use of their content by the services. Moreover, stakeholder dialogue</w:t>
      </w:r>
      <w:r w:rsidR="0048209F">
        <w:rPr>
          <w:rFonts w:ascii="Times New Roman" w:hAnsi="Times New Roman" w:cs="Times New Roman"/>
          <w:sz w:val="24"/>
          <w:szCs w:val="24"/>
        </w:rPr>
        <w:t>s</w:t>
      </w:r>
      <w:r w:rsidRPr="0055729D">
        <w:rPr>
          <w:rFonts w:ascii="Times New Roman" w:hAnsi="Times New Roman" w:cs="Times New Roman"/>
          <w:sz w:val="24"/>
          <w:szCs w:val="24"/>
        </w:rPr>
        <w:t xml:space="preserve"> in a context where some of the user uploaded content services have already been imposed higher responsibilities with regard to protected content could be viewed as a step back in some </w:t>
      </w:r>
      <w:r>
        <w:rPr>
          <w:rFonts w:ascii="Times New Roman" w:hAnsi="Times New Roman" w:cs="Times New Roman"/>
          <w:sz w:val="24"/>
          <w:szCs w:val="24"/>
        </w:rPr>
        <w:t>MS</w:t>
      </w:r>
      <w:r w:rsidRPr="0055729D">
        <w:rPr>
          <w:rFonts w:ascii="Times New Roman" w:hAnsi="Times New Roman" w:cs="Times New Roman"/>
          <w:sz w:val="24"/>
          <w:szCs w:val="24"/>
        </w:rPr>
        <w:t>, in comparison to existing obligations</w:t>
      </w:r>
      <w:r w:rsidR="0048209F">
        <w:rPr>
          <w:rFonts w:ascii="Times New Roman" w:hAnsi="Times New Roman" w:cs="Times New Roman"/>
          <w:sz w:val="24"/>
          <w:szCs w:val="24"/>
        </w:rPr>
        <w:t>.</w:t>
      </w:r>
      <w:r w:rsidRPr="0055729D">
        <w:rPr>
          <w:rStyle w:val="FootnoteReference"/>
          <w:rFonts w:ascii="Times New Roman" w:hAnsi="Times New Roman" w:cs="Times New Roman"/>
          <w:sz w:val="24"/>
          <w:szCs w:val="24"/>
        </w:rPr>
        <w:footnoteReference w:id="463"/>
      </w:r>
      <w:r w:rsidRPr="0055729D">
        <w:rPr>
          <w:rFonts w:ascii="Times New Roman" w:hAnsi="Times New Roman" w:cs="Times New Roman"/>
          <w:sz w:val="24"/>
          <w:szCs w:val="24"/>
        </w:rPr>
        <w:t xml:space="preserve"> </w:t>
      </w:r>
    </w:p>
    <w:p w:rsidR="002A7940" w:rsidRPr="0055729D" w:rsidRDefault="002A7940" w:rsidP="002A7940">
      <w:pPr>
        <w:spacing w:after="0" w:line="240" w:lineRule="auto"/>
        <w:jc w:val="both"/>
        <w:rPr>
          <w:rFonts w:ascii="Times New Roman" w:hAnsi="Times New Roman" w:cs="Times New Roman"/>
          <w:b/>
          <w:sz w:val="24"/>
          <w:szCs w:val="24"/>
        </w:rPr>
      </w:pPr>
    </w:p>
    <w:p w:rsidR="002A7940" w:rsidRPr="00D1507D" w:rsidRDefault="002A7940" w:rsidP="00D1507D">
      <w:pPr>
        <w:spacing w:after="0" w:line="240" w:lineRule="auto"/>
        <w:jc w:val="both"/>
        <w:rPr>
          <w:b/>
        </w:rPr>
      </w:pPr>
      <w:r w:rsidRPr="00D1507D">
        <w:rPr>
          <w:rFonts w:ascii="Times New Roman" w:hAnsi="Times New Roman"/>
          <w:b/>
          <w:sz w:val="24"/>
        </w:rPr>
        <w:t>Online services that store and give access to large amounts of user uploaded content</w:t>
      </w:r>
      <w:r w:rsidRPr="0055729D">
        <w:rPr>
          <w:rFonts w:ascii="Times New Roman" w:hAnsi="Times New Roman" w:cs="Times New Roman"/>
          <w:b/>
          <w:sz w:val="24"/>
          <w:szCs w:val="24"/>
        </w:rPr>
        <w:t>:</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u w:val="single"/>
        </w:rPr>
        <w:t>Compliance costs/</w:t>
      </w:r>
      <w:r w:rsidRPr="00BD1E79">
        <w:rPr>
          <w:rFonts w:ascii="Times New Roman" w:hAnsi="Times New Roman" w:cs="Times New Roman"/>
          <w:sz w:val="24"/>
          <w:szCs w:val="24"/>
          <w:u w:val="single"/>
        </w:rPr>
        <w:t xml:space="preserve"> </w:t>
      </w:r>
      <w:r w:rsidRPr="00D1507D">
        <w:rPr>
          <w:rFonts w:ascii="Times New Roman" w:hAnsi="Times New Roman"/>
          <w:sz w:val="24"/>
          <w:u w:val="single"/>
        </w:rPr>
        <w:t>investments needed for putting in place appropriate measures</w:t>
      </w:r>
      <w:r w:rsidRPr="00BD1E79">
        <w:rPr>
          <w:rFonts w:ascii="Times New Roman" w:hAnsi="Times New Roman" w:cs="Times New Roman"/>
          <w:sz w:val="24"/>
          <w:szCs w:val="24"/>
          <w:u w:val="single"/>
        </w:rPr>
        <w:t xml:space="preserve"> and negotiating with </w:t>
      </w:r>
      <w:r w:rsidR="00687496">
        <w:rPr>
          <w:rFonts w:ascii="Times New Roman" w:hAnsi="Times New Roman" w:cs="Times New Roman"/>
          <w:sz w:val="24"/>
          <w:szCs w:val="24"/>
          <w:u w:val="single"/>
        </w:rPr>
        <w:t>r</w:t>
      </w:r>
      <w:r w:rsidR="00007677">
        <w:rPr>
          <w:rFonts w:ascii="Times New Roman" w:hAnsi="Times New Roman" w:cs="Times New Roman"/>
          <w:sz w:val="24"/>
          <w:szCs w:val="24"/>
          <w:u w:val="single"/>
        </w:rPr>
        <w:t>ightholders</w:t>
      </w:r>
      <w:r w:rsidRPr="00BD1E79">
        <w:rPr>
          <w:rFonts w:ascii="Times New Roman" w:hAnsi="Times New Roman" w:cs="Times New Roman"/>
          <w:sz w:val="24"/>
          <w:szCs w:val="24"/>
          <w:u w:val="single"/>
        </w:rPr>
        <w:t xml:space="preserve"> the use of their content:</w:t>
      </w:r>
      <w:r w:rsidRPr="0055729D">
        <w:rPr>
          <w:rFonts w:ascii="Times New Roman" w:hAnsi="Times New Roman" w:cs="Times New Roman"/>
          <w:i/>
          <w:sz w:val="24"/>
          <w:szCs w:val="24"/>
        </w:rPr>
        <w:t xml:space="preserve"> </w:t>
      </w:r>
      <w:r w:rsidRPr="0055729D">
        <w:rPr>
          <w:rFonts w:ascii="Times New Roman" w:hAnsi="Times New Roman" w:cs="Times New Roman"/>
          <w:sz w:val="24"/>
          <w:szCs w:val="24"/>
        </w:rPr>
        <w:t>limited</w:t>
      </w:r>
      <w:r w:rsidRPr="00D1507D">
        <w:rPr>
          <w:rFonts w:ascii="Times New Roman" w:hAnsi="Times New Roman"/>
          <w:sz w:val="24"/>
        </w:rPr>
        <w:t xml:space="preserve"> impact due to the voluntary nature of the stakeholder dialogue</w:t>
      </w:r>
      <w:r w:rsidR="0048209F">
        <w:rPr>
          <w:rFonts w:ascii="Times New Roman" w:hAnsi="Times New Roman"/>
          <w:sz w:val="24"/>
        </w:rPr>
        <w:t>s</w:t>
      </w:r>
      <w:r w:rsidRPr="00D1507D">
        <w:rPr>
          <w:rFonts w:ascii="Times New Roman" w:hAnsi="Times New Roman"/>
          <w:sz w:val="24"/>
        </w:rPr>
        <w:t xml:space="preserve"> and the limited likelihood of an agreement on best practices.</w:t>
      </w:r>
      <w:r w:rsidRPr="0055729D">
        <w:rPr>
          <w:rFonts w:ascii="Times New Roman" w:hAnsi="Times New Roman" w:cs="Times New Roman"/>
          <w:sz w:val="24"/>
          <w:szCs w:val="24"/>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pPr>
      <w:r w:rsidRPr="00D1507D">
        <w:rPr>
          <w:rFonts w:ascii="Times New Roman" w:hAnsi="Times New Roman"/>
          <w:b/>
          <w:sz w:val="24"/>
        </w:rPr>
        <w:t>Other content service providers</w:t>
      </w:r>
      <w:r w:rsidRPr="0055729D">
        <w:rPr>
          <w:rFonts w:ascii="Times New Roman" w:hAnsi="Times New Roman" w:cs="Times New Roman"/>
          <w:sz w:val="24"/>
          <w:szCs w:val="24"/>
        </w:rPr>
        <w:t>:</w:t>
      </w:r>
      <w:r w:rsidRPr="00D1507D">
        <w:rPr>
          <w:rFonts w:ascii="Times New Roman" w:hAnsi="Times New Roman"/>
          <w:sz w:val="24"/>
        </w:rPr>
        <w:t xml:space="preserve"> </w:t>
      </w:r>
    </w:p>
    <w:p w:rsidR="002A7940" w:rsidRPr="00D1507D" w:rsidRDefault="002A7940" w:rsidP="00D1507D">
      <w:pPr>
        <w:spacing w:after="0" w:line="240" w:lineRule="auto"/>
        <w:jc w:val="both"/>
      </w:pPr>
      <w:r w:rsidRPr="00D1507D">
        <w:rPr>
          <w:rFonts w:ascii="Times New Roman" w:hAnsi="Times New Roman"/>
          <w:sz w:val="24"/>
          <w:u w:val="single"/>
        </w:rPr>
        <w:t>Impact on the level playing field</w:t>
      </w:r>
      <w:r w:rsidRPr="00B812A2">
        <w:rPr>
          <w:rFonts w:ascii="Times New Roman" w:hAnsi="Times New Roman"/>
          <w:sz w:val="24"/>
        </w:rPr>
        <w:t>:</w:t>
      </w:r>
      <w:r w:rsidRPr="00D1507D">
        <w:rPr>
          <w:rFonts w:ascii="Times New Roman" w:hAnsi="Times New Roman"/>
          <w:sz w:val="24"/>
        </w:rPr>
        <w:t xml:space="preserve"> </w:t>
      </w:r>
      <w:r w:rsidRPr="0055729D">
        <w:rPr>
          <w:rFonts w:ascii="Times New Roman" w:hAnsi="Times New Roman" w:cs="Times New Roman"/>
          <w:sz w:val="24"/>
          <w:szCs w:val="24"/>
        </w:rPr>
        <w:t>unlikely</w:t>
      </w:r>
      <w:r w:rsidRPr="00D1507D">
        <w:rPr>
          <w:rFonts w:ascii="Times New Roman" w:hAnsi="Times New Roman"/>
          <w:sz w:val="24"/>
        </w:rPr>
        <w:t xml:space="preserve"> to have any effect as, for the reasons explained above, different content service providers are likely to continue playing by different rules. </w:t>
      </w:r>
    </w:p>
    <w:p w:rsidR="002A7940" w:rsidRPr="00D1507D" w:rsidRDefault="002A7940" w:rsidP="00D1507D">
      <w:pPr>
        <w:spacing w:after="0" w:line="240" w:lineRule="auto"/>
        <w:jc w:val="both"/>
        <w:rPr>
          <w:rFonts w:ascii="Times New Roman" w:hAnsi="Times New Roman" w:cs="Times New Roman"/>
          <w:sz w:val="24"/>
          <w:szCs w:val="24"/>
        </w:rPr>
      </w:pPr>
      <w:r w:rsidRPr="00D1507D">
        <w:rPr>
          <w:rFonts w:ascii="Times New Roman" w:hAnsi="Times New Roman" w:cs="Times New Roman"/>
          <w:sz w:val="24"/>
          <w:szCs w:val="24"/>
          <w:u w:val="single"/>
        </w:rPr>
        <w:t>Impact on their business model</w:t>
      </w:r>
      <w:r w:rsidRPr="00B812A2">
        <w:rPr>
          <w:rFonts w:ascii="Times New Roman" w:hAnsi="Times New Roman" w:cs="Times New Roman"/>
          <w:sz w:val="24"/>
          <w:szCs w:val="24"/>
        </w:rPr>
        <w:t>:</w:t>
      </w:r>
      <w:r w:rsidRPr="00D1507D">
        <w:rPr>
          <w:rFonts w:ascii="Times New Roman" w:hAnsi="Times New Roman" w:cs="Times New Roman"/>
          <w:sz w:val="24"/>
          <w:szCs w:val="24"/>
        </w:rPr>
        <w:t xml:space="preserve"> </w:t>
      </w:r>
      <w:r w:rsidRPr="0048209F">
        <w:rPr>
          <w:rFonts w:ascii="Times New Roman" w:hAnsi="Times New Roman" w:cs="Times New Roman"/>
          <w:sz w:val="24"/>
          <w:szCs w:val="24"/>
        </w:rPr>
        <w:t>an</w:t>
      </w:r>
      <w:r w:rsidRPr="00D1507D">
        <w:rPr>
          <w:rFonts w:ascii="Times New Roman" w:hAnsi="Times New Roman" w:cs="Times New Roman"/>
          <w:sz w:val="24"/>
          <w:szCs w:val="24"/>
        </w:rPr>
        <w:t xml:space="preserve"> impact similar to the one under the baseline scenario can be expected.</w:t>
      </w:r>
    </w:p>
    <w:p w:rsidR="002A7940" w:rsidRPr="0048209F" w:rsidRDefault="002A7940" w:rsidP="002A7940">
      <w:pPr>
        <w:spacing w:after="0" w:line="240" w:lineRule="auto"/>
        <w:jc w:val="both"/>
        <w:rPr>
          <w:rFonts w:ascii="Times New Roman" w:hAnsi="Times New Roman" w:cs="Times New Roman"/>
          <w:sz w:val="24"/>
          <w:szCs w:val="24"/>
        </w:rPr>
      </w:pPr>
    </w:p>
    <w:p w:rsidR="002A7940" w:rsidRPr="002B3021" w:rsidRDefault="002A7940" w:rsidP="00D1507D">
      <w:pPr>
        <w:spacing w:after="0" w:line="240" w:lineRule="auto"/>
        <w:jc w:val="both"/>
      </w:pPr>
      <w:r w:rsidRPr="00B812A2">
        <w:rPr>
          <w:rFonts w:ascii="Times New Roman" w:hAnsi="Times New Roman"/>
          <w:b/>
          <w:sz w:val="24"/>
        </w:rPr>
        <w:t>Consumers</w:t>
      </w:r>
      <w:r w:rsidRPr="00D1507D">
        <w:rPr>
          <w:rFonts w:ascii="Times New Roman" w:hAnsi="Times New Roman" w:cs="Times New Roman"/>
          <w:b/>
          <w:sz w:val="24"/>
          <w:szCs w:val="24"/>
        </w:rPr>
        <w:t xml:space="preserve">: </w:t>
      </w:r>
      <w:r w:rsidRPr="00D1507D">
        <w:rPr>
          <w:rFonts w:ascii="Times New Roman" w:hAnsi="Times New Roman" w:cs="Times New Roman"/>
          <w:sz w:val="24"/>
          <w:szCs w:val="24"/>
        </w:rPr>
        <w:t>no direct impact on consumers. They could be impacted if online services giving access to user uploaded content agreed to take steps which led to a change in their services. This is however unlikely given that agreements, if they are reached, are likely to take into account the popularity of the current services (and the important role they play for the overall business models of</w:t>
      </w:r>
      <w:r w:rsidRPr="00D1507D">
        <w:rPr>
          <w:rFonts w:ascii="Times New Roman" w:hAnsi="Times New Roman"/>
          <w:sz w:val="24"/>
        </w:rPr>
        <w:t xml:space="preserve"> certain platforms</w:t>
      </w:r>
      <w:r w:rsidRPr="0055729D">
        <w:rPr>
          <w:rFonts w:ascii="Times New Roman" w:hAnsi="Times New Roman" w:cs="Times New Roman"/>
          <w:sz w:val="24"/>
          <w:szCs w:val="24"/>
        </w:rPr>
        <w:t>)</w:t>
      </w:r>
      <w:r w:rsidR="00B812A2">
        <w:rPr>
          <w:rFonts w:ascii="Times New Roman" w:hAnsi="Times New Roman" w:cs="Times New Roman"/>
          <w:sz w:val="24"/>
          <w:szCs w:val="24"/>
        </w:rPr>
        <w:t>.</w:t>
      </w:r>
      <w:r w:rsidRPr="00D1507D">
        <w:rPr>
          <w:rFonts w:ascii="Times New Roman" w:hAnsi="Times New Roman"/>
          <w:sz w:val="24"/>
          <w:vertAlign w:val="superscript"/>
        </w:rPr>
        <w:footnoteReference w:id="464"/>
      </w:r>
    </w:p>
    <w:p w:rsidR="002A7940" w:rsidRPr="0055729D" w:rsidRDefault="002A7940" w:rsidP="002A7940">
      <w:pPr>
        <w:spacing w:after="0" w:line="240" w:lineRule="auto"/>
        <w:jc w:val="both"/>
        <w:rPr>
          <w:rFonts w:ascii="Times New Roman" w:hAnsi="Times New Roman" w:cs="Times New Roman"/>
          <w:sz w:val="24"/>
          <w:szCs w:val="24"/>
          <w:u w:val="single"/>
        </w:rPr>
      </w:pPr>
    </w:p>
    <w:p w:rsidR="002A7940" w:rsidRPr="00D1507D" w:rsidRDefault="002A7940" w:rsidP="00D1507D">
      <w:pPr>
        <w:spacing w:after="0" w:line="240" w:lineRule="auto"/>
        <w:jc w:val="both"/>
        <w:rPr>
          <w:rFonts w:ascii="Times New Roman" w:hAnsi="Times New Roman"/>
          <w:b/>
          <w:smallCaps/>
        </w:rPr>
      </w:pPr>
      <w:r w:rsidRPr="00D1507D">
        <w:rPr>
          <w:rFonts w:ascii="Times New Roman Bold" w:hAnsi="Times New Roman Bold"/>
          <w:b/>
          <w:smallCaps/>
        </w:rPr>
        <w:t xml:space="preserve">Social </w:t>
      </w:r>
      <w:r w:rsidRPr="00D1507D">
        <w:rPr>
          <w:rFonts w:ascii="Times New Roman" w:hAnsi="Times New Roman"/>
          <w:b/>
          <w:smallCaps/>
          <w:sz w:val="24"/>
        </w:rPr>
        <w:t>impacts</w:t>
      </w:r>
    </w:p>
    <w:p w:rsidR="00B812A2" w:rsidRPr="00B812A2" w:rsidRDefault="004C1952" w:rsidP="00D1507D">
      <w:pPr>
        <w:spacing w:after="120" w:line="240" w:lineRule="auto"/>
        <w:jc w:val="both"/>
        <w:rPr>
          <w:rFonts w:ascii="Times New Roman" w:hAnsi="Times New Roman" w:cs="Times New Roman"/>
          <w:sz w:val="24"/>
          <w:szCs w:val="24"/>
        </w:rPr>
      </w:pPr>
      <w:r w:rsidRPr="004C1952">
        <w:rPr>
          <w:rFonts w:ascii="Times New Roman" w:eastAsia="Arial Unicode MS" w:hAnsi="Times New Roman" w:cs="Times New Roman"/>
          <w:sz w:val="24"/>
          <w:szCs w:val="24"/>
          <w:lang w:val="en-US"/>
        </w:rPr>
        <w:t>This</w:t>
      </w:r>
      <w:r w:rsidRPr="00D1507D">
        <w:rPr>
          <w:rFonts w:ascii="Times New Roman" w:hAnsi="Times New Roman"/>
          <w:sz w:val="24"/>
          <w:lang w:val="en-US"/>
        </w:rPr>
        <w:t xml:space="preserve"> option </w:t>
      </w:r>
      <w:r w:rsidRPr="004C1952">
        <w:rPr>
          <w:rFonts w:ascii="Times New Roman" w:eastAsia="Arial Unicode MS" w:hAnsi="Times New Roman" w:cs="Times New Roman"/>
          <w:sz w:val="24"/>
          <w:szCs w:val="24"/>
          <w:lang w:val="en-US"/>
        </w:rPr>
        <w:t>might</w:t>
      </w:r>
      <w:r w:rsidRPr="00D1507D">
        <w:rPr>
          <w:rFonts w:ascii="Times New Roman" w:hAnsi="Times New Roman"/>
          <w:sz w:val="24"/>
          <w:lang w:val="en-US"/>
        </w:rPr>
        <w:t xml:space="preserve"> have </w:t>
      </w:r>
      <w:r w:rsidRPr="00D1507D">
        <w:rPr>
          <w:rFonts w:ascii="Times New Roman" w:hAnsi="Times New Roman"/>
          <w:sz w:val="24"/>
        </w:rPr>
        <w:t xml:space="preserve">a </w:t>
      </w:r>
      <w:r w:rsidRPr="004C1952">
        <w:rPr>
          <w:rFonts w:ascii="Times New Roman" w:hAnsi="Times New Roman" w:cs="Times New Roman"/>
          <w:sz w:val="24"/>
          <w:szCs w:val="24"/>
        </w:rPr>
        <w:t>slight</w:t>
      </w:r>
      <w:r w:rsidRPr="00D1507D">
        <w:rPr>
          <w:rFonts w:ascii="Times New Roman" w:hAnsi="Times New Roman"/>
          <w:sz w:val="24"/>
        </w:rPr>
        <w:t xml:space="preserve"> positive impact on cultural diversity</w:t>
      </w:r>
      <w:r w:rsidRPr="004C1952">
        <w:rPr>
          <w:rFonts w:ascii="Times New Roman" w:eastAsia="Arial Unicode MS" w:hAnsi="Times New Roman" w:cs="Times New Roman"/>
          <w:sz w:val="24"/>
          <w:szCs w:val="24"/>
          <w:lang w:val="en-US"/>
        </w:rPr>
        <w:t xml:space="preserve"> if the </w:t>
      </w:r>
      <w:r w:rsidR="002A7940" w:rsidRPr="004C1952">
        <w:rPr>
          <w:rFonts w:ascii="Times New Roman" w:hAnsi="Times New Roman" w:cs="Times New Roman"/>
          <w:sz w:val="24"/>
          <w:szCs w:val="24"/>
        </w:rPr>
        <w:t>stakeholder dialogue</w:t>
      </w:r>
      <w:r w:rsidR="0048209F">
        <w:rPr>
          <w:rFonts w:ascii="Times New Roman" w:hAnsi="Times New Roman" w:cs="Times New Roman"/>
          <w:sz w:val="24"/>
          <w:szCs w:val="24"/>
        </w:rPr>
        <w:t>s</w:t>
      </w:r>
      <w:r w:rsidR="002A7940" w:rsidRPr="004C1952">
        <w:rPr>
          <w:rFonts w:ascii="Times New Roman" w:hAnsi="Times New Roman" w:cs="Times New Roman"/>
          <w:sz w:val="24"/>
          <w:szCs w:val="24"/>
        </w:rPr>
        <w:t xml:space="preserve"> w</w:t>
      </w:r>
      <w:r w:rsidR="0048209F">
        <w:rPr>
          <w:rFonts w:ascii="Times New Roman" w:hAnsi="Times New Roman" w:cs="Times New Roman"/>
          <w:sz w:val="24"/>
          <w:szCs w:val="24"/>
        </w:rPr>
        <w:t>ere</w:t>
      </w:r>
      <w:r w:rsidR="002A7940" w:rsidRPr="004C1952">
        <w:rPr>
          <w:rFonts w:ascii="Times New Roman" w:hAnsi="Times New Roman" w:cs="Times New Roman"/>
          <w:sz w:val="24"/>
          <w:szCs w:val="24"/>
        </w:rPr>
        <w:t xml:space="preserve"> to result in a further use </w:t>
      </w:r>
      <w:r w:rsidRPr="004C1952">
        <w:rPr>
          <w:rFonts w:ascii="Times New Roman" w:hAnsi="Times New Roman" w:cs="Times New Roman"/>
          <w:sz w:val="24"/>
          <w:szCs w:val="24"/>
        </w:rPr>
        <w:t>of technologies</w:t>
      </w:r>
      <w:r w:rsidR="002A7940" w:rsidRPr="004C1952">
        <w:rPr>
          <w:rFonts w:ascii="Times New Roman" w:hAnsi="Times New Roman" w:cs="Times New Roman"/>
          <w:sz w:val="24"/>
          <w:szCs w:val="24"/>
        </w:rPr>
        <w:t xml:space="preserve">, thereby increasing the possibility for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002A7940" w:rsidRPr="004C1952">
        <w:rPr>
          <w:rFonts w:ascii="Times New Roman" w:hAnsi="Times New Roman" w:cs="Times New Roman"/>
          <w:sz w:val="24"/>
          <w:szCs w:val="24"/>
        </w:rPr>
        <w:t xml:space="preserve"> to decide on the use of their content.</w:t>
      </w:r>
    </w:p>
    <w:p w:rsidR="002A7940" w:rsidRPr="00D1507D" w:rsidRDefault="002A7940" w:rsidP="00D1507D">
      <w:pPr>
        <w:spacing w:after="0" w:line="240" w:lineRule="auto"/>
        <w:jc w:val="both"/>
        <w:rPr>
          <w:rFonts w:ascii="Times New Roman" w:hAnsi="Times New Roman"/>
          <w:b/>
          <w:sz w:val="24"/>
        </w:rPr>
      </w:pPr>
      <w:r w:rsidRPr="00D1507D">
        <w:rPr>
          <w:rFonts w:ascii="Times New Roman" w:hAnsi="Times New Roman"/>
          <w:b/>
          <w:smallCaps/>
          <w:sz w:val="24"/>
        </w:rPr>
        <w:t>Impacts on fundamental rights</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 xml:space="preserve">This option </w:t>
      </w:r>
      <w:r>
        <w:rPr>
          <w:rFonts w:ascii="Times New Roman" w:hAnsi="Times New Roman" w:cs="Times New Roman"/>
          <w:sz w:val="24"/>
          <w:szCs w:val="24"/>
        </w:rPr>
        <w:t>is likely to</w:t>
      </w:r>
      <w:r w:rsidRPr="00D1507D">
        <w:rPr>
          <w:rFonts w:ascii="Times New Roman" w:hAnsi="Times New Roman"/>
          <w:sz w:val="24"/>
        </w:rPr>
        <w:t xml:space="preserve"> have no impact or a very limited positive impact on copyright as a property right. It </w:t>
      </w:r>
      <w:r>
        <w:rPr>
          <w:rFonts w:ascii="Times New Roman" w:hAnsi="Times New Roman" w:cs="Times New Roman"/>
          <w:sz w:val="24"/>
          <w:szCs w:val="24"/>
        </w:rPr>
        <w:t>may</w:t>
      </w:r>
      <w:r w:rsidRPr="00D1507D">
        <w:rPr>
          <w:rFonts w:ascii="Times New Roman" w:hAnsi="Times New Roman"/>
          <w:sz w:val="24"/>
        </w:rPr>
        <w:t xml:space="preserve"> have a limited negative impact on the freedom of expression and information (if, following the stakeholder dialogue</w:t>
      </w:r>
      <w:r w:rsidR="0048209F">
        <w:rPr>
          <w:rFonts w:ascii="Times New Roman" w:hAnsi="Times New Roman"/>
          <w:sz w:val="24"/>
        </w:rPr>
        <w:t>s</w:t>
      </w:r>
      <w:r w:rsidRPr="00D1507D">
        <w:rPr>
          <w:rFonts w:ascii="Times New Roman" w:hAnsi="Times New Roman"/>
          <w:sz w:val="24"/>
        </w:rPr>
        <w:t xml:space="preserve">, services implemented technologies </w:t>
      </w:r>
      <w:r>
        <w:rPr>
          <w:rFonts w:ascii="Times New Roman" w:hAnsi="Times New Roman" w:cs="Times New Roman"/>
          <w:sz w:val="24"/>
          <w:szCs w:val="24"/>
        </w:rPr>
        <w:t>limiting the upload of</w:t>
      </w:r>
      <w:r w:rsidRPr="00D1507D">
        <w:rPr>
          <w:rFonts w:ascii="Times New Roman" w:hAnsi="Times New Roman"/>
          <w:sz w:val="24"/>
        </w:rPr>
        <w:t xml:space="preserve"> content for unjustified reasons, for example when an exception or a limitation to copyright applies). In such an unlikely case there would also be a limited negative impact on the freedom to conduct a business of service providers covered by this IA due to the costs they may need to incur</w:t>
      </w:r>
      <w:r w:rsidRPr="0055729D">
        <w:rPr>
          <w:rFonts w:ascii="Times New Roman" w:hAnsi="Times New Roman" w:cs="Times New Roman"/>
          <w:sz w:val="24"/>
          <w:szCs w:val="24"/>
        </w:rPr>
        <w:t xml:space="preserve"> as a result of the stakeholder dialogue</w:t>
      </w:r>
      <w:r w:rsidR="0048209F">
        <w:rPr>
          <w:rFonts w:ascii="Times New Roman" w:hAnsi="Times New Roman" w:cs="Times New Roman"/>
          <w:sz w:val="24"/>
          <w:szCs w:val="24"/>
        </w:rPr>
        <w:t>s</w:t>
      </w:r>
      <w:r w:rsidRPr="00D1507D">
        <w:rPr>
          <w:rFonts w:ascii="Times New Roman" w:hAnsi="Times New Roman"/>
          <w:sz w:val="24"/>
        </w:rPr>
        <w:t xml:space="preserve">. </w:t>
      </w:r>
    </w:p>
    <w:p w:rsidR="002A7940" w:rsidRPr="0055729D" w:rsidRDefault="002A7940" w:rsidP="002A7940">
      <w:pPr>
        <w:spacing w:after="0" w:line="240" w:lineRule="auto"/>
        <w:jc w:val="both"/>
        <w:rPr>
          <w:rFonts w:ascii="Times New Roman" w:hAnsi="Times New Roman" w:cs="Times New Roman"/>
          <w:b/>
          <w:sz w:val="24"/>
          <w:szCs w:val="24"/>
        </w:rPr>
      </w:pPr>
    </w:p>
    <w:p w:rsidR="002A7940" w:rsidRPr="00F170B0" w:rsidRDefault="002A7940" w:rsidP="002A7940">
      <w:pPr>
        <w:spacing w:after="0" w:line="240" w:lineRule="auto"/>
        <w:jc w:val="both"/>
        <w:rPr>
          <w:rFonts w:ascii="Times New Roman" w:hAnsi="Times New Roman" w:cs="Times New Roman"/>
          <w:b/>
          <w:sz w:val="24"/>
          <w:szCs w:val="24"/>
          <w:u w:val="single"/>
        </w:rPr>
      </w:pPr>
      <w:r w:rsidRPr="00D1507D">
        <w:rPr>
          <w:rFonts w:ascii="Times New Roman" w:hAnsi="Times New Roman"/>
          <w:b/>
          <w:sz w:val="24"/>
          <w:u w:val="single"/>
        </w:rPr>
        <w:t xml:space="preserve">Option 2 – An obligation on </w:t>
      </w:r>
      <w:r w:rsidRPr="00F170B0">
        <w:rPr>
          <w:rFonts w:ascii="Times New Roman" w:hAnsi="Times New Roman" w:cs="Times New Roman"/>
          <w:b/>
          <w:sz w:val="24"/>
          <w:szCs w:val="24"/>
          <w:u w:val="single"/>
        </w:rPr>
        <w:t xml:space="preserve">online </w:t>
      </w:r>
      <w:r w:rsidRPr="00D1507D">
        <w:rPr>
          <w:rFonts w:ascii="Times New Roman" w:hAnsi="Times New Roman"/>
          <w:b/>
          <w:sz w:val="24"/>
          <w:u w:val="single"/>
        </w:rPr>
        <w:t xml:space="preserve">services which store and give access to large amounts of </w:t>
      </w:r>
      <w:r w:rsidR="0048209F">
        <w:rPr>
          <w:rFonts w:ascii="Times New Roman" w:hAnsi="Times New Roman"/>
          <w:b/>
          <w:sz w:val="24"/>
          <w:u w:val="single"/>
        </w:rPr>
        <w:t xml:space="preserve">protected </w:t>
      </w:r>
      <w:r w:rsidRPr="00F170B0">
        <w:rPr>
          <w:rFonts w:ascii="Times New Roman" w:hAnsi="Times New Roman" w:cs="Times New Roman"/>
          <w:b/>
          <w:sz w:val="24"/>
          <w:szCs w:val="24"/>
          <w:u w:val="single"/>
        </w:rPr>
        <w:t>content</w:t>
      </w:r>
      <w:r w:rsidRPr="00D1507D">
        <w:rPr>
          <w:rFonts w:ascii="Times New Roman" w:hAnsi="Times New Roman"/>
          <w:b/>
          <w:sz w:val="24"/>
          <w:u w:val="single"/>
        </w:rPr>
        <w:t xml:space="preserve"> uploaded </w:t>
      </w:r>
      <w:r w:rsidRPr="00F170B0">
        <w:rPr>
          <w:rFonts w:ascii="Times New Roman" w:hAnsi="Times New Roman" w:cs="Times New Roman"/>
          <w:b/>
          <w:sz w:val="24"/>
          <w:szCs w:val="24"/>
          <w:u w:val="single"/>
        </w:rPr>
        <w:t>by their users</w:t>
      </w:r>
      <w:r w:rsidRPr="00D1507D">
        <w:rPr>
          <w:rFonts w:ascii="Times New Roman" w:hAnsi="Times New Roman"/>
          <w:b/>
          <w:sz w:val="24"/>
          <w:u w:val="single"/>
        </w:rPr>
        <w:t xml:space="preserve"> to put in place appropriate</w:t>
      </w:r>
      <w:r w:rsidR="004C1952" w:rsidRPr="00D1507D">
        <w:rPr>
          <w:rFonts w:ascii="Times New Roman" w:hAnsi="Times New Roman"/>
          <w:b/>
          <w:sz w:val="24"/>
          <w:u w:val="single"/>
        </w:rPr>
        <w:t xml:space="preserve"> and proportionate</w:t>
      </w:r>
      <w:r w:rsidRPr="00D1507D">
        <w:rPr>
          <w:rFonts w:ascii="Times New Roman" w:hAnsi="Times New Roman"/>
          <w:b/>
          <w:sz w:val="24"/>
          <w:u w:val="single"/>
        </w:rPr>
        <w:t xml:space="preserve"> technologies</w:t>
      </w:r>
      <w:r w:rsidRPr="00F170B0">
        <w:rPr>
          <w:rFonts w:ascii="Times New Roman" w:hAnsi="Times New Roman" w:cs="Times New Roman"/>
          <w:b/>
          <w:sz w:val="24"/>
          <w:szCs w:val="24"/>
          <w:u w:val="single"/>
        </w:rPr>
        <w:t xml:space="preserve"> and to increase transparency vis a vis rights holders </w:t>
      </w:r>
    </w:p>
    <w:p w:rsidR="002A7940" w:rsidRPr="00D1507D" w:rsidRDefault="002A7940" w:rsidP="00D1507D">
      <w:pPr>
        <w:spacing w:after="0" w:line="240" w:lineRule="auto"/>
        <w:jc w:val="both"/>
        <w:rPr>
          <w:b/>
        </w:rPr>
      </w:pPr>
    </w:p>
    <w:p w:rsidR="002A7940" w:rsidRPr="00D1507D" w:rsidRDefault="002A7940" w:rsidP="00D1507D">
      <w:pPr>
        <w:spacing w:before="120" w:after="0" w:line="240" w:lineRule="auto"/>
        <w:jc w:val="both"/>
        <w:rPr>
          <w:b/>
          <w:smallCaps/>
        </w:rPr>
      </w:pPr>
      <w:r w:rsidRPr="00D1507D">
        <w:rPr>
          <w:rFonts w:ascii="Times New Roman" w:hAnsi="Times New Roman"/>
          <w:b/>
          <w:smallCaps/>
          <w:sz w:val="24"/>
        </w:rPr>
        <w:t>Impacts on stakeholders</w:t>
      </w:r>
    </w:p>
    <w:p w:rsidR="002A7940" w:rsidRPr="0055729D" w:rsidRDefault="002A7940" w:rsidP="002A7940">
      <w:pPr>
        <w:spacing w:after="0" w:line="240" w:lineRule="auto"/>
        <w:jc w:val="both"/>
        <w:rPr>
          <w:rFonts w:ascii="Times New Roman" w:hAnsi="Times New Roman" w:cs="Times New Roman"/>
          <w:b/>
          <w:bCs/>
          <w:color w:val="000000"/>
          <w:sz w:val="24"/>
          <w:szCs w:val="24"/>
          <w:u w:val="single" w:color="000000"/>
          <w:lang w:eastAsia="en-GB"/>
        </w:rPr>
      </w:pPr>
    </w:p>
    <w:p w:rsidR="002A7940" w:rsidRPr="00D1507D" w:rsidRDefault="002A7940" w:rsidP="00D1507D">
      <w:pPr>
        <w:spacing w:after="0" w:line="240" w:lineRule="auto"/>
        <w:jc w:val="both"/>
        <w:rPr>
          <w:i/>
        </w:rPr>
      </w:pPr>
      <w:r w:rsidRPr="00D1507D">
        <w:rPr>
          <w:rFonts w:ascii="Times New Roman" w:hAnsi="Times New Roman"/>
          <w:b/>
          <w:sz w:val="24"/>
        </w:rPr>
        <w:t>Creative industries/</w:t>
      </w:r>
      <w:r w:rsidR="00007677">
        <w:rPr>
          <w:rFonts w:ascii="Times New Roman" w:hAnsi="Times New Roman"/>
          <w:b/>
          <w:sz w:val="24"/>
        </w:rPr>
        <w:t>Rightholders</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u w:val="single"/>
        </w:rPr>
        <w:t xml:space="preserve">Impact on </w:t>
      </w:r>
      <w:r w:rsidRPr="00BD1E79">
        <w:rPr>
          <w:rFonts w:ascii="Times New Roman" w:hAnsi="Times New Roman" w:cs="Times New Roman"/>
          <w:sz w:val="24"/>
          <w:szCs w:val="24"/>
          <w:u w:val="single"/>
          <w:lang w:eastAsia="en-GB"/>
        </w:rPr>
        <w:t>their capacity to control better</w:t>
      </w:r>
      <w:r w:rsidRPr="00D60827">
        <w:rPr>
          <w:rFonts w:ascii="Times New Roman" w:hAnsi="Times New Roman"/>
          <w:sz w:val="24"/>
          <w:u w:val="single"/>
        </w:rPr>
        <w:t xml:space="preserve"> the </w:t>
      </w:r>
      <w:r w:rsidRPr="00BD1E79">
        <w:rPr>
          <w:rFonts w:ascii="Times New Roman" w:hAnsi="Times New Roman" w:cs="Times New Roman"/>
          <w:sz w:val="24"/>
          <w:szCs w:val="24"/>
          <w:u w:val="single"/>
          <w:lang w:eastAsia="en-GB"/>
        </w:rPr>
        <w:t>availability</w:t>
      </w:r>
      <w:r w:rsidRPr="00F170B0">
        <w:rPr>
          <w:rFonts w:ascii="Times New Roman" w:hAnsi="Times New Roman" w:cs="Times New Roman"/>
          <w:sz w:val="24"/>
          <w:szCs w:val="24"/>
          <w:u w:val="single"/>
        </w:rPr>
        <w:t xml:space="preserve"> of their content</w:t>
      </w:r>
      <w:r w:rsidRPr="00BD1E79">
        <w:rPr>
          <w:rFonts w:ascii="Times New Roman" w:hAnsi="Times New Roman" w:cs="Times New Roman"/>
          <w:sz w:val="24"/>
          <w:szCs w:val="24"/>
          <w:u w:val="single"/>
          <w:lang w:eastAsia="en-GB"/>
        </w:rPr>
        <w:t xml:space="preserve"> on user uploaded</w:t>
      </w:r>
      <w:r w:rsidRPr="00F170B0">
        <w:rPr>
          <w:rFonts w:ascii="Times New Roman" w:hAnsi="Times New Roman" w:cs="Times New Roman"/>
          <w:sz w:val="24"/>
          <w:szCs w:val="24"/>
          <w:u w:val="single"/>
        </w:rPr>
        <w:t xml:space="preserve"> content</w:t>
      </w:r>
      <w:r w:rsidRPr="00BD1E79">
        <w:rPr>
          <w:rFonts w:ascii="Times New Roman" w:hAnsi="Times New Roman" w:cs="Times New Roman"/>
          <w:sz w:val="24"/>
          <w:szCs w:val="24"/>
          <w:u w:val="single"/>
          <w:lang w:eastAsia="en-GB"/>
        </w:rPr>
        <w:t xml:space="preserve"> services and thereby negotiate with </w:t>
      </w:r>
      <w:r w:rsidRPr="00D60827">
        <w:rPr>
          <w:rFonts w:ascii="Times New Roman" w:hAnsi="Times New Roman"/>
          <w:sz w:val="24"/>
          <w:u w:val="single"/>
        </w:rPr>
        <w:t xml:space="preserve">the </w:t>
      </w:r>
      <w:r w:rsidRPr="00BD1E79">
        <w:rPr>
          <w:rFonts w:ascii="Times New Roman" w:hAnsi="Times New Roman" w:cs="Times New Roman"/>
          <w:sz w:val="24"/>
          <w:szCs w:val="24"/>
          <w:u w:val="single"/>
          <w:lang w:eastAsia="en-GB"/>
        </w:rPr>
        <w:t>services the conditions</w:t>
      </w:r>
      <w:r w:rsidRPr="00D60827">
        <w:rPr>
          <w:rFonts w:ascii="Times New Roman" w:hAnsi="Times New Roman"/>
          <w:sz w:val="24"/>
          <w:u w:val="single"/>
        </w:rPr>
        <w:t xml:space="preserve"> of </w:t>
      </w:r>
      <w:r w:rsidRPr="00BD1E79">
        <w:rPr>
          <w:rFonts w:ascii="Times New Roman" w:hAnsi="Times New Roman" w:cs="Times New Roman"/>
          <w:sz w:val="24"/>
          <w:szCs w:val="24"/>
          <w:u w:val="single"/>
          <w:lang w:eastAsia="en-GB"/>
        </w:rPr>
        <w:t>such use</w:t>
      </w:r>
      <w:r w:rsidRPr="00B812A2">
        <w:rPr>
          <w:rFonts w:ascii="Times New Roman" w:hAnsi="Times New Roman" w:cs="Times New Roman"/>
          <w:sz w:val="24"/>
          <w:szCs w:val="24"/>
          <w:lang w:eastAsia="en-GB"/>
        </w:rPr>
        <w:t>:</w:t>
      </w:r>
      <w:r w:rsidRPr="004C1952">
        <w:rPr>
          <w:rFonts w:ascii="Times New Roman" w:hAnsi="Times New Roman" w:cs="Times New Roman"/>
          <w:sz w:val="24"/>
          <w:szCs w:val="24"/>
          <w:lang w:eastAsia="en-GB"/>
        </w:rPr>
        <w:t xml:space="preserve"> against the backdrop of the role </w:t>
      </w:r>
      <w:r w:rsidR="0048209F">
        <w:rPr>
          <w:rFonts w:ascii="Times New Roman" w:hAnsi="Times New Roman" w:cs="Times New Roman"/>
          <w:sz w:val="24"/>
          <w:szCs w:val="24"/>
          <w:lang w:eastAsia="en-GB"/>
        </w:rPr>
        <w:t xml:space="preserve">of </w:t>
      </w:r>
      <w:r w:rsidRPr="004C1952">
        <w:rPr>
          <w:rFonts w:ascii="Times New Roman" w:hAnsi="Times New Roman" w:cs="Times New Roman"/>
          <w:sz w:val="24"/>
          <w:szCs w:val="24"/>
          <w:lang w:eastAsia="en-GB"/>
        </w:rPr>
        <w:t xml:space="preserve">these services in the </w:t>
      </w:r>
      <w:r w:rsidRPr="00D1507D">
        <w:rPr>
          <w:rFonts w:ascii="Times New Roman" w:hAnsi="Times New Roman"/>
          <w:sz w:val="24"/>
        </w:rPr>
        <w:t xml:space="preserve">communication to the public </w:t>
      </w:r>
      <w:r w:rsidRPr="004C1952">
        <w:rPr>
          <w:rFonts w:ascii="Times New Roman" w:hAnsi="Times New Roman" w:cs="Times New Roman"/>
          <w:sz w:val="24"/>
          <w:szCs w:val="24"/>
          <w:lang w:eastAsia="en-GB"/>
        </w:rPr>
        <w:t>of protected content,</w:t>
      </w:r>
      <w:r w:rsidRPr="004C1952">
        <w:rPr>
          <w:rFonts w:ascii="Times New Roman" w:hAnsi="Times New Roman" w:cs="Times New Roman"/>
          <w:i/>
          <w:sz w:val="24"/>
          <w:szCs w:val="24"/>
          <w:lang w:eastAsia="en-GB"/>
        </w:rPr>
        <w:t xml:space="preserve"> </w:t>
      </w:r>
      <w:r w:rsidRPr="00D1507D">
        <w:rPr>
          <w:rFonts w:ascii="Times New Roman" w:hAnsi="Times New Roman"/>
          <w:sz w:val="24"/>
        </w:rPr>
        <w:t xml:space="preserve">the </w:t>
      </w:r>
      <w:r w:rsidRPr="004C1952">
        <w:rPr>
          <w:rFonts w:ascii="Times New Roman" w:hAnsi="Times New Roman" w:cs="Times New Roman"/>
          <w:sz w:val="24"/>
          <w:szCs w:val="24"/>
        </w:rPr>
        <w:t>establishment of</w:t>
      </w:r>
      <w:r w:rsidRPr="00D1507D">
        <w:rPr>
          <w:rFonts w:ascii="Times New Roman" w:hAnsi="Times New Roman"/>
          <w:sz w:val="24"/>
        </w:rPr>
        <w:t xml:space="preserve"> an obligation to deploy technical means </w:t>
      </w:r>
      <w:r w:rsidRPr="004C1952">
        <w:rPr>
          <w:rFonts w:ascii="Times New Roman" w:hAnsi="Times New Roman" w:cs="Times New Roman"/>
          <w:sz w:val="24"/>
          <w:szCs w:val="24"/>
        </w:rPr>
        <w:t>will</w:t>
      </w:r>
      <w:r w:rsidRPr="00D1507D">
        <w:rPr>
          <w:rFonts w:ascii="Times New Roman" w:hAnsi="Times New Roman"/>
          <w:sz w:val="24"/>
        </w:rPr>
        <w:t xml:space="preserve"> have a positive impact on </w:t>
      </w:r>
      <w:r w:rsidR="00687496">
        <w:rPr>
          <w:rFonts w:ascii="Times New Roman" w:hAnsi="Times New Roman"/>
          <w:sz w:val="24"/>
        </w:rPr>
        <w:t>r</w:t>
      </w:r>
      <w:r w:rsidR="00007677">
        <w:rPr>
          <w:rFonts w:ascii="Times New Roman" w:hAnsi="Times New Roman"/>
          <w:sz w:val="24"/>
        </w:rPr>
        <w:t>ightholders</w:t>
      </w:r>
      <w:r w:rsidRPr="0055729D">
        <w:rPr>
          <w:rFonts w:ascii="Times New Roman" w:hAnsi="Times New Roman" w:cs="Times New Roman"/>
          <w:sz w:val="24"/>
          <w:szCs w:val="24"/>
        </w:rPr>
        <w:t xml:space="preserve">. </w:t>
      </w:r>
      <w:r w:rsidRPr="0055729D">
        <w:rPr>
          <w:rFonts w:ascii="Times New Roman" w:hAnsi="Times New Roman" w:cs="Times New Roman"/>
          <w:sz w:val="24"/>
          <w:szCs w:val="24"/>
          <w:lang w:eastAsia="en-GB"/>
        </w:rPr>
        <w:t xml:space="preserve">As the services will be obliged to cooperate with </w:t>
      </w:r>
      <w:r w:rsidR="00687496">
        <w:rPr>
          <w:rFonts w:ascii="Times New Roman" w:hAnsi="Times New Roman" w:cs="Times New Roman"/>
          <w:sz w:val="24"/>
          <w:szCs w:val="24"/>
          <w:lang w:eastAsia="en-GB"/>
        </w:rPr>
        <w:t>r</w:t>
      </w:r>
      <w:r w:rsidR="00007677">
        <w:rPr>
          <w:rFonts w:ascii="Times New Roman" w:hAnsi="Times New Roman" w:cs="Times New Roman"/>
          <w:sz w:val="24"/>
          <w:szCs w:val="24"/>
          <w:lang w:eastAsia="en-GB"/>
        </w:rPr>
        <w:t>ightholders</w:t>
      </w:r>
      <w:r>
        <w:rPr>
          <w:rFonts w:ascii="Times New Roman" w:hAnsi="Times New Roman" w:cs="Times New Roman"/>
          <w:sz w:val="24"/>
          <w:szCs w:val="24"/>
          <w:lang w:eastAsia="en-GB"/>
        </w:rPr>
        <w:t xml:space="preserve"> </w:t>
      </w:r>
      <w:r w:rsidRPr="0055729D">
        <w:rPr>
          <w:rFonts w:ascii="Times New Roman" w:hAnsi="Times New Roman" w:cs="Times New Roman"/>
          <w:sz w:val="24"/>
          <w:szCs w:val="24"/>
          <w:lang w:eastAsia="en-GB"/>
        </w:rPr>
        <w:t>and provide them adequate information with regard to the technologies to be deployed</w:t>
      </w:r>
      <w:r>
        <w:rPr>
          <w:rFonts w:ascii="Times New Roman" w:hAnsi="Times New Roman" w:cs="Times New Roman"/>
          <w:sz w:val="24"/>
          <w:szCs w:val="24"/>
          <w:lang w:eastAsia="en-GB"/>
        </w:rPr>
        <w:t>,</w:t>
      </w:r>
      <w:r w:rsidRPr="0055729D">
        <w:rPr>
          <w:rFonts w:ascii="Times New Roman" w:hAnsi="Times New Roman" w:cs="Times New Roman"/>
          <w:sz w:val="24"/>
          <w:szCs w:val="24"/>
          <w:lang w:eastAsia="en-GB"/>
        </w:rPr>
        <w:t xml:space="preserve"> it </w:t>
      </w:r>
      <w:r w:rsidRPr="0055729D">
        <w:rPr>
          <w:rFonts w:ascii="Times New Roman" w:hAnsi="Times New Roman" w:cs="Times New Roman"/>
          <w:sz w:val="24"/>
          <w:szCs w:val="24"/>
        </w:rPr>
        <w:t>is expected that the</w:t>
      </w:r>
      <w:r>
        <w:rPr>
          <w:rFonts w:ascii="Times New Roman" w:hAnsi="Times New Roman" w:cs="Times New Roman"/>
          <w:sz w:val="24"/>
          <w:szCs w:val="24"/>
        </w:rPr>
        <w:t xml:space="preserve"> </w:t>
      </w:r>
      <w:r w:rsidRPr="0055729D">
        <w:rPr>
          <w:rFonts w:ascii="Times New Roman" w:hAnsi="Times New Roman" w:cs="Times New Roman"/>
          <w:sz w:val="24"/>
          <w:szCs w:val="24"/>
        </w:rPr>
        <w:t xml:space="preserve">efficiency </w:t>
      </w:r>
      <w:r>
        <w:rPr>
          <w:rFonts w:ascii="Times New Roman" w:hAnsi="Times New Roman" w:cs="Times New Roman"/>
          <w:sz w:val="24"/>
          <w:szCs w:val="24"/>
        </w:rPr>
        <w:t xml:space="preserve">of the technologies </w:t>
      </w:r>
      <w:r w:rsidRPr="0055729D">
        <w:rPr>
          <w:rFonts w:ascii="Times New Roman" w:hAnsi="Times New Roman" w:cs="Times New Roman"/>
          <w:sz w:val="24"/>
          <w:szCs w:val="24"/>
        </w:rPr>
        <w:t xml:space="preserve">will grow and thereby </w:t>
      </w:r>
      <w:r>
        <w:rPr>
          <w:rFonts w:ascii="Times New Roman" w:hAnsi="Times New Roman" w:cs="Times New Roman"/>
          <w:sz w:val="24"/>
          <w:szCs w:val="24"/>
        </w:rPr>
        <w:t xml:space="preserve">enable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 xml:space="preserve"> to have a better control over the content that is available on user uploaded services. This</w:t>
      </w:r>
      <w:r>
        <w:rPr>
          <w:rFonts w:ascii="Times New Roman" w:hAnsi="Times New Roman" w:cs="Times New Roman"/>
          <w:sz w:val="24"/>
          <w:szCs w:val="24"/>
        </w:rPr>
        <w:t xml:space="preserve"> </w:t>
      </w:r>
      <w:r w:rsidRPr="0055729D">
        <w:rPr>
          <w:rFonts w:ascii="Times New Roman" w:hAnsi="Times New Roman" w:cs="Times New Roman"/>
          <w:sz w:val="24"/>
          <w:szCs w:val="24"/>
        </w:rPr>
        <w:t xml:space="preserve">will improve their </w:t>
      </w:r>
      <w:r w:rsidRPr="00D1507D">
        <w:rPr>
          <w:rFonts w:ascii="Times New Roman" w:hAnsi="Times New Roman"/>
          <w:sz w:val="24"/>
        </w:rPr>
        <w:t xml:space="preserve">possibilities to conclude agreements and increase revenues. </w:t>
      </w:r>
      <w:r w:rsidRPr="0055729D">
        <w:rPr>
          <w:rFonts w:ascii="Times New Roman" w:hAnsi="Times New Roman" w:cs="Times New Roman"/>
          <w:sz w:val="24"/>
          <w:szCs w:val="24"/>
        </w:rPr>
        <w:t xml:space="preserve"> </w:t>
      </w:r>
      <w:r w:rsidRPr="00D1507D">
        <w:rPr>
          <w:rFonts w:ascii="Times New Roman" w:hAnsi="Times New Roman"/>
          <w:sz w:val="24"/>
        </w:rPr>
        <w:t xml:space="preserve">This is notably the case for the music sector where, as explained above, some agreements are already in place and there is an overall readiness </w:t>
      </w:r>
      <w:r w:rsidRPr="0055729D">
        <w:rPr>
          <w:rFonts w:ascii="Times New Roman" w:hAnsi="Times New Roman" w:cs="Times New Roman"/>
          <w:sz w:val="24"/>
          <w:szCs w:val="24"/>
        </w:rPr>
        <w:t xml:space="preserve">from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 xml:space="preserve"> </w:t>
      </w:r>
      <w:r w:rsidRPr="00D1507D">
        <w:rPr>
          <w:rFonts w:ascii="Times New Roman" w:hAnsi="Times New Roman"/>
          <w:sz w:val="24"/>
        </w:rPr>
        <w:t xml:space="preserve">to conclude agreements with the services. In the case of </w:t>
      </w:r>
      <w:r>
        <w:rPr>
          <w:rFonts w:ascii="Times New Roman" w:hAnsi="Times New Roman" w:cs="Times New Roman"/>
          <w:sz w:val="24"/>
          <w:szCs w:val="24"/>
        </w:rPr>
        <w:t>AV</w:t>
      </w:r>
      <w:r w:rsidRPr="00D1507D">
        <w:rPr>
          <w:rFonts w:ascii="Times New Roman" w:hAnsi="Times New Roman"/>
          <w:sz w:val="24"/>
        </w:rPr>
        <w:t xml:space="preserve"> content, this option may increase the willingness of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to allow more of their content to be available on user uploaded content services while continuing to take down premium content.</w:t>
      </w:r>
      <w:r w:rsidRPr="0055729D">
        <w:rPr>
          <w:rFonts w:ascii="Times New Roman" w:hAnsi="Times New Roman" w:cs="Times New Roman"/>
          <w:sz w:val="24"/>
          <w:szCs w:val="24"/>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sz w:val="24"/>
        </w:rPr>
      </w:pPr>
      <w:r w:rsidRPr="0055729D">
        <w:rPr>
          <w:rFonts w:ascii="Times New Roman" w:hAnsi="Times New Roman" w:cs="Times New Roman"/>
          <w:sz w:val="24"/>
          <w:szCs w:val="24"/>
        </w:rPr>
        <w:t xml:space="preserve">While the ability for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 xml:space="preserve"> to decide on the availability</w:t>
      </w:r>
      <w:r w:rsidRPr="00D1507D">
        <w:rPr>
          <w:rFonts w:ascii="Times New Roman" w:hAnsi="Times New Roman"/>
          <w:sz w:val="24"/>
        </w:rPr>
        <w:t xml:space="preserve"> of </w:t>
      </w:r>
      <w:r w:rsidRPr="0055729D">
        <w:rPr>
          <w:rFonts w:ascii="Times New Roman" w:hAnsi="Times New Roman" w:cs="Times New Roman"/>
          <w:sz w:val="24"/>
          <w:szCs w:val="24"/>
        </w:rPr>
        <w:t xml:space="preserve">their content is expected to increase their possibilities to obtain fair remuneration, it is not possible to quantify </w:t>
      </w:r>
      <w:r w:rsidRPr="00D1507D">
        <w:rPr>
          <w:rFonts w:ascii="Times New Roman" w:hAnsi="Times New Roman"/>
          <w:sz w:val="24"/>
        </w:rPr>
        <w:t xml:space="preserve">the concrete impact </w:t>
      </w:r>
      <w:r>
        <w:rPr>
          <w:rFonts w:ascii="Times New Roman" w:hAnsi="Times New Roman"/>
          <w:sz w:val="24"/>
        </w:rPr>
        <w:t>of this option</w:t>
      </w:r>
      <w:r w:rsidRPr="00D1507D">
        <w:rPr>
          <w:rFonts w:ascii="Times New Roman" w:hAnsi="Times New Roman"/>
          <w:sz w:val="24"/>
        </w:rPr>
        <w:t xml:space="preserve"> in </w:t>
      </w:r>
      <w:r w:rsidRPr="0055729D">
        <w:rPr>
          <w:rFonts w:ascii="Times New Roman" w:hAnsi="Times New Roman" w:cs="Times New Roman"/>
          <w:sz w:val="24"/>
          <w:szCs w:val="24"/>
        </w:rPr>
        <w:t xml:space="preserve">terms of </w:t>
      </w:r>
      <w:r w:rsidRPr="00D1507D">
        <w:rPr>
          <w:rFonts w:ascii="Times New Roman" w:hAnsi="Times New Roman"/>
          <w:sz w:val="24"/>
        </w:rPr>
        <w:t>revenues</w:t>
      </w:r>
      <w:r w:rsidRPr="0055729D">
        <w:rPr>
          <w:rFonts w:ascii="Times New Roman" w:hAnsi="Times New Roman" w:cs="Times New Roman"/>
          <w:sz w:val="24"/>
          <w:szCs w:val="24"/>
        </w:rPr>
        <w:t>, as this would also depend on the outcome of</w:t>
      </w:r>
      <w:r w:rsidRPr="00D1507D">
        <w:rPr>
          <w:rFonts w:ascii="Times New Roman" w:hAnsi="Times New Roman"/>
          <w:sz w:val="24"/>
        </w:rPr>
        <w:t xml:space="preserve"> commercial negotiations</w:t>
      </w:r>
      <w:r w:rsidR="004C1952" w:rsidRPr="00D1507D">
        <w:rPr>
          <w:rFonts w:ascii="Times New Roman" w:hAnsi="Times New Roman"/>
          <w:sz w:val="24"/>
        </w:rPr>
        <w:t xml:space="preserve">, including the size of the service as well as possible developments in </w:t>
      </w:r>
      <w:r w:rsidR="004C1952">
        <w:rPr>
          <w:rFonts w:ascii="Times New Roman" w:hAnsi="Times New Roman"/>
          <w:sz w:val="24"/>
        </w:rPr>
        <w:t>their</w:t>
      </w:r>
      <w:r w:rsidR="004C1952" w:rsidRPr="00D1507D">
        <w:rPr>
          <w:rFonts w:ascii="Times New Roman" w:hAnsi="Times New Roman"/>
          <w:sz w:val="24"/>
        </w:rPr>
        <w:t xml:space="preserve"> business models</w:t>
      </w:r>
      <w:r w:rsidRPr="00D1507D">
        <w:rPr>
          <w:rFonts w:ascii="Times New Roman" w:hAnsi="Times New Roman"/>
          <w:sz w:val="24"/>
        </w:rPr>
        <w:t xml:space="preserve">. There have been indications from some </w:t>
      </w:r>
      <w:r w:rsidR="00687496">
        <w:rPr>
          <w:rFonts w:ascii="Times New Roman" w:hAnsi="Times New Roman"/>
          <w:sz w:val="24"/>
        </w:rPr>
        <w:t>r</w:t>
      </w:r>
      <w:r w:rsidR="00007677">
        <w:rPr>
          <w:rFonts w:ascii="Times New Roman" w:hAnsi="Times New Roman"/>
          <w:sz w:val="24"/>
        </w:rPr>
        <w:t>ightholders</w:t>
      </w:r>
      <w:r w:rsidRPr="0055729D">
        <w:rPr>
          <w:rFonts w:ascii="Times New Roman" w:hAnsi="Times New Roman" w:cs="Times New Roman"/>
          <w:sz w:val="24"/>
          <w:szCs w:val="24"/>
        </w:rPr>
        <w:t xml:space="preserve"> in the music sector</w:t>
      </w:r>
      <w:r w:rsidRPr="00D1507D">
        <w:rPr>
          <w:rFonts w:ascii="Times New Roman" w:hAnsi="Times New Roman"/>
          <w:sz w:val="24"/>
        </w:rPr>
        <w:t xml:space="preserve"> that the expected remuneration should be similar to the revenues generated by the free tiers of other content services (to the extent it is possible to differentiate free tier revenues from premium service ones</w:t>
      </w:r>
      <w:r w:rsidRPr="0055729D">
        <w:rPr>
          <w:rFonts w:ascii="Times New Roman" w:hAnsi="Times New Roman" w:cs="Times New Roman"/>
          <w:sz w:val="24"/>
          <w:szCs w:val="24"/>
        </w:rPr>
        <w:t>)</w:t>
      </w:r>
      <w:r w:rsidR="0048209F">
        <w:rPr>
          <w:rFonts w:ascii="Times New Roman" w:hAnsi="Times New Roman" w:cs="Times New Roman"/>
          <w:sz w:val="24"/>
          <w:szCs w:val="24"/>
        </w:rPr>
        <w:t>.</w:t>
      </w:r>
      <w:r w:rsidRPr="0055729D">
        <w:rPr>
          <w:rFonts w:ascii="Times New Roman" w:hAnsi="Times New Roman" w:cs="Times New Roman"/>
          <w:sz w:val="24"/>
          <w:szCs w:val="24"/>
          <w:vertAlign w:val="superscript"/>
        </w:rPr>
        <w:footnoteReference w:id="465"/>
      </w:r>
      <w:r w:rsidRPr="00D1507D">
        <w:rPr>
          <w:rFonts w:ascii="Times New Roman" w:hAnsi="Times New Roman"/>
          <w:sz w:val="24"/>
        </w:rPr>
        <w:t xml:space="preserve">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 xml:space="preserve">The deployment of technologies that are necessary to </w:t>
      </w:r>
      <w:r w:rsidRPr="009878AD">
        <w:rPr>
          <w:rFonts w:ascii="Times New Roman" w:hAnsi="Times New Roman" w:cs="Times New Roman"/>
          <w:sz w:val="24"/>
          <w:szCs w:val="24"/>
        </w:rPr>
        <w:t>identify content</w:t>
      </w:r>
      <w:r w:rsidRPr="0055729D">
        <w:rPr>
          <w:rFonts w:ascii="Times New Roman" w:hAnsi="Times New Roman" w:cs="Times New Roman"/>
          <w:sz w:val="24"/>
          <w:szCs w:val="24"/>
        </w:rPr>
        <w:t xml:space="preserve"> and </w:t>
      </w:r>
      <w:r w:rsidRPr="00D1507D">
        <w:rPr>
          <w:rFonts w:ascii="Times New Roman" w:hAnsi="Times New Roman"/>
          <w:sz w:val="24"/>
        </w:rPr>
        <w:t xml:space="preserve">make the </w:t>
      </w:r>
      <w:r w:rsidRPr="0055729D">
        <w:rPr>
          <w:rFonts w:ascii="Times New Roman" w:hAnsi="Times New Roman" w:cs="Times New Roman"/>
          <w:sz w:val="24"/>
          <w:szCs w:val="24"/>
        </w:rPr>
        <w:t xml:space="preserve">conclusion of </w:t>
      </w:r>
      <w:r w:rsidRPr="00D1507D">
        <w:rPr>
          <w:rFonts w:ascii="Times New Roman" w:hAnsi="Times New Roman"/>
          <w:sz w:val="24"/>
        </w:rPr>
        <w:t xml:space="preserve">agreements </w:t>
      </w:r>
      <w:r w:rsidRPr="0055729D">
        <w:rPr>
          <w:rFonts w:ascii="Times New Roman" w:hAnsi="Times New Roman" w:cs="Times New Roman"/>
          <w:sz w:val="24"/>
          <w:szCs w:val="24"/>
        </w:rPr>
        <w:t>possible</w:t>
      </w:r>
      <w:r w:rsidRPr="00D1507D">
        <w:rPr>
          <w:rFonts w:ascii="Times New Roman" w:hAnsi="Times New Roman"/>
          <w:sz w:val="24"/>
        </w:rPr>
        <w:t xml:space="preserve"> will imply some costs for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These costs will arise where they provide data (e.g. contents or fingerprints depending on the technology used</w:t>
      </w:r>
      <w:r w:rsidRPr="00D1507D">
        <w:rPr>
          <w:rFonts w:ascii="Times New Roman" w:hAnsi="Times New Roman"/>
          <w:sz w:val="24"/>
          <w:vertAlign w:val="superscript"/>
        </w:rPr>
        <w:footnoteReference w:id="466"/>
      </w:r>
      <w:r w:rsidRPr="00D1507D">
        <w:rPr>
          <w:rFonts w:ascii="Times New Roman" w:hAnsi="Times New Roman"/>
          <w:sz w:val="24"/>
        </w:rPr>
        <w:t xml:space="preserve">) necessary for the content identification technologies to work. When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already provide such data to major online services, the impact is expected to be limited and outweighed by the positive impacts of this option.</w:t>
      </w:r>
      <w:r w:rsidRPr="0055729D">
        <w:rPr>
          <w:rFonts w:ascii="Times New Roman" w:hAnsi="Times New Roman" w:cs="Times New Roman"/>
          <w:sz w:val="24"/>
          <w:szCs w:val="24"/>
        </w:rPr>
        <w:t xml:space="preserve">  </w:t>
      </w:r>
    </w:p>
    <w:p w:rsidR="002A7940" w:rsidRPr="0055729D" w:rsidRDefault="002A7940" w:rsidP="002A7940">
      <w:pPr>
        <w:spacing w:after="0" w:line="240" w:lineRule="auto"/>
        <w:jc w:val="both"/>
        <w:rPr>
          <w:rFonts w:ascii="Times New Roman" w:hAnsi="Times New Roman" w:cs="Times New Roman"/>
          <w:b/>
          <w:sz w:val="24"/>
          <w:szCs w:val="24"/>
        </w:rPr>
      </w:pPr>
    </w:p>
    <w:p w:rsidR="002A7940" w:rsidRPr="00D1507D" w:rsidRDefault="002A7940" w:rsidP="00D1507D">
      <w:pPr>
        <w:spacing w:after="0" w:line="240" w:lineRule="auto"/>
        <w:jc w:val="both"/>
        <w:rPr>
          <w:b/>
        </w:rPr>
      </w:pPr>
      <w:r w:rsidRPr="00D1507D">
        <w:rPr>
          <w:rFonts w:ascii="Times New Roman" w:hAnsi="Times New Roman"/>
          <w:b/>
          <w:sz w:val="24"/>
        </w:rPr>
        <w:t xml:space="preserve">Online services that store and give access to large amounts of </w:t>
      </w:r>
      <w:r w:rsidR="0048209F">
        <w:rPr>
          <w:rFonts w:ascii="Times New Roman" w:hAnsi="Times New Roman"/>
          <w:b/>
          <w:sz w:val="24"/>
        </w:rPr>
        <w:t xml:space="preserve">protected </w:t>
      </w:r>
      <w:r w:rsidRPr="0055729D">
        <w:rPr>
          <w:rFonts w:ascii="Times New Roman" w:hAnsi="Times New Roman" w:cs="Times New Roman"/>
          <w:b/>
          <w:sz w:val="24"/>
          <w:szCs w:val="24"/>
        </w:rPr>
        <w:t>content</w:t>
      </w:r>
      <w:r w:rsidRPr="00D1507D">
        <w:rPr>
          <w:rFonts w:ascii="Times New Roman" w:hAnsi="Times New Roman"/>
          <w:b/>
          <w:sz w:val="24"/>
        </w:rPr>
        <w:t xml:space="preserve"> uploaded </w:t>
      </w:r>
      <w:r w:rsidRPr="0055729D">
        <w:rPr>
          <w:rFonts w:ascii="Times New Roman" w:hAnsi="Times New Roman" w:cs="Times New Roman"/>
          <w:b/>
          <w:sz w:val="24"/>
          <w:szCs w:val="24"/>
        </w:rPr>
        <w:t>by</w:t>
      </w:r>
      <w:r w:rsidRPr="00F170B0">
        <w:rPr>
          <w:rFonts w:ascii="Times New Roman" w:hAnsi="Times New Roman" w:cs="Times New Roman"/>
          <w:b/>
          <w:sz w:val="24"/>
          <w:szCs w:val="24"/>
        </w:rPr>
        <w:t xml:space="preserve"> their </w:t>
      </w:r>
      <w:r w:rsidRPr="0055729D">
        <w:rPr>
          <w:rFonts w:ascii="Times New Roman" w:hAnsi="Times New Roman" w:cs="Times New Roman"/>
          <w:b/>
          <w:sz w:val="24"/>
          <w:szCs w:val="24"/>
        </w:rPr>
        <w:t>users</w:t>
      </w:r>
      <w:r w:rsidRPr="00D1507D">
        <w:rPr>
          <w:rFonts w:ascii="Times New Roman" w:hAnsi="Times New Roman"/>
          <w:b/>
          <w:sz w:val="24"/>
          <w:vertAlign w:val="superscript"/>
        </w:rPr>
        <w:footnoteReference w:id="467"/>
      </w:r>
    </w:p>
    <w:p w:rsidR="002A7940" w:rsidRPr="00A24222" w:rsidRDefault="002A7940" w:rsidP="002A7940">
      <w:pPr>
        <w:spacing w:after="0" w:line="240" w:lineRule="auto"/>
        <w:jc w:val="both"/>
        <w:rPr>
          <w:rFonts w:ascii="Times New Roman" w:hAnsi="Times New Roman" w:cs="Times New Roman"/>
          <w:sz w:val="24"/>
          <w:szCs w:val="24"/>
        </w:rPr>
      </w:pPr>
      <w:r w:rsidRPr="00D1507D">
        <w:rPr>
          <w:rFonts w:ascii="Times New Roman" w:hAnsi="Times New Roman"/>
          <w:sz w:val="24"/>
          <w:u w:val="single"/>
        </w:rPr>
        <w:t>Compliance costs/</w:t>
      </w:r>
      <w:r w:rsidRPr="00BD1E79">
        <w:rPr>
          <w:rFonts w:ascii="Times New Roman" w:hAnsi="Times New Roman" w:cs="Times New Roman"/>
          <w:sz w:val="24"/>
          <w:szCs w:val="24"/>
          <w:u w:val="single"/>
        </w:rPr>
        <w:t xml:space="preserve"> </w:t>
      </w:r>
      <w:r w:rsidRPr="00D1507D">
        <w:rPr>
          <w:rFonts w:ascii="Times New Roman" w:hAnsi="Times New Roman"/>
          <w:sz w:val="24"/>
          <w:u w:val="single"/>
        </w:rPr>
        <w:t>investments needed for putting in place appropriate measures</w:t>
      </w:r>
      <w:r w:rsidRPr="00BD1E79">
        <w:rPr>
          <w:rFonts w:ascii="Times New Roman" w:hAnsi="Times New Roman" w:cs="Times New Roman"/>
          <w:sz w:val="24"/>
          <w:szCs w:val="24"/>
          <w:u w:val="single"/>
        </w:rPr>
        <w:t xml:space="preserve"> and </w:t>
      </w:r>
      <w:r w:rsidRPr="00D1507D">
        <w:rPr>
          <w:rFonts w:ascii="Times New Roman" w:hAnsi="Times New Roman"/>
          <w:sz w:val="24"/>
          <w:u w:val="single"/>
        </w:rPr>
        <w:t xml:space="preserve">negotiating </w:t>
      </w:r>
      <w:r w:rsidRPr="00BD1E79">
        <w:rPr>
          <w:rFonts w:ascii="Times New Roman" w:hAnsi="Times New Roman" w:cs="Times New Roman"/>
          <w:sz w:val="24"/>
          <w:szCs w:val="24"/>
          <w:u w:val="single"/>
        </w:rPr>
        <w:t>with</w:t>
      </w:r>
      <w:r w:rsidRPr="00D1507D">
        <w:rPr>
          <w:rFonts w:ascii="Times New Roman" w:hAnsi="Times New Roman"/>
          <w:sz w:val="24"/>
          <w:u w:val="single"/>
        </w:rPr>
        <w:t xml:space="preserve"> </w:t>
      </w:r>
      <w:r w:rsidR="00687496">
        <w:rPr>
          <w:rFonts w:ascii="Times New Roman" w:hAnsi="Times New Roman"/>
          <w:sz w:val="24"/>
          <w:u w:val="single"/>
        </w:rPr>
        <w:t>r</w:t>
      </w:r>
      <w:r w:rsidR="00007677">
        <w:rPr>
          <w:rFonts w:ascii="Times New Roman" w:hAnsi="Times New Roman"/>
          <w:sz w:val="24"/>
          <w:u w:val="single"/>
        </w:rPr>
        <w:t>ightholders</w:t>
      </w:r>
      <w:r w:rsidRPr="00D1507D">
        <w:rPr>
          <w:rFonts w:ascii="Times New Roman" w:hAnsi="Times New Roman"/>
          <w:sz w:val="24"/>
          <w:u w:val="single"/>
        </w:rPr>
        <w:t xml:space="preserve"> </w:t>
      </w:r>
      <w:r w:rsidRPr="00BD1E79">
        <w:rPr>
          <w:rFonts w:ascii="Times New Roman" w:hAnsi="Times New Roman" w:cs="Times New Roman"/>
          <w:sz w:val="24"/>
          <w:szCs w:val="24"/>
          <w:u w:val="single"/>
        </w:rPr>
        <w:t xml:space="preserve">the </w:t>
      </w:r>
      <w:r w:rsidRPr="00D1507D">
        <w:rPr>
          <w:rFonts w:ascii="Times New Roman" w:hAnsi="Times New Roman"/>
          <w:sz w:val="24"/>
          <w:u w:val="single"/>
        </w:rPr>
        <w:t xml:space="preserve">use of </w:t>
      </w:r>
      <w:r w:rsidRPr="00BD1E79">
        <w:rPr>
          <w:rFonts w:ascii="Times New Roman" w:hAnsi="Times New Roman" w:cs="Times New Roman"/>
          <w:sz w:val="24"/>
          <w:szCs w:val="24"/>
          <w:u w:val="single"/>
        </w:rPr>
        <w:t>their</w:t>
      </w:r>
      <w:r w:rsidRPr="00D1507D">
        <w:rPr>
          <w:rFonts w:ascii="Times New Roman" w:hAnsi="Times New Roman"/>
          <w:sz w:val="24"/>
          <w:u w:val="single"/>
        </w:rPr>
        <w:t xml:space="preserve"> content</w:t>
      </w:r>
      <w:r w:rsidRPr="00BD1E79">
        <w:rPr>
          <w:rFonts w:ascii="Times New Roman" w:hAnsi="Times New Roman" w:cs="Times New Roman"/>
          <w:sz w:val="24"/>
          <w:szCs w:val="24"/>
          <w:u w:val="single"/>
        </w:rPr>
        <w:t>:</w:t>
      </w:r>
      <w:r w:rsidRPr="0055729D">
        <w:rPr>
          <w:rFonts w:ascii="Times New Roman" w:hAnsi="Times New Roman" w:cs="Times New Roman"/>
          <w:i/>
          <w:sz w:val="24"/>
          <w:szCs w:val="24"/>
        </w:rPr>
        <w:t xml:space="preserve"> </w:t>
      </w:r>
      <w:r w:rsidRPr="0055729D">
        <w:rPr>
          <w:rFonts w:ascii="Times New Roman" w:hAnsi="Times New Roman" w:cs="Times New Roman"/>
          <w:sz w:val="24"/>
          <w:szCs w:val="24"/>
        </w:rPr>
        <w:t>The</w:t>
      </w:r>
      <w:r w:rsidRPr="00D1507D">
        <w:rPr>
          <w:rFonts w:ascii="Times New Roman" w:hAnsi="Times New Roman"/>
          <w:sz w:val="24"/>
        </w:rPr>
        <w:t xml:space="preserve"> need to put in place measures, such as content identification technologies</w:t>
      </w:r>
      <w:r>
        <w:rPr>
          <w:rFonts w:ascii="Times New Roman" w:hAnsi="Times New Roman" w:cs="Times New Roman"/>
          <w:sz w:val="24"/>
          <w:szCs w:val="24"/>
        </w:rPr>
        <w:t>,</w:t>
      </w:r>
      <w:r w:rsidRPr="00D1507D">
        <w:rPr>
          <w:rFonts w:ascii="Times New Roman" w:hAnsi="Times New Roman"/>
          <w:sz w:val="24"/>
        </w:rPr>
        <w:t xml:space="preserve"> will involve costs which will depend on the quantity and the type of content to be identified</w:t>
      </w:r>
      <w:r w:rsidRPr="0055729D">
        <w:rPr>
          <w:rFonts w:ascii="Times New Roman" w:hAnsi="Times New Roman" w:cs="Times New Roman"/>
          <w:sz w:val="24"/>
          <w:szCs w:val="24"/>
        </w:rPr>
        <w:t>, but also on whether online services already</w:t>
      </w:r>
      <w:r w:rsidRPr="00D1507D">
        <w:rPr>
          <w:rFonts w:ascii="Times New Roman" w:hAnsi="Times New Roman"/>
          <w:sz w:val="24"/>
        </w:rPr>
        <w:t xml:space="preserve"> use </w:t>
      </w:r>
      <w:r w:rsidRPr="0055729D">
        <w:rPr>
          <w:rFonts w:ascii="Times New Roman" w:hAnsi="Times New Roman" w:cs="Times New Roman"/>
          <w:sz w:val="24"/>
          <w:szCs w:val="24"/>
        </w:rPr>
        <w:t>technologies or not.</w:t>
      </w:r>
      <w:r>
        <w:rPr>
          <w:rFonts w:ascii="Times New Roman" w:hAnsi="Times New Roman" w:cs="Times New Roman"/>
          <w:sz w:val="24"/>
          <w:szCs w:val="24"/>
        </w:rPr>
        <w:t xml:space="preserve"> </w:t>
      </w:r>
      <w:r w:rsidRPr="00A24222">
        <w:rPr>
          <w:rFonts w:ascii="Times New Roman" w:hAnsi="Times New Roman" w:cs="Times New Roman"/>
          <w:sz w:val="24"/>
          <w:szCs w:val="24"/>
        </w:rPr>
        <w:t>This option does not impose any specific</w:t>
      </w:r>
      <w:r w:rsidRPr="00D1507D">
        <w:rPr>
          <w:rFonts w:ascii="Times New Roman" w:hAnsi="Times New Roman"/>
          <w:sz w:val="24"/>
        </w:rPr>
        <w:t xml:space="preserve"> technology </w:t>
      </w:r>
      <w:r w:rsidRPr="00A24222">
        <w:rPr>
          <w:rFonts w:ascii="Times New Roman" w:hAnsi="Times New Roman" w:cs="Times New Roman"/>
          <w:sz w:val="24"/>
          <w:szCs w:val="24"/>
        </w:rPr>
        <w:t>to be used.</w:t>
      </w:r>
      <w:r w:rsidRPr="00D1507D">
        <w:rPr>
          <w:rFonts w:ascii="Times New Roman" w:hAnsi="Times New Roman"/>
          <w:sz w:val="24"/>
        </w:rPr>
        <w:t xml:space="preserve"> An online service can choose between </w:t>
      </w:r>
      <w:r w:rsidRPr="00EB2185">
        <w:rPr>
          <w:rFonts w:ascii="Times New Roman" w:hAnsi="Times New Roman" w:cs="Times New Roman"/>
          <w:sz w:val="24"/>
          <w:szCs w:val="24"/>
        </w:rPr>
        <w:t>appropriate</w:t>
      </w:r>
      <w:r w:rsidRPr="00D1507D">
        <w:rPr>
          <w:rFonts w:ascii="Times New Roman" w:hAnsi="Times New Roman"/>
          <w:sz w:val="24"/>
        </w:rPr>
        <w:t xml:space="preserve"> technology </w:t>
      </w:r>
      <w:r w:rsidRPr="00A24222">
        <w:rPr>
          <w:rFonts w:ascii="Times New Roman" w:hAnsi="Times New Roman" w:cs="Times New Roman"/>
          <w:sz w:val="24"/>
          <w:szCs w:val="24"/>
        </w:rPr>
        <w:t>solutions</w:t>
      </w:r>
      <w:r w:rsidRPr="00D1507D">
        <w:rPr>
          <w:rFonts w:ascii="Times New Roman" w:hAnsi="Times New Roman"/>
          <w:sz w:val="24"/>
        </w:rPr>
        <w:t xml:space="preserve"> taking into account the specificities and needs of its service as well as its size. </w:t>
      </w:r>
    </w:p>
    <w:p w:rsidR="002A7940" w:rsidRPr="00D1507D" w:rsidRDefault="002A7940" w:rsidP="00D1507D">
      <w:pPr>
        <w:spacing w:after="0" w:line="240" w:lineRule="auto"/>
        <w:jc w:val="both"/>
        <w:rPr>
          <w:rFonts w:ascii="Times New Roman" w:hAnsi="Times New Roman"/>
          <w:sz w:val="24"/>
        </w:rPr>
      </w:pPr>
      <w:r w:rsidRPr="00A24222">
        <w:rPr>
          <w:rFonts w:ascii="Times New Roman" w:hAnsi="Times New Roman" w:cs="Times New Roman"/>
          <w:sz w:val="24"/>
          <w:szCs w:val="24"/>
        </w:rPr>
        <w:t>Different technologies and related services are available on the market. The prices offered by the technology providers vary with the scale and types of services provided</w:t>
      </w:r>
      <w:r w:rsidR="0048209F">
        <w:rPr>
          <w:rFonts w:ascii="Times New Roman" w:hAnsi="Times New Roman" w:cs="Times New Roman"/>
          <w:sz w:val="24"/>
          <w:szCs w:val="24"/>
        </w:rPr>
        <w:t>.</w:t>
      </w:r>
      <w:r w:rsidRPr="00A24222">
        <w:rPr>
          <w:rStyle w:val="FootnoteReference"/>
          <w:rFonts w:ascii="Times New Roman" w:hAnsi="Times New Roman" w:cs="Times New Roman"/>
          <w:sz w:val="24"/>
          <w:szCs w:val="24"/>
        </w:rPr>
        <w:footnoteReference w:id="468"/>
      </w:r>
      <w:r w:rsidRPr="00A24222">
        <w:rPr>
          <w:rFonts w:ascii="Times New Roman" w:hAnsi="Times New Roman" w:cs="Times New Roman"/>
          <w:sz w:val="24"/>
          <w:szCs w:val="24"/>
        </w:rPr>
        <w:t xml:space="preserve"> In practice, technologies</w:t>
      </w:r>
      <w:r w:rsidRPr="00D1507D">
        <w:rPr>
          <w:rFonts w:ascii="Times New Roman" w:hAnsi="Times New Roman"/>
          <w:sz w:val="24"/>
        </w:rPr>
        <w:t xml:space="preserve"> with basic functionalities, allowing one to one recognition of content (such as music recordings) would be the least costly, whereas more elaborate technologies that could be required to identify certain types of works (e.g. the underlying composition of a recording) would be more costly</w:t>
      </w:r>
      <w:r w:rsidR="00B812A2">
        <w:rPr>
          <w:rFonts w:ascii="Times New Roman" w:hAnsi="Times New Roman"/>
          <w:sz w:val="24"/>
        </w:rPr>
        <w:t>.</w:t>
      </w:r>
      <w:r w:rsidRPr="00D1507D">
        <w:rPr>
          <w:rFonts w:ascii="Times New Roman" w:hAnsi="Times New Roman"/>
          <w:sz w:val="24"/>
        </w:rPr>
        <w:t xml:space="preserve"> </w:t>
      </w:r>
      <w:r w:rsidRPr="00A24222">
        <w:rPr>
          <w:rFonts w:ascii="Times New Roman" w:hAnsi="Times New Roman" w:cs="Times New Roman"/>
          <w:sz w:val="24"/>
          <w:szCs w:val="24"/>
        </w:rPr>
        <w:t>Many</w:t>
      </w:r>
      <w:r w:rsidRPr="00F170B0">
        <w:rPr>
          <w:rFonts w:ascii="Times New Roman" w:hAnsi="Times New Roman" w:cs="Times New Roman"/>
          <w:sz w:val="24"/>
          <w:szCs w:val="24"/>
        </w:rPr>
        <w:t xml:space="preserve"> of the online intermediaries replying to the public consultation on platforms indicated that it is very difficult to provide an estimation of the financial costs of running such technologies</w:t>
      </w:r>
      <w:r w:rsidR="00B812A2">
        <w:rPr>
          <w:rFonts w:ascii="Times New Roman" w:hAnsi="Times New Roman" w:cs="Times New Roman"/>
          <w:sz w:val="24"/>
          <w:szCs w:val="24"/>
        </w:rPr>
        <w:t>.</w:t>
      </w:r>
      <w:r w:rsidRPr="00D1507D">
        <w:rPr>
          <w:rFonts w:ascii="Times New Roman" w:hAnsi="Times New Roman"/>
          <w:sz w:val="24"/>
          <w:vertAlign w:val="superscript"/>
        </w:rPr>
        <w:footnoteReference w:id="469"/>
      </w:r>
      <w:r w:rsidRPr="00F170B0">
        <w:rPr>
          <w:rFonts w:ascii="Times New Roman" w:hAnsi="Times New Roman" w:cs="Times New Roman"/>
          <w:sz w:val="24"/>
          <w:szCs w:val="24"/>
        </w:rPr>
        <w:t>For example, on the basis of the information available, it is estimated that a small scale online service provider</w:t>
      </w:r>
      <w:r>
        <w:rPr>
          <w:rFonts w:ascii="Times New Roman" w:hAnsi="Times New Roman" w:cs="Times New Roman"/>
          <w:sz w:val="24"/>
          <w:szCs w:val="24"/>
        </w:rPr>
        <w:t xml:space="preserve"> </w:t>
      </w:r>
      <w:r w:rsidRPr="00A24222">
        <w:rPr>
          <w:rFonts w:ascii="Times New Roman" w:hAnsi="Times New Roman" w:cs="Times New Roman"/>
          <w:sz w:val="24"/>
          <w:szCs w:val="24"/>
        </w:rPr>
        <w:t xml:space="preserve">with a relatively low number of monthly transactions can obtain such services as from </w:t>
      </w:r>
      <w:r w:rsidR="00B812A2">
        <w:rPr>
          <w:rFonts w:ascii="Times New Roman" w:hAnsi="Times New Roman" w:cs="Times New Roman"/>
          <w:sz w:val="24"/>
          <w:szCs w:val="24"/>
        </w:rPr>
        <w:t>€</w:t>
      </w:r>
      <w:r w:rsidRPr="00A24222">
        <w:rPr>
          <w:rFonts w:ascii="Times New Roman" w:hAnsi="Times New Roman" w:cs="Times New Roman"/>
          <w:sz w:val="24"/>
          <w:szCs w:val="24"/>
        </w:rPr>
        <w:t>900 a month</w:t>
      </w:r>
      <w:r w:rsidR="00394BDA">
        <w:rPr>
          <w:rFonts w:ascii="Times New Roman" w:hAnsi="Times New Roman" w:cs="Times New Roman"/>
          <w:sz w:val="24"/>
          <w:szCs w:val="24"/>
        </w:rPr>
        <w:t>.</w:t>
      </w:r>
      <w:r w:rsidRPr="00A24222">
        <w:rPr>
          <w:rFonts w:ascii="Times New Roman" w:hAnsi="Times New Roman" w:cs="Times New Roman"/>
          <w:sz w:val="24"/>
          <w:szCs w:val="24"/>
          <w:vertAlign w:val="superscript"/>
        </w:rPr>
        <w:footnoteReference w:id="470"/>
      </w:r>
      <w:r w:rsidR="00394BDA">
        <w:rPr>
          <w:rFonts w:ascii="Times New Roman" w:hAnsi="Times New Roman"/>
          <w:sz w:val="24"/>
        </w:rPr>
        <w:t xml:space="preserve"> </w:t>
      </w:r>
      <w:r w:rsidRPr="00D1507D">
        <w:rPr>
          <w:rFonts w:ascii="Times New Roman" w:hAnsi="Times New Roman"/>
          <w:sz w:val="24"/>
        </w:rPr>
        <w:t xml:space="preserve">For online services hosting large amounts of different works, the cost </w:t>
      </w:r>
      <w:r w:rsidRPr="00A24222">
        <w:rPr>
          <w:rFonts w:ascii="Times New Roman" w:hAnsi="Times New Roman" w:cs="Times New Roman"/>
          <w:sz w:val="24"/>
          <w:szCs w:val="24"/>
        </w:rPr>
        <w:t>can</w:t>
      </w:r>
      <w:r w:rsidRPr="00D1507D">
        <w:rPr>
          <w:rFonts w:ascii="Times New Roman" w:hAnsi="Times New Roman"/>
          <w:sz w:val="24"/>
        </w:rPr>
        <w:t xml:space="preserve"> be </w:t>
      </w:r>
      <w:r w:rsidRPr="00A24222">
        <w:rPr>
          <w:rFonts w:ascii="Times New Roman" w:hAnsi="Times New Roman" w:cs="Times New Roman"/>
          <w:sz w:val="24"/>
          <w:szCs w:val="24"/>
        </w:rPr>
        <w:t xml:space="preserve">significantly </w:t>
      </w:r>
      <w:r w:rsidRPr="00D1507D">
        <w:rPr>
          <w:rFonts w:ascii="Times New Roman" w:hAnsi="Times New Roman"/>
          <w:sz w:val="24"/>
        </w:rPr>
        <w:t>higher. At the same time, the major online user uploaded content services have already put in place content identification technologies</w:t>
      </w:r>
      <w:r w:rsidRPr="00D1507D">
        <w:rPr>
          <w:rFonts w:ascii="Times New Roman" w:hAnsi="Times New Roman"/>
          <w:sz w:val="24"/>
          <w:vertAlign w:val="superscript"/>
        </w:rPr>
        <w:footnoteReference w:id="471"/>
      </w:r>
      <w:r w:rsidRPr="00D1507D">
        <w:rPr>
          <w:rFonts w:ascii="Times New Roman" w:hAnsi="Times New Roman"/>
          <w:sz w:val="24"/>
        </w:rPr>
        <w:t xml:space="preserve"> and therefore the costs for them are likely to be limited </w:t>
      </w:r>
      <w:r w:rsidRPr="0055729D">
        <w:rPr>
          <w:rFonts w:ascii="Times New Roman" w:hAnsi="Times New Roman" w:cs="Times New Roman"/>
          <w:sz w:val="24"/>
          <w:szCs w:val="24"/>
        </w:rPr>
        <w:t xml:space="preserve">and would above all relate </w:t>
      </w:r>
      <w:r w:rsidRPr="00D1507D">
        <w:rPr>
          <w:rFonts w:ascii="Times New Roman" w:hAnsi="Times New Roman"/>
          <w:sz w:val="24"/>
        </w:rPr>
        <w:t xml:space="preserve">to the need to cooperate with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on the functioning and efficiency of the technologies used </w:t>
      </w:r>
      <w:r w:rsidRPr="0055729D">
        <w:rPr>
          <w:rFonts w:ascii="Times New Roman" w:hAnsi="Times New Roman" w:cs="Times New Roman"/>
          <w:sz w:val="24"/>
          <w:szCs w:val="24"/>
        </w:rPr>
        <w:t>and to provide greater transparency</w:t>
      </w:r>
      <w:r>
        <w:rPr>
          <w:rFonts w:ascii="Times New Roman" w:hAnsi="Times New Roman" w:cs="Times New Roman"/>
          <w:sz w:val="24"/>
          <w:szCs w:val="24"/>
        </w:rPr>
        <w:t xml:space="preserve">. </w:t>
      </w:r>
      <w:r w:rsidRPr="0055729D">
        <w:rPr>
          <w:rFonts w:ascii="Times New Roman" w:hAnsi="Times New Roman" w:cs="Times New Roman"/>
          <w:sz w:val="24"/>
          <w:szCs w:val="24"/>
        </w:rPr>
        <w:t xml:space="preserve">Some costs may also arise from the </w:t>
      </w:r>
      <w:r w:rsidRPr="009878AD">
        <w:rPr>
          <w:rFonts w:ascii="Times New Roman" w:hAnsi="Times New Roman" w:cs="Times New Roman"/>
          <w:sz w:val="24"/>
          <w:szCs w:val="24"/>
        </w:rPr>
        <w:t>need to put in place procedures to enable users to contest situations where the application of technology would limit,</w:t>
      </w:r>
      <w:r>
        <w:rPr>
          <w:rFonts w:ascii="Times New Roman" w:hAnsi="Times New Roman" w:cs="Times New Roman"/>
          <w:sz w:val="24"/>
          <w:szCs w:val="24"/>
        </w:rPr>
        <w:t xml:space="preserve"> </w:t>
      </w:r>
      <w:r w:rsidRPr="00A24222">
        <w:rPr>
          <w:rFonts w:ascii="Times New Roman" w:hAnsi="Times New Roman" w:cs="Times New Roman"/>
          <w:sz w:val="24"/>
          <w:szCs w:val="24"/>
        </w:rPr>
        <w:t>in an unjustified manner, their possibility to upload content. These costs are however expected to be limited as procedures with the similar purpose are in practi</w:t>
      </w:r>
      <w:r w:rsidR="0048209F">
        <w:rPr>
          <w:rFonts w:ascii="Times New Roman" w:hAnsi="Times New Roman" w:cs="Times New Roman"/>
          <w:sz w:val="24"/>
          <w:szCs w:val="24"/>
        </w:rPr>
        <w:t>c</w:t>
      </w:r>
      <w:r w:rsidRPr="00A24222">
        <w:rPr>
          <w:rFonts w:ascii="Times New Roman" w:hAnsi="Times New Roman" w:cs="Times New Roman"/>
          <w:sz w:val="24"/>
          <w:szCs w:val="24"/>
        </w:rPr>
        <w:t>e in many cases already in place, including in the context of notice and take down mechanisms for hosting service providers</w:t>
      </w:r>
      <w:r>
        <w:rPr>
          <w:rFonts w:ascii="Times New Roman" w:hAnsi="Times New Roman" w:cs="Times New Roman"/>
          <w:sz w:val="24"/>
          <w:szCs w:val="24"/>
        </w:rPr>
        <w:t>.</w:t>
      </w:r>
      <w:r w:rsidRPr="00A24222">
        <w:rPr>
          <w:rStyle w:val="FootnoteReference"/>
          <w:rFonts w:ascii="Times New Roman" w:hAnsi="Times New Roman" w:cs="Times New Roman"/>
          <w:sz w:val="24"/>
          <w:szCs w:val="24"/>
        </w:rPr>
        <w:footnoteReference w:id="472"/>
      </w:r>
    </w:p>
    <w:p w:rsidR="002A7940" w:rsidRPr="0055729D" w:rsidRDefault="002A7940" w:rsidP="002A7940">
      <w:pPr>
        <w:spacing w:after="0" w:line="240" w:lineRule="auto"/>
        <w:jc w:val="both"/>
        <w:rPr>
          <w:rFonts w:ascii="Times New Roman" w:hAnsi="Times New Roman" w:cs="Times New Roman"/>
          <w:sz w:val="24"/>
          <w:szCs w:val="24"/>
        </w:rPr>
      </w:pPr>
    </w:p>
    <w:p w:rsidR="002A7940" w:rsidRPr="0055729D" w:rsidRDefault="002A7940" w:rsidP="002A7940">
      <w:pPr>
        <w:spacing w:after="0" w:line="240" w:lineRule="auto"/>
        <w:jc w:val="both"/>
        <w:rPr>
          <w:rFonts w:ascii="Times New Roman" w:hAnsi="Times New Roman" w:cs="Times New Roman"/>
          <w:sz w:val="24"/>
          <w:szCs w:val="24"/>
        </w:rPr>
      </w:pPr>
      <w:r w:rsidRPr="0055729D">
        <w:rPr>
          <w:rFonts w:ascii="Times New Roman" w:hAnsi="Times New Roman" w:cs="Times New Roman"/>
          <w:sz w:val="24"/>
          <w:szCs w:val="24"/>
        </w:rPr>
        <w:t xml:space="preserve">Due to the improved control for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 xml:space="preserve"> over the presence of their content on user uploaded content services, the services are expected to negotiate agreements with more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 xml:space="preserve"> to be able to keep their content available to the end users. In such cases, costs would arise for service providers that have so far refused to enter into negotiations or for those that may need to renegotiate their existing agreements at the request of </w:t>
      </w:r>
      <w:r w:rsidR="00687496">
        <w:rPr>
          <w:rFonts w:ascii="Times New Roman" w:hAnsi="Times New Roman" w:cs="Times New Roman"/>
          <w:sz w:val="24"/>
          <w:szCs w:val="24"/>
        </w:rPr>
        <w:t>r</w:t>
      </w:r>
      <w:r w:rsidR="00007677">
        <w:rPr>
          <w:rFonts w:ascii="Times New Roman" w:hAnsi="Times New Roman" w:cs="Times New Roman"/>
          <w:sz w:val="24"/>
          <w:szCs w:val="24"/>
        </w:rPr>
        <w:t>ightholders</w:t>
      </w:r>
      <w:r w:rsidRPr="0055729D">
        <w:rPr>
          <w:rFonts w:ascii="Times New Roman" w:hAnsi="Times New Roman" w:cs="Times New Roman"/>
          <w:sz w:val="24"/>
          <w:szCs w:val="24"/>
        </w:rPr>
        <w:t>.</w:t>
      </w:r>
      <w:r w:rsidRPr="00D1507D">
        <w:rPr>
          <w:rFonts w:ascii="Times New Roman" w:hAnsi="Times New Roman"/>
          <w:sz w:val="24"/>
        </w:rPr>
        <w:t xml:space="preserve"> Currently</w:t>
      </w:r>
      <w:r w:rsidR="0048209F">
        <w:rPr>
          <w:rFonts w:ascii="Times New Roman" w:hAnsi="Times New Roman"/>
          <w:sz w:val="24"/>
        </w:rPr>
        <w:t>,</w:t>
      </w:r>
      <w:r w:rsidRPr="00D1507D">
        <w:rPr>
          <w:rFonts w:ascii="Times New Roman" w:hAnsi="Times New Roman"/>
          <w:sz w:val="24"/>
        </w:rPr>
        <w:t xml:space="preserve"> the major user uploaded content services tend to be enterprises of a large size for which the</w:t>
      </w:r>
      <w:r w:rsidR="0048209F">
        <w:rPr>
          <w:rFonts w:ascii="Times New Roman" w:hAnsi="Times New Roman"/>
          <w:sz w:val="24"/>
        </w:rPr>
        <w:t>se</w:t>
      </w:r>
      <w:r w:rsidRPr="00D1507D">
        <w:rPr>
          <w:rFonts w:ascii="Times New Roman" w:hAnsi="Times New Roman"/>
          <w:sz w:val="24"/>
        </w:rPr>
        <w:t xml:space="preserve"> costs are expected to be reasonable.</w:t>
      </w:r>
      <w:r w:rsidRPr="0055729D">
        <w:rPr>
          <w:rFonts w:ascii="Times New Roman" w:hAnsi="Times New Roman" w:cs="Times New Roman"/>
          <w:sz w:val="24"/>
          <w:szCs w:val="24"/>
        </w:rPr>
        <w:t xml:space="preserve"> The costs related to the negotiation </w:t>
      </w:r>
      <w:r w:rsidRPr="009878AD">
        <w:rPr>
          <w:rFonts w:ascii="Times New Roman" w:hAnsi="Times New Roman" w:cs="Times New Roman"/>
          <w:sz w:val="24"/>
          <w:szCs w:val="24"/>
        </w:rPr>
        <w:t>of agreements will be higher for SMEs but they should remain reasonable as the obligation to use technologies</w:t>
      </w:r>
      <w:r w:rsidRPr="0055729D">
        <w:rPr>
          <w:rFonts w:ascii="Times New Roman" w:hAnsi="Times New Roman" w:cs="Times New Roman"/>
          <w:sz w:val="24"/>
          <w:szCs w:val="24"/>
        </w:rPr>
        <w:t xml:space="preserve"> is limited to those service providers giving access to large amounts of content.</w:t>
      </w:r>
      <w:r w:rsidRPr="00D1507D">
        <w:rPr>
          <w:rFonts w:ascii="Times New Roman" w:hAnsi="Times New Roman"/>
          <w:sz w:val="24"/>
        </w:rPr>
        <w:t xml:space="preserve"> New entrants which start their business with a small quantity of user uploaded content would not be impacted.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b/>
          <w:sz w:val="24"/>
        </w:rPr>
        <w:t>Other content service providers</w:t>
      </w:r>
      <w:r w:rsidRPr="0055729D">
        <w:rPr>
          <w:rFonts w:ascii="Times New Roman" w:hAnsi="Times New Roman" w:cs="Times New Roman"/>
          <w:b/>
          <w:sz w:val="24"/>
          <w:szCs w:val="24"/>
        </w:rPr>
        <w:t>:</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u w:val="single"/>
        </w:rPr>
        <w:t>Impact on the level playing field</w:t>
      </w:r>
      <w:r w:rsidRPr="008323C7">
        <w:rPr>
          <w:rFonts w:ascii="Times New Roman" w:hAnsi="Times New Roman"/>
          <w:sz w:val="24"/>
        </w:rPr>
        <w:t>:</w:t>
      </w:r>
      <w:r w:rsidRPr="00D1507D">
        <w:rPr>
          <w:rFonts w:ascii="Times New Roman" w:hAnsi="Times New Roman"/>
          <w:i/>
          <w:sz w:val="24"/>
        </w:rPr>
        <w:t xml:space="preserve"> </w:t>
      </w:r>
      <w:r w:rsidRPr="0055729D">
        <w:rPr>
          <w:rFonts w:ascii="Times New Roman" w:hAnsi="Times New Roman" w:cs="Times New Roman"/>
          <w:sz w:val="24"/>
          <w:szCs w:val="24"/>
        </w:rPr>
        <w:t>this</w:t>
      </w:r>
      <w:r w:rsidRPr="00D1507D">
        <w:rPr>
          <w:rFonts w:ascii="Times New Roman" w:hAnsi="Times New Roman"/>
          <w:sz w:val="24"/>
        </w:rPr>
        <w:t xml:space="preserve"> option is likely to have a positive impact on content service providers which would not have to incur any additional costs and can only benefit from a market where providers compete on </w:t>
      </w:r>
      <w:r w:rsidRPr="0055729D">
        <w:rPr>
          <w:rFonts w:ascii="Times New Roman" w:hAnsi="Times New Roman" w:cs="Times New Roman"/>
          <w:sz w:val="24"/>
          <w:szCs w:val="24"/>
        </w:rPr>
        <w:t xml:space="preserve">more </w:t>
      </w:r>
      <w:r w:rsidRPr="00D1507D">
        <w:rPr>
          <w:rFonts w:ascii="Times New Roman" w:hAnsi="Times New Roman"/>
          <w:sz w:val="24"/>
        </w:rPr>
        <w:t xml:space="preserve">equal grounds. </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u w:val="single"/>
        </w:rPr>
        <w:t>Impact on their business model</w:t>
      </w:r>
      <w:r w:rsidRPr="008323C7">
        <w:rPr>
          <w:rFonts w:ascii="Times New Roman" w:hAnsi="Times New Roman"/>
          <w:sz w:val="24"/>
        </w:rPr>
        <w:t xml:space="preserve">: </w:t>
      </w:r>
      <w:r w:rsidRPr="0055729D">
        <w:rPr>
          <w:rFonts w:ascii="Times New Roman" w:eastAsiaTheme="minorEastAsia" w:hAnsi="Times New Roman" w:cs="Times New Roman"/>
          <w:sz w:val="24"/>
          <w:szCs w:val="24"/>
        </w:rPr>
        <w:t>given</w:t>
      </w:r>
      <w:r w:rsidRPr="00D1507D">
        <w:rPr>
          <w:rFonts w:ascii="Times New Roman" w:hAnsi="Times New Roman"/>
          <w:sz w:val="24"/>
        </w:rPr>
        <w:t xml:space="preserve"> the expected improvement of the level playing field, it would help the services to sustain or strengthen their business model.  </w:t>
      </w:r>
    </w:p>
    <w:p w:rsidR="002A7940" w:rsidRPr="00F170B0" w:rsidRDefault="002A7940" w:rsidP="002A7940">
      <w:pPr>
        <w:spacing w:after="0" w:line="240" w:lineRule="auto"/>
        <w:jc w:val="both"/>
        <w:rPr>
          <w:rFonts w:ascii="Times New Roman" w:hAnsi="Times New Roman" w:cs="Times New Roman"/>
          <w:sz w:val="24"/>
          <w:szCs w:val="24"/>
        </w:rPr>
      </w:pPr>
    </w:p>
    <w:p w:rsidR="002A7940" w:rsidRPr="0055729D" w:rsidRDefault="002A7940" w:rsidP="002A7940">
      <w:pPr>
        <w:spacing w:after="0" w:line="240" w:lineRule="auto"/>
        <w:jc w:val="both"/>
        <w:rPr>
          <w:rFonts w:ascii="Times New Roman" w:hAnsi="Times New Roman" w:cs="Times New Roman"/>
          <w:b/>
          <w:i/>
          <w:sz w:val="24"/>
          <w:szCs w:val="24"/>
          <w:u w:val="single"/>
        </w:rPr>
      </w:pPr>
      <w:r w:rsidRPr="00D1507D">
        <w:rPr>
          <w:rFonts w:ascii="Times New Roman" w:hAnsi="Times New Roman"/>
          <w:b/>
          <w:sz w:val="24"/>
        </w:rPr>
        <w:t>Consumers</w:t>
      </w:r>
      <w:r w:rsidRPr="0055729D">
        <w:rPr>
          <w:rFonts w:ascii="Times New Roman" w:hAnsi="Times New Roman" w:cs="Times New Roman"/>
          <w:b/>
          <w:sz w:val="24"/>
          <w:szCs w:val="24"/>
        </w:rPr>
        <w:t>:</w:t>
      </w:r>
      <w:r w:rsidRPr="0055729D">
        <w:rPr>
          <w:rFonts w:ascii="Times New Roman" w:hAnsi="Times New Roman" w:cs="Times New Roman"/>
          <w:sz w:val="24"/>
          <w:szCs w:val="24"/>
        </w:rPr>
        <w:t xml:space="preserve"> the</w:t>
      </w:r>
      <w:r w:rsidRPr="00D1507D">
        <w:rPr>
          <w:rFonts w:ascii="Times New Roman" w:hAnsi="Times New Roman"/>
          <w:sz w:val="24"/>
        </w:rPr>
        <w:t xml:space="preserve"> impact on consumers will depend on the possible changes made by the services to the way they function as a result of </w:t>
      </w:r>
      <w:r w:rsidRPr="0055729D">
        <w:rPr>
          <w:rFonts w:ascii="Times New Roman" w:hAnsi="Times New Roman" w:cs="Times New Roman"/>
          <w:sz w:val="24"/>
          <w:szCs w:val="24"/>
        </w:rPr>
        <w:t xml:space="preserve">the deployment of technologies and of </w:t>
      </w:r>
      <w:r w:rsidRPr="00D1507D">
        <w:rPr>
          <w:rFonts w:ascii="Times New Roman" w:hAnsi="Times New Roman"/>
          <w:sz w:val="24"/>
        </w:rPr>
        <w:t xml:space="preserve">possible agreements with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which could reduce the content freely available on the service. However, as indicated in option 1, </w:t>
      </w:r>
      <w:r w:rsidRPr="00F170B0">
        <w:rPr>
          <w:rFonts w:ascii="Times New Roman" w:hAnsi="Times New Roman" w:cs="Times New Roman"/>
          <w:sz w:val="24"/>
          <w:szCs w:val="24"/>
        </w:rPr>
        <w:t>negotiations are likely to take into account the popularity of the current</w:t>
      </w:r>
      <w:r>
        <w:rPr>
          <w:rFonts w:ascii="Times New Roman" w:hAnsi="Times New Roman" w:cs="Times New Roman"/>
          <w:sz w:val="24"/>
          <w:szCs w:val="24"/>
        </w:rPr>
        <w:t xml:space="preserve"> user uploaded content</w:t>
      </w:r>
      <w:r w:rsidRPr="00F170B0">
        <w:rPr>
          <w:rFonts w:ascii="Times New Roman" w:hAnsi="Times New Roman" w:cs="Times New Roman"/>
          <w:sz w:val="24"/>
          <w:szCs w:val="24"/>
        </w:rPr>
        <w:t xml:space="preserve"> models</w:t>
      </w:r>
      <w:r w:rsidRPr="0055729D">
        <w:rPr>
          <w:rFonts w:ascii="Times New Roman" w:hAnsi="Times New Roman" w:cs="Times New Roman"/>
          <w:sz w:val="24"/>
          <w:szCs w:val="24"/>
        </w:rPr>
        <w:t xml:space="preserve"> among consumers.</w:t>
      </w:r>
      <w:r w:rsidRPr="00D1507D">
        <w:rPr>
          <w:rFonts w:ascii="Times New Roman" w:hAnsi="Times New Roman"/>
          <w:sz w:val="24"/>
        </w:rPr>
        <w:t xml:space="preserve"> On the other hand, consumers may in the long term have an increased choice of content due to more incentives for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to create new content. This would result from the increased possibility for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to </w:t>
      </w:r>
      <w:r w:rsidRPr="0055729D">
        <w:rPr>
          <w:rFonts w:ascii="Times New Roman" w:hAnsi="Times New Roman" w:cs="Times New Roman"/>
          <w:sz w:val="24"/>
          <w:szCs w:val="24"/>
        </w:rPr>
        <w:t xml:space="preserve">determine the conditions for the use of their contents and therefore to </w:t>
      </w:r>
      <w:r w:rsidRPr="00D1507D">
        <w:rPr>
          <w:rFonts w:ascii="Times New Roman" w:hAnsi="Times New Roman"/>
          <w:sz w:val="24"/>
        </w:rPr>
        <w:t xml:space="preserve">negotiate agreements and be remunerated for </w:t>
      </w:r>
      <w:r w:rsidRPr="0055729D">
        <w:rPr>
          <w:rFonts w:ascii="Times New Roman" w:hAnsi="Times New Roman" w:cs="Times New Roman"/>
          <w:sz w:val="24"/>
          <w:szCs w:val="24"/>
        </w:rPr>
        <w:t>such</w:t>
      </w:r>
      <w:r w:rsidRPr="00D1507D">
        <w:rPr>
          <w:rFonts w:ascii="Times New Roman" w:hAnsi="Times New Roman"/>
          <w:sz w:val="24"/>
        </w:rPr>
        <w:t xml:space="preserve"> use</w:t>
      </w:r>
      <w:r w:rsidRPr="0055729D">
        <w:rPr>
          <w:rFonts w:ascii="Times New Roman" w:hAnsi="Times New Roman" w:cs="Times New Roman"/>
          <w:sz w:val="24"/>
          <w:szCs w:val="24"/>
        </w:rPr>
        <w:t xml:space="preserve">. </w:t>
      </w:r>
    </w:p>
    <w:p w:rsidR="002A7940" w:rsidRPr="00D1507D" w:rsidRDefault="002A7940" w:rsidP="00D1507D">
      <w:pPr>
        <w:spacing w:after="0" w:line="240" w:lineRule="auto"/>
        <w:jc w:val="both"/>
        <w:rPr>
          <w:rFonts w:ascii="Times New Roman" w:hAnsi="Times New Roman"/>
          <w:b/>
          <w:sz w:val="24"/>
        </w:rPr>
      </w:pPr>
    </w:p>
    <w:p w:rsidR="002A7940" w:rsidRPr="00D1507D" w:rsidRDefault="002A7940" w:rsidP="00D1507D">
      <w:pPr>
        <w:spacing w:after="0" w:line="240" w:lineRule="auto"/>
        <w:jc w:val="both"/>
        <w:rPr>
          <w:rFonts w:ascii="Times New Roman" w:hAnsi="Times New Roman"/>
          <w:sz w:val="24"/>
        </w:rPr>
      </w:pPr>
      <w:r w:rsidRPr="00D1507D">
        <w:rPr>
          <w:rFonts w:ascii="Times New Roman Bold" w:hAnsi="Times New Roman Bold"/>
          <w:b/>
          <w:smallCaps/>
        </w:rPr>
        <w:t xml:space="preserve">Social </w:t>
      </w:r>
      <w:r w:rsidRPr="00D1507D">
        <w:rPr>
          <w:rFonts w:ascii="Times New Roman" w:hAnsi="Times New Roman"/>
          <w:b/>
          <w:smallCaps/>
          <w:sz w:val="24"/>
        </w:rPr>
        <w:t>impacts</w:t>
      </w:r>
      <w:r w:rsidRPr="00D1507D">
        <w:rPr>
          <w:rFonts w:ascii="Times New Roman" w:hAnsi="Times New Roman"/>
          <w:sz w:val="24"/>
        </w:rPr>
        <w:t xml:space="preserve"> </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Option 2 is expected to have a positive impact on cultural diversity</w:t>
      </w:r>
      <w:r w:rsidRPr="00D1507D">
        <w:rPr>
          <w:rFonts w:ascii="Times New Roman" w:hAnsi="Times New Roman"/>
          <w:b/>
          <w:sz w:val="24"/>
        </w:rPr>
        <w:t xml:space="preserve"> </w:t>
      </w:r>
      <w:r w:rsidR="008B710A">
        <w:rPr>
          <w:rFonts w:ascii="Times New Roman" w:hAnsi="Times New Roman"/>
          <w:sz w:val="24"/>
        </w:rPr>
        <w:t xml:space="preserve">as it would </w:t>
      </w:r>
      <w:r w:rsidRPr="00D1507D">
        <w:rPr>
          <w:rFonts w:ascii="Times New Roman" w:hAnsi="Times New Roman"/>
          <w:sz w:val="24"/>
        </w:rPr>
        <w:t xml:space="preserve">lead to better </w:t>
      </w:r>
      <w:r w:rsidRPr="0055729D">
        <w:rPr>
          <w:rFonts w:ascii="Times New Roman" w:hAnsi="Times New Roman" w:cs="Times New Roman"/>
          <w:sz w:val="24"/>
          <w:szCs w:val="24"/>
        </w:rPr>
        <w:t xml:space="preserve">control over </w:t>
      </w:r>
      <w:r w:rsidRPr="00D1507D">
        <w:rPr>
          <w:rFonts w:ascii="Times New Roman" w:hAnsi="Times New Roman"/>
          <w:sz w:val="24"/>
        </w:rPr>
        <w:t xml:space="preserve">the use </w:t>
      </w:r>
      <w:r w:rsidRPr="0055729D">
        <w:rPr>
          <w:rFonts w:ascii="Times New Roman" w:hAnsi="Times New Roman" w:cs="Times New Roman"/>
          <w:sz w:val="24"/>
          <w:szCs w:val="24"/>
        </w:rPr>
        <w:t xml:space="preserve">of </w:t>
      </w:r>
      <w:r w:rsidRPr="00D1507D">
        <w:rPr>
          <w:rFonts w:ascii="Times New Roman" w:hAnsi="Times New Roman"/>
          <w:sz w:val="24"/>
        </w:rPr>
        <w:t xml:space="preserve">and remuneration </w:t>
      </w:r>
      <w:r w:rsidRPr="0055729D">
        <w:rPr>
          <w:rFonts w:ascii="Times New Roman" w:hAnsi="Times New Roman" w:cs="Times New Roman"/>
          <w:sz w:val="24"/>
          <w:szCs w:val="24"/>
        </w:rPr>
        <w:t>for</w:t>
      </w:r>
      <w:r w:rsidRPr="00D1507D">
        <w:rPr>
          <w:rFonts w:ascii="Times New Roman" w:hAnsi="Times New Roman"/>
          <w:sz w:val="24"/>
        </w:rPr>
        <w:t xml:space="preserve"> copyright protected content. This should bring more certainty and incentives to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to create new content. As a result, the access to a culturally diverse content is expected to be positively impacted. </w:t>
      </w:r>
    </w:p>
    <w:p w:rsidR="002A7940" w:rsidRPr="0055729D" w:rsidRDefault="002A7940" w:rsidP="002A7940">
      <w:pPr>
        <w:spacing w:after="0" w:line="240" w:lineRule="auto"/>
        <w:jc w:val="both"/>
        <w:rPr>
          <w:rFonts w:ascii="Times New Roman" w:hAnsi="Times New Roman" w:cs="Times New Roman"/>
          <w:sz w:val="24"/>
          <w:szCs w:val="24"/>
        </w:rPr>
      </w:pPr>
    </w:p>
    <w:p w:rsidR="002A7940" w:rsidRPr="00D1507D" w:rsidRDefault="002A7940" w:rsidP="00D1507D">
      <w:pPr>
        <w:spacing w:after="0" w:line="240" w:lineRule="auto"/>
        <w:jc w:val="both"/>
        <w:rPr>
          <w:rFonts w:ascii="Times New Roman" w:hAnsi="Times New Roman"/>
          <w:b/>
          <w:smallCaps/>
          <w:sz w:val="24"/>
        </w:rPr>
      </w:pPr>
      <w:r w:rsidRPr="00D1507D">
        <w:rPr>
          <w:rFonts w:ascii="Times New Roman" w:hAnsi="Times New Roman"/>
          <w:b/>
          <w:smallCaps/>
          <w:sz w:val="24"/>
        </w:rPr>
        <w:t>Impacts on fundamental</w:t>
      </w:r>
      <w:r w:rsidRPr="00D1507D">
        <w:rPr>
          <w:rFonts w:ascii="Times New Roman Bold" w:hAnsi="Times New Roman Bold"/>
          <w:b/>
          <w:smallCaps/>
        </w:rPr>
        <w:t xml:space="preserve"> rights</w:t>
      </w: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sz w:val="24"/>
        </w:rPr>
        <w:t xml:space="preserve">Option 2 would have a positive impact on copyright since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will benefit from an improved framework </w:t>
      </w:r>
      <w:r w:rsidRPr="00BD1E79">
        <w:rPr>
          <w:rFonts w:ascii="Times New Roman" w:hAnsi="Times New Roman" w:cs="Times New Roman"/>
          <w:sz w:val="24"/>
          <w:szCs w:val="24"/>
        </w:rPr>
        <w:t xml:space="preserve">that allows them to have a better control over the availability of their content on user uploaded content services and to negotiate better the conditions </w:t>
      </w:r>
      <w:r w:rsidRPr="00D1507D">
        <w:rPr>
          <w:rFonts w:ascii="Times New Roman" w:hAnsi="Times New Roman"/>
          <w:sz w:val="24"/>
        </w:rPr>
        <w:t xml:space="preserve">for the use of their content by </w:t>
      </w:r>
      <w:r w:rsidRPr="00BD1E79">
        <w:rPr>
          <w:rFonts w:ascii="Times New Roman" w:hAnsi="Times New Roman" w:cs="Times New Roman"/>
          <w:sz w:val="24"/>
          <w:szCs w:val="24"/>
        </w:rPr>
        <w:t>such</w:t>
      </w:r>
      <w:r w:rsidRPr="00D1507D">
        <w:rPr>
          <w:rFonts w:ascii="Times New Roman" w:hAnsi="Times New Roman"/>
          <w:sz w:val="24"/>
        </w:rPr>
        <w:t xml:space="preserve"> services. The freedom of expression and information may be affected negatively in cases where the services </w:t>
      </w:r>
      <w:r w:rsidRPr="00BD1E79">
        <w:rPr>
          <w:rFonts w:ascii="Times New Roman" w:hAnsi="Times New Roman" w:cs="Times New Roman"/>
          <w:sz w:val="24"/>
          <w:szCs w:val="24"/>
        </w:rPr>
        <w:t>limit</w:t>
      </w:r>
      <w:r w:rsidRPr="00D1507D">
        <w:rPr>
          <w:rFonts w:ascii="Times New Roman" w:hAnsi="Times New Roman"/>
          <w:sz w:val="24"/>
        </w:rPr>
        <w:t xml:space="preserve"> user uploaded content in an unjustified manner (for example when an exception or a limitation to copyright applies or the content is in public domain) or when the technologies fail to identify the content correctly</w:t>
      </w:r>
      <w:r w:rsidR="008B710A">
        <w:rPr>
          <w:rFonts w:ascii="Times New Roman" w:hAnsi="Times New Roman"/>
          <w:sz w:val="24"/>
        </w:rPr>
        <w:t>.</w:t>
      </w:r>
      <w:r w:rsidRPr="00D1507D">
        <w:rPr>
          <w:rFonts w:ascii="Times New Roman" w:hAnsi="Times New Roman"/>
          <w:sz w:val="24"/>
          <w:vertAlign w:val="superscript"/>
        </w:rPr>
        <w:footnoteReference w:id="473"/>
      </w:r>
      <w:r w:rsidRPr="00D1507D">
        <w:rPr>
          <w:rFonts w:ascii="Times New Roman" w:hAnsi="Times New Roman"/>
          <w:sz w:val="24"/>
        </w:rPr>
        <w:t xml:space="preserve"> This negative impact </w:t>
      </w:r>
      <w:r>
        <w:rPr>
          <w:rFonts w:ascii="Times New Roman" w:hAnsi="Times New Roman" w:cs="Times New Roman"/>
          <w:sz w:val="24"/>
          <w:szCs w:val="24"/>
        </w:rPr>
        <w:t>should be</w:t>
      </w:r>
      <w:r w:rsidRPr="00D1507D">
        <w:rPr>
          <w:rFonts w:ascii="Times New Roman" w:hAnsi="Times New Roman"/>
          <w:sz w:val="24"/>
        </w:rPr>
        <w:t xml:space="preserve"> mitigated by the fact that </w:t>
      </w:r>
      <w:r w:rsidRPr="00BD1E79">
        <w:rPr>
          <w:rFonts w:ascii="Times New Roman" w:hAnsi="Times New Roman" w:cs="Times New Roman"/>
          <w:sz w:val="24"/>
          <w:szCs w:val="24"/>
        </w:rPr>
        <w:t xml:space="preserve">the </w:t>
      </w:r>
      <w:r w:rsidRPr="00D1507D">
        <w:rPr>
          <w:rFonts w:ascii="Times New Roman" w:hAnsi="Times New Roman"/>
          <w:sz w:val="24"/>
        </w:rPr>
        <w:t>services</w:t>
      </w:r>
      <w:r w:rsidRPr="00BD1E79">
        <w:rPr>
          <w:rFonts w:ascii="Times New Roman" w:hAnsi="Times New Roman" w:cs="Times New Roman"/>
          <w:sz w:val="24"/>
          <w:szCs w:val="24"/>
        </w:rPr>
        <w:t xml:space="preserve"> would be </w:t>
      </w:r>
      <w:r w:rsidRPr="009878AD">
        <w:rPr>
          <w:rFonts w:ascii="Times New Roman" w:hAnsi="Times New Roman" w:cs="Times New Roman"/>
          <w:sz w:val="24"/>
          <w:szCs w:val="24"/>
        </w:rPr>
        <w:t xml:space="preserve">obliged to put in place the necessary procedural safeguards for the users </w:t>
      </w:r>
      <w:r w:rsidRPr="00D1507D">
        <w:rPr>
          <w:rFonts w:ascii="Times New Roman" w:hAnsi="Times New Roman"/>
          <w:sz w:val="24"/>
        </w:rPr>
        <w:t xml:space="preserve">which in the majority of cases already </w:t>
      </w:r>
      <w:r w:rsidRPr="00BD1E79">
        <w:rPr>
          <w:rFonts w:ascii="Times New Roman" w:hAnsi="Times New Roman" w:cs="Times New Roman"/>
          <w:sz w:val="24"/>
          <w:szCs w:val="24"/>
        </w:rPr>
        <w:t xml:space="preserve">exist </w:t>
      </w:r>
      <w:r w:rsidRPr="00D1507D">
        <w:rPr>
          <w:rFonts w:ascii="Times New Roman" w:hAnsi="Times New Roman"/>
          <w:sz w:val="24"/>
        </w:rPr>
        <w:t xml:space="preserve">in the </w:t>
      </w:r>
      <w:r w:rsidRPr="00BD1E79">
        <w:rPr>
          <w:rFonts w:ascii="Times New Roman" w:hAnsi="Times New Roman" w:cs="Times New Roman"/>
          <w:sz w:val="24"/>
          <w:szCs w:val="24"/>
        </w:rPr>
        <w:t xml:space="preserve">related </w:t>
      </w:r>
      <w:r w:rsidRPr="00D1507D">
        <w:rPr>
          <w:rFonts w:ascii="Times New Roman" w:hAnsi="Times New Roman"/>
          <w:sz w:val="24"/>
        </w:rPr>
        <w:t xml:space="preserve">context of notice and take down requests. In all, as content recognition technologies are already applied by the major user uploaded content services, it is likely that this option would not lead to significant increases in unjustified </w:t>
      </w:r>
      <w:r>
        <w:rPr>
          <w:rFonts w:ascii="Times New Roman" w:hAnsi="Times New Roman" w:cs="Times New Roman"/>
          <w:sz w:val="24"/>
          <w:szCs w:val="24"/>
        </w:rPr>
        <w:t xml:space="preserve">cases of </w:t>
      </w:r>
      <w:r w:rsidRPr="00BD1E79">
        <w:rPr>
          <w:rFonts w:ascii="Times New Roman" w:hAnsi="Times New Roman" w:cs="Times New Roman"/>
          <w:sz w:val="24"/>
          <w:szCs w:val="24"/>
        </w:rPr>
        <w:t>prevented uploads</w:t>
      </w:r>
      <w:r w:rsidRPr="00D1507D">
        <w:rPr>
          <w:rFonts w:ascii="Times New Roman" w:hAnsi="Times New Roman"/>
          <w:sz w:val="24"/>
        </w:rPr>
        <w:t xml:space="preserve"> compared to the current situation. Furthermore, the cooperation with </w:t>
      </w:r>
      <w:r w:rsidR="00687496">
        <w:rPr>
          <w:rFonts w:ascii="Times New Roman" w:hAnsi="Times New Roman"/>
          <w:sz w:val="24"/>
        </w:rPr>
        <w:t>r</w:t>
      </w:r>
      <w:r w:rsidR="00007677">
        <w:rPr>
          <w:rFonts w:ascii="Times New Roman" w:hAnsi="Times New Roman"/>
          <w:sz w:val="24"/>
        </w:rPr>
        <w:t>ightholders</w:t>
      </w:r>
      <w:r w:rsidRPr="00D1507D">
        <w:rPr>
          <w:rFonts w:ascii="Times New Roman" w:hAnsi="Times New Roman"/>
          <w:sz w:val="24"/>
        </w:rPr>
        <w:t xml:space="preserve"> and the evolution of technology are likely to </w:t>
      </w:r>
      <w:r w:rsidRPr="00BD1E79">
        <w:rPr>
          <w:rFonts w:ascii="Times New Roman" w:hAnsi="Times New Roman" w:cs="Times New Roman"/>
          <w:sz w:val="24"/>
          <w:szCs w:val="24"/>
        </w:rPr>
        <w:t>improve on</w:t>
      </w:r>
      <w:r w:rsidRPr="00D1507D">
        <w:rPr>
          <w:rFonts w:ascii="Times New Roman" w:hAnsi="Times New Roman"/>
          <w:sz w:val="24"/>
        </w:rPr>
        <w:t xml:space="preserve"> an </w:t>
      </w:r>
      <w:r w:rsidRPr="00BD1E79">
        <w:rPr>
          <w:rFonts w:ascii="Times New Roman" w:hAnsi="Times New Roman" w:cs="Times New Roman"/>
          <w:sz w:val="24"/>
          <w:szCs w:val="24"/>
        </w:rPr>
        <w:t>on</w:t>
      </w:r>
      <w:r>
        <w:rPr>
          <w:rFonts w:ascii="Times New Roman" w:hAnsi="Times New Roman" w:cs="Times New Roman"/>
          <w:sz w:val="24"/>
          <w:szCs w:val="24"/>
        </w:rPr>
        <w:t>-</w:t>
      </w:r>
      <w:r w:rsidRPr="00BD1E79">
        <w:rPr>
          <w:rFonts w:ascii="Times New Roman" w:hAnsi="Times New Roman" w:cs="Times New Roman"/>
          <w:sz w:val="24"/>
          <w:szCs w:val="24"/>
        </w:rPr>
        <w:t xml:space="preserve">going basis </w:t>
      </w:r>
      <w:r w:rsidRPr="00D1507D">
        <w:rPr>
          <w:rFonts w:ascii="Times New Roman" w:hAnsi="Times New Roman"/>
          <w:sz w:val="24"/>
        </w:rPr>
        <w:t>the accuracy of content identification.</w:t>
      </w:r>
      <w:r>
        <w:rPr>
          <w:rFonts w:ascii="Times New Roman" w:hAnsi="Times New Roman" w:cs="Times New Roman"/>
          <w:sz w:val="24"/>
          <w:szCs w:val="24"/>
        </w:rPr>
        <w:t xml:space="preserve"> </w:t>
      </w:r>
      <w:r w:rsidRPr="00A24222">
        <w:rPr>
          <w:rFonts w:ascii="Times New Roman" w:hAnsi="Times New Roman" w:cs="Times New Roman"/>
          <w:sz w:val="24"/>
          <w:szCs w:val="24"/>
          <w:bdr w:val="none" w:sz="0" w:space="0" w:color="auto" w:frame="1"/>
        </w:rPr>
        <w:t xml:space="preserve">Additionally, as the limited liability regime for hosting service providers is not changed, there is no risk of increase in removals of content due to the fear of liability by </w:t>
      </w:r>
      <w:r w:rsidR="008B710A">
        <w:rPr>
          <w:rFonts w:ascii="Times New Roman" w:hAnsi="Times New Roman" w:cs="Times New Roman"/>
          <w:sz w:val="24"/>
          <w:szCs w:val="24"/>
          <w:bdr w:val="none" w:sz="0" w:space="0" w:color="auto" w:frame="1"/>
        </w:rPr>
        <w:t xml:space="preserve">such </w:t>
      </w:r>
      <w:r w:rsidRPr="00A24222">
        <w:rPr>
          <w:rFonts w:ascii="Times New Roman" w:hAnsi="Times New Roman" w:cs="Times New Roman"/>
          <w:sz w:val="24"/>
          <w:szCs w:val="24"/>
          <w:bdr w:val="none" w:sz="0" w:space="0" w:color="auto" w:frame="1"/>
        </w:rPr>
        <w:t>services</w:t>
      </w:r>
      <w:r w:rsidRPr="00A24222">
        <w:rPr>
          <w:bdr w:val="none" w:sz="0" w:space="0" w:color="auto" w:frame="1"/>
        </w:rPr>
        <w:t>.</w:t>
      </w:r>
      <w:r w:rsidRPr="00D1507D">
        <w:rPr>
          <w:bdr w:val="none" w:sz="0" w:space="0" w:color="auto" w:frame="1"/>
        </w:rPr>
        <w:t xml:space="preserve"> </w:t>
      </w:r>
      <w:r w:rsidRPr="00D1507D">
        <w:rPr>
          <w:rFonts w:ascii="Times New Roman" w:hAnsi="Times New Roman"/>
          <w:sz w:val="24"/>
        </w:rPr>
        <w:t xml:space="preserve">At the same time there is likely to be a positive impact on users who in the long term should have access to an enhanced range of creative content and services as incentives to invest will improve. The impact on the freedom to conduct a business </w:t>
      </w:r>
      <w:r w:rsidRPr="009878AD">
        <w:rPr>
          <w:rFonts w:ascii="Times New Roman" w:hAnsi="Times New Roman"/>
          <w:sz w:val="24"/>
        </w:rPr>
        <w:t>could</w:t>
      </w:r>
      <w:r w:rsidR="009878AD" w:rsidRPr="00D1507D">
        <w:rPr>
          <w:rFonts w:ascii="Times New Roman" w:hAnsi="Times New Roman"/>
          <w:sz w:val="24"/>
        </w:rPr>
        <w:t xml:space="preserve"> be negative due to </w:t>
      </w:r>
      <w:r w:rsidR="009878AD" w:rsidRPr="009878AD">
        <w:rPr>
          <w:rFonts w:ascii="Times New Roman" w:hAnsi="Times New Roman"/>
          <w:sz w:val="24"/>
        </w:rPr>
        <w:t xml:space="preserve">the </w:t>
      </w:r>
      <w:r w:rsidR="009878AD" w:rsidRPr="00D1507D">
        <w:rPr>
          <w:rFonts w:ascii="Times New Roman" w:hAnsi="Times New Roman"/>
          <w:sz w:val="24"/>
        </w:rPr>
        <w:t>c</w:t>
      </w:r>
      <w:r w:rsidRPr="00D1507D">
        <w:rPr>
          <w:rFonts w:ascii="Times New Roman" w:hAnsi="Times New Roman"/>
          <w:sz w:val="24"/>
        </w:rPr>
        <w:t xml:space="preserve">osts </w:t>
      </w:r>
      <w:r w:rsidR="009878AD" w:rsidRPr="009878AD">
        <w:rPr>
          <w:rFonts w:ascii="Times New Roman" w:hAnsi="Times New Roman"/>
          <w:sz w:val="24"/>
        </w:rPr>
        <w:t>to implement the technologies</w:t>
      </w:r>
      <w:r w:rsidRPr="009878AD">
        <w:rPr>
          <w:rFonts w:ascii="Times New Roman" w:hAnsi="Times New Roman"/>
          <w:sz w:val="24"/>
        </w:rPr>
        <w:t>.</w:t>
      </w:r>
      <w:r w:rsidRPr="00D1507D">
        <w:rPr>
          <w:rFonts w:ascii="Times New Roman" w:hAnsi="Times New Roman"/>
          <w:sz w:val="24"/>
        </w:rPr>
        <w:t xml:space="preserve"> At the same time, the level of this impact is expected to be limited due to the fact that the obligation </w:t>
      </w:r>
      <w:r w:rsidRPr="00835030">
        <w:rPr>
          <w:rFonts w:ascii="Times New Roman" w:hAnsi="Times New Roman" w:cs="Times New Roman"/>
          <w:sz w:val="24"/>
          <w:szCs w:val="24"/>
        </w:rPr>
        <w:t>is imposed on services giving access</w:t>
      </w:r>
      <w:r w:rsidRPr="00D1507D">
        <w:rPr>
          <w:rFonts w:ascii="Times New Roman" w:hAnsi="Times New Roman"/>
          <w:sz w:val="24"/>
        </w:rPr>
        <w:t xml:space="preserve"> to </w:t>
      </w:r>
      <w:r w:rsidRPr="00835030">
        <w:rPr>
          <w:rFonts w:ascii="Times New Roman" w:hAnsi="Times New Roman" w:cs="Times New Roman"/>
          <w:sz w:val="24"/>
          <w:szCs w:val="24"/>
        </w:rPr>
        <w:t xml:space="preserve">large amounts of </w:t>
      </w:r>
      <w:r w:rsidR="008B710A">
        <w:rPr>
          <w:rFonts w:ascii="Times New Roman" w:hAnsi="Times New Roman" w:cs="Times New Roman"/>
          <w:sz w:val="24"/>
          <w:szCs w:val="24"/>
        </w:rPr>
        <w:t>protected content</w:t>
      </w:r>
      <w:r w:rsidRPr="00835030">
        <w:rPr>
          <w:rFonts w:ascii="Times New Roman" w:hAnsi="Times New Roman" w:cs="Times New Roman"/>
          <w:sz w:val="24"/>
          <w:szCs w:val="24"/>
        </w:rPr>
        <w:t xml:space="preserve"> only, that the option builds on existing voluntary practices</w:t>
      </w:r>
      <w:r w:rsidRPr="00D60827">
        <w:rPr>
          <w:rFonts w:ascii="Times New Roman" w:hAnsi="Times New Roman"/>
          <w:sz w:val="24"/>
        </w:rPr>
        <w:t xml:space="preserve"> and </w:t>
      </w:r>
      <w:r w:rsidRPr="00835030">
        <w:rPr>
          <w:rFonts w:ascii="Times New Roman" w:hAnsi="Times New Roman" w:cs="Times New Roman"/>
          <w:sz w:val="24"/>
          <w:szCs w:val="24"/>
        </w:rPr>
        <w:t>that technologies are increasingly available in the market which</w:t>
      </w:r>
      <w:r w:rsidRPr="00D1507D">
        <w:rPr>
          <w:rFonts w:ascii="Times New Roman" w:hAnsi="Times New Roman"/>
          <w:sz w:val="24"/>
        </w:rPr>
        <w:t xml:space="preserve"> makes the implementation of the technology obligation easier for the services. </w:t>
      </w:r>
      <w:r w:rsidRPr="00843EEB">
        <w:rPr>
          <w:rFonts w:ascii="Times New Roman" w:hAnsi="Times New Roman" w:cs="Times New Roman"/>
          <w:sz w:val="24"/>
          <w:szCs w:val="24"/>
        </w:rPr>
        <w:t>This</w:t>
      </w:r>
      <w:r w:rsidRPr="00D1507D">
        <w:rPr>
          <w:rFonts w:ascii="Times New Roman" w:hAnsi="Times New Roman"/>
          <w:sz w:val="24"/>
        </w:rPr>
        <w:t xml:space="preserve"> impact is further limited by the fact that the </w:t>
      </w:r>
      <w:r w:rsidR="009878AD" w:rsidRPr="00843EEB">
        <w:rPr>
          <w:rFonts w:ascii="Times New Roman" w:hAnsi="Times New Roman"/>
          <w:sz w:val="24"/>
        </w:rPr>
        <w:t xml:space="preserve">proportionality in the choice and in the deployment of </w:t>
      </w:r>
      <w:r w:rsidRPr="00843EEB">
        <w:rPr>
          <w:rFonts w:ascii="Times New Roman" w:hAnsi="Times New Roman" w:cs="Times New Roman"/>
          <w:sz w:val="24"/>
          <w:szCs w:val="24"/>
        </w:rPr>
        <w:t xml:space="preserve">effective </w:t>
      </w:r>
      <w:r w:rsidRPr="00D1507D">
        <w:rPr>
          <w:rFonts w:ascii="Times New Roman" w:hAnsi="Times New Roman"/>
          <w:sz w:val="24"/>
        </w:rPr>
        <w:t xml:space="preserve">content identification technologies </w:t>
      </w:r>
      <w:r w:rsidR="009878AD" w:rsidRPr="00843EEB">
        <w:rPr>
          <w:rFonts w:ascii="Times New Roman" w:hAnsi="Times New Roman"/>
          <w:sz w:val="24"/>
        </w:rPr>
        <w:t>will allow to take</w:t>
      </w:r>
      <w:r w:rsidR="009878AD" w:rsidRPr="00D1507D">
        <w:rPr>
          <w:rFonts w:ascii="Times New Roman" w:hAnsi="Times New Roman"/>
          <w:sz w:val="24"/>
        </w:rPr>
        <w:t xml:space="preserve"> into </w:t>
      </w:r>
      <w:r w:rsidRPr="00D1507D">
        <w:rPr>
          <w:rFonts w:ascii="Times New Roman" w:hAnsi="Times New Roman"/>
          <w:sz w:val="24"/>
        </w:rPr>
        <w:t xml:space="preserve">account the size and the nature of the individual services. Overall, this option is considered to strike the necessary balance between copyright and other fundamental freedoms.  </w:t>
      </w:r>
    </w:p>
    <w:p w:rsidR="002A7940" w:rsidRPr="008012CB" w:rsidRDefault="002A7940" w:rsidP="002A7940">
      <w:pPr>
        <w:pStyle w:val="Heading3"/>
      </w:pPr>
      <w:bookmarkStart w:id="176" w:name="_Toc461114750"/>
      <w:r w:rsidRPr="008012CB">
        <w:t>How do the options compare?</w:t>
      </w:r>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33"/>
        <w:gridCol w:w="1927"/>
        <w:gridCol w:w="2008"/>
        <w:gridCol w:w="1606"/>
      </w:tblGrid>
      <w:tr w:rsidR="002A7940" w:rsidRPr="0055729D" w:rsidTr="00D1507D">
        <w:tc>
          <w:tcPr>
            <w:tcW w:w="1668" w:type="dxa"/>
          </w:tcPr>
          <w:p w:rsidR="002A7940" w:rsidRPr="0055729D" w:rsidRDefault="002A7940" w:rsidP="00D1507D">
            <w:pPr>
              <w:spacing w:after="0" w:line="240" w:lineRule="auto"/>
              <w:jc w:val="both"/>
              <w:rPr>
                <w:rFonts w:ascii="Times New Roman" w:hAnsi="Times New Roman" w:cs="Times New Roman"/>
                <w:b/>
                <w:sz w:val="20"/>
              </w:rPr>
            </w:pPr>
            <w:r w:rsidRPr="0055729D">
              <w:rPr>
                <w:rFonts w:ascii="Times New Roman" w:hAnsi="Times New Roman" w:cs="Times New Roman"/>
                <w:b/>
                <w:sz w:val="20"/>
              </w:rPr>
              <w:t>Option</w:t>
            </w:r>
          </w:p>
        </w:tc>
        <w:tc>
          <w:tcPr>
            <w:tcW w:w="2033" w:type="dxa"/>
          </w:tcPr>
          <w:p w:rsidR="002A7940" w:rsidRPr="0055729D" w:rsidRDefault="002A7940" w:rsidP="00D1507D">
            <w:pPr>
              <w:spacing w:after="0" w:line="240" w:lineRule="auto"/>
              <w:jc w:val="both"/>
              <w:rPr>
                <w:rFonts w:ascii="Times New Roman" w:hAnsi="Times New Roman" w:cs="Times New Roman"/>
                <w:b/>
                <w:sz w:val="20"/>
              </w:rPr>
            </w:pPr>
            <w:r w:rsidRPr="0055729D">
              <w:rPr>
                <w:rFonts w:ascii="Times New Roman" w:hAnsi="Times New Roman" w:cs="Times New Roman"/>
                <w:b/>
                <w:sz w:val="20"/>
              </w:rPr>
              <w:t>Effectiveness</w:t>
            </w:r>
          </w:p>
        </w:tc>
        <w:tc>
          <w:tcPr>
            <w:tcW w:w="1927" w:type="dxa"/>
          </w:tcPr>
          <w:p w:rsidR="002A7940" w:rsidRPr="0055729D" w:rsidRDefault="002A7940" w:rsidP="00D1507D">
            <w:pPr>
              <w:spacing w:after="0" w:line="240" w:lineRule="auto"/>
              <w:jc w:val="both"/>
              <w:rPr>
                <w:rFonts w:ascii="Times New Roman" w:hAnsi="Times New Roman" w:cs="Times New Roman"/>
                <w:b/>
                <w:sz w:val="20"/>
              </w:rPr>
            </w:pPr>
            <w:r w:rsidRPr="0055729D">
              <w:rPr>
                <w:rFonts w:ascii="Times New Roman" w:hAnsi="Times New Roman" w:cs="Times New Roman"/>
                <w:b/>
                <w:sz w:val="20"/>
              </w:rPr>
              <w:t>Efficiency</w:t>
            </w:r>
          </w:p>
        </w:tc>
        <w:tc>
          <w:tcPr>
            <w:tcW w:w="2008" w:type="dxa"/>
          </w:tcPr>
          <w:p w:rsidR="002A7940" w:rsidRPr="0055729D" w:rsidRDefault="002A7940" w:rsidP="00D1507D">
            <w:pPr>
              <w:spacing w:after="0" w:line="240" w:lineRule="auto"/>
              <w:jc w:val="both"/>
              <w:rPr>
                <w:rFonts w:ascii="Times New Roman" w:hAnsi="Times New Roman" w:cs="Times New Roman"/>
                <w:b/>
                <w:sz w:val="20"/>
              </w:rPr>
            </w:pPr>
            <w:r w:rsidRPr="0055729D">
              <w:rPr>
                <w:rFonts w:ascii="Times New Roman" w:hAnsi="Times New Roman" w:cs="Times New Roman"/>
                <w:b/>
                <w:sz w:val="20"/>
              </w:rPr>
              <w:t>Impact on stakeholders</w:t>
            </w:r>
          </w:p>
        </w:tc>
        <w:tc>
          <w:tcPr>
            <w:tcW w:w="1606" w:type="dxa"/>
          </w:tcPr>
          <w:p w:rsidR="002A7940" w:rsidRPr="0055729D" w:rsidRDefault="002A7940" w:rsidP="00D1507D">
            <w:pPr>
              <w:spacing w:after="0" w:line="240" w:lineRule="auto"/>
              <w:jc w:val="both"/>
              <w:rPr>
                <w:rFonts w:ascii="Times New Roman" w:hAnsi="Times New Roman" w:cs="Times New Roman"/>
                <w:b/>
                <w:sz w:val="20"/>
              </w:rPr>
            </w:pPr>
            <w:r w:rsidRPr="0055729D">
              <w:rPr>
                <w:rFonts w:ascii="Times New Roman" w:hAnsi="Times New Roman" w:cs="Times New Roman"/>
                <w:b/>
                <w:sz w:val="20"/>
              </w:rPr>
              <w:t>Coherence</w:t>
            </w:r>
          </w:p>
        </w:tc>
      </w:tr>
      <w:tr w:rsidR="002A7940" w:rsidRPr="0055729D" w:rsidTr="00D1507D">
        <w:trPr>
          <w:trHeight w:val="271"/>
        </w:trPr>
        <w:tc>
          <w:tcPr>
            <w:tcW w:w="1668" w:type="dxa"/>
          </w:tcPr>
          <w:p w:rsidR="002A7940" w:rsidRPr="0055729D" w:rsidRDefault="002A7940" w:rsidP="007F69DB">
            <w:pPr>
              <w:spacing w:after="0" w:line="240" w:lineRule="auto"/>
              <w:rPr>
                <w:rFonts w:ascii="Times New Roman" w:hAnsi="Times New Roman" w:cs="Times New Roman"/>
                <w:b/>
                <w:sz w:val="20"/>
              </w:rPr>
            </w:pPr>
            <w:r w:rsidRPr="0055729D">
              <w:rPr>
                <w:rFonts w:ascii="Times New Roman" w:hAnsi="Times New Roman" w:cs="Times New Roman"/>
                <w:b/>
                <w:sz w:val="20"/>
              </w:rPr>
              <w:t>Baseline</w:t>
            </w:r>
          </w:p>
        </w:tc>
        <w:tc>
          <w:tcPr>
            <w:tcW w:w="2033" w:type="dxa"/>
          </w:tcPr>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r w:rsidRPr="0055729D">
              <w:rPr>
                <w:rFonts w:ascii="Times New Roman" w:hAnsi="Times New Roman" w:cs="Times New Roman"/>
                <w:color w:val="000000"/>
                <w:kern w:val="3"/>
                <w:sz w:val="20"/>
              </w:rPr>
              <w:t xml:space="preserve">(0) No impact </w:t>
            </w:r>
            <w:r w:rsidRPr="0055729D">
              <w:rPr>
                <w:rFonts w:ascii="Times New Roman" w:hAnsi="Times New Roman" w:cs="Times New Roman"/>
                <w:color w:val="000000"/>
                <w:kern w:val="3"/>
                <w:sz w:val="20"/>
                <w:szCs w:val="20"/>
                <w:lang w:eastAsia="zh-CN"/>
              </w:rPr>
              <w:t xml:space="preserve">– absence or limited possibility for </w:t>
            </w:r>
            <w:r w:rsidR="00687496">
              <w:rPr>
                <w:rFonts w:ascii="Times New Roman" w:hAnsi="Times New Roman" w:cs="Times New Roman"/>
                <w:color w:val="000000"/>
                <w:kern w:val="3"/>
                <w:sz w:val="20"/>
                <w:szCs w:val="20"/>
                <w:lang w:eastAsia="zh-CN"/>
              </w:rPr>
              <w:t>r</w:t>
            </w:r>
            <w:r w:rsidR="00007677">
              <w:rPr>
                <w:rFonts w:ascii="Times New Roman" w:hAnsi="Times New Roman" w:cs="Times New Roman"/>
                <w:color w:val="000000"/>
                <w:kern w:val="3"/>
                <w:sz w:val="20"/>
                <w:szCs w:val="20"/>
                <w:lang w:eastAsia="zh-CN"/>
              </w:rPr>
              <w:t>ightholders</w:t>
            </w:r>
            <w:r w:rsidRPr="0055729D">
              <w:rPr>
                <w:rFonts w:ascii="Times New Roman" w:hAnsi="Times New Roman" w:cs="Times New Roman"/>
                <w:color w:val="000000"/>
                <w:kern w:val="3"/>
                <w:sz w:val="20"/>
                <w:szCs w:val="20"/>
                <w:lang w:eastAsia="zh-CN"/>
              </w:rPr>
              <w:t xml:space="preserve"> to determine the conditions</w:t>
            </w:r>
            <w:r w:rsidRPr="0055729D">
              <w:rPr>
                <w:rFonts w:ascii="Times New Roman" w:hAnsi="Times New Roman" w:cs="Times New Roman"/>
                <w:color w:val="000000"/>
                <w:kern w:val="3"/>
                <w:sz w:val="20"/>
              </w:rPr>
              <w:t xml:space="preserve"> of </w:t>
            </w:r>
            <w:r w:rsidRPr="0055729D">
              <w:rPr>
                <w:rFonts w:ascii="Times New Roman" w:hAnsi="Times New Roman" w:cs="Times New Roman"/>
                <w:color w:val="000000"/>
                <w:kern w:val="3"/>
                <w:sz w:val="20"/>
                <w:szCs w:val="20"/>
                <w:lang w:eastAsia="zh-CN"/>
              </w:rPr>
              <w:t xml:space="preserve">use of their </w:t>
            </w:r>
            <w:r w:rsidRPr="0055729D">
              <w:rPr>
                <w:rFonts w:ascii="Times New Roman" w:hAnsi="Times New Roman" w:cs="Times New Roman"/>
                <w:color w:val="000000"/>
                <w:kern w:val="3"/>
                <w:sz w:val="20"/>
              </w:rPr>
              <w:t xml:space="preserve">content by </w:t>
            </w:r>
            <w:r w:rsidRPr="0055729D">
              <w:rPr>
                <w:rFonts w:ascii="Times New Roman" w:hAnsi="Times New Roman" w:cs="Times New Roman"/>
                <w:color w:val="000000"/>
                <w:kern w:val="3"/>
                <w:sz w:val="20"/>
                <w:szCs w:val="20"/>
                <w:lang w:eastAsia="zh-CN"/>
              </w:rPr>
              <w:t>the service</w:t>
            </w:r>
            <w:r>
              <w:rPr>
                <w:rFonts w:ascii="Times New Roman" w:hAnsi="Times New Roman" w:cs="Times New Roman"/>
                <w:color w:val="000000"/>
                <w:kern w:val="3"/>
                <w:sz w:val="20"/>
                <w:szCs w:val="20"/>
                <w:lang w:eastAsia="zh-CN"/>
              </w:rPr>
              <w:t>s</w:t>
            </w:r>
            <w:r w:rsidRPr="0055729D">
              <w:rPr>
                <w:rFonts w:ascii="Times New Roman" w:hAnsi="Times New Roman" w:cs="Times New Roman"/>
                <w:color w:val="000000"/>
                <w:kern w:val="3"/>
                <w:sz w:val="20"/>
              </w:rPr>
              <w:t xml:space="preserve"> will persist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kern w:val="3"/>
                <w:sz w:val="20"/>
              </w:rPr>
              <w:t xml:space="preserve"> </w:t>
            </w:r>
          </w:p>
        </w:tc>
        <w:tc>
          <w:tcPr>
            <w:tcW w:w="1927" w:type="dxa"/>
          </w:tcPr>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r w:rsidRPr="0055729D">
              <w:rPr>
                <w:rFonts w:ascii="Times New Roman" w:hAnsi="Times New Roman" w:cs="Times New Roman"/>
                <w:sz w:val="20"/>
              </w:rPr>
              <w:t>(</w:t>
            </w:r>
            <w:r w:rsidRPr="0055729D">
              <w:rPr>
                <w:rFonts w:ascii="Times New Roman" w:hAnsi="Times New Roman" w:cs="Times New Roman"/>
                <w:color w:val="000000"/>
                <w:kern w:val="3"/>
                <w:sz w:val="20"/>
              </w:rPr>
              <w:t xml:space="preserve">0) No direct costs associated with this option </w:t>
            </w:r>
          </w:p>
          <w:p w:rsidR="002A7940" w:rsidRPr="0055729D" w:rsidRDefault="002A7940" w:rsidP="007F69DB">
            <w:pPr>
              <w:autoSpaceDE w:val="0"/>
              <w:autoSpaceDN w:val="0"/>
              <w:adjustRightInd w:val="0"/>
              <w:spacing w:after="0" w:line="240" w:lineRule="auto"/>
              <w:rPr>
                <w:rFonts w:ascii="Times New Roman" w:hAnsi="Times New Roman" w:cs="Times New Roman"/>
                <w:sz w:val="20"/>
              </w:rPr>
            </w:pPr>
          </w:p>
        </w:tc>
        <w:tc>
          <w:tcPr>
            <w:tcW w:w="2008" w:type="dxa"/>
          </w:tcPr>
          <w:p w:rsidR="002A7940" w:rsidRPr="0055729D" w:rsidRDefault="002A7940" w:rsidP="007F69DB">
            <w:pPr>
              <w:autoSpaceDE w:val="0"/>
              <w:autoSpaceDN w:val="0"/>
              <w:adjustRightInd w:val="0"/>
              <w:spacing w:after="0" w:line="240" w:lineRule="auto"/>
              <w:rPr>
                <w:rFonts w:ascii="Times New Roman" w:hAnsi="Times New Roman" w:cs="Times New Roman"/>
                <w:sz w:val="20"/>
              </w:rPr>
            </w:pPr>
            <w:r w:rsidRPr="0055729D">
              <w:rPr>
                <w:rFonts w:ascii="Times New Roman" w:hAnsi="Times New Roman" w:cs="Times New Roman"/>
                <w:sz w:val="20"/>
              </w:rPr>
              <w:t>(</w:t>
            </w:r>
            <w:r w:rsidRPr="0055729D">
              <w:rPr>
                <w:rFonts w:ascii="Times New Roman" w:hAnsi="Times New Roman" w:cs="Times New Roman"/>
                <w:color w:val="000000"/>
                <w:kern w:val="3"/>
                <w:sz w:val="20"/>
              </w:rPr>
              <w:t xml:space="preserve">0) No direct impacts on stakeholders </w:t>
            </w:r>
          </w:p>
        </w:tc>
        <w:tc>
          <w:tcPr>
            <w:tcW w:w="1606" w:type="dxa"/>
          </w:tcPr>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rPr>
            </w:pPr>
            <w:r w:rsidRPr="0055729D">
              <w:rPr>
                <w:rFonts w:ascii="Times New Roman" w:hAnsi="Times New Roman" w:cs="Times New Roman"/>
                <w:sz w:val="20"/>
              </w:rPr>
              <w:t>(</w:t>
            </w:r>
            <w:r w:rsidRPr="0055729D">
              <w:rPr>
                <w:rFonts w:ascii="Times New Roman" w:hAnsi="Times New Roman" w:cs="Times New Roman"/>
                <w:color w:val="000000"/>
                <w:kern w:val="3"/>
                <w:sz w:val="20"/>
              </w:rPr>
              <w:t>0) No direct impact on cultural diversity</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kern w:val="3"/>
                <w:sz w:val="20"/>
              </w:rPr>
              <w:t>(0) No impact on other fundamental rights</w:t>
            </w:r>
          </w:p>
        </w:tc>
      </w:tr>
      <w:tr w:rsidR="002A7940" w:rsidRPr="0055729D" w:rsidTr="007F69DB">
        <w:trPr>
          <w:trHeight w:val="1841"/>
        </w:trPr>
        <w:tc>
          <w:tcPr>
            <w:tcW w:w="1668" w:type="dxa"/>
            <w:tcBorders>
              <w:top w:val="single" w:sz="4" w:space="0" w:color="auto"/>
              <w:left w:val="single" w:sz="4" w:space="0" w:color="auto"/>
              <w:bottom w:val="single" w:sz="4" w:space="0" w:color="auto"/>
              <w:right w:val="single" w:sz="4" w:space="0" w:color="auto"/>
            </w:tcBorders>
          </w:tcPr>
          <w:p w:rsidR="002A7940" w:rsidRPr="0055729D" w:rsidRDefault="002A7940" w:rsidP="00687496">
            <w:pPr>
              <w:spacing w:after="0" w:line="240" w:lineRule="auto"/>
              <w:rPr>
                <w:rFonts w:ascii="Times New Roman" w:hAnsi="Times New Roman" w:cs="Times New Roman"/>
                <w:b/>
              </w:rPr>
            </w:pPr>
            <w:r w:rsidRPr="0055729D">
              <w:rPr>
                <w:rFonts w:ascii="Times New Roman" w:hAnsi="Times New Roman" w:cs="Times New Roman"/>
                <w:b/>
                <w:sz w:val="20"/>
              </w:rPr>
              <w:t xml:space="preserve">Option 1 – Stakeholder dialogues between  </w:t>
            </w:r>
            <w:r w:rsidR="00687496">
              <w:rPr>
                <w:rFonts w:ascii="Times New Roman" w:hAnsi="Times New Roman" w:cs="Times New Roman"/>
                <w:b/>
                <w:sz w:val="20"/>
              </w:rPr>
              <w:t>r</w:t>
            </w:r>
            <w:r w:rsidR="00007677">
              <w:rPr>
                <w:rFonts w:ascii="Times New Roman" w:hAnsi="Times New Roman" w:cs="Times New Roman"/>
                <w:b/>
                <w:sz w:val="20"/>
              </w:rPr>
              <w:t>ightholders</w:t>
            </w:r>
            <w:r w:rsidRPr="0055729D">
              <w:rPr>
                <w:rFonts w:ascii="Times New Roman" w:hAnsi="Times New Roman" w:cs="Times New Roman"/>
                <w:b/>
                <w:sz w:val="20"/>
              </w:rPr>
              <w:t xml:space="preserve"> and services which store and give access to large amounts of content uploaded by their users</w:t>
            </w:r>
            <w:r w:rsidRPr="0055729D">
              <w:rPr>
                <w:rFonts w:ascii="Times New Roman" w:hAnsi="Times New Roman" w:cs="Times New Roman"/>
                <w:b/>
              </w:rPr>
              <w:t xml:space="preserve"> </w:t>
            </w:r>
          </w:p>
        </w:tc>
        <w:tc>
          <w:tcPr>
            <w:tcW w:w="2033" w:type="dxa"/>
            <w:tcBorders>
              <w:top w:val="single" w:sz="4" w:space="0" w:color="auto"/>
              <w:left w:val="single" w:sz="4" w:space="0" w:color="auto"/>
              <w:bottom w:val="single" w:sz="4" w:space="0" w:color="auto"/>
              <w:right w:val="single" w:sz="4" w:space="0" w:color="auto"/>
            </w:tcBorders>
          </w:tcPr>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r w:rsidRPr="0055729D">
              <w:rPr>
                <w:rFonts w:ascii="Times New Roman" w:hAnsi="Times New Roman" w:cs="Times New Roman"/>
                <w:color w:val="000000"/>
                <w:sz w:val="20"/>
              </w:rPr>
              <w:t xml:space="preserve">(0/+) Limited impact on </w:t>
            </w:r>
            <w:r w:rsidR="00687496">
              <w:rPr>
                <w:rFonts w:ascii="Times New Roman" w:hAnsi="Times New Roman" w:cs="Times New Roman"/>
                <w:color w:val="000000"/>
                <w:sz w:val="20"/>
                <w:szCs w:val="20"/>
              </w:rPr>
              <w:t>r</w:t>
            </w:r>
            <w:r w:rsidR="00007677">
              <w:rPr>
                <w:rFonts w:ascii="Times New Roman" w:hAnsi="Times New Roman" w:cs="Times New Roman"/>
                <w:color w:val="000000"/>
                <w:sz w:val="20"/>
                <w:szCs w:val="20"/>
              </w:rPr>
              <w:t>ightholders</w:t>
            </w:r>
            <w:r w:rsidRPr="0055729D">
              <w:rPr>
                <w:rFonts w:ascii="Times New Roman" w:hAnsi="Times New Roman" w:cs="Times New Roman"/>
                <w:color w:val="000000"/>
                <w:kern w:val="3"/>
                <w:sz w:val="20"/>
                <w:szCs w:val="20"/>
                <w:lang w:eastAsia="zh-CN"/>
              </w:rPr>
              <w:t>' possibility to determine the conditions</w:t>
            </w:r>
            <w:r w:rsidRPr="00D1507D">
              <w:rPr>
                <w:rFonts w:ascii="Times New Roman" w:hAnsi="Times New Roman"/>
                <w:color w:val="000000"/>
                <w:kern w:val="3"/>
                <w:sz w:val="20"/>
              </w:rPr>
              <w:t xml:space="preserve"> of </w:t>
            </w:r>
            <w:r w:rsidRPr="0055729D">
              <w:rPr>
                <w:rFonts w:ascii="Times New Roman" w:hAnsi="Times New Roman" w:cs="Times New Roman"/>
                <w:color w:val="000000"/>
                <w:kern w:val="3"/>
                <w:sz w:val="20"/>
                <w:szCs w:val="20"/>
                <w:lang w:eastAsia="zh-CN"/>
              </w:rPr>
              <w:t xml:space="preserve">use of their </w:t>
            </w:r>
            <w:r w:rsidRPr="0055729D">
              <w:rPr>
                <w:rFonts w:ascii="Times New Roman" w:hAnsi="Times New Roman" w:cs="Times New Roman"/>
                <w:color w:val="000000"/>
                <w:kern w:val="3"/>
                <w:sz w:val="20"/>
              </w:rPr>
              <w:t xml:space="preserve">content </w:t>
            </w:r>
            <w:r w:rsidRPr="0055729D">
              <w:rPr>
                <w:rFonts w:ascii="Times New Roman" w:hAnsi="Times New Roman" w:cs="Times New Roman"/>
                <w:color w:val="000000"/>
                <w:kern w:val="3"/>
                <w:sz w:val="20"/>
                <w:szCs w:val="20"/>
                <w:lang w:eastAsia="zh-CN"/>
              </w:rPr>
              <w:t xml:space="preserve"> </w:t>
            </w:r>
            <w:r w:rsidRPr="0055729D">
              <w:rPr>
                <w:rFonts w:ascii="Times New Roman" w:hAnsi="Times New Roman" w:cs="Times New Roman"/>
                <w:color w:val="000000"/>
                <w:kern w:val="3"/>
                <w:sz w:val="20"/>
              </w:rPr>
              <w:t xml:space="preserve">by </w:t>
            </w:r>
            <w:r w:rsidRPr="0055729D">
              <w:rPr>
                <w:rFonts w:ascii="Times New Roman" w:hAnsi="Times New Roman" w:cs="Times New Roman"/>
                <w:color w:val="000000"/>
                <w:kern w:val="3"/>
                <w:sz w:val="20"/>
                <w:szCs w:val="20"/>
                <w:lang w:eastAsia="zh-CN"/>
              </w:rPr>
              <w:t>the service</w:t>
            </w:r>
            <w:r>
              <w:rPr>
                <w:rFonts w:ascii="Times New Roman" w:hAnsi="Times New Roman" w:cs="Times New Roman"/>
                <w:color w:val="000000"/>
                <w:kern w:val="3"/>
                <w:sz w:val="20"/>
                <w:szCs w:val="20"/>
                <w:lang w:eastAsia="zh-CN"/>
              </w:rPr>
              <w:t>s</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p>
        </w:tc>
        <w:tc>
          <w:tcPr>
            <w:tcW w:w="1927" w:type="dxa"/>
            <w:tcBorders>
              <w:top w:val="single" w:sz="4" w:space="0" w:color="auto"/>
              <w:left w:val="single" w:sz="4" w:space="0" w:color="auto"/>
              <w:bottom w:val="single" w:sz="4" w:space="0" w:color="auto"/>
              <w:right w:val="single" w:sz="4" w:space="0" w:color="auto"/>
            </w:tcBorders>
          </w:tcPr>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(0/-) Limited compliance costs for user uploaded content services  which implement the best practices (to the extent the stakeholder dialogue</w:t>
            </w:r>
            <w:r w:rsidR="008B710A">
              <w:rPr>
                <w:rFonts w:ascii="Times New Roman" w:hAnsi="Times New Roman" w:cs="Times New Roman"/>
                <w:color w:val="000000"/>
                <w:sz w:val="20"/>
              </w:rPr>
              <w:t>s</w:t>
            </w:r>
            <w:r w:rsidRPr="0055729D">
              <w:rPr>
                <w:rFonts w:ascii="Times New Roman" w:hAnsi="Times New Roman" w:cs="Times New Roman"/>
                <w:color w:val="000000"/>
                <w:sz w:val="20"/>
              </w:rPr>
              <w:t xml:space="preserve"> result in best practice</w:t>
            </w:r>
            <w:r w:rsidR="008B710A">
              <w:rPr>
                <w:rFonts w:ascii="Times New Roman" w:hAnsi="Times New Roman" w:cs="Times New Roman"/>
                <w:color w:val="000000"/>
                <w:sz w:val="20"/>
              </w:rPr>
              <w:t>s</w:t>
            </w:r>
            <w:r w:rsidRPr="0055729D">
              <w:rPr>
                <w:rFonts w:ascii="Times New Roman" w:hAnsi="Times New Roman" w:cs="Times New Roman"/>
                <w:color w:val="000000"/>
                <w:sz w:val="20"/>
              </w:rPr>
              <w:t>)</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 xml:space="preserve">(0/-) </w:t>
            </w:r>
            <w:r w:rsidRPr="0055729D">
              <w:rPr>
                <w:rFonts w:ascii="Times New Roman" w:hAnsi="Times New Roman" w:cs="Times New Roman"/>
                <w:color w:val="000000"/>
                <w:kern w:val="3"/>
                <w:sz w:val="20"/>
              </w:rPr>
              <w:t xml:space="preserve">Limited compliance costs for </w:t>
            </w:r>
            <w:r w:rsidR="00687496">
              <w:rPr>
                <w:rFonts w:ascii="Times New Roman" w:hAnsi="Times New Roman" w:cs="Times New Roman"/>
                <w:color w:val="000000"/>
                <w:kern w:val="3"/>
                <w:sz w:val="20"/>
              </w:rPr>
              <w:t>r</w:t>
            </w:r>
            <w:r w:rsidR="00007677">
              <w:rPr>
                <w:rFonts w:ascii="Times New Roman" w:hAnsi="Times New Roman" w:cs="Times New Roman"/>
                <w:color w:val="000000"/>
                <w:kern w:val="3"/>
                <w:sz w:val="20"/>
              </w:rPr>
              <w:t>ightholders</w:t>
            </w:r>
            <w:r w:rsidRPr="0055729D">
              <w:rPr>
                <w:rFonts w:ascii="Times New Roman" w:hAnsi="Times New Roman" w:cs="Times New Roman"/>
                <w:color w:val="000000"/>
                <w:kern w:val="3"/>
                <w:sz w:val="20"/>
              </w:rPr>
              <w:t xml:space="preserve">  </w:t>
            </w:r>
          </w:p>
        </w:tc>
        <w:tc>
          <w:tcPr>
            <w:tcW w:w="2008" w:type="dxa"/>
            <w:tcBorders>
              <w:top w:val="single" w:sz="4" w:space="0" w:color="auto"/>
              <w:left w:val="single" w:sz="4" w:space="0" w:color="auto"/>
              <w:bottom w:val="single" w:sz="4" w:space="0" w:color="auto"/>
              <w:right w:val="single" w:sz="4" w:space="0" w:color="auto"/>
            </w:tcBorders>
          </w:tcPr>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 xml:space="preserve">(0/+) Limited positive impact on </w:t>
            </w:r>
            <w:r w:rsidRPr="0055729D">
              <w:rPr>
                <w:rFonts w:ascii="Times New Roman" w:hAnsi="Times New Roman" w:cs="Times New Roman"/>
                <w:color w:val="000000"/>
                <w:sz w:val="20"/>
                <w:szCs w:val="20"/>
              </w:rPr>
              <w:t>rights</w:t>
            </w:r>
            <w:r w:rsidRPr="0055729D">
              <w:rPr>
                <w:rFonts w:ascii="Times New Roman" w:hAnsi="Times New Roman" w:cs="Times New Roman"/>
                <w:color w:val="000000"/>
                <w:sz w:val="20"/>
              </w:rPr>
              <w:t xml:space="preserve"> holders' possibility to </w:t>
            </w:r>
            <w:r w:rsidRPr="0055729D">
              <w:rPr>
                <w:rFonts w:ascii="Times New Roman" w:hAnsi="Times New Roman" w:cs="Times New Roman"/>
                <w:color w:val="000000"/>
                <w:sz w:val="20"/>
                <w:szCs w:val="20"/>
              </w:rPr>
              <w:t>reduce use</w:t>
            </w:r>
            <w:r w:rsidRPr="0055729D">
              <w:rPr>
                <w:rFonts w:ascii="Times New Roman" w:hAnsi="Times New Roman" w:cs="Times New Roman"/>
                <w:color w:val="000000"/>
                <w:sz w:val="20"/>
              </w:rPr>
              <w:t xml:space="preserve"> of </w:t>
            </w:r>
            <w:r w:rsidRPr="00D1507D">
              <w:rPr>
                <w:rFonts w:ascii="Times New Roman" w:hAnsi="Times New Roman"/>
                <w:color w:val="000000"/>
                <w:sz w:val="20"/>
              </w:rPr>
              <w:t>content not covered by agreements</w:t>
            </w:r>
            <w:r w:rsidRPr="0055729D">
              <w:rPr>
                <w:rFonts w:ascii="Times New Roman" w:hAnsi="Times New Roman" w:cs="Times New Roman"/>
                <w:color w:val="000000"/>
                <w:sz w:val="20"/>
                <w:szCs w:val="20"/>
              </w:rPr>
              <w:t xml:space="preserve"> and to </w:t>
            </w:r>
            <w:r w:rsidRPr="0055729D">
              <w:rPr>
                <w:rFonts w:ascii="Times New Roman" w:hAnsi="Times New Roman" w:cs="Times New Roman"/>
                <w:color w:val="000000"/>
                <w:sz w:val="20"/>
              </w:rPr>
              <w:t xml:space="preserve">negotiate such agreements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(0/-) Limited negative impact on user uploaded co</w:t>
            </w:r>
            <w:r>
              <w:rPr>
                <w:rFonts w:ascii="Times New Roman" w:hAnsi="Times New Roman" w:cs="Times New Roman"/>
                <w:color w:val="000000"/>
                <w:sz w:val="20"/>
              </w:rPr>
              <w:t xml:space="preserve">ntent services </w:t>
            </w:r>
            <w:r w:rsidRPr="0055729D">
              <w:rPr>
                <w:rFonts w:ascii="Times New Roman" w:hAnsi="Times New Roman" w:cs="Times New Roman"/>
                <w:color w:val="000000"/>
                <w:sz w:val="20"/>
              </w:rPr>
              <w:t>which implement the best practices</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(0/+) Limited positive impact on other content services</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(0) No direct impact on consumers</w:t>
            </w:r>
          </w:p>
        </w:tc>
        <w:tc>
          <w:tcPr>
            <w:tcW w:w="1606" w:type="dxa"/>
            <w:tcBorders>
              <w:top w:val="single" w:sz="4" w:space="0" w:color="auto"/>
              <w:left w:val="single" w:sz="4" w:space="0" w:color="auto"/>
              <w:bottom w:val="single" w:sz="4" w:space="0" w:color="auto"/>
              <w:right w:val="single" w:sz="4" w:space="0" w:color="auto"/>
            </w:tcBorders>
          </w:tcPr>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kern w:val="3"/>
                <w:sz w:val="20"/>
              </w:rPr>
              <w:t xml:space="preserve"> (0/+) Limited positive impact </w:t>
            </w:r>
            <w:r w:rsidRPr="0055729D">
              <w:rPr>
                <w:rFonts w:ascii="Times New Roman" w:hAnsi="Times New Roman" w:cs="Times New Roman"/>
                <w:color w:val="000000"/>
                <w:kern w:val="3"/>
                <w:sz w:val="20"/>
              </w:rPr>
              <w:t>on cultural diversity and on the property right.</w:t>
            </w:r>
            <w:r w:rsidRPr="0055729D">
              <w:rPr>
                <w:rFonts w:ascii="Times New Roman" w:hAnsi="Times New Roman" w:cs="Times New Roman"/>
                <w:color w:val="000000"/>
                <w:sz w:val="20"/>
              </w:rPr>
              <w:t xml:space="preserve">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rPr>
            </w:pPr>
            <w:r w:rsidRPr="0055729D">
              <w:rPr>
                <w:rFonts w:ascii="Times New Roman" w:hAnsi="Times New Roman" w:cs="Times New Roman"/>
                <w:color w:val="000000"/>
                <w:sz w:val="20"/>
              </w:rPr>
              <w:t>(0) Neutral impact on freedom of expression and information in cases where best practices are implemented</w:t>
            </w:r>
            <w:r w:rsidRPr="0055729D">
              <w:rPr>
                <w:rFonts w:ascii="Times New Roman" w:hAnsi="Times New Roman" w:cs="Times New Roman"/>
                <w:color w:val="000000"/>
                <w:kern w:val="3"/>
                <w:sz w:val="20"/>
              </w:rPr>
              <w:t xml:space="preserve">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 xml:space="preserve">0/-) Limited negative impact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on freedom to conduct business</w:t>
            </w:r>
          </w:p>
          <w:p w:rsidR="002A7940" w:rsidRPr="0055729D" w:rsidRDefault="002A7940" w:rsidP="007F69DB">
            <w:pPr>
              <w:autoSpaceDE w:val="0"/>
              <w:autoSpaceDN w:val="0"/>
              <w:adjustRightInd w:val="0"/>
              <w:spacing w:after="0" w:line="240" w:lineRule="auto"/>
              <w:rPr>
                <w:rFonts w:ascii="Times New Roman" w:hAnsi="Times New Roman" w:cs="Times New Roman"/>
                <w:kern w:val="3"/>
                <w:sz w:val="20"/>
              </w:rPr>
            </w:pPr>
            <w:r w:rsidRPr="0055729D">
              <w:rPr>
                <w:rFonts w:ascii="Times New Roman" w:hAnsi="Times New Roman" w:cs="Times New Roman"/>
                <w:color w:val="000000"/>
                <w:sz w:val="20"/>
              </w:rPr>
              <w:t>in cases where best practices are implemented</w:t>
            </w:r>
            <w:r w:rsidRPr="0055729D">
              <w:rPr>
                <w:rFonts w:ascii="Times New Roman" w:hAnsi="Times New Roman" w:cs="Times New Roman"/>
                <w:color w:val="000000"/>
                <w:kern w:val="3"/>
                <w:sz w:val="20"/>
              </w:rPr>
              <w:t xml:space="preserve"> </w:t>
            </w:r>
          </w:p>
        </w:tc>
      </w:tr>
      <w:tr w:rsidR="002A7940" w:rsidRPr="0055729D" w:rsidTr="00D1507D">
        <w:trPr>
          <w:trHeight w:val="995"/>
        </w:trPr>
        <w:tc>
          <w:tcPr>
            <w:tcW w:w="1668" w:type="dxa"/>
          </w:tcPr>
          <w:p w:rsidR="002A7940" w:rsidRPr="0055729D" w:rsidRDefault="002A7940" w:rsidP="007F69DB">
            <w:pPr>
              <w:spacing w:after="0" w:line="240" w:lineRule="auto"/>
              <w:rPr>
                <w:rFonts w:ascii="Times New Roman" w:hAnsi="Times New Roman" w:cs="Times New Roman"/>
                <w:b/>
                <w:sz w:val="20"/>
              </w:rPr>
            </w:pPr>
            <w:r w:rsidRPr="0055729D">
              <w:rPr>
                <w:rFonts w:ascii="Times New Roman" w:hAnsi="Times New Roman" w:cs="Times New Roman"/>
                <w:b/>
                <w:sz w:val="20"/>
              </w:rPr>
              <w:t>Option 2</w:t>
            </w:r>
            <w:r w:rsidRPr="0055729D">
              <w:rPr>
                <w:rFonts w:ascii="Times New Roman" w:eastAsia="Times New Roman" w:hAnsi="Times New Roman" w:cs="Times New Roman"/>
                <w:b/>
                <w:bCs/>
                <w:sz w:val="20"/>
                <w:szCs w:val="20"/>
                <w:lang w:eastAsia="en-GB"/>
              </w:rPr>
              <w:t>:</w:t>
            </w:r>
            <w:r w:rsidRPr="0055729D">
              <w:rPr>
                <w:rFonts w:ascii="Times New Roman" w:hAnsi="Times New Roman" w:cs="Times New Roman"/>
                <w:b/>
                <w:sz w:val="20"/>
              </w:rPr>
              <w:t xml:space="preserve"> An obligation on services which store and give access to large amounts of  content uploaded by their users to put in place appropriate technologies </w:t>
            </w:r>
            <w:r w:rsidRPr="0055729D">
              <w:rPr>
                <w:rFonts w:ascii="Times New Roman" w:eastAsia="Times New Roman" w:hAnsi="Times New Roman" w:cs="Times New Roman"/>
                <w:b/>
                <w:bCs/>
                <w:sz w:val="20"/>
                <w:szCs w:val="20"/>
                <w:lang w:eastAsia="en-GB"/>
              </w:rPr>
              <w:t xml:space="preserve">together with more transparency </w:t>
            </w:r>
          </w:p>
        </w:tc>
        <w:tc>
          <w:tcPr>
            <w:tcW w:w="2033" w:type="dxa"/>
          </w:tcPr>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r w:rsidRPr="0055729D">
              <w:rPr>
                <w:rFonts w:ascii="Times New Roman" w:hAnsi="Times New Roman" w:cs="Times New Roman"/>
                <w:color w:val="000000"/>
                <w:sz w:val="20"/>
              </w:rPr>
              <w:t xml:space="preserve">(++) Positive </w:t>
            </w:r>
            <w:r w:rsidRPr="0055729D">
              <w:rPr>
                <w:rFonts w:ascii="Times New Roman" w:hAnsi="Times New Roman" w:cs="Times New Roman"/>
                <w:color w:val="000000"/>
                <w:sz w:val="20"/>
                <w:szCs w:val="20"/>
              </w:rPr>
              <w:t>impact</w:t>
            </w:r>
            <w:r w:rsidRPr="0055729D">
              <w:rPr>
                <w:rFonts w:ascii="Times New Roman" w:hAnsi="Times New Roman" w:cs="Times New Roman"/>
                <w:color w:val="000000"/>
                <w:sz w:val="20"/>
              </w:rPr>
              <w:t xml:space="preserve"> on </w:t>
            </w:r>
            <w:r w:rsidR="00687496">
              <w:rPr>
                <w:rFonts w:ascii="Times New Roman" w:hAnsi="Times New Roman" w:cs="Times New Roman"/>
                <w:color w:val="000000"/>
                <w:sz w:val="20"/>
                <w:szCs w:val="20"/>
              </w:rPr>
              <w:t>r</w:t>
            </w:r>
            <w:r w:rsidR="00007677">
              <w:rPr>
                <w:rFonts w:ascii="Times New Roman" w:hAnsi="Times New Roman" w:cs="Times New Roman"/>
                <w:color w:val="000000"/>
                <w:sz w:val="20"/>
                <w:szCs w:val="20"/>
              </w:rPr>
              <w:t>ightholders</w:t>
            </w:r>
            <w:r w:rsidRPr="0055729D">
              <w:rPr>
                <w:rFonts w:ascii="Times New Roman" w:hAnsi="Times New Roman" w:cs="Times New Roman"/>
                <w:color w:val="000000"/>
                <w:kern w:val="3"/>
                <w:sz w:val="20"/>
                <w:szCs w:val="20"/>
                <w:lang w:eastAsia="zh-CN"/>
              </w:rPr>
              <w:t>' possibility to determine the conditions</w:t>
            </w:r>
            <w:r w:rsidRPr="0055729D">
              <w:rPr>
                <w:rFonts w:ascii="Times New Roman" w:hAnsi="Times New Roman" w:cs="Times New Roman"/>
                <w:color w:val="000000"/>
                <w:kern w:val="3"/>
                <w:sz w:val="20"/>
              </w:rPr>
              <w:t xml:space="preserve"> of </w:t>
            </w:r>
            <w:r w:rsidRPr="0055729D">
              <w:rPr>
                <w:rFonts w:ascii="Times New Roman" w:hAnsi="Times New Roman" w:cs="Times New Roman"/>
                <w:color w:val="000000"/>
                <w:kern w:val="3"/>
                <w:sz w:val="20"/>
                <w:szCs w:val="20"/>
                <w:lang w:eastAsia="zh-CN"/>
              </w:rPr>
              <w:t xml:space="preserve">use of their </w:t>
            </w:r>
            <w:r w:rsidRPr="0055729D">
              <w:rPr>
                <w:rFonts w:ascii="Times New Roman" w:hAnsi="Times New Roman" w:cs="Times New Roman"/>
                <w:color w:val="000000"/>
                <w:kern w:val="3"/>
                <w:sz w:val="20"/>
              </w:rPr>
              <w:t xml:space="preserve">content by </w:t>
            </w:r>
            <w:r w:rsidRPr="0055729D">
              <w:rPr>
                <w:rFonts w:ascii="Times New Roman" w:hAnsi="Times New Roman" w:cs="Times New Roman"/>
                <w:color w:val="000000"/>
                <w:kern w:val="3"/>
                <w:sz w:val="20"/>
                <w:szCs w:val="20"/>
                <w:lang w:eastAsia="zh-CN"/>
              </w:rPr>
              <w:t>the service</w:t>
            </w:r>
            <w:r>
              <w:rPr>
                <w:rFonts w:ascii="Times New Roman" w:hAnsi="Times New Roman" w:cs="Times New Roman"/>
                <w:color w:val="000000"/>
                <w:kern w:val="3"/>
                <w:sz w:val="20"/>
                <w:szCs w:val="20"/>
                <w:lang w:eastAsia="zh-CN"/>
              </w:rPr>
              <w:t>s</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szCs w:val="20"/>
                <w:lang w:eastAsia="zh-CN"/>
              </w:rPr>
            </w:pPr>
          </w:p>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p>
        </w:tc>
        <w:tc>
          <w:tcPr>
            <w:tcW w:w="1927" w:type="dxa"/>
          </w:tcPr>
          <w:p w:rsidR="002A7940" w:rsidRPr="0055729D" w:rsidRDefault="002A7940" w:rsidP="007F69DB">
            <w:pPr>
              <w:autoSpaceDE w:val="0"/>
              <w:autoSpaceDN w:val="0"/>
              <w:adjustRightInd w:val="0"/>
              <w:spacing w:after="0" w:line="240" w:lineRule="auto"/>
              <w:rPr>
                <w:rFonts w:ascii="Times New Roman" w:hAnsi="Times New Roman" w:cs="Times New Roman"/>
                <w:color w:val="000000"/>
                <w:sz w:val="20"/>
              </w:rPr>
            </w:pPr>
            <w:r w:rsidRPr="0055729D">
              <w:rPr>
                <w:rFonts w:ascii="Times New Roman" w:hAnsi="Times New Roman" w:cs="Times New Roman"/>
                <w:color w:val="000000"/>
                <w:sz w:val="20"/>
              </w:rPr>
              <w:t xml:space="preserve">(-) Compliance costs for user uploaded content services </w:t>
            </w:r>
          </w:p>
          <w:p w:rsidR="002A7940" w:rsidRPr="0055729D" w:rsidRDefault="002A7940" w:rsidP="007F69DB">
            <w:pPr>
              <w:autoSpaceDE w:val="0"/>
              <w:autoSpaceDN w:val="0"/>
              <w:adjustRightInd w:val="0"/>
              <w:spacing w:after="0" w:line="240" w:lineRule="auto"/>
              <w:rPr>
                <w:rFonts w:ascii="Times New Roman" w:hAnsi="Times New Roman" w:cs="Times New Roman"/>
                <w:color w:val="000000"/>
                <w:kern w:val="3"/>
                <w:sz w:val="20"/>
              </w:rPr>
            </w:pPr>
            <w:r w:rsidRPr="0055729D">
              <w:rPr>
                <w:rFonts w:ascii="Times New Roman" w:hAnsi="Times New Roman" w:cs="Times New Roman"/>
                <w:color w:val="000000"/>
                <w:kern w:val="3"/>
                <w:sz w:val="20"/>
              </w:rPr>
              <w:t xml:space="preserve">(0/-) Limited compliance costs for </w:t>
            </w:r>
            <w:r w:rsidR="00687496">
              <w:rPr>
                <w:rFonts w:ascii="Times New Roman" w:hAnsi="Times New Roman" w:cs="Times New Roman"/>
                <w:color w:val="000000"/>
                <w:kern w:val="3"/>
                <w:sz w:val="20"/>
              </w:rPr>
              <w:t>r</w:t>
            </w:r>
            <w:r w:rsidR="00007677">
              <w:rPr>
                <w:rFonts w:ascii="Times New Roman" w:hAnsi="Times New Roman" w:cs="Times New Roman"/>
                <w:color w:val="000000"/>
                <w:kern w:val="3"/>
                <w:sz w:val="20"/>
              </w:rPr>
              <w:t>ightholders</w:t>
            </w:r>
            <w:r w:rsidRPr="0055729D">
              <w:rPr>
                <w:rFonts w:ascii="Times New Roman" w:hAnsi="Times New Roman" w:cs="Times New Roman"/>
                <w:color w:val="000000"/>
                <w:kern w:val="3"/>
                <w:sz w:val="20"/>
              </w:rPr>
              <w:t xml:space="preserve"> </w:t>
            </w:r>
          </w:p>
        </w:tc>
        <w:tc>
          <w:tcPr>
            <w:tcW w:w="2008" w:type="dxa"/>
          </w:tcPr>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Pr>
                <w:rFonts w:ascii="Times New Roman" w:hAnsi="Times New Roman" w:cs="Times New Roman"/>
                <w:color w:val="000000"/>
                <w:sz w:val="20"/>
              </w:rPr>
              <w:t xml:space="preserve">(++) Positive impact on </w:t>
            </w:r>
            <w:r w:rsidR="00687496">
              <w:rPr>
                <w:rFonts w:ascii="Times New Roman" w:hAnsi="Times New Roman" w:cs="Times New Roman"/>
                <w:color w:val="000000"/>
                <w:sz w:val="20"/>
                <w:szCs w:val="20"/>
              </w:rPr>
              <w:t>r</w:t>
            </w:r>
            <w:r w:rsidR="00007677">
              <w:rPr>
                <w:rFonts w:ascii="Times New Roman" w:hAnsi="Times New Roman" w:cs="Times New Roman"/>
                <w:color w:val="000000"/>
                <w:sz w:val="20"/>
                <w:szCs w:val="20"/>
              </w:rPr>
              <w:t>ightholders</w:t>
            </w:r>
            <w:r w:rsidRPr="00843EEB">
              <w:rPr>
                <w:rFonts w:ascii="Times New Roman" w:hAnsi="Times New Roman" w:cs="Times New Roman"/>
                <w:color w:val="000000"/>
                <w:sz w:val="20"/>
              </w:rPr>
              <w:t xml:space="preserve">' possibility to </w:t>
            </w:r>
            <w:r w:rsidRPr="00843EEB">
              <w:rPr>
                <w:rFonts w:ascii="Times New Roman" w:hAnsi="Times New Roman" w:cs="Times New Roman"/>
                <w:color w:val="000000"/>
                <w:sz w:val="20"/>
                <w:szCs w:val="20"/>
              </w:rPr>
              <w:t>reduce the use</w:t>
            </w:r>
            <w:r w:rsidRPr="00843EEB">
              <w:rPr>
                <w:rFonts w:ascii="Times New Roman" w:hAnsi="Times New Roman" w:cs="Times New Roman"/>
                <w:color w:val="000000"/>
                <w:sz w:val="20"/>
              </w:rPr>
              <w:t xml:space="preserve"> of </w:t>
            </w:r>
            <w:r w:rsidRPr="00D1507D">
              <w:rPr>
                <w:rFonts w:ascii="Times New Roman" w:hAnsi="Times New Roman"/>
                <w:color w:val="000000"/>
                <w:sz w:val="20"/>
              </w:rPr>
              <w:t>content not covered by agreements</w:t>
            </w:r>
            <w:r w:rsidRPr="00843EEB">
              <w:rPr>
                <w:rFonts w:ascii="Times New Roman" w:hAnsi="Times New Roman" w:cs="Times New Roman"/>
                <w:color w:val="000000"/>
                <w:sz w:val="20"/>
                <w:szCs w:val="20"/>
              </w:rPr>
              <w:t xml:space="preserve"> and to </w:t>
            </w:r>
            <w:r w:rsidRPr="00843EEB">
              <w:rPr>
                <w:rFonts w:ascii="Times New Roman" w:hAnsi="Times New Roman" w:cs="Times New Roman"/>
                <w:color w:val="000000"/>
                <w:sz w:val="20"/>
              </w:rPr>
              <w:t>negotiate agreements</w:t>
            </w:r>
          </w:p>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Pr>
                <w:rFonts w:ascii="Times New Roman" w:hAnsi="Times New Roman"/>
                <w:color w:val="000000"/>
                <w:sz w:val="20"/>
              </w:rPr>
              <w:t xml:space="preserve">(-) </w:t>
            </w:r>
            <w:r w:rsidRPr="00843EEB">
              <w:rPr>
                <w:rFonts w:ascii="Times New Roman" w:hAnsi="Times New Roman" w:cs="Times New Roman"/>
                <w:color w:val="000000"/>
                <w:sz w:val="20"/>
              </w:rPr>
              <w:t xml:space="preserve">Limited negative </w:t>
            </w:r>
            <w:r w:rsidRPr="00843EEB">
              <w:rPr>
                <w:rFonts w:ascii="Times New Roman" w:hAnsi="Times New Roman"/>
                <w:color w:val="000000"/>
                <w:sz w:val="20"/>
              </w:rPr>
              <w:t xml:space="preserve"> impact </w:t>
            </w:r>
            <w:r w:rsidR="008B710A">
              <w:rPr>
                <w:rFonts w:ascii="Times New Roman" w:hAnsi="Times New Roman"/>
                <w:color w:val="000000"/>
                <w:sz w:val="20"/>
              </w:rPr>
              <w:t xml:space="preserve">on </w:t>
            </w:r>
            <w:r w:rsidRPr="00843EEB">
              <w:rPr>
                <w:rFonts w:ascii="Times New Roman" w:hAnsi="Times New Roman"/>
                <w:color w:val="000000"/>
                <w:sz w:val="20"/>
              </w:rPr>
              <w:t>user uploaded content services</w:t>
            </w:r>
            <w:r w:rsidRPr="00843EEB">
              <w:rPr>
                <w:rFonts w:ascii="Times New Roman" w:hAnsi="Times New Roman" w:cs="Times New Roman"/>
                <w:color w:val="000000"/>
                <w:sz w:val="20"/>
              </w:rPr>
              <w:t xml:space="preserve"> </w:t>
            </w:r>
          </w:p>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Pr>
                <w:rFonts w:ascii="Times New Roman" w:hAnsi="Times New Roman" w:cs="Times New Roman"/>
                <w:color w:val="000000"/>
                <w:sz w:val="20"/>
              </w:rPr>
              <w:t>(+) Positive impact on other content services</w:t>
            </w:r>
          </w:p>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Pr>
                <w:rFonts w:ascii="Times New Roman" w:hAnsi="Times New Roman" w:cs="Times New Roman"/>
                <w:color w:val="000000"/>
                <w:sz w:val="20"/>
              </w:rPr>
              <w:t>(0) No direct impact on consumers</w:t>
            </w:r>
          </w:p>
        </w:tc>
        <w:tc>
          <w:tcPr>
            <w:tcW w:w="1606" w:type="dxa"/>
          </w:tcPr>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sidDel="008F3E15">
              <w:rPr>
                <w:rFonts w:ascii="Times New Roman" w:hAnsi="Times New Roman" w:cs="Times New Roman"/>
                <w:color w:val="000000"/>
                <w:sz w:val="20"/>
              </w:rPr>
              <w:t xml:space="preserve"> </w:t>
            </w:r>
            <w:r w:rsidRPr="00843EEB">
              <w:rPr>
                <w:rFonts w:ascii="Times New Roman" w:hAnsi="Times New Roman" w:cs="Times New Roman"/>
                <w:color w:val="000000"/>
                <w:sz w:val="20"/>
              </w:rPr>
              <w:t>(++)</w:t>
            </w:r>
            <w:r w:rsidRPr="00843EEB">
              <w:rPr>
                <w:rFonts w:ascii="Times New Roman" w:hAnsi="Times New Roman" w:cs="Times New Roman"/>
                <w:kern w:val="3"/>
                <w:sz w:val="20"/>
              </w:rPr>
              <w:t xml:space="preserve"> Positive impact on </w:t>
            </w:r>
            <w:r w:rsidRPr="00843EEB">
              <w:rPr>
                <w:rFonts w:ascii="Times New Roman" w:hAnsi="Times New Roman" w:cs="Times New Roman"/>
                <w:color w:val="000000"/>
                <w:kern w:val="3"/>
                <w:sz w:val="20"/>
              </w:rPr>
              <w:t>impact on cultural diversity and on property right.</w:t>
            </w:r>
            <w:r w:rsidRPr="00843EEB">
              <w:rPr>
                <w:rFonts w:ascii="Times New Roman" w:hAnsi="Times New Roman" w:cs="Times New Roman"/>
                <w:color w:val="000000"/>
                <w:sz w:val="20"/>
              </w:rPr>
              <w:t xml:space="preserve"> </w:t>
            </w:r>
          </w:p>
          <w:p w:rsidR="002A7940" w:rsidRPr="00843EEB" w:rsidRDefault="004E001B" w:rsidP="007F69DB">
            <w:pPr>
              <w:autoSpaceDE w:val="0"/>
              <w:autoSpaceDN w:val="0"/>
              <w:adjustRightInd w:val="0"/>
              <w:spacing w:after="0" w:line="240" w:lineRule="auto"/>
              <w:rPr>
                <w:rFonts w:ascii="Times New Roman" w:hAnsi="Times New Roman" w:cs="Times New Roman"/>
                <w:color w:val="000000"/>
                <w:sz w:val="20"/>
              </w:rPr>
            </w:pPr>
            <w:r w:rsidRPr="008012CB">
              <w:rPr>
                <w:rFonts w:ascii="Times New Roman" w:hAnsi="Times New Roman" w:cs="Times New Roman"/>
                <w:color w:val="000000"/>
                <w:sz w:val="20"/>
                <w:szCs w:val="20"/>
              </w:rPr>
              <w:t>(0) Neutral</w:t>
            </w:r>
            <w:r w:rsidR="008B710A">
              <w:rPr>
                <w:rFonts w:ascii="Times New Roman" w:hAnsi="Times New Roman"/>
                <w:color w:val="000000"/>
                <w:sz w:val="20"/>
              </w:rPr>
              <w:t xml:space="preserve"> </w:t>
            </w:r>
            <w:r w:rsidR="002A7940" w:rsidRPr="00843EEB">
              <w:rPr>
                <w:rFonts w:ascii="Times New Roman" w:hAnsi="Times New Roman"/>
                <w:color w:val="000000"/>
                <w:sz w:val="20"/>
              </w:rPr>
              <w:t>impact</w:t>
            </w:r>
            <w:r w:rsidR="002A7940" w:rsidRPr="00843EEB">
              <w:rPr>
                <w:rFonts w:ascii="Times New Roman" w:hAnsi="Times New Roman" w:cs="Times New Roman"/>
                <w:color w:val="000000"/>
                <w:sz w:val="20"/>
              </w:rPr>
              <w:t xml:space="preserve"> on freedom of expression and information.</w:t>
            </w:r>
          </w:p>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r w:rsidRPr="00843EEB">
              <w:rPr>
                <w:rFonts w:ascii="Times New Roman" w:hAnsi="Times New Roman" w:cs="Times New Roman"/>
                <w:color w:val="000000"/>
                <w:sz w:val="20"/>
              </w:rPr>
              <w:t>(0/-) Limited negative impact on freedom to conduct business</w:t>
            </w:r>
          </w:p>
          <w:p w:rsidR="002A7940" w:rsidRPr="00843EEB" w:rsidRDefault="002A7940" w:rsidP="007F69DB">
            <w:pPr>
              <w:autoSpaceDE w:val="0"/>
              <w:autoSpaceDN w:val="0"/>
              <w:adjustRightInd w:val="0"/>
              <w:spacing w:after="0" w:line="240" w:lineRule="auto"/>
              <w:rPr>
                <w:rFonts w:ascii="Times New Roman" w:hAnsi="Times New Roman" w:cs="Times New Roman"/>
                <w:color w:val="000000"/>
                <w:sz w:val="20"/>
              </w:rPr>
            </w:pPr>
          </w:p>
        </w:tc>
      </w:tr>
    </w:tbl>
    <w:p w:rsidR="002A7940" w:rsidRPr="0055729D" w:rsidRDefault="002A7940" w:rsidP="002A7940">
      <w:pPr>
        <w:spacing w:after="0" w:line="240" w:lineRule="auto"/>
        <w:jc w:val="both"/>
        <w:rPr>
          <w:rFonts w:ascii="Times New Roman" w:hAnsi="Times New Roman" w:cs="Times New Roman"/>
          <w:b/>
          <w:sz w:val="24"/>
        </w:rPr>
      </w:pPr>
    </w:p>
    <w:p w:rsidR="002A7940" w:rsidRPr="00D1507D" w:rsidRDefault="002A7940" w:rsidP="00D1507D">
      <w:pPr>
        <w:spacing w:after="0" w:line="240" w:lineRule="auto"/>
        <w:jc w:val="both"/>
        <w:rPr>
          <w:rFonts w:ascii="Times New Roman" w:hAnsi="Times New Roman"/>
          <w:sz w:val="24"/>
        </w:rPr>
      </w:pPr>
      <w:r w:rsidRPr="00D1507D">
        <w:rPr>
          <w:rFonts w:ascii="Times New Roman" w:hAnsi="Times New Roman"/>
          <w:b/>
          <w:sz w:val="24"/>
        </w:rPr>
        <w:t>Option 2 is the preferred option.</w:t>
      </w:r>
      <w:r w:rsidRPr="00D1507D">
        <w:rPr>
          <w:rFonts w:ascii="Times New Roman" w:hAnsi="Times New Roman"/>
          <w:sz w:val="24"/>
        </w:rPr>
        <w:t xml:space="preserve"> </w:t>
      </w:r>
      <w:r w:rsidRPr="00360741">
        <w:rPr>
          <w:rFonts w:ascii="Times New Roman" w:hAnsi="Times New Roman" w:cs="Times New Roman"/>
          <w:b/>
          <w:sz w:val="24"/>
        </w:rPr>
        <w:t xml:space="preserve">The deployment of appropriate technologies </w:t>
      </w:r>
      <w:r w:rsidRPr="00D1507D">
        <w:rPr>
          <w:rFonts w:ascii="Times New Roman" w:hAnsi="Times New Roman"/>
          <w:b/>
          <w:sz w:val="24"/>
        </w:rPr>
        <w:t xml:space="preserve">would increase the </w:t>
      </w:r>
      <w:r w:rsidRPr="00360741">
        <w:rPr>
          <w:rFonts w:ascii="Times New Roman" w:hAnsi="Times New Roman" w:cs="Times New Roman"/>
          <w:b/>
          <w:sz w:val="24"/>
        </w:rPr>
        <w:t>capacity</w:t>
      </w:r>
      <w:r w:rsidRPr="00D1507D">
        <w:rPr>
          <w:rFonts w:ascii="Times New Roman" w:hAnsi="Times New Roman"/>
          <w:b/>
          <w:sz w:val="24"/>
        </w:rPr>
        <w:t xml:space="preserve"> of </w:t>
      </w:r>
      <w:r w:rsidR="00687496">
        <w:rPr>
          <w:rFonts w:ascii="Times New Roman" w:hAnsi="Times New Roman"/>
          <w:b/>
          <w:sz w:val="24"/>
        </w:rPr>
        <w:t>r</w:t>
      </w:r>
      <w:r w:rsidR="00007677">
        <w:rPr>
          <w:rFonts w:ascii="Times New Roman" w:hAnsi="Times New Roman"/>
          <w:b/>
          <w:sz w:val="24"/>
        </w:rPr>
        <w:t>ightholders</w:t>
      </w:r>
      <w:r w:rsidRPr="00D1507D">
        <w:rPr>
          <w:rFonts w:ascii="Times New Roman" w:hAnsi="Times New Roman"/>
          <w:b/>
          <w:sz w:val="24"/>
        </w:rPr>
        <w:t xml:space="preserve"> </w:t>
      </w:r>
      <w:r w:rsidRPr="00360741">
        <w:rPr>
          <w:rFonts w:ascii="Times New Roman" w:hAnsi="Times New Roman" w:cs="Times New Roman"/>
          <w:b/>
          <w:sz w:val="24"/>
        </w:rPr>
        <w:t xml:space="preserve">to control better the presence of their content on user uploaded content services </w:t>
      </w:r>
      <w:r w:rsidRPr="00D1507D">
        <w:rPr>
          <w:rFonts w:ascii="Times New Roman" w:hAnsi="Times New Roman"/>
          <w:b/>
          <w:sz w:val="24"/>
        </w:rPr>
        <w:t xml:space="preserve">and </w:t>
      </w:r>
      <w:r w:rsidRPr="00360741">
        <w:rPr>
          <w:rFonts w:ascii="Times New Roman" w:hAnsi="Times New Roman" w:cs="Times New Roman"/>
          <w:b/>
          <w:sz w:val="24"/>
        </w:rPr>
        <w:t>give</w:t>
      </w:r>
      <w:r w:rsidRPr="00D1507D">
        <w:rPr>
          <w:rFonts w:ascii="Times New Roman" w:hAnsi="Times New Roman"/>
          <w:b/>
          <w:sz w:val="24"/>
        </w:rPr>
        <w:t xml:space="preserve"> them </w:t>
      </w:r>
      <w:r w:rsidRPr="00360741">
        <w:rPr>
          <w:rFonts w:ascii="Times New Roman" w:hAnsi="Times New Roman" w:cs="Times New Roman"/>
          <w:b/>
          <w:sz w:val="24"/>
        </w:rPr>
        <w:t xml:space="preserve">a better position </w:t>
      </w:r>
      <w:r w:rsidRPr="00D1507D">
        <w:rPr>
          <w:rFonts w:ascii="Times New Roman" w:hAnsi="Times New Roman"/>
          <w:b/>
          <w:sz w:val="24"/>
        </w:rPr>
        <w:t xml:space="preserve">to negotiate agreements </w:t>
      </w:r>
      <w:r w:rsidRPr="00360741">
        <w:rPr>
          <w:rFonts w:ascii="Times New Roman" w:hAnsi="Times New Roman" w:cs="Times New Roman"/>
          <w:b/>
          <w:sz w:val="24"/>
        </w:rPr>
        <w:t>for the use</w:t>
      </w:r>
      <w:r w:rsidRPr="00D1507D">
        <w:rPr>
          <w:rFonts w:ascii="Times New Roman" w:hAnsi="Times New Roman"/>
          <w:b/>
          <w:sz w:val="24"/>
        </w:rPr>
        <w:t xml:space="preserve"> of </w:t>
      </w:r>
      <w:r w:rsidRPr="00360741">
        <w:rPr>
          <w:rFonts w:ascii="Times New Roman" w:hAnsi="Times New Roman" w:cs="Times New Roman"/>
          <w:b/>
          <w:sz w:val="24"/>
        </w:rPr>
        <w:t>their</w:t>
      </w:r>
      <w:r w:rsidRPr="00D1507D">
        <w:rPr>
          <w:rFonts w:ascii="Times New Roman" w:hAnsi="Times New Roman"/>
          <w:b/>
          <w:sz w:val="24"/>
        </w:rPr>
        <w:t xml:space="preserve"> content. </w:t>
      </w:r>
      <w:r w:rsidRPr="0055729D">
        <w:rPr>
          <w:rFonts w:ascii="Times New Roman" w:hAnsi="Times New Roman" w:cs="Times New Roman"/>
          <w:sz w:val="24"/>
        </w:rPr>
        <w:t>By contrast, Option 1 could only result in best practices, which</w:t>
      </w:r>
      <w:r w:rsidRPr="00D1507D">
        <w:rPr>
          <w:rFonts w:ascii="Times New Roman" w:hAnsi="Times New Roman"/>
          <w:sz w:val="24"/>
        </w:rPr>
        <w:t xml:space="preserve"> would </w:t>
      </w:r>
      <w:r w:rsidRPr="0055729D">
        <w:rPr>
          <w:rFonts w:ascii="Times New Roman" w:hAnsi="Times New Roman" w:cs="Times New Roman"/>
          <w:sz w:val="24"/>
        </w:rPr>
        <w:t>not be binding</w:t>
      </w:r>
      <w:r w:rsidRPr="00D1507D">
        <w:rPr>
          <w:rFonts w:ascii="Times New Roman" w:hAnsi="Times New Roman"/>
          <w:sz w:val="24"/>
        </w:rPr>
        <w:t xml:space="preserve"> for service providers </w:t>
      </w:r>
      <w:r w:rsidRPr="0055729D">
        <w:rPr>
          <w:rFonts w:ascii="Times New Roman" w:hAnsi="Times New Roman" w:cs="Times New Roman"/>
          <w:sz w:val="24"/>
        </w:rPr>
        <w:t>and would therefore not be sufficient to lead to improvements on market practices.</w:t>
      </w:r>
      <w:r w:rsidRPr="00D1507D">
        <w:rPr>
          <w:rFonts w:ascii="Times New Roman" w:hAnsi="Times New Roman"/>
          <w:sz w:val="24"/>
        </w:rPr>
        <w:t xml:space="preserve"> The compliance costs </w:t>
      </w:r>
      <w:r w:rsidRPr="0055729D">
        <w:rPr>
          <w:rFonts w:ascii="Times New Roman" w:hAnsi="Times New Roman" w:cs="Times New Roman"/>
          <w:sz w:val="24"/>
        </w:rPr>
        <w:t xml:space="preserve">of Option 2 for service providers </w:t>
      </w:r>
      <w:r w:rsidRPr="00D1507D">
        <w:rPr>
          <w:rFonts w:ascii="Times New Roman" w:hAnsi="Times New Roman"/>
          <w:sz w:val="24"/>
        </w:rPr>
        <w:t>are limited by the fact that the technologies to be put in place need to be proportionate</w:t>
      </w:r>
      <w:r w:rsidRPr="0055729D">
        <w:rPr>
          <w:rFonts w:ascii="Times New Roman" w:hAnsi="Times New Roman" w:cs="Times New Roman"/>
          <w:sz w:val="24"/>
        </w:rPr>
        <w:t xml:space="preserve">, and that </w:t>
      </w:r>
      <w:r w:rsidRPr="00D1507D">
        <w:rPr>
          <w:rFonts w:ascii="Times New Roman" w:hAnsi="Times New Roman"/>
          <w:sz w:val="24"/>
        </w:rPr>
        <w:t xml:space="preserve">a majority of the </w:t>
      </w:r>
      <w:r w:rsidRPr="0055729D">
        <w:rPr>
          <w:rFonts w:ascii="Times New Roman" w:hAnsi="Times New Roman" w:cs="Times New Roman"/>
          <w:sz w:val="24"/>
        </w:rPr>
        <w:t xml:space="preserve">services </w:t>
      </w:r>
      <w:r w:rsidRPr="00D1507D">
        <w:rPr>
          <w:rFonts w:ascii="Times New Roman" w:hAnsi="Times New Roman"/>
          <w:sz w:val="24"/>
        </w:rPr>
        <w:t>covered already deploy some content identification technologies</w:t>
      </w:r>
      <w:r w:rsidRPr="0055729D">
        <w:rPr>
          <w:rFonts w:ascii="Times New Roman" w:hAnsi="Times New Roman" w:cs="Times New Roman"/>
          <w:sz w:val="24"/>
        </w:rPr>
        <w:t xml:space="preserve">. </w:t>
      </w:r>
      <w:r w:rsidRPr="00D1507D">
        <w:rPr>
          <w:rFonts w:ascii="Times New Roman" w:hAnsi="Times New Roman"/>
          <w:sz w:val="24"/>
        </w:rPr>
        <w:t xml:space="preserve"> Option 2 is the best option to reach the policy objectives while maintaining a balance between the relevant fundamental rights. </w:t>
      </w:r>
    </w:p>
    <w:p w:rsidR="002A7940" w:rsidRPr="0055729D" w:rsidRDefault="002A7940" w:rsidP="002A7940">
      <w:pPr>
        <w:spacing w:after="0" w:line="240" w:lineRule="auto"/>
        <w:jc w:val="both"/>
        <w:rPr>
          <w:rFonts w:ascii="Times New Roman" w:hAnsi="Times New Roman" w:cs="Times New Roman"/>
          <w:sz w:val="24"/>
          <w:u w:val="single"/>
        </w:rPr>
      </w:pPr>
    </w:p>
    <w:p w:rsidR="002A7940" w:rsidRDefault="002A7940" w:rsidP="002A7940">
      <w:pPr>
        <w:spacing w:after="0" w:line="240" w:lineRule="auto"/>
        <w:jc w:val="both"/>
        <w:rPr>
          <w:rFonts w:ascii="Times New Roman" w:hAnsi="Times New Roman" w:cs="Times New Roman"/>
          <w:sz w:val="24"/>
        </w:rPr>
      </w:pPr>
      <w:r w:rsidRPr="0055729D">
        <w:rPr>
          <w:rFonts w:ascii="Times New Roman" w:hAnsi="Times New Roman" w:cs="Times New Roman"/>
          <w:sz w:val="24"/>
          <w:u w:val="single"/>
        </w:rPr>
        <w:t>Proportionality and impacts on Member States</w:t>
      </w:r>
      <w:r w:rsidRPr="0055729D">
        <w:rPr>
          <w:rFonts w:ascii="Times New Roman" w:hAnsi="Times New Roman" w:cs="Times New Roman"/>
          <w:sz w:val="24"/>
        </w:rPr>
        <w:t xml:space="preserve">: </w:t>
      </w:r>
      <w:r w:rsidRPr="00F170B0">
        <w:rPr>
          <w:rFonts w:ascii="Times New Roman" w:hAnsi="Times New Roman" w:cs="Times New Roman"/>
          <w:sz w:val="24"/>
        </w:rPr>
        <w:t xml:space="preserve">The </w:t>
      </w:r>
      <w:r w:rsidRPr="0055729D">
        <w:rPr>
          <w:rFonts w:ascii="Times New Roman" w:hAnsi="Times New Roman" w:cs="Times New Roman"/>
          <w:sz w:val="24"/>
        </w:rPr>
        <w:t xml:space="preserve">measures foreseen under Option 2 are proportionate to the nature of the services covered. Because of the presence of large amounts of protected content on their websites, these services have a significant impact on the online content market and may therefore be expected to put in place certain measures to protect the content in cooperation with </w:t>
      </w:r>
      <w:r w:rsidR="00687496">
        <w:rPr>
          <w:rFonts w:ascii="Times New Roman" w:hAnsi="Times New Roman" w:cs="Times New Roman"/>
          <w:sz w:val="24"/>
        </w:rPr>
        <w:t>r</w:t>
      </w:r>
      <w:r w:rsidR="00007677">
        <w:rPr>
          <w:rFonts w:ascii="Times New Roman" w:hAnsi="Times New Roman" w:cs="Times New Roman"/>
          <w:sz w:val="24"/>
        </w:rPr>
        <w:t>ightholders</w:t>
      </w:r>
      <w:r w:rsidRPr="0055729D">
        <w:rPr>
          <w:rFonts w:ascii="Times New Roman" w:hAnsi="Times New Roman" w:cs="Times New Roman"/>
          <w:sz w:val="24"/>
        </w:rPr>
        <w:t xml:space="preserve">. </w:t>
      </w:r>
      <w:r>
        <w:rPr>
          <w:rFonts w:ascii="Times New Roman" w:hAnsi="Times New Roman" w:cs="Times New Roman"/>
          <w:sz w:val="24"/>
        </w:rPr>
        <w:t>MS would</w:t>
      </w:r>
      <w:r w:rsidRPr="0055729D">
        <w:rPr>
          <w:rFonts w:ascii="Times New Roman" w:hAnsi="Times New Roman" w:cs="Times New Roman"/>
          <w:sz w:val="24"/>
        </w:rPr>
        <w:t xml:space="preserve"> need to adapt the legislation to establish the obligation imposed by </w:t>
      </w:r>
      <w:r w:rsidR="005530E8">
        <w:rPr>
          <w:rFonts w:ascii="Times New Roman" w:hAnsi="Times New Roman" w:cs="Times New Roman"/>
          <w:sz w:val="24"/>
        </w:rPr>
        <w:t>O</w:t>
      </w:r>
      <w:r w:rsidRPr="0055729D">
        <w:rPr>
          <w:rFonts w:ascii="Times New Roman" w:hAnsi="Times New Roman" w:cs="Times New Roman"/>
          <w:sz w:val="24"/>
        </w:rPr>
        <w:t xml:space="preserve">ption 2. </w:t>
      </w:r>
    </w:p>
    <w:p w:rsidR="002A7940" w:rsidRPr="00D1507D" w:rsidRDefault="002A7940" w:rsidP="00D1507D">
      <w:pPr>
        <w:spacing w:after="0" w:line="240" w:lineRule="auto"/>
        <w:jc w:val="both"/>
        <w:rPr>
          <w:rFonts w:ascii="Times New Roman" w:hAnsi="Times New Roman"/>
          <w:sz w:val="24"/>
        </w:rPr>
      </w:pPr>
    </w:p>
    <w:p w:rsidR="00C82122" w:rsidRPr="008012CB" w:rsidRDefault="00C82122" w:rsidP="007E0E6C">
      <w:pPr>
        <w:pStyle w:val="Heading2"/>
        <w:numPr>
          <w:ilvl w:val="1"/>
          <w:numId w:val="1"/>
        </w:numPr>
        <w:spacing w:before="0" w:after="240"/>
        <w:rPr>
          <w:rFonts w:ascii="Times New Roman Bold" w:hAnsi="Times New Roman Bold"/>
          <w:smallCaps/>
        </w:rPr>
      </w:pPr>
      <w:bookmarkStart w:id="177" w:name="_Toc461114751"/>
      <w:r w:rsidRPr="008012CB">
        <w:rPr>
          <w:rFonts w:ascii="Times New Roman Bold" w:hAnsi="Times New Roman Bold"/>
          <w:smallCaps/>
        </w:rPr>
        <w:t>Rights in publications</w:t>
      </w:r>
      <w:bookmarkEnd w:id="177"/>
    </w:p>
    <w:p w:rsidR="007E0E6C" w:rsidRPr="008012CB" w:rsidRDefault="007E0E6C" w:rsidP="00CF38F1">
      <w:pPr>
        <w:pStyle w:val="Heading3"/>
      </w:pPr>
      <w:bookmarkStart w:id="178" w:name="_Toc450311093"/>
      <w:bookmarkStart w:id="179" w:name="_Toc461114752"/>
      <w:r w:rsidRPr="008012CB">
        <w:t>What is the problem and why is it a problem?</w:t>
      </w:r>
      <w:bookmarkEnd w:id="178"/>
      <w:bookmarkEnd w:id="179"/>
    </w:p>
    <w:p w:rsidR="00D3660C" w:rsidRPr="008012CB" w:rsidRDefault="00D3660C" w:rsidP="00D3660C">
      <w:pPr>
        <w:autoSpaceDE w:val="0"/>
        <w:autoSpaceDN w:val="0"/>
        <w:adjustRightInd w:val="0"/>
        <w:spacing w:after="120" w:line="240" w:lineRule="auto"/>
        <w:jc w:val="both"/>
        <w:rPr>
          <w:rFonts w:ascii="Times New Roman" w:eastAsia="Times New Roman" w:hAnsi="Times New Roman" w:cs="Times New Roman"/>
          <w:bCs/>
          <w:i/>
          <w:iCs/>
          <w:sz w:val="24"/>
          <w:szCs w:val="24"/>
          <w:lang w:val="en-AU" w:eastAsia="en-GB"/>
        </w:rPr>
      </w:pPr>
      <w:r w:rsidRPr="008012CB">
        <w:rPr>
          <w:rFonts w:ascii="Times New Roman" w:eastAsia="Arial Unicode MS" w:hAnsi="Times New Roman" w:cs="Times New Roman"/>
          <w:b/>
          <w:bCs/>
          <w:i/>
          <w:iCs/>
          <w:sz w:val="24"/>
          <w:szCs w:val="24"/>
          <w:lang w:val="en-AU" w:eastAsia="en-GB"/>
        </w:rPr>
        <w:t xml:space="preserve">Problem: </w:t>
      </w:r>
      <w:r w:rsidRPr="008012CB">
        <w:rPr>
          <w:rFonts w:ascii="Times New Roman" w:eastAsia="Arial Unicode MS" w:hAnsi="Times New Roman" w:cs="Times New Roman"/>
          <w:bCs/>
          <w:i/>
          <w:iCs/>
          <w:sz w:val="24"/>
          <w:szCs w:val="24"/>
          <w:lang w:val="en-AU" w:eastAsia="en-GB"/>
        </w:rPr>
        <w:t xml:space="preserve">The shift from print to digital has enlarged the audience of </w:t>
      </w:r>
      <w:r>
        <w:rPr>
          <w:rFonts w:ascii="Times New Roman" w:eastAsia="Arial Unicode MS" w:hAnsi="Times New Roman" w:cs="Times New Roman"/>
          <w:bCs/>
          <w:i/>
          <w:iCs/>
          <w:sz w:val="24"/>
          <w:szCs w:val="24"/>
          <w:lang w:val="en-AU" w:eastAsia="en-GB"/>
        </w:rPr>
        <w:t>press</w:t>
      </w:r>
      <w:r w:rsidRPr="008012CB">
        <w:rPr>
          <w:rFonts w:ascii="Times New Roman" w:eastAsia="Arial Unicode MS" w:hAnsi="Times New Roman" w:cs="Times New Roman"/>
          <w:bCs/>
          <w:i/>
          <w:iCs/>
          <w:sz w:val="24"/>
          <w:szCs w:val="24"/>
          <w:lang w:val="en-AU" w:eastAsia="en-GB"/>
        </w:rPr>
        <w:t xml:space="preserve"> publications but made the exploitation and enforcement of the rights in publications increasingly difficult. In addition, publishers face difficulties as regards compensation for uses under exceptions.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Description of the problem</w:t>
      </w:r>
      <w:r w:rsidRPr="008012CB">
        <w:rPr>
          <w:rFonts w:ascii="Times New Roman" w:eastAsia="Calibri" w:hAnsi="Times New Roman" w:cs="Times New Roman"/>
          <w:sz w:val="24"/>
          <w:szCs w:val="24"/>
          <w:lang w:val="en-AU" w:eastAsia="en-GB"/>
        </w:rPr>
        <w:t xml:space="preserve">: </w:t>
      </w:r>
      <w:r>
        <w:rPr>
          <w:rFonts w:ascii="Times New Roman" w:hAnsi="Times New Roman" w:cs="Times New Roman"/>
          <w:sz w:val="24"/>
          <w:szCs w:val="24"/>
          <w:lang w:val="en-AU" w:eastAsia="en-GB"/>
        </w:rPr>
        <w:t xml:space="preserve">Publishers are increasingly facing difficulties in relation to the </w:t>
      </w:r>
      <w:r w:rsidR="00E343BE">
        <w:rPr>
          <w:rFonts w:ascii="Times New Roman" w:hAnsi="Times New Roman" w:cs="Times New Roman"/>
          <w:i/>
          <w:sz w:val="24"/>
          <w:szCs w:val="24"/>
          <w:u w:val="single"/>
          <w:lang w:val="en-AU" w:eastAsia="en-GB"/>
        </w:rPr>
        <w:t>digital</w:t>
      </w:r>
      <w:r w:rsidRPr="00FB7FDC">
        <w:rPr>
          <w:rFonts w:ascii="Times New Roman" w:hAnsi="Times New Roman" w:cs="Times New Roman"/>
          <w:i/>
          <w:sz w:val="24"/>
          <w:szCs w:val="24"/>
          <w:u w:val="single"/>
          <w:lang w:val="en-AU" w:eastAsia="en-GB"/>
        </w:rPr>
        <w:t xml:space="preserve"> exploitation</w:t>
      </w:r>
      <w:r>
        <w:rPr>
          <w:rFonts w:ascii="Times New Roman" w:hAnsi="Times New Roman" w:cs="Times New Roman"/>
          <w:i/>
          <w:sz w:val="24"/>
          <w:szCs w:val="24"/>
          <w:u w:val="single"/>
          <w:lang w:val="en-AU" w:eastAsia="en-GB"/>
        </w:rPr>
        <w:t xml:space="preserve"> of,</w:t>
      </w:r>
      <w:r w:rsidRPr="00FB7FDC">
        <w:rPr>
          <w:rFonts w:ascii="Times New Roman" w:hAnsi="Times New Roman" w:cs="Times New Roman"/>
          <w:i/>
          <w:sz w:val="24"/>
          <w:szCs w:val="24"/>
          <w:u w:val="single"/>
          <w:lang w:val="en-AU" w:eastAsia="en-GB"/>
        </w:rPr>
        <w:t xml:space="preserve"> and the enforcement of rights in</w:t>
      </w:r>
      <w:r>
        <w:rPr>
          <w:rFonts w:ascii="Times New Roman" w:hAnsi="Times New Roman" w:cs="Times New Roman"/>
          <w:i/>
          <w:sz w:val="24"/>
          <w:szCs w:val="24"/>
          <w:u w:val="single"/>
          <w:lang w:val="en-AU" w:eastAsia="en-GB"/>
        </w:rPr>
        <w:t>,</w:t>
      </w:r>
      <w:r w:rsidRPr="00FB7FDC">
        <w:rPr>
          <w:rFonts w:ascii="Times New Roman" w:hAnsi="Times New Roman" w:cs="Times New Roman"/>
          <w:i/>
          <w:sz w:val="24"/>
          <w:szCs w:val="24"/>
          <w:u w:val="single"/>
          <w:lang w:val="en-AU" w:eastAsia="en-GB"/>
        </w:rPr>
        <w:t xml:space="preserve"> </w:t>
      </w:r>
      <w:r>
        <w:rPr>
          <w:rFonts w:ascii="Times New Roman" w:hAnsi="Times New Roman" w:cs="Times New Roman"/>
          <w:i/>
          <w:sz w:val="24"/>
          <w:szCs w:val="24"/>
          <w:u w:val="single"/>
          <w:lang w:val="en-AU" w:eastAsia="en-GB"/>
        </w:rPr>
        <w:t>press</w:t>
      </w:r>
      <w:r w:rsidRPr="00FB7FDC">
        <w:rPr>
          <w:rFonts w:ascii="Times New Roman" w:hAnsi="Times New Roman" w:cs="Times New Roman"/>
          <w:i/>
          <w:sz w:val="24"/>
          <w:szCs w:val="24"/>
          <w:u w:val="single"/>
          <w:lang w:val="en-AU" w:eastAsia="en-GB"/>
        </w:rPr>
        <w:t xml:space="preserve"> publications such as newspapers and magazines</w:t>
      </w:r>
      <w:r>
        <w:rPr>
          <w:rFonts w:ascii="Times New Roman" w:hAnsi="Times New Roman" w:cs="Times New Roman"/>
          <w:sz w:val="24"/>
          <w:szCs w:val="24"/>
          <w:lang w:val="en-AU" w:eastAsia="en-GB"/>
        </w:rPr>
        <w:t xml:space="preserve">. The </w:t>
      </w:r>
      <w:r w:rsidRPr="008012CB">
        <w:rPr>
          <w:rFonts w:ascii="Times New Roman" w:hAnsi="Times New Roman" w:cs="Times New Roman"/>
          <w:sz w:val="24"/>
          <w:szCs w:val="24"/>
          <w:lang w:val="en-AU" w:eastAsia="en-GB"/>
        </w:rPr>
        <w:t xml:space="preserve">changes to the way copyright-protected content is distributed and consumed in the </w:t>
      </w:r>
      <w:r w:rsidRPr="00BE37AB">
        <w:rPr>
          <w:rFonts w:ascii="Times New Roman" w:hAnsi="Times New Roman" w:cs="Times New Roman"/>
          <w:sz w:val="24"/>
          <w:szCs w:val="24"/>
          <w:lang w:val="en-AU" w:eastAsia="en-GB"/>
        </w:rPr>
        <w:t>digital environment</w:t>
      </w:r>
      <w:r w:rsidRPr="008012CB">
        <w:rPr>
          <w:rFonts w:ascii="Times New Roman" w:hAnsi="Times New Roman" w:cs="Times New Roman"/>
          <w:sz w:val="24"/>
          <w:szCs w:val="24"/>
          <w:lang w:val="en-AU" w:eastAsia="en-GB"/>
        </w:rPr>
        <w:t xml:space="preserve"> ha</w:t>
      </w:r>
      <w:r>
        <w:rPr>
          <w:rFonts w:ascii="Times New Roman" w:hAnsi="Times New Roman" w:cs="Times New Roman"/>
          <w:sz w:val="24"/>
          <w:szCs w:val="24"/>
          <w:lang w:val="en-AU" w:eastAsia="en-GB"/>
        </w:rPr>
        <w:t>ve</w:t>
      </w:r>
      <w:r w:rsidRPr="008012CB">
        <w:rPr>
          <w:rFonts w:ascii="Times New Roman" w:hAnsi="Times New Roman" w:cs="Times New Roman"/>
          <w:sz w:val="24"/>
          <w:szCs w:val="24"/>
          <w:lang w:val="en-AU" w:eastAsia="en-GB"/>
        </w:rPr>
        <w:t xml:space="preserve"> affected </w:t>
      </w:r>
      <w:r>
        <w:rPr>
          <w:rFonts w:ascii="Times New Roman" w:hAnsi="Times New Roman" w:cs="Times New Roman"/>
          <w:sz w:val="24"/>
          <w:szCs w:val="24"/>
          <w:lang w:val="en-AU" w:eastAsia="en-GB"/>
        </w:rPr>
        <w:t xml:space="preserve">press </w:t>
      </w:r>
      <w:r w:rsidRPr="00BE37AB">
        <w:rPr>
          <w:rFonts w:ascii="Times New Roman" w:hAnsi="Times New Roman" w:cs="Times New Roman"/>
          <w:sz w:val="24"/>
          <w:szCs w:val="24"/>
          <w:lang w:val="en-AU" w:eastAsia="en-GB"/>
        </w:rPr>
        <w:t xml:space="preserve">publications </w:t>
      </w:r>
      <w:r w:rsidRPr="008012CB">
        <w:rPr>
          <w:rFonts w:ascii="Times New Roman" w:hAnsi="Times New Roman" w:cs="Times New Roman"/>
          <w:sz w:val="24"/>
          <w:szCs w:val="24"/>
          <w:lang w:val="en-AU" w:eastAsia="en-GB"/>
        </w:rPr>
        <w:t>in a specific way. The publishing industry is in the middle of a shift from print to digital. Print circulation of daily newspapers has been constantly declining for years (by 17 % in the period 2010-2014 in 8 EU MS),</w:t>
      </w:r>
      <w:r w:rsidRPr="008012CB">
        <w:rPr>
          <w:rFonts w:ascii="Times New Roman" w:hAnsi="Times New Roman" w:cs="Times New Roman"/>
          <w:sz w:val="24"/>
          <w:szCs w:val="24"/>
          <w:vertAlign w:val="superscript"/>
          <w:lang w:val="en-AU" w:eastAsia="en-GB"/>
        </w:rPr>
        <w:footnoteReference w:id="474"/>
      </w:r>
      <w:r w:rsidRPr="008012CB">
        <w:rPr>
          <w:rFonts w:ascii="Times New Roman" w:hAnsi="Times New Roman" w:cs="Times New Roman"/>
          <w:sz w:val="24"/>
          <w:szCs w:val="24"/>
          <w:lang w:val="en-AU" w:eastAsia="en-GB"/>
        </w:rPr>
        <w:t xml:space="preserve"> a trend that is expected to continue. In all MS sampled by a recent survey, the proportion of consumers who indicated that the internet was their main source to access news largely outweighed those for whom the favourite source was printed newspapers (e.g. 29 % to 3 % in FR; 23 % to 7 % in DE, 34 % to 8 % in IT; 38 % to 10 % in the UK).</w:t>
      </w:r>
      <w:r w:rsidRPr="008012CB">
        <w:rPr>
          <w:rFonts w:ascii="Times New Roman" w:hAnsi="Times New Roman" w:cs="Times New Roman"/>
          <w:sz w:val="24"/>
          <w:szCs w:val="24"/>
          <w:vertAlign w:val="superscript"/>
          <w:lang w:val="en-AU" w:eastAsia="en-GB"/>
        </w:rPr>
        <w:footnoteReference w:id="475"/>
      </w:r>
      <w:r w:rsidRPr="008012CB">
        <w:rPr>
          <w:rFonts w:ascii="Times New Roman" w:hAnsi="Times New Roman" w:cs="Times New Roman"/>
          <w:sz w:val="24"/>
          <w:szCs w:val="24"/>
          <w:lang w:val="en-AU" w:eastAsia="en-GB"/>
        </w:rPr>
        <w:t xml:space="preserve"> Digital audiences of newspapers and magazines have been growing exponentially: web traffic has doubled over the last five years (from 248.4 to 503.4 million unique users between 2011 and 2015).</w:t>
      </w:r>
      <w:r w:rsidRPr="008012CB">
        <w:rPr>
          <w:rFonts w:ascii="Times New Roman" w:hAnsi="Times New Roman" w:cs="Times New Roman"/>
          <w:sz w:val="24"/>
          <w:szCs w:val="24"/>
          <w:vertAlign w:val="superscript"/>
          <w:lang w:val="en-AU" w:eastAsia="en-GB"/>
        </w:rPr>
        <w:footnoteReference w:id="476"/>
      </w:r>
      <w:r w:rsidRPr="008012CB">
        <w:rPr>
          <w:rFonts w:ascii="Times New Roman" w:hAnsi="Times New Roman" w:cs="Times New Roman"/>
          <w:sz w:val="24"/>
          <w:szCs w:val="24"/>
          <w:lang w:val="en-AU" w:eastAsia="en-GB"/>
        </w:rPr>
        <w:t xml:space="preserve"> Today, newspapers and magazines' websites and apps are the main services used to access news for 42 % of users in the EU.</w:t>
      </w:r>
      <w:r w:rsidRPr="008012CB">
        <w:rPr>
          <w:rFonts w:ascii="Times New Roman" w:hAnsi="Times New Roman" w:cs="Times New Roman"/>
          <w:sz w:val="24"/>
          <w:szCs w:val="24"/>
          <w:vertAlign w:val="superscript"/>
          <w:lang w:val="en-AU" w:eastAsia="en-GB"/>
        </w:rPr>
        <w:footnoteReference w:id="477"/>
      </w:r>
      <w:r w:rsidRPr="008012CB">
        <w:rPr>
          <w:rFonts w:ascii="Times New Roman" w:hAnsi="Times New Roman" w:cs="Times New Roman"/>
          <w:sz w:val="20"/>
          <w:szCs w:val="20"/>
          <w:lang w:val="en-AU" w:eastAsia="en-GB"/>
        </w:rPr>
        <w:t xml:space="preserve">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012CB">
        <w:rPr>
          <w:rFonts w:ascii="Times New Roman" w:hAnsi="Times New Roman" w:cs="Times New Roman"/>
          <w:sz w:val="24"/>
          <w:szCs w:val="24"/>
          <w:lang w:val="en-AU" w:eastAsia="en-GB"/>
        </w:rPr>
        <w:t>Despite the growing success of publishers' content online, the increase of publishers' digital revenues has not made up for the decline of print. Between 2010 and 2014, news publishers' total print revenues decreased by €13.45 billion</w:t>
      </w:r>
      <w:r w:rsidRPr="008012CB">
        <w:rPr>
          <w:rFonts w:ascii="Times New Roman" w:hAnsi="Times New Roman" w:cs="Times New Roman"/>
          <w:sz w:val="24"/>
          <w:szCs w:val="24"/>
          <w:vertAlign w:val="superscript"/>
          <w:lang w:val="en-AU" w:eastAsia="en-GB"/>
        </w:rPr>
        <w:footnoteReference w:id="478"/>
      </w:r>
      <w:r w:rsidRPr="008012CB">
        <w:rPr>
          <w:rFonts w:ascii="Times New Roman" w:hAnsi="Times New Roman" w:cs="Times New Roman"/>
          <w:sz w:val="24"/>
          <w:szCs w:val="24"/>
          <w:lang w:val="en-AU" w:eastAsia="en-GB"/>
        </w:rPr>
        <w:t xml:space="preserve"> and digital revenues rose by €3.98 billion: a net revenue loss of </w:t>
      </w:r>
      <w:r w:rsidRPr="008012CB">
        <w:rPr>
          <w:rFonts w:ascii="Times New Roman" w:hAnsi="Times New Roman"/>
          <w:sz w:val="24"/>
          <w:szCs w:val="24"/>
          <w:lang w:val="en-AU"/>
        </w:rPr>
        <w:t>€9</w:t>
      </w:r>
      <w:r w:rsidRPr="008012CB">
        <w:rPr>
          <w:rFonts w:ascii="Times New Roman" w:hAnsi="Times New Roman"/>
          <w:color w:val="1F497D"/>
          <w:sz w:val="24"/>
          <w:szCs w:val="24"/>
          <w:lang w:val="en-AU"/>
        </w:rPr>
        <w:t>.</w:t>
      </w:r>
      <w:r w:rsidRPr="008012CB">
        <w:rPr>
          <w:rFonts w:ascii="Times New Roman" w:hAnsi="Times New Roman"/>
          <w:sz w:val="24"/>
          <w:szCs w:val="24"/>
          <w:lang w:val="en-AU"/>
        </w:rPr>
        <w:t xml:space="preserve">47 </w:t>
      </w:r>
      <w:r w:rsidRPr="008012CB">
        <w:rPr>
          <w:rFonts w:ascii="Times New Roman" w:hAnsi="Times New Roman" w:cs="Times New Roman"/>
          <w:sz w:val="24"/>
          <w:szCs w:val="24"/>
          <w:lang w:val="en-AU" w:eastAsia="en-GB"/>
        </w:rPr>
        <w:t>billion (-13 </w:t>
      </w:r>
      <w:r w:rsidRPr="004E5307">
        <w:rPr>
          <w:rFonts w:ascii="Times New Roman" w:hAnsi="Times New Roman" w:cs="Times New Roman"/>
          <w:sz w:val="24"/>
          <w:szCs w:val="24"/>
          <w:lang w:val="en-AU" w:eastAsia="en-GB"/>
        </w:rPr>
        <w:t>%).</w:t>
      </w:r>
      <w:r w:rsidRPr="004E5307">
        <w:rPr>
          <w:rFonts w:ascii="Times New Roman" w:hAnsi="Times New Roman" w:cs="Times New Roman"/>
          <w:sz w:val="24"/>
          <w:szCs w:val="24"/>
          <w:vertAlign w:val="superscript"/>
          <w:lang w:val="en-AU" w:eastAsia="en-GB"/>
        </w:rPr>
        <w:footnoteReference w:id="479"/>
      </w:r>
      <w:r w:rsidRPr="004E5307">
        <w:rPr>
          <w:rFonts w:ascii="Times New Roman" w:hAnsi="Times New Roman" w:cs="Times New Roman"/>
          <w:sz w:val="24"/>
          <w:szCs w:val="24"/>
          <w:lang w:val="en-AU" w:eastAsia="en-GB"/>
        </w:rPr>
        <w:t xml:space="preserve"> In addition, news publishers report that the current decline of the industry has already led to closing down or reducing their editorial teams, in particular in the case of smaller and regional newspapers.</w:t>
      </w:r>
      <w:r w:rsidRPr="004E5307">
        <w:rPr>
          <w:rStyle w:val="FootnoteReference"/>
          <w:rFonts w:ascii="Times New Roman" w:hAnsi="Times New Roman" w:cs="Times New Roman"/>
          <w:sz w:val="24"/>
          <w:szCs w:val="24"/>
          <w:lang w:val="en-AU" w:eastAsia="en-GB"/>
        </w:rPr>
        <w:t xml:space="preserve"> </w:t>
      </w:r>
      <w:r w:rsidRPr="004E5307">
        <w:rPr>
          <w:rStyle w:val="FootnoteReference"/>
          <w:rFonts w:ascii="Times New Roman" w:hAnsi="Times New Roman" w:cs="Times New Roman"/>
          <w:sz w:val="24"/>
          <w:szCs w:val="24"/>
          <w:lang w:val="en-AU" w:eastAsia="en-GB"/>
        </w:rPr>
        <w:footnoteReference w:id="480"/>
      </w:r>
      <w:r>
        <w:rPr>
          <w:rFonts w:ascii="Times New Roman" w:hAnsi="Times New Roman" w:cs="Times New Roman"/>
          <w:sz w:val="24"/>
          <w:szCs w:val="24"/>
          <w:lang w:val="en-AU" w:eastAsia="en-GB"/>
        </w:rPr>
        <w:t xml:space="preserve">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012CB">
        <w:rPr>
          <w:rFonts w:ascii="Times New Roman" w:hAnsi="Times New Roman" w:cs="Times New Roman"/>
          <w:sz w:val="24"/>
          <w:szCs w:val="24"/>
          <w:lang w:val="en-AU" w:eastAsia="en-GB"/>
        </w:rPr>
        <w:t xml:space="preserve">Several factors may explain this situation. On the one hand,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have traditionally made available online large proportions of their content for free, since the early days of the internet. This business model was sustainable when print revenues ensured sufficient returns of investments and the internet was an additional source of brand exposure and advertising revenues. With the decline of print, publishers have become increasingly dependent on the monetis</w:t>
      </w:r>
      <w:r>
        <w:rPr>
          <w:rFonts w:ascii="Times New Roman" w:hAnsi="Times New Roman" w:cs="Times New Roman"/>
          <w:sz w:val="24"/>
          <w:szCs w:val="24"/>
          <w:lang w:val="en-AU" w:eastAsia="en-GB"/>
        </w:rPr>
        <w:t>ation of</w:t>
      </w:r>
      <w:r w:rsidRPr="008012CB">
        <w:rPr>
          <w:rFonts w:ascii="Times New Roman" w:hAnsi="Times New Roman" w:cs="Times New Roman"/>
          <w:sz w:val="24"/>
          <w:szCs w:val="24"/>
          <w:lang w:val="en-AU" w:eastAsia="en-GB"/>
        </w:rPr>
        <w:t xml:space="preserve"> their digital content, but they manage to do so today only to a limited extent. Paywalls and B2C digital-subscription offers are being increasingly proposed, in particular by the main newspaper</w:t>
      </w:r>
      <w:r>
        <w:rPr>
          <w:rFonts w:ascii="Times New Roman" w:hAnsi="Times New Roman" w:cs="Times New Roman"/>
          <w:sz w:val="24"/>
          <w:szCs w:val="24"/>
          <w:lang w:val="en-AU" w:eastAsia="en-GB"/>
        </w:rPr>
        <w:t xml:space="preserve"> and magazine</w:t>
      </w:r>
      <w:r w:rsidRPr="008012CB">
        <w:rPr>
          <w:rFonts w:ascii="Times New Roman" w:hAnsi="Times New Roman" w:cs="Times New Roman"/>
          <w:sz w:val="24"/>
          <w:szCs w:val="24"/>
          <w:lang w:val="en-AU" w:eastAsia="en-GB"/>
        </w:rPr>
        <w:t xml:space="preserve"> brands, but today they only </w:t>
      </w:r>
      <w:r>
        <w:rPr>
          <w:rFonts w:ascii="Times New Roman" w:hAnsi="Times New Roman" w:cs="Times New Roman"/>
          <w:sz w:val="24"/>
          <w:szCs w:val="24"/>
          <w:lang w:val="en-AU" w:eastAsia="en-GB"/>
        </w:rPr>
        <w:t>ac</w:t>
      </w:r>
      <w:r w:rsidRPr="008012CB">
        <w:rPr>
          <w:rFonts w:ascii="Times New Roman" w:hAnsi="Times New Roman" w:cs="Times New Roman"/>
          <w:sz w:val="24"/>
          <w:szCs w:val="24"/>
          <w:lang w:val="en-AU" w:eastAsia="en-GB"/>
        </w:rPr>
        <w:t xml:space="preserve">count for around 10 % of </w:t>
      </w:r>
      <w:r w:rsidRPr="0081494E">
        <w:rPr>
          <w:rFonts w:ascii="Times New Roman" w:hAnsi="Times New Roman" w:cs="Times New Roman"/>
          <w:sz w:val="24"/>
          <w:szCs w:val="24"/>
          <w:lang w:val="en-AU" w:eastAsia="en-GB"/>
        </w:rPr>
        <w:t>news publishers'</w:t>
      </w:r>
      <w:r w:rsidRPr="008012CB">
        <w:rPr>
          <w:rFonts w:ascii="Times New Roman" w:hAnsi="Times New Roman" w:cs="Times New Roman"/>
          <w:sz w:val="24"/>
          <w:szCs w:val="24"/>
          <w:lang w:val="en-AU" w:eastAsia="en-GB"/>
        </w:rPr>
        <w:t xml:space="preserve"> online revenues.</w:t>
      </w:r>
      <w:r w:rsidRPr="008012CB">
        <w:rPr>
          <w:rFonts w:ascii="Times New Roman" w:hAnsi="Times New Roman" w:cs="Times New Roman"/>
          <w:sz w:val="24"/>
          <w:szCs w:val="24"/>
          <w:vertAlign w:val="superscript"/>
          <w:lang w:val="en-AU" w:eastAsia="en-GB"/>
        </w:rPr>
        <w:footnoteReference w:id="481"/>
      </w:r>
      <w:r w:rsidRPr="008012CB">
        <w:rPr>
          <w:rFonts w:ascii="Times New Roman" w:hAnsi="Times New Roman" w:cs="Times New Roman"/>
          <w:sz w:val="24"/>
          <w:szCs w:val="24"/>
          <w:lang w:val="en-AU" w:eastAsia="en-GB"/>
        </w:rPr>
        <w:t xml:space="preserve"> Freely-available content remains crucial as it attracts advertising revenues, which are today still the main contributor to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digital revenues. However, the large proportion of </w:t>
      </w:r>
      <w:r w:rsidRPr="00AB1D72">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 xml:space="preserve">publishers' content available online has also favoured, over time, the emergence of online service providers, such as social media and news aggregators, which base in full or in part their business models on reusing or providing access to such content.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012CB">
        <w:rPr>
          <w:rFonts w:ascii="Times New Roman" w:hAnsi="Times New Roman" w:cs="Times New Roman"/>
          <w:sz w:val="24"/>
          <w:szCs w:val="24"/>
          <w:lang w:val="en-AU" w:eastAsia="en-GB"/>
        </w:rPr>
        <w:t>In 2016, social media (22 %), news aggregators (14 %) and search engines (21 %) are, taken together, the main way to read news online for 57 % of users in the EU.</w:t>
      </w:r>
      <w:r w:rsidRPr="008012CB">
        <w:rPr>
          <w:rFonts w:ascii="Times New Roman" w:hAnsi="Times New Roman" w:cs="Times New Roman"/>
          <w:sz w:val="24"/>
          <w:szCs w:val="24"/>
          <w:vertAlign w:val="superscript"/>
          <w:lang w:val="en-AU" w:eastAsia="en-GB"/>
        </w:rPr>
        <w:footnoteReference w:id="482"/>
      </w:r>
      <w:r w:rsidRPr="008012CB">
        <w:rPr>
          <w:rFonts w:ascii="Times New Roman" w:hAnsi="Times New Roman" w:cs="Times New Roman"/>
          <w:sz w:val="24"/>
          <w:szCs w:val="24"/>
          <w:lang w:val="en-AU" w:eastAsia="en-GB"/>
        </w:rPr>
        <w:t xml:space="preserve"> The relation between these online services and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is complex. On the one hand</w:t>
      </w:r>
      <w:r>
        <w:rPr>
          <w:rFonts w:ascii="Times New Roman" w:hAnsi="Times New Roman" w:cs="Times New Roman"/>
          <w:sz w:val="24"/>
          <w:szCs w:val="24"/>
          <w:lang w:val="en-AU" w:eastAsia="en-GB"/>
        </w:rPr>
        <w:t>,</w:t>
      </w:r>
      <w:r w:rsidRPr="008012CB">
        <w:rPr>
          <w:rFonts w:ascii="Times New Roman" w:hAnsi="Times New Roman" w:cs="Times New Roman"/>
          <w:sz w:val="24"/>
          <w:szCs w:val="24"/>
          <w:lang w:val="en-AU" w:eastAsia="en-GB"/>
        </w:rPr>
        <w:t xml:space="preserve"> they increase the visibility of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content and bring new traffic –and thus advertising revenues– to newspaper websites.</w:t>
      </w:r>
      <w:r w:rsidRPr="008012CB">
        <w:rPr>
          <w:rFonts w:ascii="Times New Roman" w:hAnsi="Times New Roman" w:cs="Times New Roman"/>
          <w:sz w:val="24"/>
          <w:szCs w:val="24"/>
          <w:vertAlign w:val="superscript"/>
          <w:lang w:val="en-AU" w:eastAsia="en-GB"/>
        </w:rPr>
        <w:footnoteReference w:id="483"/>
      </w:r>
      <w:r w:rsidRPr="008012CB">
        <w:rPr>
          <w:rFonts w:ascii="Times New Roman" w:hAnsi="Times New Roman" w:cs="Times New Roman"/>
          <w:sz w:val="24"/>
          <w:szCs w:val="24"/>
          <w:lang w:val="en-AU" w:eastAsia="en-GB"/>
        </w:rPr>
        <w:t xml:space="preserve"> According to a recent study covering FR, DE, UK and ES, 66 % of visits to newspapers' websites consist in referral traffic, i.e. traffic channelled by other online services, the total value of which has been estimated to be €746 million in the 4 MS considered.</w:t>
      </w:r>
      <w:r w:rsidRPr="008012CB">
        <w:rPr>
          <w:rFonts w:ascii="Times New Roman" w:hAnsi="Times New Roman" w:cs="Times New Roman"/>
          <w:sz w:val="24"/>
          <w:szCs w:val="24"/>
          <w:vertAlign w:val="superscript"/>
          <w:lang w:val="en-AU" w:eastAsia="en-GB"/>
        </w:rPr>
        <w:footnoteReference w:id="484"/>
      </w:r>
      <w:r w:rsidRPr="008012CB">
        <w:rPr>
          <w:rFonts w:ascii="Times New Roman" w:hAnsi="Times New Roman" w:cs="Times New Roman"/>
          <w:sz w:val="24"/>
          <w:szCs w:val="24"/>
          <w:lang w:val="en-AU" w:eastAsia="en-GB"/>
        </w:rPr>
        <w:t xml:space="preserve"> On the other hand, 47 % of consumers browse and read news extracts on these websites without clicking on links to access the whole article in the newspaper page, which erodes advertising revenues from the newspaper webpages.</w:t>
      </w:r>
      <w:r w:rsidRPr="008012CB">
        <w:rPr>
          <w:rFonts w:ascii="Times New Roman" w:hAnsi="Times New Roman" w:cs="Times New Roman"/>
          <w:sz w:val="24"/>
          <w:szCs w:val="24"/>
          <w:vertAlign w:val="superscript"/>
          <w:lang w:val="en-AU" w:eastAsia="en-GB"/>
        </w:rPr>
        <w:footnoteReference w:id="485"/>
      </w:r>
      <w:r w:rsidRPr="008012CB">
        <w:rPr>
          <w:rFonts w:ascii="Times New Roman" w:hAnsi="Times New Roman" w:cs="Times New Roman"/>
          <w:sz w:val="24"/>
          <w:szCs w:val="24"/>
          <w:lang w:val="en-AU" w:eastAsia="en-GB"/>
        </w:rPr>
        <w:t xml:space="preserve"> </w:t>
      </w:r>
    </w:p>
    <w:p w:rsidR="00D3660C" w:rsidRPr="008012CB" w:rsidRDefault="00D3660C" w:rsidP="00D3660C">
      <w:pPr>
        <w:spacing w:after="120" w:line="240" w:lineRule="auto"/>
        <w:jc w:val="both"/>
        <w:rPr>
          <w:rFonts w:ascii="Times New Roman" w:hAnsi="Times New Roman" w:cs="Times New Roman"/>
          <w:sz w:val="24"/>
          <w:szCs w:val="24"/>
          <w:lang w:val="en-AU" w:eastAsia="en-GB"/>
        </w:rPr>
      </w:pP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have attempted to conclude licences with online service providers for uses of their content online, and sought to participate in the advertising revenues generated by their content on third parties' websites. However, they have generally not managed to do so, despite the fact that these services often engage in copyright-relevant acts.</w:t>
      </w:r>
      <w:r w:rsidRPr="008012CB">
        <w:rPr>
          <w:rFonts w:ascii="Times New Roman" w:hAnsi="Times New Roman" w:cs="Times New Roman"/>
          <w:sz w:val="24"/>
          <w:szCs w:val="24"/>
          <w:vertAlign w:val="superscript"/>
          <w:lang w:val="en-AU" w:eastAsia="en-GB"/>
        </w:rPr>
        <w:footnoteReference w:id="486"/>
      </w:r>
      <w:r w:rsidRPr="008012CB">
        <w:rPr>
          <w:rFonts w:ascii="Times New Roman" w:hAnsi="Times New Roman" w:cs="Times New Roman"/>
          <w:sz w:val="24"/>
          <w:szCs w:val="24"/>
          <w:lang w:val="en-AU" w:eastAsia="en-GB"/>
        </w:rPr>
        <w:t xml:space="preserve"> More generally, the opportunity offered by the digital environment has not translated into the emergence of a solid B2B licensing market for online uses of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publications.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generally point out that B2B-licence revenues are a very low proportion of their online revenues and that they face considerable difficulties in concluding licences with online service providers.</w:t>
      </w:r>
      <w:r w:rsidRPr="008012CB">
        <w:rPr>
          <w:rFonts w:ascii="Times New Roman" w:hAnsi="Times New Roman" w:cs="Times New Roman"/>
          <w:sz w:val="24"/>
          <w:szCs w:val="24"/>
          <w:vertAlign w:val="superscript"/>
          <w:lang w:val="en-AU" w:eastAsia="en-GB"/>
        </w:rPr>
        <w:footnoteReference w:id="487"/>
      </w:r>
      <w:r w:rsidRPr="008012CB">
        <w:rPr>
          <w:rFonts w:ascii="Times New Roman" w:hAnsi="Times New Roman" w:cs="Times New Roman"/>
          <w:sz w:val="24"/>
          <w:szCs w:val="24"/>
          <w:lang w:val="en-AU" w:eastAsia="en-GB"/>
        </w:rPr>
        <w:t xml:space="preserve"> Services distributing digital </w:t>
      </w:r>
      <w:r w:rsidRPr="00AB1D72">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publishers' content to consumers based on licensing agreements are just beginning to be tested now.</w:t>
      </w:r>
      <w:r w:rsidRPr="008012CB">
        <w:rPr>
          <w:rFonts w:ascii="Times New Roman" w:hAnsi="Times New Roman" w:cs="Times New Roman"/>
          <w:sz w:val="24"/>
          <w:szCs w:val="24"/>
          <w:vertAlign w:val="superscript"/>
          <w:lang w:val="en-AU" w:eastAsia="en-GB"/>
        </w:rPr>
        <w:footnoteReference w:id="488"/>
      </w:r>
      <w:r w:rsidRPr="008012CB">
        <w:rPr>
          <w:rFonts w:ascii="Times New Roman" w:hAnsi="Times New Roman" w:cs="Times New Roman"/>
          <w:sz w:val="24"/>
          <w:szCs w:val="24"/>
          <w:lang w:val="en-AU" w:eastAsia="en-GB"/>
        </w:rPr>
        <w:t xml:space="preserve"> Cooperation agreements between major online service providers and publishers, which aim at supporting technological solutions to improve readers' experience (in particular on smartphones) and generate higher advertising revenues, are beginning to emerge.</w:t>
      </w:r>
      <w:r w:rsidRPr="008012CB">
        <w:rPr>
          <w:rFonts w:ascii="Times New Roman" w:hAnsi="Times New Roman" w:cs="Times New Roman"/>
          <w:sz w:val="24"/>
          <w:szCs w:val="24"/>
          <w:vertAlign w:val="superscript"/>
          <w:lang w:val="en-AU" w:eastAsia="en-GB"/>
        </w:rPr>
        <w:footnoteReference w:id="489"/>
      </w:r>
      <w:r w:rsidRPr="008012CB">
        <w:rPr>
          <w:rFonts w:ascii="Times New Roman" w:hAnsi="Times New Roman" w:cs="Times New Roman"/>
          <w:sz w:val="24"/>
          <w:szCs w:val="24"/>
          <w:lang w:val="en-AU" w:eastAsia="en-GB"/>
        </w:rPr>
        <w:t xml:space="preserve"> However, these agreements </w:t>
      </w:r>
      <w:r>
        <w:rPr>
          <w:rFonts w:ascii="Times New Roman" w:hAnsi="Times New Roman" w:cs="Times New Roman"/>
          <w:sz w:val="24"/>
          <w:szCs w:val="24"/>
          <w:lang w:val="en-AU" w:eastAsia="en-GB"/>
        </w:rPr>
        <w:t xml:space="preserve">generally do not </w:t>
      </w:r>
      <w:r w:rsidRPr="008012CB">
        <w:rPr>
          <w:rFonts w:ascii="Times New Roman" w:hAnsi="Times New Roman" w:cs="Times New Roman"/>
          <w:sz w:val="24"/>
          <w:szCs w:val="24"/>
          <w:lang w:val="en-AU" w:eastAsia="en-GB"/>
        </w:rPr>
        <w:t xml:space="preserve">specifically target the use of content by online service providers. </w:t>
      </w:r>
    </w:p>
    <w:p w:rsidR="00D3660C" w:rsidRPr="008012CB" w:rsidRDefault="00D3660C" w:rsidP="00D3660C">
      <w:pPr>
        <w:spacing w:after="120" w:line="240" w:lineRule="auto"/>
        <w:jc w:val="both"/>
        <w:rPr>
          <w:rFonts w:ascii="Times New Roman" w:hAnsi="Times New Roman" w:cs="Times New Roman"/>
          <w:sz w:val="24"/>
          <w:szCs w:val="24"/>
          <w:lang w:eastAsia="en-GB"/>
        </w:rPr>
      </w:pPr>
      <w:r w:rsidRPr="008012CB">
        <w:rPr>
          <w:rFonts w:ascii="Times New Roman" w:hAnsi="Times New Roman" w:cs="Times New Roman"/>
          <w:sz w:val="24"/>
          <w:szCs w:val="24"/>
          <w:lang w:eastAsia="en-GB"/>
        </w:rPr>
        <w:t xml:space="preserve">The problem described above does not affect publishers other than </w:t>
      </w:r>
      <w:r>
        <w:rPr>
          <w:rFonts w:ascii="Times New Roman" w:hAnsi="Times New Roman" w:cs="Times New Roman"/>
          <w:sz w:val="24"/>
          <w:szCs w:val="24"/>
          <w:lang w:eastAsia="en-GB"/>
        </w:rPr>
        <w:t>press</w:t>
      </w:r>
      <w:r w:rsidRPr="008012CB">
        <w:rPr>
          <w:rFonts w:ascii="Times New Roman" w:hAnsi="Times New Roman" w:cs="Times New Roman"/>
          <w:sz w:val="24"/>
          <w:szCs w:val="24"/>
          <w:lang w:eastAsia="en-GB"/>
        </w:rPr>
        <w:t xml:space="preserve"> publishers to the same extent, due to the different nature of their products and business models. Book publishers generally do not make their content freely accessible online in the same way </w:t>
      </w:r>
      <w:r w:rsidRPr="00AB1D72">
        <w:rPr>
          <w:rFonts w:ascii="Times New Roman" w:hAnsi="Times New Roman" w:cs="Times New Roman"/>
          <w:sz w:val="24"/>
          <w:szCs w:val="24"/>
          <w:lang w:eastAsia="en-GB"/>
        </w:rPr>
        <w:t xml:space="preserve">press </w:t>
      </w:r>
      <w:r w:rsidRPr="008012CB">
        <w:rPr>
          <w:rFonts w:ascii="Times New Roman" w:hAnsi="Times New Roman" w:cs="Times New Roman"/>
          <w:sz w:val="24"/>
          <w:szCs w:val="24"/>
          <w:lang w:eastAsia="en-GB"/>
        </w:rPr>
        <w:t>publishers do. As a consequence, online services such as news aggregators and social media hardly play a role as distributors of book content at the moment. The online distribution of e</w:t>
      </w:r>
      <w:r>
        <w:rPr>
          <w:rFonts w:ascii="Times New Roman" w:hAnsi="Times New Roman" w:cs="Times New Roman"/>
          <w:sz w:val="24"/>
          <w:szCs w:val="24"/>
          <w:lang w:eastAsia="en-GB"/>
        </w:rPr>
        <w:noBreakHyphen/>
      </w:r>
      <w:r w:rsidRPr="008012CB">
        <w:rPr>
          <w:rFonts w:ascii="Times New Roman" w:hAnsi="Times New Roman" w:cs="Times New Roman"/>
          <w:sz w:val="24"/>
          <w:szCs w:val="24"/>
          <w:lang w:eastAsia="en-GB"/>
        </w:rPr>
        <w:t>books generally follows a more traditional</w:t>
      </w:r>
      <w:r>
        <w:rPr>
          <w:rFonts w:ascii="Times New Roman" w:hAnsi="Times New Roman" w:cs="Times New Roman"/>
          <w:sz w:val="24"/>
          <w:szCs w:val="24"/>
          <w:lang w:eastAsia="en-GB"/>
        </w:rPr>
        <w:t xml:space="preserve"> </w:t>
      </w:r>
      <w:r w:rsidRPr="008012CB">
        <w:rPr>
          <w:rFonts w:ascii="Times New Roman" w:hAnsi="Times New Roman" w:cs="Times New Roman"/>
          <w:sz w:val="24"/>
          <w:szCs w:val="24"/>
          <w:lang w:eastAsia="en-GB"/>
        </w:rPr>
        <w:t xml:space="preserve">linear model, based on copyright licences between publishers and online distributors (with or without the intervention of intermediaries), in many cases large multimedia online service providers. Scientific publishers generate revenues either through subscription licences with universities and similar establishments or, when they make available their content online under the open access model, by charging authors for the publication. Because of the specific nature of the scientific publications, advertising revenues as well as traffic generated by online service providers hardly play a role in this market. </w:t>
      </w:r>
    </w:p>
    <w:p w:rsidR="00C801D5" w:rsidRPr="00D3660C" w:rsidRDefault="00D3660C" w:rsidP="00C801D5">
      <w:pPr>
        <w:spacing w:line="240" w:lineRule="auto"/>
        <w:jc w:val="both"/>
        <w:rPr>
          <w:rFonts w:ascii="Times New Roman" w:hAnsi="Times New Roman" w:cs="Times New Roman"/>
          <w:sz w:val="24"/>
          <w:szCs w:val="24"/>
          <w:lang w:val="en-AU" w:eastAsia="en-GB"/>
        </w:rPr>
      </w:pPr>
      <w:r>
        <w:rPr>
          <w:rFonts w:ascii="Times New Roman" w:hAnsi="Times New Roman" w:cs="Times New Roman"/>
          <w:sz w:val="24"/>
          <w:szCs w:val="24"/>
          <w:lang w:val="en-AU" w:eastAsia="en-GB"/>
        </w:rPr>
        <w:t>A</w:t>
      </w:r>
      <w:r w:rsidRPr="008012CB">
        <w:rPr>
          <w:rFonts w:ascii="Times New Roman" w:hAnsi="Times New Roman" w:cs="Times New Roman"/>
          <w:sz w:val="24"/>
          <w:szCs w:val="24"/>
          <w:lang w:val="en-AU" w:eastAsia="en-GB"/>
        </w:rPr>
        <w:t>n additional</w:t>
      </w:r>
      <w:r>
        <w:rPr>
          <w:rFonts w:ascii="Times New Roman" w:hAnsi="Times New Roman" w:cs="Times New Roman"/>
          <w:sz w:val="24"/>
          <w:szCs w:val="24"/>
          <w:lang w:val="en-AU" w:eastAsia="en-GB"/>
        </w:rPr>
        <w:t>, more</w:t>
      </w:r>
      <w:r w:rsidRPr="008012CB">
        <w:rPr>
          <w:rFonts w:ascii="Times New Roman" w:hAnsi="Times New Roman" w:cs="Times New Roman"/>
          <w:sz w:val="24"/>
          <w:szCs w:val="24"/>
          <w:lang w:val="en-AU" w:eastAsia="en-GB"/>
        </w:rPr>
        <w:t xml:space="preserve"> </w:t>
      </w:r>
      <w:r>
        <w:rPr>
          <w:rFonts w:ascii="Times New Roman" w:hAnsi="Times New Roman" w:cs="Times New Roman"/>
          <w:sz w:val="24"/>
          <w:szCs w:val="24"/>
          <w:lang w:val="en-AU" w:eastAsia="en-GB"/>
        </w:rPr>
        <w:t xml:space="preserve">specific </w:t>
      </w:r>
      <w:r w:rsidRPr="008012CB">
        <w:rPr>
          <w:rFonts w:ascii="Times New Roman" w:hAnsi="Times New Roman" w:cs="Times New Roman"/>
          <w:sz w:val="24"/>
          <w:szCs w:val="24"/>
          <w:lang w:val="en-AU" w:eastAsia="en-GB"/>
        </w:rPr>
        <w:t>problem which affects all publishers</w:t>
      </w:r>
      <w:r>
        <w:rPr>
          <w:rFonts w:ascii="Times New Roman" w:hAnsi="Times New Roman" w:cs="Times New Roman"/>
          <w:sz w:val="24"/>
          <w:szCs w:val="24"/>
          <w:lang w:val="en-AU" w:eastAsia="en-GB"/>
        </w:rPr>
        <w:t xml:space="preserve">, in particular book and scientific publishers, relates to their </w:t>
      </w:r>
      <w:r w:rsidRPr="00D1507D">
        <w:rPr>
          <w:rFonts w:ascii="Times New Roman" w:hAnsi="Times New Roman"/>
          <w:i/>
          <w:sz w:val="24"/>
          <w:u w:val="single"/>
          <w:lang w:val="en-AU"/>
        </w:rPr>
        <w:t xml:space="preserve">ability to receive compensation for uses of </w:t>
      </w:r>
      <w:r w:rsidRPr="00067D49">
        <w:rPr>
          <w:rFonts w:ascii="Times New Roman" w:hAnsi="Times New Roman" w:cs="Times New Roman"/>
          <w:i/>
          <w:sz w:val="24"/>
          <w:szCs w:val="24"/>
          <w:u w:val="single"/>
          <w:lang w:val="en-AU" w:eastAsia="en-GB"/>
        </w:rPr>
        <w:t xml:space="preserve">their publications </w:t>
      </w:r>
      <w:r w:rsidRPr="00D1507D">
        <w:rPr>
          <w:rFonts w:ascii="Times New Roman" w:hAnsi="Times New Roman"/>
          <w:i/>
          <w:sz w:val="24"/>
          <w:u w:val="single"/>
          <w:lang w:val="en-AU"/>
        </w:rPr>
        <w:t>under exceptions</w:t>
      </w:r>
      <w:r>
        <w:rPr>
          <w:rFonts w:ascii="Times New Roman" w:hAnsi="Times New Roman" w:cs="Times New Roman"/>
          <w:sz w:val="24"/>
          <w:szCs w:val="24"/>
          <w:lang w:val="en-AU" w:eastAsia="en-GB"/>
        </w:rPr>
        <w:t xml:space="preserve">. </w:t>
      </w:r>
      <w:r w:rsidRPr="00EF45BE">
        <w:rPr>
          <w:rFonts w:ascii="Times New Roman" w:hAnsi="Times New Roman" w:cs="Times New Roman"/>
          <w:sz w:val="24"/>
          <w:szCs w:val="24"/>
          <w:lang w:val="en-AU" w:eastAsia="en-GB"/>
        </w:rPr>
        <w:t>Publishers bear the economic risks linked to the exploitation of the works contained in their publications and may suffer losses when such works are used under exceptions or limitations to copyright</w:t>
      </w:r>
      <w:r>
        <w:rPr>
          <w:rFonts w:ascii="Times New Roman" w:hAnsi="Times New Roman" w:cs="Times New Roman"/>
          <w:sz w:val="24"/>
          <w:szCs w:val="24"/>
          <w:lang w:val="en-AU" w:eastAsia="en-GB"/>
        </w:rPr>
        <w:t>.</w:t>
      </w:r>
      <w:r w:rsidRPr="00EF45BE">
        <w:rPr>
          <w:rFonts w:ascii="Times New Roman" w:hAnsi="Times New Roman" w:cs="Times New Roman"/>
          <w:sz w:val="24"/>
          <w:szCs w:val="24"/>
          <w:lang w:val="en-AU" w:eastAsia="en-GB"/>
        </w:rPr>
        <w:t xml:space="preserve"> </w:t>
      </w:r>
      <w:r>
        <w:rPr>
          <w:rFonts w:ascii="Times New Roman" w:hAnsi="Times New Roman" w:cs="Times New Roman"/>
          <w:sz w:val="24"/>
          <w:szCs w:val="24"/>
          <w:lang w:val="en-AU" w:eastAsia="en-GB"/>
        </w:rPr>
        <w:t>However,</w:t>
      </w:r>
      <w:r w:rsidRPr="00EF45BE">
        <w:rPr>
          <w:rFonts w:ascii="Times New Roman" w:hAnsi="Times New Roman" w:cs="Times New Roman"/>
          <w:sz w:val="24"/>
          <w:szCs w:val="24"/>
          <w:lang w:val="en-AU" w:eastAsia="en-GB"/>
        </w:rPr>
        <w:t xml:space="preserve"> they currently face legal uncertainty as regards their ability to receive compensation for such uses.</w:t>
      </w:r>
      <w:r>
        <w:rPr>
          <w:rFonts w:ascii="Times New Roman" w:hAnsi="Times New Roman" w:cs="Times New Roman"/>
          <w:sz w:val="24"/>
          <w:szCs w:val="24"/>
          <w:lang w:val="en-AU" w:eastAsia="en-GB"/>
        </w:rPr>
        <w:t xml:space="preserve"> This issue</w:t>
      </w:r>
      <w:r w:rsidRPr="008012CB">
        <w:rPr>
          <w:rFonts w:ascii="Times New Roman" w:hAnsi="Times New Roman" w:cs="Times New Roman"/>
          <w:sz w:val="24"/>
          <w:szCs w:val="24"/>
          <w:lang w:val="en-AU" w:eastAsia="en-GB"/>
        </w:rPr>
        <w:t xml:space="preserve"> has come to the fore following </w:t>
      </w:r>
      <w:r>
        <w:rPr>
          <w:rFonts w:ascii="Times New Roman" w:hAnsi="Times New Roman" w:cs="Times New Roman"/>
          <w:sz w:val="24"/>
          <w:szCs w:val="24"/>
          <w:lang w:val="en-AU" w:eastAsia="en-GB"/>
        </w:rPr>
        <w:t xml:space="preserve">a recent decision </w:t>
      </w:r>
      <w:r w:rsidRPr="008012CB">
        <w:rPr>
          <w:rFonts w:ascii="Times New Roman" w:hAnsi="Times New Roman" w:cs="Times New Roman"/>
          <w:sz w:val="24"/>
          <w:szCs w:val="24"/>
          <w:lang w:val="en-AU" w:eastAsia="en-GB"/>
        </w:rPr>
        <w:t xml:space="preserve">of the CJEU </w:t>
      </w:r>
      <w:r>
        <w:rPr>
          <w:rFonts w:ascii="Times New Roman" w:hAnsi="Times New Roman" w:cs="Times New Roman"/>
          <w:sz w:val="24"/>
          <w:szCs w:val="24"/>
          <w:lang w:val="en-AU" w:eastAsia="en-GB"/>
        </w:rPr>
        <w:t>where, stressing the fact that publishers are not rightholders under the current EU rules, the Court has questioned the lawfulness of mechanisms existing in a number of MS under which publishers have traditionally received compensation for uses of their publications under exceptions or limitations.</w:t>
      </w:r>
      <w:r w:rsidRPr="00EB1493">
        <w:rPr>
          <w:rFonts w:ascii="Times New Roman" w:hAnsi="Times New Roman" w:cs="Times New Roman"/>
          <w:sz w:val="24"/>
          <w:szCs w:val="24"/>
          <w:vertAlign w:val="superscript"/>
          <w:lang w:val="en-AU"/>
        </w:rPr>
        <w:t xml:space="preserve"> </w:t>
      </w:r>
      <w:r w:rsidRPr="008012CB">
        <w:rPr>
          <w:rFonts w:ascii="Times New Roman" w:hAnsi="Times New Roman" w:cs="Times New Roman"/>
          <w:sz w:val="24"/>
          <w:szCs w:val="24"/>
          <w:vertAlign w:val="superscript"/>
          <w:lang w:val="en-AU"/>
        </w:rPr>
        <w:footnoteReference w:id="490"/>
      </w:r>
      <w:r>
        <w:rPr>
          <w:rFonts w:ascii="Times New Roman"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This case-law concerns predominantly the private copying and reprography exceptions, but extends potentially to uses under other exceptions that are subject to compensation.</w:t>
      </w:r>
      <w:r>
        <w:rPr>
          <w:rFonts w:ascii="Times New Roman" w:hAnsi="Times New Roman" w:cs="Times New Roman"/>
          <w:sz w:val="24"/>
          <w:szCs w:val="24"/>
          <w:lang w:val="en-AU" w:eastAsia="en-GB"/>
        </w:rPr>
        <w:t xml:space="preserve"> As illustrated in the table below, publishers currently receive</w:t>
      </w:r>
      <w:r w:rsidRPr="00BE37AB">
        <w:rPr>
          <w:rFonts w:ascii="Times New Roman" w:hAnsi="Times New Roman" w:cs="Times New Roman"/>
          <w:sz w:val="24"/>
          <w:szCs w:val="24"/>
          <w:lang w:val="en-AU" w:eastAsia="en-GB"/>
        </w:rPr>
        <w:t xml:space="preserve"> </w:t>
      </w:r>
      <w:r w:rsidRPr="00A234E3">
        <w:rPr>
          <w:rFonts w:ascii="Times New Roman" w:hAnsi="Times New Roman" w:cs="Times New Roman"/>
          <w:sz w:val="24"/>
          <w:szCs w:val="24"/>
          <w:lang w:val="en-AU" w:eastAsia="en-GB"/>
        </w:rPr>
        <w:t>compensation in at least 18 MS,</w:t>
      </w:r>
      <w:r>
        <w:rPr>
          <w:rFonts w:ascii="Times New Roman"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 xml:space="preserve">under different </w:t>
      </w:r>
      <w:r w:rsidRPr="005C37BE">
        <w:rPr>
          <w:rFonts w:ascii="Times New Roman" w:hAnsi="Times New Roman" w:cs="Times New Roman"/>
          <w:sz w:val="24"/>
          <w:szCs w:val="24"/>
          <w:lang w:val="en-AU" w:eastAsia="en-GB"/>
        </w:rPr>
        <w:t>national arrangements.</w:t>
      </w:r>
      <w:r>
        <w:rPr>
          <w:rFonts w:ascii="Times New Roman" w:hAnsi="Times New Roman" w:cs="Times New Roman"/>
          <w:sz w:val="24"/>
          <w:szCs w:val="24"/>
          <w:lang w:val="en-AU" w:eastAsia="en-GB"/>
        </w:rPr>
        <w:t xml:space="preserve"> Detailed quantitative information was available concerning 12 of these MS and is presented in Annex 13D.</w:t>
      </w:r>
    </w:p>
    <w:tbl>
      <w:tblPr>
        <w:tblStyle w:val="TableGrid"/>
        <w:tblW w:w="0" w:type="auto"/>
        <w:jc w:val="center"/>
        <w:tblInd w:w="-925" w:type="dxa"/>
        <w:tblLook w:val="04A0" w:firstRow="1" w:lastRow="0" w:firstColumn="1" w:lastColumn="0" w:noHBand="0" w:noVBand="1"/>
      </w:tblPr>
      <w:tblGrid>
        <w:gridCol w:w="4920"/>
        <w:gridCol w:w="2963"/>
      </w:tblGrid>
      <w:tr w:rsidR="00C801D5" w:rsidRPr="00431424" w:rsidTr="00EC509F">
        <w:trPr>
          <w:jc w:val="center"/>
        </w:trPr>
        <w:tc>
          <w:tcPr>
            <w:tcW w:w="4920" w:type="dxa"/>
            <w:tcBorders>
              <w:top w:val="single" w:sz="4" w:space="0" w:color="auto"/>
              <w:left w:val="single" w:sz="4" w:space="0" w:color="auto"/>
              <w:bottom w:val="single" w:sz="4" w:space="0" w:color="auto"/>
              <w:right w:val="single" w:sz="4" w:space="0" w:color="auto"/>
            </w:tcBorders>
            <w:hideMark/>
          </w:tcPr>
          <w:p w:rsidR="00C801D5" w:rsidRPr="00A234E3" w:rsidRDefault="00C801D5" w:rsidP="00EC509F">
            <w:pPr>
              <w:spacing w:line="276" w:lineRule="auto"/>
              <w:rPr>
                <w:rFonts w:ascii="Times New Roman" w:hAnsi="Times New Roman" w:cs="Times New Roman"/>
                <w:b/>
                <w:sz w:val="24"/>
                <w:szCs w:val="24"/>
                <w:lang w:eastAsia="en-GB"/>
              </w:rPr>
            </w:pPr>
            <w:r w:rsidRPr="00A234E3">
              <w:rPr>
                <w:rFonts w:ascii="Times New Roman" w:hAnsi="Times New Roman" w:cs="Times New Roman"/>
                <w:b/>
                <w:sz w:val="24"/>
                <w:szCs w:val="24"/>
                <w:lang w:eastAsia="en-GB"/>
              </w:rPr>
              <w:t>National situation</w:t>
            </w:r>
          </w:p>
        </w:tc>
        <w:tc>
          <w:tcPr>
            <w:tcW w:w="2963" w:type="dxa"/>
            <w:tcBorders>
              <w:top w:val="single" w:sz="4" w:space="0" w:color="auto"/>
              <w:left w:val="single" w:sz="4" w:space="0" w:color="auto"/>
              <w:bottom w:val="single" w:sz="4" w:space="0" w:color="auto"/>
              <w:right w:val="single" w:sz="4" w:space="0" w:color="auto"/>
            </w:tcBorders>
            <w:hideMark/>
          </w:tcPr>
          <w:p w:rsidR="00C801D5" w:rsidRPr="00A234E3" w:rsidRDefault="00C801D5" w:rsidP="00EC509F">
            <w:pPr>
              <w:spacing w:line="276" w:lineRule="auto"/>
              <w:rPr>
                <w:rFonts w:ascii="Times New Roman" w:hAnsi="Times New Roman" w:cs="Times New Roman"/>
                <w:b/>
                <w:sz w:val="24"/>
                <w:szCs w:val="24"/>
                <w:lang w:eastAsia="en-GB"/>
              </w:rPr>
            </w:pPr>
            <w:r w:rsidRPr="00A234E3">
              <w:rPr>
                <w:rFonts w:ascii="Times New Roman" w:hAnsi="Times New Roman" w:cs="Times New Roman"/>
                <w:b/>
                <w:sz w:val="24"/>
                <w:szCs w:val="24"/>
                <w:lang w:eastAsia="en-GB"/>
              </w:rPr>
              <w:t>Member State</w:t>
            </w:r>
            <w:r w:rsidRPr="00AD57F7">
              <w:rPr>
                <w:rStyle w:val="FootnoteReference"/>
                <w:rFonts w:ascii="Times New Roman" w:hAnsi="Times New Roman" w:cs="Times New Roman"/>
                <w:sz w:val="24"/>
                <w:szCs w:val="24"/>
              </w:rPr>
              <w:footnoteReference w:id="491"/>
            </w:r>
          </w:p>
        </w:tc>
      </w:tr>
      <w:tr w:rsidR="00C801D5" w:rsidRPr="00773076" w:rsidTr="00EC509F">
        <w:trPr>
          <w:jc w:val="center"/>
        </w:trPr>
        <w:tc>
          <w:tcPr>
            <w:tcW w:w="4920" w:type="dxa"/>
            <w:tcBorders>
              <w:top w:val="single" w:sz="4" w:space="0" w:color="auto"/>
              <w:left w:val="single" w:sz="4" w:space="0" w:color="auto"/>
              <w:bottom w:val="single" w:sz="4" w:space="0" w:color="auto"/>
              <w:right w:val="single" w:sz="4" w:space="0" w:color="auto"/>
            </w:tcBorders>
          </w:tcPr>
          <w:p w:rsidR="00C801D5" w:rsidRPr="00A234E3" w:rsidRDefault="00C801D5" w:rsidP="00EC509F">
            <w:pPr>
              <w:rPr>
                <w:rFonts w:ascii="Times New Roman" w:hAnsi="Times New Roman" w:cs="Times New Roman"/>
                <w:sz w:val="24"/>
                <w:szCs w:val="24"/>
                <w:lang w:eastAsia="en-GB"/>
              </w:rPr>
            </w:pPr>
            <w:r w:rsidRPr="00A234E3">
              <w:rPr>
                <w:rFonts w:ascii="Times New Roman" w:hAnsi="Times New Roman" w:cs="Times New Roman"/>
                <w:sz w:val="24"/>
                <w:szCs w:val="24"/>
              </w:rPr>
              <w:t xml:space="preserve">Compensation paid to both authors and publishers </w:t>
            </w:r>
            <w:r w:rsidRPr="00A234E3">
              <w:rPr>
                <w:rFonts w:ascii="Times New Roman" w:hAnsi="Times New Roman" w:cs="Times New Roman"/>
                <w:sz w:val="24"/>
                <w:szCs w:val="24"/>
                <w:lang w:eastAsia="en-GB"/>
              </w:rPr>
              <w:t>for uses under one or both of the private copying / reprography exceptions</w:t>
            </w:r>
          </w:p>
        </w:tc>
        <w:tc>
          <w:tcPr>
            <w:tcW w:w="2963" w:type="dxa"/>
            <w:tcBorders>
              <w:top w:val="single" w:sz="4" w:space="0" w:color="auto"/>
              <w:left w:val="single" w:sz="4" w:space="0" w:color="auto"/>
              <w:bottom w:val="single" w:sz="4" w:space="0" w:color="auto"/>
              <w:right w:val="single" w:sz="4" w:space="0" w:color="auto"/>
            </w:tcBorders>
          </w:tcPr>
          <w:p w:rsidR="00C801D5" w:rsidRPr="00AB08C3" w:rsidRDefault="00C801D5" w:rsidP="00EC509F">
            <w:pPr>
              <w:rPr>
                <w:rFonts w:ascii="Times New Roman" w:hAnsi="Times New Roman" w:cs="Times New Roman"/>
                <w:sz w:val="24"/>
                <w:szCs w:val="24"/>
                <w:lang w:val="es-ES" w:eastAsia="en-GB"/>
              </w:rPr>
            </w:pPr>
            <w:r w:rsidRPr="00D1507D">
              <w:rPr>
                <w:rFonts w:ascii="Times New Roman" w:hAnsi="Times New Roman" w:cs="Times New Roman"/>
                <w:sz w:val="24"/>
                <w:szCs w:val="24"/>
                <w:lang w:val="es-ES" w:eastAsia="en-GB"/>
              </w:rPr>
              <w:t>AT</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BE</w:t>
            </w:r>
            <w:r w:rsidRPr="00AB08C3">
              <w:rPr>
                <w:rFonts w:ascii="Times New Roman" w:hAnsi="Times New Roman" w:cs="Times New Roman"/>
                <w:sz w:val="24"/>
                <w:szCs w:val="24"/>
                <w:lang w:val="es-ES" w:eastAsia="en-GB"/>
              </w:rPr>
              <w:t xml:space="preserve">, BG, </w:t>
            </w:r>
            <w:r w:rsidRPr="00D1507D">
              <w:rPr>
                <w:rFonts w:ascii="Times New Roman" w:hAnsi="Times New Roman" w:cs="Times New Roman"/>
                <w:sz w:val="24"/>
                <w:szCs w:val="24"/>
                <w:lang w:val="es-ES" w:eastAsia="en-GB"/>
              </w:rPr>
              <w:t>CZ</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DE</w:t>
            </w:r>
            <w:r w:rsidRPr="00AB08C3">
              <w:rPr>
                <w:rFonts w:ascii="Times New Roman" w:hAnsi="Times New Roman" w:cs="Times New Roman"/>
                <w:sz w:val="24"/>
                <w:szCs w:val="24"/>
                <w:lang w:val="es-ES" w:eastAsia="en-GB"/>
              </w:rPr>
              <w:t xml:space="preserve">, EE, ES, </w:t>
            </w:r>
            <w:r w:rsidRPr="00D1507D">
              <w:rPr>
                <w:rFonts w:ascii="Times New Roman" w:hAnsi="Times New Roman" w:cs="Times New Roman"/>
                <w:sz w:val="24"/>
                <w:szCs w:val="24"/>
                <w:lang w:val="es-ES" w:eastAsia="en-GB"/>
              </w:rPr>
              <w:t>EL</w:t>
            </w:r>
            <w:r w:rsidRPr="00AB08C3">
              <w:rPr>
                <w:rFonts w:ascii="Times New Roman" w:hAnsi="Times New Roman" w:cs="Times New Roman"/>
                <w:sz w:val="24"/>
                <w:szCs w:val="24"/>
                <w:lang w:val="es-ES" w:eastAsia="en-GB"/>
              </w:rPr>
              <w:t xml:space="preserve">, FR, </w:t>
            </w:r>
            <w:r w:rsidRPr="00D1507D">
              <w:rPr>
                <w:rFonts w:ascii="Times New Roman" w:hAnsi="Times New Roman" w:cs="Times New Roman"/>
                <w:sz w:val="24"/>
                <w:szCs w:val="24"/>
                <w:lang w:val="es-ES" w:eastAsia="en-GB"/>
              </w:rPr>
              <w:t>HU</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HR</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LT</w:t>
            </w:r>
            <w:r w:rsidRPr="00AB08C3">
              <w:rPr>
                <w:rFonts w:ascii="Times New Roman" w:hAnsi="Times New Roman" w:cs="Times New Roman"/>
                <w:sz w:val="24"/>
                <w:szCs w:val="24"/>
                <w:lang w:val="es-ES" w:eastAsia="en-GB"/>
              </w:rPr>
              <w:t xml:space="preserve">, LV, </w:t>
            </w:r>
            <w:r w:rsidRPr="00AB08C3">
              <w:rPr>
                <w:rFonts w:ascii="Times New Roman" w:hAnsi="Times New Roman" w:cs="Times New Roman"/>
                <w:i/>
                <w:sz w:val="24"/>
                <w:szCs w:val="24"/>
                <w:lang w:val="es-ES" w:eastAsia="en-GB"/>
              </w:rPr>
              <w:t>NL</w:t>
            </w:r>
            <w:r w:rsidRPr="00AB08C3">
              <w:rPr>
                <w:rStyle w:val="FootnoteReference"/>
                <w:rFonts w:ascii="Times New Roman" w:hAnsi="Times New Roman" w:cs="Times New Roman"/>
                <w:sz w:val="24"/>
                <w:szCs w:val="24"/>
                <w:lang w:val="es-ES" w:eastAsia="en-GB"/>
              </w:rPr>
              <w:footnoteReference w:id="492"/>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PL</w:t>
            </w:r>
            <w:r w:rsidRPr="00AB08C3">
              <w:rPr>
                <w:rFonts w:ascii="Times New Roman" w:hAnsi="Times New Roman" w:cs="Times New Roman"/>
                <w:sz w:val="24"/>
                <w:szCs w:val="24"/>
                <w:lang w:val="es-ES" w:eastAsia="en-GB"/>
              </w:rPr>
              <w:t xml:space="preserve">, PT, </w:t>
            </w:r>
            <w:r w:rsidRPr="00D1507D">
              <w:rPr>
                <w:rFonts w:ascii="Times New Roman" w:hAnsi="Times New Roman" w:cs="Times New Roman"/>
                <w:sz w:val="24"/>
                <w:szCs w:val="24"/>
                <w:lang w:val="es-ES" w:eastAsia="en-GB"/>
              </w:rPr>
              <w:t>RO</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SI</w:t>
            </w:r>
            <w:r w:rsidRPr="00AB08C3">
              <w:rPr>
                <w:rFonts w:ascii="Times New Roman" w:hAnsi="Times New Roman" w:cs="Times New Roman"/>
                <w:sz w:val="24"/>
                <w:szCs w:val="24"/>
                <w:lang w:val="es-ES" w:eastAsia="en-GB"/>
              </w:rPr>
              <w:t xml:space="preserve">, </w:t>
            </w:r>
            <w:r w:rsidRPr="00D1507D">
              <w:rPr>
                <w:rFonts w:ascii="Times New Roman" w:hAnsi="Times New Roman" w:cs="Times New Roman"/>
                <w:sz w:val="24"/>
                <w:szCs w:val="24"/>
                <w:lang w:val="es-ES" w:eastAsia="en-GB"/>
              </w:rPr>
              <w:t>SK</w:t>
            </w:r>
          </w:p>
        </w:tc>
      </w:tr>
      <w:tr w:rsidR="00C801D5" w:rsidRPr="00431424" w:rsidTr="00EC509F">
        <w:trPr>
          <w:jc w:val="center"/>
        </w:trPr>
        <w:tc>
          <w:tcPr>
            <w:tcW w:w="4920" w:type="dxa"/>
            <w:tcBorders>
              <w:top w:val="single" w:sz="4" w:space="0" w:color="auto"/>
              <w:left w:val="single" w:sz="4" w:space="0" w:color="auto"/>
              <w:bottom w:val="single" w:sz="4" w:space="0" w:color="auto"/>
              <w:right w:val="single" w:sz="4" w:space="0" w:color="auto"/>
            </w:tcBorders>
          </w:tcPr>
          <w:p w:rsidR="00C801D5" w:rsidRPr="00A234E3" w:rsidRDefault="00C801D5" w:rsidP="00EC509F">
            <w:pPr>
              <w:rPr>
                <w:rFonts w:ascii="Times New Roman" w:hAnsi="Times New Roman" w:cs="Times New Roman"/>
                <w:sz w:val="24"/>
                <w:szCs w:val="24"/>
                <w:lang w:eastAsia="en-GB"/>
              </w:rPr>
            </w:pPr>
            <w:r w:rsidRPr="00A234E3">
              <w:rPr>
                <w:rFonts w:ascii="Times New Roman" w:hAnsi="Times New Roman" w:cs="Times New Roman"/>
                <w:sz w:val="24"/>
                <w:szCs w:val="24"/>
                <w:lang w:eastAsia="en-GB"/>
              </w:rPr>
              <w:t>Compensation paid only to authors for uses under private copying / reprography exception</w:t>
            </w:r>
          </w:p>
        </w:tc>
        <w:tc>
          <w:tcPr>
            <w:tcW w:w="2963" w:type="dxa"/>
            <w:tcBorders>
              <w:top w:val="single" w:sz="4" w:space="0" w:color="auto"/>
              <w:left w:val="single" w:sz="4" w:space="0" w:color="auto"/>
              <w:bottom w:val="single" w:sz="4" w:space="0" w:color="auto"/>
              <w:right w:val="single" w:sz="4" w:space="0" w:color="auto"/>
            </w:tcBorders>
          </w:tcPr>
          <w:p w:rsidR="00C801D5" w:rsidRPr="00A234E3" w:rsidRDefault="00C801D5" w:rsidP="00EC509F">
            <w:pPr>
              <w:rPr>
                <w:rFonts w:ascii="Times New Roman" w:hAnsi="Times New Roman" w:cs="Times New Roman"/>
                <w:sz w:val="24"/>
                <w:szCs w:val="24"/>
                <w:lang w:eastAsia="en-GB"/>
              </w:rPr>
            </w:pPr>
            <w:r w:rsidRPr="00A234E3">
              <w:rPr>
                <w:rFonts w:ascii="Times New Roman" w:hAnsi="Times New Roman" w:cs="Times New Roman"/>
                <w:sz w:val="24"/>
                <w:szCs w:val="24"/>
                <w:lang w:val="fi-FI" w:eastAsia="en-GB"/>
              </w:rPr>
              <w:t>DK, FI, IT, SE</w:t>
            </w:r>
          </w:p>
        </w:tc>
      </w:tr>
      <w:tr w:rsidR="00C801D5" w:rsidRPr="00431424" w:rsidTr="00EC509F">
        <w:trPr>
          <w:jc w:val="center"/>
        </w:trPr>
        <w:tc>
          <w:tcPr>
            <w:tcW w:w="4920" w:type="dxa"/>
            <w:tcBorders>
              <w:top w:val="single" w:sz="4" w:space="0" w:color="auto"/>
              <w:left w:val="single" w:sz="4" w:space="0" w:color="auto"/>
              <w:bottom w:val="single" w:sz="4" w:space="0" w:color="auto"/>
              <w:right w:val="single" w:sz="4" w:space="0" w:color="auto"/>
            </w:tcBorders>
          </w:tcPr>
          <w:p w:rsidR="00C801D5" w:rsidRPr="00A234E3" w:rsidRDefault="00C801D5" w:rsidP="00EC509F">
            <w:pPr>
              <w:rPr>
                <w:rFonts w:ascii="Times New Roman" w:hAnsi="Times New Roman" w:cs="Times New Roman"/>
                <w:sz w:val="24"/>
                <w:szCs w:val="24"/>
                <w:lang w:eastAsia="en-GB"/>
              </w:rPr>
            </w:pPr>
            <w:r w:rsidRPr="00A234E3">
              <w:rPr>
                <w:rFonts w:ascii="Times New Roman" w:hAnsi="Times New Roman" w:cs="Times New Roman"/>
                <w:sz w:val="24"/>
                <w:szCs w:val="24"/>
                <w:lang w:eastAsia="en-GB"/>
              </w:rPr>
              <w:t>No compensation for uses under private copying / reprography exception</w:t>
            </w:r>
          </w:p>
        </w:tc>
        <w:tc>
          <w:tcPr>
            <w:tcW w:w="2963" w:type="dxa"/>
            <w:tcBorders>
              <w:top w:val="single" w:sz="4" w:space="0" w:color="auto"/>
              <w:left w:val="single" w:sz="4" w:space="0" w:color="auto"/>
              <w:bottom w:val="single" w:sz="4" w:space="0" w:color="auto"/>
              <w:right w:val="single" w:sz="4" w:space="0" w:color="auto"/>
            </w:tcBorders>
          </w:tcPr>
          <w:p w:rsidR="00C801D5" w:rsidRPr="00A234E3" w:rsidRDefault="00C801D5" w:rsidP="00EC509F">
            <w:pPr>
              <w:rPr>
                <w:rFonts w:ascii="Times New Roman" w:hAnsi="Times New Roman" w:cs="Times New Roman"/>
                <w:sz w:val="24"/>
                <w:szCs w:val="24"/>
                <w:lang w:eastAsia="en-GB"/>
              </w:rPr>
            </w:pPr>
            <w:r w:rsidRPr="00A234E3">
              <w:rPr>
                <w:rFonts w:ascii="Times New Roman" w:hAnsi="Times New Roman" w:cs="Times New Roman"/>
                <w:sz w:val="24"/>
                <w:szCs w:val="24"/>
                <w:lang w:eastAsia="en-GB"/>
              </w:rPr>
              <w:t>CY, LU, MT</w:t>
            </w:r>
          </w:p>
        </w:tc>
      </w:tr>
      <w:tr w:rsidR="00C801D5" w:rsidRPr="00431424" w:rsidTr="00EC509F">
        <w:trPr>
          <w:jc w:val="center"/>
        </w:trPr>
        <w:tc>
          <w:tcPr>
            <w:tcW w:w="4920" w:type="dxa"/>
            <w:tcBorders>
              <w:top w:val="single" w:sz="4" w:space="0" w:color="auto"/>
              <w:left w:val="single" w:sz="4" w:space="0" w:color="auto"/>
              <w:bottom w:val="single" w:sz="4" w:space="0" w:color="auto"/>
              <w:right w:val="single" w:sz="4" w:space="0" w:color="auto"/>
            </w:tcBorders>
            <w:hideMark/>
          </w:tcPr>
          <w:p w:rsidR="00C801D5" w:rsidRPr="00A234E3" w:rsidRDefault="00C801D5" w:rsidP="00EC509F">
            <w:pPr>
              <w:spacing w:line="276" w:lineRule="auto"/>
              <w:rPr>
                <w:rFonts w:ascii="Times New Roman" w:hAnsi="Times New Roman" w:cs="Times New Roman"/>
                <w:sz w:val="24"/>
                <w:szCs w:val="24"/>
                <w:lang w:eastAsia="en-GB"/>
              </w:rPr>
            </w:pPr>
            <w:r w:rsidRPr="00A234E3">
              <w:rPr>
                <w:rFonts w:ascii="Times New Roman" w:hAnsi="Times New Roman" w:cs="Times New Roman"/>
                <w:sz w:val="24"/>
                <w:szCs w:val="24"/>
                <w:lang w:eastAsia="en-GB"/>
              </w:rPr>
              <w:t>No private copying / reprography exception</w:t>
            </w:r>
          </w:p>
        </w:tc>
        <w:tc>
          <w:tcPr>
            <w:tcW w:w="2963" w:type="dxa"/>
            <w:tcBorders>
              <w:top w:val="single" w:sz="4" w:space="0" w:color="auto"/>
              <w:left w:val="single" w:sz="4" w:space="0" w:color="auto"/>
              <w:bottom w:val="single" w:sz="4" w:space="0" w:color="auto"/>
              <w:right w:val="single" w:sz="4" w:space="0" w:color="auto"/>
            </w:tcBorders>
            <w:hideMark/>
          </w:tcPr>
          <w:p w:rsidR="00C801D5" w:rsidRPr="00A234E3" w:rsidRDefault="00C801D5" w:rsidP="00EC509F">
            <w:pPr>
              <w:spacing w:line="276" w:lineRule="auto"/>
              <w:rPr>
                <w:rFonts w:ascii="Times New Roman" w:hAnsi="Times New Roman" w:cs="Times New Roman"/>
                <w:sz w:val="24"/>
                <w:szCs w:val="24"/>
                <w:lang w:eastAsia="en-GB"/>
              </w:rPr>
            </w:pPr>
            <w:r w:rsidRPr="00A234E3">
              <w:rPr>
                <w:rFonts w:ascii="Times New Roman" w:hAnsi="Times New Roman" w:cs="Times New Roman"/>
                <w:sz w:val="24"/>
                <w:szCs w:val="24"/>
                <w:lang w:eastAsia="en-GB"/>
              </w:rPr>
              <w:t>IE, UK</w:t>
            </w:r>
          </w:p>
        </w:tc>
      </w:tr>
    </w:tbl>
    <w:p w:rsidR="00C801D5" w:rsidRPr="00EA158B" w:rsidRDefault="00C801D5" w:rsidP="00C801D5">
      <w:pPr>
        <w:autoSpaceDE w:val="0"/>
        <w:autoSpaceDN w:val="0"/>
        <w:adjustRightInd w:val="0"/>
        <w:spacing w:after="120" w:line="240" w:lineRule="auto"/>
        <w:jc w:val="both"/>
        <w:rPr>
          <w:rFonts w:ascii="Times New Roman" w:hAnsi="Times New Roman" w:cs="Times New Roman"/>
          <w:sz w:val="24"/>
          <w:szCs w:val="24"/>
          <w:lang w:val="es-ES" w:eastAsia="en-GB"/>
        </w:rPr>
      </w:pPr>
    </w:p>
    <w:p w:rsidR="00D3660C"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AC24E7">
        <w:rPr>
          <w:rFonts w:ascii="Times New Roman" w:hAnsi="Times New Roman" w:cs="Times New Roman"/>
          <w:sz w:val="24"/>
          <w:szCs w:val="24"/>
          <w:lang w:val="en-AU" w:eastAsia="en-GB"/>
        </w:rPr>
        <w:t>Some of these MS</w:t>
      </w:r>
      <w:r w:rsidRPr="00AC24E7">
        <w:rPr>
          <w:rStyle w:val="FootnoteReference"/>
          <w:rFonts w:ascii="Times New Roman" w:hAnsi="Times New Roman" w:cs="Times New Roman"/>
          <w:sz w:val="24"/>
          <w:szCs w:val="24"/>
          <w:lang w:val="en-AU" w:eastAsia="en-GB"/>
        </w:rPr>
        <w:footnoteReference w:id="493"/>
      </w:r>
      <w:r w:rsidRPr="00AC24E7">
        <w:rPr>
          <w:rFonts w:ascii="Times New Roman" w:hAnsi="Times New Roman" w:cs="Times New Roman"/>
          <w:sz w:val="24"/>
          <w:szCs w:val="24"/>
          <w:lang w:val="en-AU" w:eastAsia="en-GB"/>
        </w:rPr>
        <w:t xml:space="preserve"> are currently considering introducing national legislation to take into account the case-law of the CJEU and keep in place compensation schemes benefiting publishers. </w:t>
      </w:r>
      <w:r>
        <w:rPr>
          <w:rFonts w:ascii="Times New Roman" w:hAnsi="Times New Roman" w:cs="Times New Roman"/>
          <w:sz w:val="24"/>
          <w:szCs w:val="24"/>
          <w:lang w:val="en-AU" w:eastAsia="en-GB"/>
        </w:rPr>
        <w:t xml:space="preserve">Others </w:t>
      </w:r>
      <w:r w:rsidRPr="00AC24E7">
        <w:rPr>
          <w:rFonts w:ascii="Times New Roman" w:hAnsi="Times New Roman" w:cs="Times New Roman"/>
          <w:sz w:val="24"/>
          <w:szCs w:val="24"/>
          <w:lang w:val="en-AU" w:eastAsia="en-GB"/>
        </w:rPr>
        <w:t>could follow if no action is taken at EU level. However, under the current EU rules it is not fully clear to what extent MS are allowed to do</w:t>
      </w:r>
      <w:r>
        <w:rPr>
          <w:rFonts w:ascii="Times New Roman" w:hAnsi="Times New Roman" w:cs="Times New Roman"/>
          <w:sz w:val="24"/>
          <w:szCs w:val="24"/>
          <w:lang w:val="en-AU" w:eastAsia="en-GB"/>
        </w:rPr>
        <w:t xml:space="preserve"> it</w:t>
      </w:r>
      <w:r w:rsidRPr="00AC24E7">
        <w:rPr>
          <w:rFonts w:ascii="Times New Roman" w:hAnsi="Times New Roman" w:cs="Times New Roman"/>
          <w:sz w:val="24"/>
          <w:szCs w:val="24"/>
          <w:lang w:val="en-AU" w:eastAsia="en-GB"/>
        </w:rPr>
        <w:t>.</w:t>
      </w:r>
    </w:p>
    <w:p w:rsidR="00D3660C" w:rsidRPr="00D1507D" w:rsidRDefault="00D3660C" w:rsidP="00D3660C">
      <w:pPr>
        <w:autoSpaceDE w:val="0"/>
        <w:autoSpaceDN w:val="0"/>
        <w:adjustRightInd w:val="0"/>
        <w:spacing w:after="120" w:line="240" w:lineRule="auto"/>
        <w:jc w:val="both"/>
        <w:rPr>
          <w:rFonts w:ascii="Times New Roman" w:hAnsi="Times New Roman"/>
          <w:sz w:val="24"/>
          <w:u w:val="single"/>
          <w:lang w:val="en-AU"/>
        </w:rPr>
      </w:pPr>
      <w:r w:rsidRPr="00431424">
        <w:rPr>
          <w:rFonts w:ascii="Times New Roman" w:hAnsi="Times New Roman" w:cs="Times New Roman"/>
          <w:sz w:val="24"/>
          <w:szCs w:val="24"/>
          <w:lang w:val="en-AU" w:eastAsia="en-GB"/>
        </w:rPr>
        <w:t xml:space="preserve">The economic implications of this problem are illustrated by the fact that in the 12 MS for which data </w:t>
      </w:r>
      <w:r>
        <w:rPr>
          <w:rFonts w:ascii="Times New Roman" w:hAnsi="Times New Roman" w:cs="Times New Roman"/>
          <w:sz w:val="24"/>
          <w:szCs w:val="24"/>
          <w:lang w:val="en-AU" w:eastAsia="en-GB"/>
        </w:rPr>
        <w:t xml:space="preserve">were </w:t>
      </w:r>
      <w:r w:rsidRPr="00431424">
        <w:rPr>
          <w:rFonts w:ascii="Times New Roman" w:hAnsi="Times New Roman" w:cs="Times New Roman"/>
          <w:sz w:val="24"/>
          <w:szCs w:val="24"/>
          <w:lang w:val="en-AU" w:eastAsia="en-GB"/>
        </w:rPr>
        <w:t>available, an aggregated total amount of €40 million was distributed to publishers over the course of the respective last financial year</w:t>
      </w:r>
      <w:r>
        <w:rPr>
          <w:rFonts w:ascii="Times New Roman" w:hAnsi="Times New Roman" w:cs="Times New Roman"/>
          <w:sz w:val="24"/>
          <w:szCs w:val="24"/>
          <w:lang w:val="en-AU" w:eastAsia="en-GB"/>
        </w:rPr>
        <w:t>, as indicated in Annex 13D</w:t>
      </w:r>
      <w:r w:rsidRPr="00431424">
        <w:rPr>
          <w:rFonts w:ascii="Times New Roman" w:hAnsi="Times New Roman" w:cs="Times New Roman"/>
          <w:sz w:val="24"/>
          <w:szCs w:val="24"/>
          <w:lang w:val="en-AU" w:eastAsia="en-GB"/>
        </w:rPr>
        <w:t>.</w:t>
      </w:r>
      <w:r w:rsidRPr="00431424">
        <w:rPr>
          <w:rFonts w:ascii="Times New Roman" w:hAnsi="Times New Roman" w:cs="Times New Roman"/>
          <w:sz w:val="24"/>
          <w:szCs w:val="24"/>
          <w:vertAlign w:val="superscript"/>
          <w:lang w:val="en-AU" w:eastAsia="en-GB"/>
        </w:rPr>
        <w:footnoteReference w:id="494"/>
      </w:r>
      <w:r w:rsidRPr="00431424">
        <w:rPr>
          <w:rFonts w:ascii="Times New Roman" w:hAnsi="Times New Roman" w:cs="Times New Roman"/>
          <w:sz w:val="24"/>
          <w:szCs w:val="24"/>
          <w:lang w:val="en-AU" w:eastAsia="en-GB"/>
        </w:rPr>
        <w:t xml:space="preserve"> </w:t>
      </w:r>
      <w:r w:rsidRPr="00E50A41">
        <w:rPr>
          <w:rFonts w:ascii="Times New Roman" w:hAnsi="Times New Roman" w:cs="Times New Roman"/>
          <w:sz w:val="24"/>
          <w:szCs w:val="24"/>
        </w:rPr>
        <w:t>It is important to note that for publishers these revenues are not associated with any marginal costs and therefore represent a significant source of income, in particular for smaller publishers.</w:t>
      </w:r>
      <w:r w:rsidRPr="00D1507D">
        <w:rPr>
          <w:rFonts w:ascii="Times New Roman" w:hAnsi="Times New Roman"/>
          <w:sz w:val="24"/>
        </w:rPr>
        <w:t xml:space="preserve"> </w:t>
      </w:r>
    </w:p>
    <w:p w:rsidR="00D3660C"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A234E3">
        <w:rPr>
          <w:rFonts w:ascii="Times New Roman" w:hAnsi="Times New Roman"/>
          <w:sz w:val="24"/>
          <w:u w:val="single"/>
          <w:lang w:val="en-AU"/>
        </w:rPr>
        <w:t>Drivers</w:t>
      </w:r>
      <w:r w:rsidRPr="00A234E3">
        <w:rPr>
          <w:rFonts w:ascii="Times New Roman" w:hAnsi="Times New Roman"/>
          <w:sz w:val="24"/>
          <w:lang w:val="en-AU"/>
        </w:rPr>
        <w:t>:</w:t>
      </w:r>
      <w:r w:rsidRPr="00A234E3">
        <w:rPr>
          <w:rFonts w:ascii="Times New Roman" w:hAnsi="Times New Roman" w:cs="Times New Roman"/>
          <w:sz w:val="24"/>
          <w:szCs w:val="24"/>
          <w:lang w:val="en-AU" w:eastAsia="en-GB"/>
        </w:rPr>
        <w:t xml:space="preserve"> [</w:t>
      </w:r>
      <w:r w:rsidRPr="00431424">
        <w:rPr>
          <w:rFonts w:ascii="Times New Roman" w:hAnsi="Times New Roman" w:cs="Times New Roman"/>
          <w:i/>
          <w:sz w:val="24"/>
          <w:szCs w:val="24"/>
          <w:lang w:val="en-AU" w:eastAsia="en-GB"/>
        </w:rPr>
        <w:t>Incomplete protection of publishers' contribution and investments in publications at the EU level</w:t>
      </w:r>
      <w:r w:rsidRPr="00431424">
        <w:rPr>
          <w:rFonts w:ascii="Times New Roman" w:hAnsi="Times New Roman" w:cs="Times New Roman"/>
          <w:sz w:val="24"/>
          <w:szCs w:val="24"/>
          <w:lang w:val="en-AU" w:eastAsia="en-GB"/>
        </w:rPr>
        <w:t>] EU copyright law recognises and incentivises the economic and creative contribution of film producers, phonogram producers and broadcasting organisations by granting them related rights. Publishers across different sectors also p</w:t>
      </w:r>
      <w:r w:rsidRPr="009E04D6">
        <w:rPr>
          <w:rFonts w:ascii="Times New Roman" w:hAnsi="Times New Roman" w:cs="Times New Roman"/>
          <w:sz w:val="24"/>
          <w:szCs w:val="24"/>
          <w:lang w:val="en-AU" w:eastAsia="en-GB"/>
        </w:rPr>
        <w:t>lay an important role in assembling, editing and inves</w:t>
      </w:r>
      <w:r w:rsidRPr="008012CB">
        <w:rPr>
          <w:rFonts w:ascii="Times New Roman" w:hAnsi="Times New Roman" w:cs="Times New Roman"/>
          <w:sz w:val="24"/>
          <w:szCs w:val="24"/>
          <w:lang w:val="en-AU" w:eastAsia="en-GB"/>
        </w:rPr>
        <w:t xml:space="preserve">ting in content. However, today, </w:t>
      </w:r>
      <w:r>
        <w:rPr>
          <w:rFonts w:ascii="Times New Roman" w:hAnsi="Times New Roman" w:cs="Times New Roman"/>
          <w:sz w:val="24"/>
          <w:szCs w:val="24"/>
          <w:lang w:val="en-AU" w:eastAsia="en-GB"/>
        </w:rPr>
        <w:t xml:space="preserve">despite playing a comparable role in terms of investments and contribution to the creative process to film and phonogram producers in their respective </w:t>
      </w:r>
      <w:r w:rsidRPr="006F79C1">
        <w:rPr>
          <w:rFonts w:ascii="Times New Roman" w:hAnsi="Times New Roman" w:cs="Times New Roman"/>
          <w:sz w:val="24"/>
          <w:szCs w:val="24"/>
          <w:lang w:val="en-AU" w:eastAsia="en-GB"/>
        </w:rPr>
        <w:t>industries,</w:t>
      </w:r>
      <w:r w:rsidRPr="006F79C1">
        <w:rPr>
          <w:rStyle w:val="FootnoteReference"/>
          <w:rFonts w:ascii="Times New Roman" w:hAnsi="Times New Roman" w:cs="Times New Roman"/>
          <w:sz w:val="24"/>
          <w:szCs w:val="24"/>
          <w:lang w:val="en-AU" w:eastAsia="en-GB"/>
        </w:rPr>
        <w:footnoteReference w:id="495"/>
      </w:r>
      <w:r w:rsidRPr="006F79C1">
        <w:rPr>
          <w:rFonts w:ascii="Times New Roman" w:hAnsi="Times New Roman" w:cs="Times New Roman"/>
          <w:sz w:val="24"/>
          <w:szCs w:val="24"/>
          <w:lang w:val="en-AU" w:eastAsia="en-GB"/>
        </w:rPr>
        <w:t xml:space="preserve"> publishers</w:t>
      </w:r>
      <w:r>
        <w:rPr>
          <w:rFonts w:ascii="Times New Roman"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 xml:space="preserve">are not identified as </w:t>
      </w:r>
      <w:r>
        <w:rPr>
          <w:rFonts w:ascii="Times New Roman" w:hAnsi="Times New Roman" w:cs="Times New Roman"/>
          <w:sz w:val="24"/>
          <w:szCs w:val="24"/>
          <w:lang w:val="en-AU" w:eastAsia="en-GB"/>
        </w:rPr>
        <w:t>rightholders</w:t>
      </w:r>
      <w:r w:rsidRPr="008012CB">
        <w:rPr>
          <w:rFonts w:ascii="Times New Roman" w:hAnsi="Times New Roman" w:cs="Times New Roman"/>
          <w:sz w:val="24"/>
          <w:szCs w:val="24"/>
          <w:lang w:val="en-AU" w:eastAsia="en-GB"/>
        </w:rPr>
        <w:t xml:space="preserve"> under EU copyright rules.</w:t>
      </w:r>
      <w:r w:rsidRPr="008012CB">
        <w:rPr>
          <w:rFonts w:ascii="Times New Roman" w:hAnsi="Times New Roman" w:cs="Times New Roman"/>
          <w:sz w:val="24"/>
          <w:szCs w:val="24"/>
          <w:vertAlign w:val="superscript"/>
          <w:lang w:val="en-AU" w:eastAsia="en-GB"/>
        </w:rPr>
        <w:footnoteReference w:id="496"/>
      </w:r>
      <w:r w:rsidRPr="008012CB">
        <w:rPr>
          <w:rFonts w:ascii="Times New Roman" w:hAnsi="Times New Roman" w:cs="Times New Roman"/>
          <w:sz w:val="24"/>
          <w:szCs w:val="24"/>
          <w:lang w:val="en-AU" w:eastAsia="en-GB"/>
        </w:rPr>
        <w:t xml:space="preserve"> They generally exploit and enforce their content on the basis of the rights transferred to them by authors (writers, journalists, photographers, etc</w:t>
      </w:r>
      <w:r>
        <w:rPr>
          <w:rFonts w:ascii="Times New Roman" w:hAnsi="Times New Roman" w:cs="Times New Roman"/>
          <w:sz w:val="24"/>
          <w:szCs w:val="24"/>
          <w:lang w:val="en-AU" w:eastAsia="en-GB"/>
        </w:rPr>
        <w:t>.</w:t>
      </w:r>
      <w:r w:rsidRPr="008012CB">
        <w:rPr>
          <w:rFonts w:ascii="Times New Roman" w:hAnsi="Times New Roman" w:cs="Times New Roman"/>
          <w:sz w:val="24"/>
          <w:szCs w:val="24"/>
          <w:lang w:val="en-AU" w:eastAsia="en-GB"/>
        </w:rPr>
        <w:t>).</w:t>
      </w:r>
      <w:r w:rsidRPr="008012CB">
        <w:rPr>
          <w:rFonts w:ascii="Times New Roman" w:hAnsi="Times New Roman" w:cs="Times New Roman"/>
          <w:sz w:val="24"/>
          <w:szCs w:val="24"/>
          <w:vertAlign w:val="superscript"/>
          <w:lang w:val="en-AU" w:eastAsia="en-GB"/>
        </w:rPr>
        <w:footnoteReference w:id="497"/>
      </w:r>
      <w:r w:rsidRPr="008012CB">
        <w:rPr>
          <w:rFonts w:ascii="Times New Roman" w:hAnsi="Times New Roman" w:cs="Times New Roman"/>
          <w:sz w:val="24"/>
          <w:szCs w:val="24"/>
          <w:lang w:val="en-AU" w:eastAsia="en-GB"/>
        </w:rPr>
        <w:t xml:space="preserve"> Some MS grant a specific additional protection to publishers as authors of collective works (e.g. PT). In addition, other MS (notably DE and ES) have recently adopted national measures (generally referred to as </w:t>
      </w:r>
      <w:r>
        <w:rPr>
          <w:rFonts w:ascii="Times New Roman" w:hAnsi="Times New Roman" w:cs="Times New Roman"/>
          <w:sz w:val="24"/>
          <w:szCs w:val="24"/>
          <w:lang w:val="en-AU" w:eastAsia="en-GB"/>
        </w:rPr>
        <w:t>‘</w:t>
      </w:r>
      <w:r w:rsidRPr="008012CB">
        <w:rPr>
          <w:rFonts w:ascii="Times New Roman" w:hAnsi="Times New Roman" w:cs="Times New Roman"/>
          <w:sz w:val="24"/>
          <w:szCs w:val="24"/>
          <w:lang w:val="en-AU" w:eastAsia="en-GB"/>
        </w:rPr>
        <w:t>ancillary rights</w:t>
      </w:r>
      <w:r>
        <w:rPr>
          <w:rFonts w:ascii="Times New Roman" w:hAnsi="Times New Roman" w:cs="Times New Roman"/>
          <w:sz w:val="24"/>
          <w:szCs w:val="24"/>
          <w:lang w:val="en-AU" w:eastAsia="en-GB"/>
        </w:rPr>
        <w:t>’</w:t>
      </w:r>
      <w:r w:rsidRPr="008012CB">
        <w:rPr>
          <w:rFonts w:ascii="Times New Roman" w:hAnsi="Times New Roman" w:cs="Times New Roman"/>
          <w:sz w:val="24"/>
          <w:szCs w:val="24"/>
          <w:lang w:val="en-AU" w:eastAsia="en-GB"/>
        </w:rPr>
        <w:t>) to grant publishers specific protection as regards uses of their content online</w:t>
      </w:r>
      <w:r>
        <w:rPr>
          <w:rFonts w:ascii="Times New Roman" w:hAnsi="Times New Roman" w:cs="Times New Roman"/>
          <w:sz w:val="24"/>
          <w:szCs w:val="24"/>
          <w:lang w:val="en-AU" w:eastAsia="en-GB"/>
        </w:rPr>
        <w:t xml:space="preserve"> largely as an attempt to address the above described problems related to the exploitation and </w:t>
      </w:r>
      <w:r w:rsidRPr="00265F0B">
        <w:rPr>
          <w:rFonts w:ascii="Times New Roman" w:hAnsi="Times New Roman" w:cs="Times New Roman"/>
          <w:sz w:val="24"/>
          <w:szCs w:val="24"/>
          <w:lang w:val="en-AU" w:eastAsia="en-GB"/>
        </w:rPr>
        <w:t xml:space="preserve">enforcement of </w:t>
      </w:r>
      <w:r>
        <w:rPr>
          <w:rFonts w:ascii="Times New Roman" w:hAnsi="Times New Roman" w:cs="Times New Roman"/>
          <w:sz w:val="24"/>
          <w:szCs w:val="24"/>
          <w:lang w:val="en-AU" w:eastAsia="en-GB"/>
        </w:rPr>
        <w:t xml:space="preserve">rights in </w:t>
      </w:r>
      <w:r w:rsidRPr="00265F0B">
        <w:rPr>
          <w:rFonts w:ascii="Times New Roman" w:hAnsi="Times New Roman" w:cs="Times New Roman"/>
          <w:sz w:val="24"/>
          <w:szCs w:val="24"/>
          <w:lang w:val="en-AU" w:eastAsia="en-GB"/>
        </w:rPr>
        <w:t xml:space="preserve">press publications in the digital environment. The DE law grants an exclusive right covering specifically the making available of press products to the public, which has been implemented by the main </w:t>
      </w:r>
      <w:r w:rsidRPr="00AB1D72">
        <w:rPr>
          <w:rFonts w:ascii="Times New Roman" w:hAnsi="Times New Roman" w:cs="Times New Roman"/>
          <w:sz w:val="24"/>
          <w:szCs w:val="24"/>
          <w:lang w:val="en-AU" w:eastAsia="en-GB"/>
        </w:rPr>
        <w:t xml:space="preserve">press </w:t>
      </w:r>
      <w:r w:rsidRPr="00265F0B">
        <w:rPr>
          <w:rFonts w:ascii="Times New Roman" w:hAnsi="Times New Roman" w:cs="Times New Roman"/>
          <w:sz w:val="24"/>
          <w:szCs w:val="24"/>
          <w:lang w:val="en-AU" w:eastAsia="en-GB"/>
        </w:rPr>
        <w:t>publishers under collective management schemes.</w:t>
      </w:r>
      <w:r w:rsidRPr="00265F0B">
        <w:rPr>
          <w:rFonts w:ascii="Times New Roman" w:hAnsi="Times New Roman" w:cs="Times New Roman"/>
          <w:sz w:val="24"/>
          <w:szCs w:val="24"/>
          <w:vertAlign w:val="superscript"/>
          <w:lang w:val="en-AU" w:eastAsia="en-GB"/>
        </w:rPr>
        <w:footnoteReference w:id="498"/>
      </w:r>
      <w:r w:rsidRPr="00265F0B">
        <w:rPr>
          <w:rFonts w:ascii="Times New Roman" w:hAnsi="Times New Roman" w:cs="Times New Roman"/>
          <w:sz w:val="24"/>
          <w:szCs w:val="24"/>
          <w:lang w:val="en-AU" w:eastAsia="en-GB"/>
        </w:rPr>
        <w:t xml:space="preserve"> The ES law establishes an obligation for online service providers to pay compensation to publishers (which cannot be waived) for uses of their content online.</w:t>
      </w:r>
      <w:r w:rsidRPr="00265F0B">
        <w:rPr>
          <w:rFonts w:ascii="Times New Roman" w:hAnsi="Times New Roman" w:cs="Times New Roman"/>
          <w:sz w:val="24"/>
          <w:szCs w:val="24"/>
          <w:vertAlign w:val="superscript"/>
          <w:lang w:val="en-AU" w:eastAsia="en-GB"/>
        </w:rPr>
        <w:footnoteReference w:id="499"/>
      </w:r>
      <w:r w:rsidRPr="00265F0B">
        <w:rPr>
          <w:rFonts w:ascii="Times New Roman" w:hAnsi="Times New Roman" w:cs="Times New Roman"/>
          <w:sz w:val="24"/>
          <w:szCs w:val="24"/>
          <w:lang w:val="en-AU" w:eastAsia="en-GB"/>
        </w:rPr>
        <w:t xml:space="preserve"> None of these two recent ‘ancillary rights’ solutions at national level have proven effective to address publishers' problems so far, in particular as they have not resulted in increased revenues for publishers from the major online service providers. This incomplete protection in the EU causes legal uncertainty</w:t>
      </w:r>
      <w:r>
        <w:rPr>
          <w:rFonts w:ascii="Times New Roman" w:hAnsi="Times New Roman" w:cs="Times New Roman"/>
          <w:sz w:val="24"/>
          <w:szCs w:val="24"/>
          <w:lang w:val="en-AU" w:eastAsia="en-GB"/>
        </w:rPr>
        <w:t>,</w:t>
      </w:r>
      <w:r w:rsidRPr="00265F0B">
        <w:rPr>
          <w:rFonts w:ascii="Times New Roman" w:hAnsi="Times New Roman" w:cs="Times New Roman"/>
          <w:sz w:val="24"/>
          <w:szCs w:val="24"/>
          <w:lang w:val="en-AU" w:eastAsia="en-GB"/>
        </w:rPr>
        <w:t xml:space="preserve"> notably as regards exploitation of </w:t>
      </w:r>
      <w:r w:rsidRPr="00AB1D72">
        <w:rPr>
          <w:rFonts w:ascii="Times New Roman" w:hAnsi="Times New Roman" w:cs="Times New Roman"/>
          <w:sz w:val="24"/>
          <w:szCs w:val="24"/>
          <w:lang w:val="en-AU" w:eastAsia="en-GB"/>
        </w:rPr>
        <w:t xml:space="preserve">press </w:t>
      </w:r>
      <w:r w:rsidRPr="00265F0B">
        <w:rPr>
          <w:rFonts w:ascii="Times New Roman" w:hAnsi="Times New Roman" w:cs="Times New Roman"/>
          <w:sz w:val="24"/>
          <w:szCs w:val="24"/>
          <w:lang w:val="en-AU" w:eastAsia="en-GB"/>
        </w:rPr>
        <w:t>publications through B2B</w:t>
      </w:r>
      <w:r w:rsidRPr="008012CB">
        <w:rPr>
          <w:rFonts w:ascii="Times New Roman" w:hAnsi="Times New Roman" w:cs="Times New Roman"/>
          <w:sz w:val="24"/>
          <w:szCs w:val="24"/>
          <w:lang w:val="en-AU" w:eastAsia="en-GB"/>
        </w:rPr>
        <w:t xml:space="preserve"> licen</w:t>
      </w:r>
      <w:r>
        <w:rPr>
          <w:rFonts w:ascii="Times New Roman" w:hAnsi="Times New Roman" w:cs="Times New Roman"/>
          <w:sz w:val="24"/>
          <w:szCs w:val="24"/>
          <w:lang w:val="en-AU" w:eastAsia="en-GB"/>
        </w:rPr>
        <w:t>ces,</w:t>
      </w:r>
      <w:r w:rsidRPr="008012CB">
        <w:rPr>
          <w:rFonts w:ascii="Times New Roman" w:hAnsi="Times New Roman" w:cs="Times New Roman"/>
          <w:sz w:val="24"/>
          <w:szCs w:val="24"/>
          <w:lang w:val="en-AU" w:eastAsia="en-GB"/>
        </w:rPr>
        <w:t xml:space="preserve"> and makes enforcement complex and sometimes inefficient (e.g. proving the chain of title of all rights related to a publication).</w:t>
      </w:r>
      <w:r w:rsidRPr="008012CB">
        <w:rPr>
          <w:rFonts w:ascii="Times New Roman" w:hAnsi="Times New Roman" w:cs="Times New Roman"/>
          <w:sz w:val="24"/>
          <w:szCs w:val="24"/>
          <w:vertAlign w:val="superscript"/>
          <w:lang w:val="en-AU" w:eastAsia="en-GB"/>
        </w:rPr>
        <w:footnoteReference w:id="500"/>
      </w:r>
      <w:r w:rsidRPr="008012CB">
        <w:rPr>
          <w:rFonts w:ascii="Times New Roman" w:hAnsi="Times New Roman" w:cs="Times New Roman"/>
          <w:sz w:val="24"/>
          <w:szCs w:val="24"/>
          <w:lang w:val="en-AU" w:eastAsia="en-GB"/>
        </w:rPr>
        <w:t xml:space="preserve"> </w:t>
      </w:r>
      <w:r>
        <w:rPr>
          <w:rFonts w:ascii="Times New Roman" w:hAnsi="Times New Roman" w:cs="Times New Roman"/>
          <w:sz w:val="24"/>
          <w:szCs w:val="24"/>
          <w:lang w:val="en-AU" w:eastAsia="en-GB"/>
        </w:rPr>
        <w:t xml:space="preserve">Moreover, different approaches to the protection of publishers at national level result in fragmentation in the single market.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1372F">
        <w:rPr>
          <w:rFonts w:ascii="Times New Roman" w:hAnsi="Times New Roman" w:cs="Times New Roman"/>
          <w:sz w:val="24"/>
          <w:szCs w:val="24"/>
          <w:lang w:val="en-AU" w:eastAsia="en-GB"/>
        </w:rPr>
        <w:t xml:space="preserve">The fact that publishers are not protected as </w:t>
      </w:r>
      <w:r>
        <w:rPr>
          <w:rFonts w:ascii="Times New Roman" w:hAnsi="Times New Roman" w:cs="Times New Roman"/>
          <w:sz w:val="24"/>
          <w:szCs w:val="24"/>
          <w:lang w:val="en-AU" w:eastAsia="en-GB"/>
        </w:rPr>
        <w:t>rightholders</w:t>
      </w:r>
      <w:r w:rsidRPr="0081372F">
        <w:rPr>
          <w:rFonts w:ascii="Times New Roman" w:hAnsi="Times New Roman" w:cs="Times New Roman"/>
          <w:sz w:val="24"/>
          <w:szCs w:val="24"/>
          <w:lang w:val="en-AU" w:eastAsia="en-GB"/>
        </w:rPr>
        <w:t xml:space="preserve"> at the level of EU law but rely on the rights of the authors transferred to them has furthermore contributed to the situation of legal uncertainty </w:t>
      </w:r>
      <w:r w:rsidRPr="0081372F">
        <w:rPr>
          <w:rFonts w:ascii="Times New Roman" w:hAnsi="Times New Roman"/>
          <w:sz w:val="24"/>
          <w:lang w:val="en-AU"/>
        </w:rPr>
        <w:t xml:space="preserve">concerning </w:t>
      </w:r>
      <w:r w:rsidRPr="0081372F">
        <w:rPr>
          <w:rFonts w:ascii="Times New Roman" w:hAnsi="Times New Roman" w:cs="Times New Roman"/>
          <w:sz w:val="24"/>
          <w:szCs w:val="24"/>
          <w:lang w:val="en-AU" w:eastAsia="en-GB"/>
        </w:rPr>
        <w:t>their</w:t>
      </w:r>
      <w:r w:rsidRPr="0081372F">
        <w:rPr>
          <w:rFonts w:ascii="Times New Roman" w:hAnsi="Times New Roman"/>
          <w:sz w:val="24"/>
          <w:lang w:val="en-AU"/>
        </w:rPr>
        <w:t xml:space="preserve"> ability to receive compensation under exceptions</w:t>
      </w:r>
      <w:r w:rsidRPr="0081372F">
        <w:rPr>
          <w:rFonts w:ascii="Times New Roman" w:hAnsi="Times New Roman" w:cs="Times New Roman"/>
          <w:sz w:val="24"/>
          <w:szCs w:val="24"/>
          <w:lang w:val="en-AU" w:eastAsia="en-GB"/>
        </w:rPr>
        <w:t xml:space="preserve"> as described above</w:t>
      </w:r>
      <w:r w:rsidRPr="0081372F">
        <w:rPr>
          <w:rFonts w:ascii="Times New Roman" w:hAnsi="Times New Roman"/>
          <w:sz w:val="24"/>
          <w:lang w:val="en-AU"/>
        </w:rPr>
        <w:t>.</w:t>
      </w:r>
      <w:r w:rsidRPr="00D1507D">
        <w:rPr>
          <w:rFonts w:ascii="Times New Roman" w:hAnsi="Times New Roman"/>
          <w:sz w:val="24"/>
          <w:highlight w:val="yellow"/>
          <w:lang w:val="en-AU"/>
        </w:rPr>
        <w:t xml:space="preserve"> </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eastAsia="en-GB"/>
        </w:rPr>
      </w:pPr>
      <w:r w:rsidRPr="008012CB">
        <w:rPr>
          <w:rFonts w:ascii="Times New Roman" w:hAnsi="Times New Roman" w:cs="Times New Roman"/>
          <w:sz w:val="24"/>
          <w:szCs w:val="24"/>
          <w:lang w:val="en-AU" w:eastAsia="en-GB"/>
        </w:rPr>
        <w:t>[</w:t>
      </w:r>
      <w:r w:rsidRPr="008012CB">
        <w:rPr>
          <w:rFonts w:ascii="Times New Roman" w:hAnsi="Times New Roman" w:cs="Times New Roman"/>
          <w:i/>
          <w:sz w:val="24"/>
          <w:szCs w:val="24"/>
          <w:lang w:val="en-AU" w:eastAsia="en-GB"/>
        </w:rPr>
        <w:t>Differences in bargaining power</w:t>
      </w:r>
      <w:r w:rsidRPr="008012CB">
        <w:rPr>
          <w:rFonts w:ascii="Times New Roman" w:hAnsi="Times New Roman" w:cs="Times New Roman"/>
          <w:sz w:val="24"/>
          <w:szCs w:val="24"/>
          <w:lang w:val="en-AU" w:eastAsia="en-GB"/>
        </w:rPr>
        <w:t>] The gap in the current EU rules further weakens the bargaining power of publishers in relation to large online service providers</w:t>
      </w:r>
      <w:r>
        <w:rPr>
          <w:rFonts w:ascii="Times New Roman" w:hAnsi="Times New Roman" w:cs="Times New Roman"/>
          <w:sz w:val="24"/>
          <w:szCs w:val="24"/>
          <w:lang w:val="en-AU" w:eastAsia="en-GB"/>
        </w:rPr>
        <w:t xml:space="preserve"> and contributes to aggravate the problems faced by press publishers as regards the online exploitation of, and enforcement of rights in, their content</w:t>
      </w:r>
      <w:r w:rsidRPr="008012CB">
        <w:rPr>
          <w:rFonts w:ascii="Times New Roman" w:hAnsi="Times New Roman" w:cs="Times New Roman"/>
          <w:sz w:val="24"/>
          <w:szCs w:val="24"/>
          <w:lang w:val="en-AU" w:eastAsia="en-GB"/>
        </w:rPr>
        <w:t xml:space="preserve">. </w:t>
      </w:r>
      <w:r>
        <w:rPr>
          <w:rFonts w:ascii="Times New Roman" w:hAnsi="Times New Roman" w:cs="Times New Roman"/>
          <w:sz w:val="24"/>
          <w:szCs w:val="24"/>
          <w:lang w:val="en-AU" w:eastAsia="en-GB"/>
        </w:rPr>
        <w:t>O</w:t>
      </w:r>
      <w:r w:rsidRPr="008012CB">
        <w:rPr>
          <w:rFonts w:ascii="Times New Roman" w:hAnsi="Times New Roman" w:cs="Times New Roman"/>
          <w:sz w:val="24"/>
          <w:szCs w:val="24"/>
          <w:lang w:val="en-AU" w:eastAsia="en-GB"/>
        </w:rPr>
        <w:t xml:space="preserve">nline service providers </w:t>
      </w:r>
      <w:r>
        <w:rPr>
          <w:rFonts w:ascii="Times New Roman" w:hAnsi="Times New Roman" w:cs="Times New Roman"/>
          <w:sz w:val="24"/>
          <w:szCs w:val="24"/>
          <w:lang w:val="en-AU" w:eastAsia="en-GB"/>
        </w:rPr>
        <w:t xml:space="preserve">often </w:t>
      </w:r>
      <w:r w:rsidRPr="008012CB">
        <w:rPr>
          <w:rFonts w:ascii="Times New Roman" w:hAnsi="Times New Roman" w:cs="Times New Roman"/>
          <w:sz w:val="24"/>
          <w:szCs w:val="24"/>
          <w:lang w:val="en-AU" w:eastAsia="en-GB"/>
        </w:rPr>
        <w:t>have a strong bargaining position and receive the majority of advertising revenues generated online (</w:t>
      </w:r>
      <w:r>
        <w:rPr>
          <w:rFonts w:ascii="Times New Roman" w:hAnsi="Times New Roman" w:cs="Times New Roman"/>
          <w:sz w:val="24"/>
          <w:szCs w:val="24"/>
          <w:lang w:val="en-AU" w:eastAsia="en-GB"/>
        </w:rPr>
        <w:t>e.g.</w:t>
      </w:r>
      <w:r w:rsidRPr="008012CB">
        <w:rPr>
          <w:rFonts w:ascii="Times New Roman" w:hAnsi="Times New Roman" w:cs="Times New Roman"/>
          <w:sz w:val="24"/>
          <w:szCs w:val="24"/>
          <w:lang w:val="en-AU" w:eastAsia="en-GB"/>
        </w:rPr>
        <w:t xml:space="preserve"> 40 % of total advertising investments in BE</w:t>
      </w:r>
      <w:r>
        <w:rPr>
          <w:rFonts w:ascii="Times New Roman" w:hAnsi="Times New Roman" w:cs="Times New Roman"/>
          <w:sz w:val="24"/>
          <w:szCs w:val="24"/>
          <w:lang w:val="en-AU" w:eastAsia="en-GB"/>
        </w:rPr>
        <w:t>, according to publishers</w:t>
      </w:r>
      <w:r w:rsidRPr="008012CB">
        <w:rPr>
          <w:rFonts w:ascii="Times New Roman" w:hAnsi="Times New Roman" w:cs="Times New Roman"/>
          <w:sz w:val="24"/>
          <w:szCs w:val="24"/>
          <w:lang w:val="en-AU" w:eastAsia="en-GB"/>
        </w:rPr>
        <w:t>).</w:t>
      </w:r>
      <w:r w:rsidRPr="008012CB">
        <w:rPr>
          <w:rFonts w:ascii="Times New Roman" w:hAnsi="Times New Roman" w:cs="Times New Roman"/>
          <w:sz w:val="24"/>
          <w:szCs w:val="24"/>
          <w:vertAlign w:val="superscript"/>
          <w:lang w:val="en-AU" w:eastAsia="en-GB"/>
        </w:rPr>
        <w:footnoteReference w:id="501"/>
      </w:r>
      <w:r w:rsidRPr="008012CB">
        <w:rPr>
          <w:rFonts w:ascii="Times New Roman" w:hAnsi="Times New Roman" w:cs="Times New Roman"/>
          <w:sz w:val="24"/>
          <w:szCs w:val="24"/>
          <w:lang w:val="en-AU" w:eastAsia="en-GB"/>
        </w:rPr>
        <w:t xml:space="preserve"> This makes it difficult for </w:t>
      </w:r>
      <w:r>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publishers to negotiate with them</w:t>
      </w:r>
      <w:r w:rsidRPr="00265F0B">
        <w:rPr>
          <w:rFonts w:ascii="Times New Roman"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on an equal footing, including regarding the share of revenues related to the use of their content</w:t>
      </w:r>
      <w:r w:rsidRPr="008012CB">
        <w:rPr>
          <w:rFonts w:ascii="Times New Roman" w:eastAsia="Calibri" w:hAnsi="Times New Roman" w:cs="Times New Roman"/>
          <w:sz w:val="24"/>
          <w:szCs w:val="24"/>
          <w:lang w:val="en-AU" w:eastAsia="en-GB"/>
        </w:rPr>
        <w:t>.</w:t>
      </w:r>
    </w:p>
    <w:p w:rsidR="00D3660C" w:rsidRPr="00D1507D" w:rsidRDefault="00D3660C" w:rsidP="00D3660C">
      <w:pPr>
        <w:spacing w:line="240" w:lineRule="auto"/>
        <w:jc w:val="both"/>
      </w:pPr>
      <w:r w:rsidRPr="008012CB">
        <w:rPr>
          <w:rFonts w:ascii="Times New Roman" w:eastAsia="Calibri" w:hAnsi="Times New Roman" w:cs="Times New Roman"/>
          <w:sz w:val="24"/>
          <w:szCs w:val="24"/>
          <w:u w:val="single"/>
          <w:lang w:val="en-AU" w:eastAsia="en-GB"/>
        </w:rPr>
        <w:t>Consequences</w:t>
      </w:r>
      <w:r w:rsidRPr="00D1507D">
        <w:rPr>
          <w:rFonts w:ascii="Times New Roman" w:hAnsi="Times New Roman"/>
          <w:sz w:val="24"/>
          <w:lang w:val="en-AU"/>
        </w:rPr>
        <w:t>:</w:t>
      </w:r>
      <w:r w:rsidRPr="008012CB">
        <w:rPr>
          <w:rFonts w:ascii="Times New Roman" w:eastAsia="Calibri" w:hAnsi="Times New Roman" w:cs="Times New Roman"/>
          <w:b/>
          <w:sz w:val="24"/>
          <w:szCs w:val="24"/>
          <w:lang w:val="en-AU" w:eastAsia="en-GB"/>
        </w:rPr>
        <w:t xml:space="preserve"> </w:t>
      </w:r>
      <w:r w:rsidRPr="008012CB">
        <w:rPr>
          <w:rFonts w:ascii="Times New Roman" w:hAnsi="Times New Roman" w:cs="Times New Roman"/>
          <w:sz w:val="24"/>
          <w:szCs w:val="24"/>
          <w:lang w:val="en-AU" w:eastAsia="en-GB"/>
        </w:rPr>
        <w:t>The works and other protected subject-matter published by different publishing industries (e.g. newspapers</w:t>
      </w:r>
      <w:r>
        <w:rPr>
          <w:rFonts w:ascii="Times New Roman" w:hAnsi="Times New Roman" w:cs="Times New Roman"/>
          <w:sz w:val="24"/>
          <w:szCs w:val="24"/>
          <w:lang w:val="en-AU" w:eastAsia="en-GB"/>
        </w:rPr>
        <w:t xml:space="preserve"> and magazines</w:t>
      </w:r>
      <w:r w:rsidRPr="008012CB">
        <w:rPr>
          <w:rFonts w:ascii="Times New Roman" w:hAnsi="Times New Roman" w:cs="Times New Roman"/>
          <w:sz w:val="24"/>
          <w:szCs w:val="24"/>
          <w:lang w:val="en-AU" w:eastAsia="en-GB"/>
        </w:rPr>
        <w:t xml:space="preserve">, books and scientific journals) are essential in a democratic society, as they play an important role in citizens' access to knowledge and good quality information, including on issues related to democracy and democratic decision making. The problems described above contribute to a situation of general decline of publishers' revenue streams in the </w:t>
      </w:r>
      <w:r>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sector</w:t>
      </w:r>
      <w:r>
        <w:rPr>
          <w:rFonts w:ascii="Times New Roman" w:hAnsi="Times New Roman" w:cs="Times New Roman"/>
          <w:sz w:val="24"/>
          <w:szCs w:val="24"/>
          <w:lang w:val="en-AU" w:eastAsia="en-GB"/>
        </w:rPr>
        <w:t xml:space="preserve"> and to potential substantial </w:t>
      </w:r>
      <w:r w:rsidRPr="008012CB">
        <w:rPr>
          <w:rFonts w:ascii="Times New Roman" w:hAnsi="Times New Roman" w:cs="Times New Roman"/>
          <w:sz w:val="24"/>
          <w:szCs w:val="24"/>
          <w:lang w:val="en-AU" w:eastAsia="en-GB"/>
        </w:rPr>
        <w:t xml:space="preserve">loss of revenues linked to compensation for uses under copyright exceptions across the entire publishing industry. If the investments and contribution of publishers increase the value of publications but are not </w:t>
      </w:r>
      <w:r>
        <w:rPr>
          <w:rFonts w:ascii="Times New Roman" w:hAnsi="Times New Roman" w:cs="Times New Roman"/>
          <w:sz w:val="24"/>
          <w:szCs w:val="24"/>
          <w:lang w:val="en-AU" w:eastAsia="en-GB"/>
        </w:rPr>
        <w:t>backed by appropriate</w:t>
      </w:r>
      <w:r w:rsidRPr="008012CB">
        <w:rPr>
          <w:rFonts w:ascii="Times New Roman" w:hAnsi="Times New Roman" w:cs="Times New Roman"/>
          <w:sz w:val="24"/>
          <w:szCs w:val="24"/>
          <w:lang w:val="en-AU" w:eastAsia="en-GB"/>
        </w:rPr>
        <w:t xml:space="preserve"> revenues, the sustainability of publishing industries in the EU may be at stake, with the risk of negative consequences on media pluralism, democratic debate</w:t>
      </w:r>
      <w:r>
        <w:rPr>
          <w:rFonts w:ascii="Times New Roman"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quality of information</w:t>
      </w:r>
      <w:r>
        <w:rPr>
          <w:rFonts w:ascii="Times New Roman" w:hAnsi="Times New Roman" w:cs="Times New Roman"/>
          <w:sz w:val="24"/>
          <w:szCs w:val="24"/>
          <w:lang w:val="en-AU" w:eastAsia="en-GB"/>
        </w:rPr>
        <w:t xml:space="preserve"> and cultural diversity in the European society. </w:t>
      </w:r>
    </w:p>
    <w:p w:rsidR="00D3660C" w:rsidRPr="008012CB" w:rsidRDefault="00D3660C" w:rsidP="00D3660C">
      <w:pPr>
        <w:autoSpaceDE w:val="0"/>
        <w:autoSpaceDN w:val="0"/>
        <w:adjustRightInd w:val="0"/>
        <w:spacing w:after="120" w:line="240" w:lineRule="auto"/>
        <w:jc w:val="both"/>
        <w:rPr>
          <w:rFonts w:ascii="Times New Roman"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How the problem would evolve</w:t>
      </w:r>
      <w:r w:rsidRPr="008012CB">
        <w:rPr>
          <w:rFonts w:ascii="Times New Roman" w:eastAsia="Calibri" w:hAnsi="Times New Roman" w:cs="Times New Roman"/>
          <w:sz w:val="24"/>
          <w:szCs w:val="24"/>
          <w:lang w:val="en-AU" w:eastAsia="en-GB"/>
        </w:rPr>
        <w:t xml:space="preserve">: </w:t>
      </w:r>
      <w:r w:rsidRPr="008012CB">
        <w:rPr>
          <w:rFonts w:ascii="Times New Roman" w:hAnsi="Times New Roman" w:cs="Times New Roman"/>
          <w:sz w:val="24"/>
          <w:szCs w:val="24"/>
          <w:lang w:val="en-AU" w:eastAsia="en-GB"/>
        </w:rPr>
        <w:t xml:space="preserve">In the near future, the production and distribution of digital content, notably on online service providers (both websites and apps) will continue to require growing investments from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w:t>
      </w:r>
    </w:p>
    <w:p w:rsidR="00C801D5" w:rsidRPr="008012CB" w:rsidRDefault="00D3660C" w:rsidP="00C801D5">
      <w:pPr>
        <w:autoSpaceDE w:val="0"/>
        <w:autoSpaceDN w:val="0"/>
        <w:adjustRightInd w:val="0"/>
        <w:spacing w:after="120" w:line="240" w:lineRule="auto"/>
        <w:jc w:val="both"/>
        <w:rPr>
          <w:rFonts w:ascii="Times New Roman" w:eastAsia="Calibri" w:hAnsi="Times New Roman" w:cs="Times New Roman"/>
          <w:sz w:val="24"/>
          <w:szCs w:val="24"/>
          <w:lang w:val="en-AU" w:eastAsia="en-GB"/>
        </w:rPr>
      </w:pPr>
      <w:r w:rsidRPr="008012CB">
        <w:rPr>
          <w:rFonts w:ascii="Times New Roman" w:hAnsi="Times New Roman" w:cs="Times New Roman"/>
          <w:sz w:val="24"/>
          <w:szCs w:val="24"/>
          <w:lang w:val="en-AU" w:eastAsia="en-GB"/>
        </w:rPr>
        <w:t xml:space="preserve">Without intervention at EU level,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will continue licensing the use of their publications mainly on the basis of the rights transferred to them by the content creators. In a constantly-evolving market, with more and more players and means of </w:t>
      </w:r>
      <w:r>
        <w:rPr>
          <w:rFonts w:ascii="Times New Roman" w:hAnsi="Times New Roman" w:cs="Times New Roman"/>
          <w:sz w:val="24"/>
          <w:szCs w:val="24"/>
          <w:lang w:val="en-AU" w:eastAsia="en-GB"/>
        </w:rPr>
        <w:t>content</w:t>
      </w:r>
      <w:r w:rsidRPr="008012CB">
        <w:rPr>
          <w:rFonts w:ascii="Times New Roman" w:hAnsi="Times New Roman" w:cs="Times New Roman"/>
          <w:sz w:val="24"/>
          <w:szCs w:val="24"/>
          <w:lang w:val="en-AU" w:eastAsia="en-GB"/>
        </w:rPr>
        <w:t xml:space="preserve"> distribution, this is likely to increase legal uncertainty, weaken the position of </w:t>
      </w:r>
      <w:r>
        <w:rPr>
          <w:rFonts w:ascii="Times New Roman" w:hAnsi="Times New Roman" w:cs="Times New Roman"/>
          <w:sz w:val="24"/>
          <w:szCs w:val="24"/>
          <w:lang w:val="en-AU" w:eastAsia="en-GB"/>
        </w:rPr>
        <w:t>press</w:t>
      </w:r>
      <w:r w:rsidRPr="008012CB">
        <w:rPr>
          <w:rFonts w:ascii="Times New Roman" w:hAnsi="Times New Roman" w:cs="Times New Roman"/>
          <w:sz w:val="24"/>
          <w:szCs w:val="24"/>
          <w:lang w:val="en-AU" w:eastAsia="en-GB"/>
        </w:rPr>
        <w:t xml:space="preserve"> publishers, accentuate their loss of revenues, complicate enforcement of rights and eventually affect the number and quality of print media. This would be prejudicial for the media pluralism, good quality information and the role they play in democratic societies. </w:t>
      </w:r>
      <w:r>
        <w:rPr>
          <w:rFonts w:ascii="Times New Roman" w:hAnsi="Times New Roman" w:cs="Times New Roman"/>
          <w:sz w:val="24"/>
          <w:szCs w:val="24"/>
          <w:lang w:val="en-AU" w:eastAsia="en-GB"/>
        </w:rPr>
        <w:t>MS may decide to address these problems at national level, as DE and ES have recently done</w:t>
      </w:r>
      <w:r w:rsidRPr="004B59A1">
        <w:rPr>
          <w:rFonts w:ascii="Times New Roman" w:hAnsi="Times New Roman" w:cs="Times New Roman"/>
          <w:sz w:val="24"/>
          <w:szCs w:val="24"/>
          <w:lang w:val="en-AU" w:eastAsia="en-GB"/>
        </w:rPr>
        <w:t xml:space="preserve">, but this is likely to be ineffective, due to the lack of scale of national solutions. </w:t>
      </w:r>
      <w:r>
        <w:rPr>
          <w:rFonts w:ascii="Times New Roman" w:hAnsi="Times New Roman" w:cs="Times New Roman"/>
          <w:sz w:val="24"/>
          <w:szCs w:val="24"/>
          <w:lang w:val="en-AU" w:eastAsia="en-GB"/>
        </w:rPr>
        <w:t>Furthermo</w:t>
      </w:r>
      <w:r w:rsidRPr="004B59A1">
        <w:rPr>
          <w:rFonts w:ascii="Times New Roman" w:hAnsi="Times New Roman" w:cs="Times New Roman"/>
          <w:sz w:val="24"/>
          <w:szCs w:val="24"/>
          <w:lang w:val="en-AU" w:eastAsia="en-GB"/>
        </w:rPr>
        <w:t>re, it would</w:t>
      </w:r>
      <w:r>
        <w:rPr>
          <w:rFonts w:ascii="Times New Roman" w:hAnsi="Times New Roman" w:cs="Times New Roman"/>
          <w:sz w:val="24"/>
          <w:szCs w:val="24"/>
          <w:lang w:val="en-AU" w:eastAsia="en-GB"/>
        </w:rPr>
        <w:t xml:space="preserve"> only increase </w:t>
      </w:r>
      <w:r w:rsidRPr="006E0D25">
        <w:rPr>
          <w:rFonts w:ascii="Times New Roman" w:hAnsi="Times New Roman" w:cs="Times New Roman"/>
          <w:sz w:val="24"/>
          <w:szCs w:val="24"/>
          <w:lang w:val="en-AU" w:eastAsia="en-GB"/>
        </w:rPr>
        <w:t xml:space="preserve">fragmentation of the legal framework on the online uses of </w:t>
      </w:r>
      <w:r>
        <w:rPr>
          <w:rFonts w:ascii="Times New Roman" w:hAnsi="Times New Roman" w:cs="Times New Roman"/>
          <w:sz w:val="24"/>
          <w:szCs w:val="24"/>
          <w:lang w:val="en-AU" w:eastAsia="en-GB"/>
        </w:rPr>
        <w:t>press</w:t>
      </w:r>
      <w:r w:rsidRPr="006E0D25">
        <w:rPr>
          <w:rFonts w:ascii="Times New Roman" w:hAnsi="Times New Roman" w:cs="Times New Roman"/>
          <w:sz w:val="24"/>
          <w:szCs w:val="24"/>
          <w:lang w:val="en-AU" w:eastAsia="en-GB"/>
        </w:rPr>
        <w:t xml:space="preserve"> publications in the EU.</w:t>
      </w:r>
      <w:r>
        <w:rPr>
          <w:rFonts w:ascii="Times New Roman" w:hAnsi="Times New Roman" w:cs="Times New Roman"/>
          <w:sz w:val="24"/>
          <w:szCs w:val="24"/>
          <w:lang w:val="en-AU" w:eastAsia="en-GB"/>
        </w:rPr>
        <w:t xml:space="preserve"> </w:t>
      </w:r>
      <w:r w:rsidRPr="006E0D25">
        <w:rPr>
          <w:rFonts w:ascii="Times New Roman" w:hAnsi="Times New Roman" w:cs="Times New Roman"/>
          <w:sz w:val="24"/>
          <w:szCs w:val="24"/>
          <w:lang w:val="en-AU" w:eastAsia="en-GB"/>
        </w:rPr>
        <w:t xml:space="preserve">In </w:t>
      </w:r>
      <w:r>
        <w:rPr>
          <w:rFonts w:ascii="Times New Roman" w:hAnsi="Times New Roman" w:cs="Times New Roman"/>
          <w:sz w:val="24"/>
          <w:szCs w:val="24"/>
          <w:lang w:val="en-AU" w:eastAsia="en-GB"/>
        </w:rPr>
        <w:t xml:space="preserve">addition, in </w:t>
      </w:r>
      <w:r w:rsidRPr="006E0D25">
        <w:rPr>
          <w:rFonts w:ascii="Times New Roman" w:hAnsi="Times New Roman" w:cs="Times New Roman"/>
          <w:sz w:val="24"/>
          <w:szCs w:val="24"/>
          <w:lang w:val="en-AU" w:eastAsia="en-GB"/>
        </w:rPr>
        <w:t xml:space="preserve">the absence of EU intervention, the decreasing share of the compensation due for uses under exceptions </w:t>
      </w:r>
      <w:r>
        <w:rPr>
          <w:rFonts w:ascii="Times New Roman" w:hAnsi="Times New Roman" w:cs="Times New Roman"/>
          <w:sz w:val="24"/>
          <w:szCs w:val="24"/>
          <w:lang w:val="en-AU" w:eastAsia="en-GB"/>
        </w:rPr>
        <w:t xml:space="preserve">resulting from the current situation following the recent case-law of the CJEU </w:t>
      </w:r>
      <w:r w:rsidRPr="006E0D25">
        <w:rPr>
          <w:rFonts w:ascii="Times New Roman" w:hAnsi="Times New Roman" w:cs="Times New Roman"/>
          <w:sz w:val="24"/>
          <w:szCs w:val="24"/>
          <w:lang w:val="en-AU" w:eastAsia="en-GB"/>
        </w:rPr>
        <w:t>would put at risk in particular the smaller players throughout the whole publishing industry (news, books and scientific publishers), who are currently relying on this compensation and are essential for the cultural diversity and media pluralism in this sector.</w:t>
      </w:r>
      <w:r w:rsidRPr="008012CB">
        <w:rPr>
          <w:rFonts w:ascii="Times New Roman" w:eastAsia="Calibri" w:hAnsi="Times New Roman" w:cs="Times New Roman"/>
          <w:sz w:val="24"/>
          <w:szCs w:val="24"/>
          <w:lang w:val="en-AU" w:eastAsia="en-GB"/>
        </w:rPr>
        <w:t xml:space="preserve"> </w:t>
      </w:r>
      <w:r w:rsidR="00C801D5" w:rsidRPr="008012CB">
        <w:rPr>
          <w:rFonts w:ascii="Times New Roman" w:eastAsia="Calibri" w:hAnsi="Times New Roman" w:cs="Times New Roman"/>
          <w:sz w:val="24"/>
          <w:szCs w:val="24"/>
          <w:lang w:val="en-AU" w:eastAsia="en-GB"/>
        </w:rPr>
        <w:t xml:space="preserve"> </w:t>
      </w:r>
    </w:p>
    <w:p w:rsidR="00C801D5" w:rsidRPr="008012CB" w:rsidRDefault="00C801D5" w:rsidP="00C801D5">
      <w:pPr>
        <w:pStyle w:val="Heading3"/>
      </w:pPr>
      <w:bookmarkStart w:id="180" w:name="_Toc461114753"/>
      <w:r w:rsidRPr="008012CB">
        <w:t>What are the various options to achieve the objectives?</w:t>
      </w:r>
      <w:bookmarkEnd w:id="180"/>
    </w:p>
    <w:p w:rsidR="00D3660C" w:rsidRPr="004834A2" w:rsidRDefault="00D3660C" w:rsidP="00D3660C">
      <w:pPr>
        <w:spacing w:after="120" w:line="240" w:lineRule="auto"/>
        <w:jc w:val="both"/>
        <w:rPr>
          <w:rFonts w:ascii="Times New Roman" w:hAnsi="Times New Roman"/>
          <w:sz w:val="24"/>
          <w:szCs w:val="24"/>
          <w:lang w:val="en-AU"/>
        </w:rPr>
      </w:pPr>
      <w:r w:rsidRPr="004834A2">
        <w:rPr>
          <w:rFonts w:ascii="Times New Roman" w:hAnsi="Times New Roman"/>
          <w:sz w:val="24"/>
          <w:szCs w:val="24"/>
          <w:lang w:val="en-AU"/>
        </w:rPr>
        <w:t>The general and specific objectives are described in section 5.1.3.</w:t>
      </w:r>
    </w:p>
    <w:p w:rsidR="00D3660C" w:rsidRPr="008012CB" w:rsidRDefault="00D3660C" w:rsidP="00D3660C">
      <w:pPr>
        <w:spacing w:after="120" w:line="240" w:lineRule="auto"/>
        <w:jc w:val="both"/>
        <w:rPr>
          <w:rFonts w:ascii="Times New Roman" w:eastAsia="Calibri" w:hAnsi="Times New Roman" w:cs="Times New Roman"/>
          <w:sz w:val="24"/>
          <w:szCs w:val="24"/>
          <w:lang w:val="en-AU" w:eastAsia="en-GB"/>
        </w:rPr>
      </w:pPr>
      <w:r w:rsidRPr="008012CB">
        <w:rPr>
          <w:rFonts w:ascii="Times New Roman" w:eastAsia="Arial Unicode MS" w:hAnsi="Times New Roman" w:cs="Times New Roman"/>
          <w:b/>
          <w:sz w:val="24"/>
          <w:szCs w:val="24"/>
          <w:bdr w:val="none" w:sz="0" w:space="0" w:color="auto" w:frame="1"/>
          <w:lang w:val="en-AU"/>
        </w:rPr>
        <w:t>Baseline</w:t>
      </w:r>
    </w:p>
    <w:p w:rsidR="00D3660C" w:rsidRPr="008012CB" w:rsidRDefault="00D3660C" w:rsidP="00D3660C">
      <w:pPr>
        <w:spacing w:after="120" w:line="240" w:lineRule="auto"/>
        <w:jc w:val="both"/>
        <w:rPr>
          <w:rFonts w:ascii="Times New Roman" w:hAnsi="Times New Roman"/>
          <w:sz w:val="24"/>
          <w:szCs w:val="24"/>
          <w:lang w:val="en-AU"/>
        </w:rPr>
      </w:pPr>
      <w:r w:rsidRPr="008012CB">
        <w:rPr>
          <w:rFonts w:ascii="Times New Roman" w:hAnsi="Times New Roman"/>
          <w:sz w:val="24"/>
          <w:szCs w:val="24"/>
          <w:lang w:val="en-AU"/>
        </w:rPr>
        <w:t xml:space="preserve">No policy intervention. Under this option, the use of publications would remain governed by </w:t>
      </w:r>
      <w:r w:rsidRPr="004834A2">
        <w:rPr>
          <w:rFonts w:ascii="Times New Roman" w:eastAsia="Calibri" w:hAnsi="Times New Roman" w:cs="Times New Roman"/>
          <w:sz w:val="24"/>
          <w:szCs w:val="24"/>
        </w:rPr>
        <w:t>the</w:t>
      </w:r>
      <w:r w:rsidRPr="008012CB">
        <w:rPr>
          <w:rFonts w:ascii="Times New Roman" w:hAnsi="Times New Roman"/>
          <w:sz w:val="24"/>
          <w:szCs w:val="24"/>
          <w:lang w:val="en-AU"/>
        </w:rPr>
        <w:t xml:space="preserve"> rules applicable to the rights transferred to </w:t>
      </w:r>
      <w:r>
        <w:rPr>
          <w:rFonts w:ascii="Times New Roman" w:hAnsi="Times New Roman"/>
          <w:sz w:val="24"/>
          <w:szCs w:val="24"/>
          <w:lang w:val="en-AU"/>
        </w:rPr>
        <w:t>press publishers</w:t>
      </w:r>
      <w:r w:rsidRPr="008012CB">
        <w:rPr>
          <w:rFonts w:ascii="Times New Roman" w:hAnsi="Times New Roman"/>
          <w:sz w:val="24"/>
          <w:szCs w:val="24"/>
          <w:lang w:val="en-AU"/>
        </w:rPr>
        <w:t xml:space="preserve"> by authors and other </w:t>
      </w:r>
      <w:r>
        <w:rPr>
          <w:rFonts w:ascii="Times New Roman" w:hAnsi="Times New Roman"/>
          <w:sz w:val="24"/>
          <w:szCs w:val="24"/>
          <w:lang w:val="en-AU"/>
        </w:rPr>
        <w:t>rightholders</w:t>
      </w:r>
      <w:r w:rsidRPr="008012CB">
        <w:rPr>
          <w:rFonts w:ascii="Times New Roman" w:hAnsi="Times New Roman"/>
          <w:sz w:val="24"/>
          <w:szCs w:val="24"/>
          <w:lang w:val="en-AU"/>
        </w:rPr>
        <w:t xml:space="preserve">. Issues related to the different bargaining position of </w:t>
      </w:r>
      <w:r>
        <w:rPr>
          <w:rFonts w:ascii="Times New Roman" w:hAnsi="Times New Roman"/>
          <w:sz w:val="24"/>
          <w:szCs w:val="24"/>
          <w:lang w:val="en-AU"/>
        </w:rPr>
        <w:t>press</w:t>
      </w:r>
      <w:r w:rsidRPr="008012CB">
        <w:rPr>
          <w:rFonts w:ascii="Times New Roman" w:hAnsi="Times New Roman"/>
          <w:sz w:val="24"/>
          <w:szCs w:val="24"/>
          <w:lang w:val="en-AU"/>
        </w:rPr>
        <w:t xml:space="preserve"> publishers and online service providers would not be addressed, without prejudice to the possible application of competition law. This option would rely on market developments and stakeholders reaching voluntary agreements to cooperate and find win-win solutions concerning the online dissemination of publishers' content, notably as regards newspaper and magazine online content</w:t>
      </w:r>
      <w:r>
        <w:rPr>
          <w:rFonts w:ascii="Times New Roman" w:hAnsi="Times New Roman"/>
          <w:sz w:val="24"/>
          <w:szCs w:val="24"/>
          <w:lang w:val="en-AU"/>
        </w:rPr>
        <w:t>.</w:t>
      </w:r>
      <w:r w:rsidRPr="008012CB">
        <w:rPr>
          <w:rFonts w:ascii="Times New Roman" w:hAnsi="Times New Roman" w:cs="Times New Roman"/>
          <w:sz w:val="24"/>
          <w:szCs w:val="24"/>
          <w:vertAlign w:val="superscript"/>
        </w:rPr>
        <w:footnoteReference w:id="502"/>
      </w:r>
      <w:r w:rsidRPr="008012CB">
        <w:rPr>
          <w:rFonts w:ascii="Times New Roman" w:hAnsi="Times New Roman"/>
          <w:sz w:val="24"/>
          <w:szCs w:val="24"/>
          <w:lang w:val="en-AU"/>
        </w:rPr>
        <w:t xml:space="preserve"> At the same time, certain MS could decide to amend their national legislation to introduce rights for </w:t>
      </w:r>
      <w:r w:rsidRPr="00AD1416">
        <w:rPr>
          <w:rFonts w:ascii="Times New Roman" w:hAnsi="Times New Roman"/>
          <w:sz w:val="24"/>
          <w:szCs w:val="24"/>
          <w:lang w:val="en-AU"/>
        </w:rPr>
        <w:t xml:space="preserve">press </w:t>
      </w:r>
      <w:r w:rsidRPr="008012CB">
        <w:rPr>
          <w:rFonts w:ascii="Times New Roman" w:hAnsi="Times New Roman"/>
          <w:sz w:val="24"/>
          <w:szCs w:val="24"/>
          <w:lang w:val="en-AU"/>
        </w:rPr>
        <w:t xml:space="preserve">publishers at national level, which </w:t>
      </w:r>
      <w:r>
        <w:rPr>
          <w:rFonts w:ascii="Times New Roman" w:hAnsi="Times New Roman"/>
          <w:sz w:val="24"/>
          <w:szCs w:val="24"/>
          <w:lang w:val="en-AU"/>
        </w:rPr>
        <w:t xml:space="preserve">is likely to be ineffective and </w:t>
      </w:r>
      <w:r w:rsidRPr="008012CB">
        <w:rPr>
          <w:rFonts w:ascii="Times New Roman" w:hAnsi="Times New Roman"/>
          <w:sz w:val="24"/>
          <w:szCs w:val="24"/>
          <w:lang w:val="en-AU"/>
        </w:rPr>
        <w:t xml:space="preserve">increase fragmentation of copyright rules in the single market.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hAnsi="Times New Roman"/>
          <w:sz w:val="24"/>
          <w:szCs w:val="24"/>
          <w:lang w:val="en-AU"/>
        </w:rPr>
        <w:t>Some MS may try to address the problem of legal uncertainty as regards publishers' (across different sectors) ability to receive compensation for uses under private copying, reprography and other exceptions through national law within the boundaries of the current EU rules, including the case law of the CJEU. Other MS may hesitate to do so in the absence of EU intervention because of the situation of legal uncertainty described above.</w:t>
      </w:r>
      <w:r w:rsidRPr="008012CB">
        <w:rPr>
          <w:rFonts w:ascii="Times New Roman" w:eastAsia="Calibri" w:hAnsi="Times New Roman" w:cs="Times New Roman"/>
          <w:sz w:val="24"/>
          <w:szCs w:val="24"/>
          <w:lang w:val="en-AU"/>
        </w:rPr>
        <w:t xml:space="preserve"> </w:t>
      </w:r>
    </w:p>
    <w:tbl>
      <w:tblPr>
        <w:tblStyle w:val="TableGrid31"/>
        <w:tblW w:w="0" w:type="auto"/>
        <w:tblInd w:w="0" w:type="dxa"/>
        <w:tblLook w:val="04A0" w:firstRow="1" w:lastRow="0" w:firstColumn="1" w:lastColumn="0" w:noHBand="0" w:noVBand="1"/>
      </w:tblPr>
      <w:tblGrid>
        <w:gridCol w:w="9288"/>
      </w:tblGrid>
      <w:tr w:rsidR="00D3660C" w:rsidRPr="008012CB" w:rsidTr="009D59CB">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660C" w:rsidRPr="008012CB" w:rsidRDefault="00D3660C" w:rsidP="009D59CB">
            <w:pPr>
              <w:jc w:val="both"/>
              <w:rPr>
                <w:rFonts w:ascii="Times New Roman" w:eastAsia="Arial Unicode MS" w:hAnsi="Times New Roman"/>
                <w:i/>
                <w:sz w:val="20"/>
                <w:szCs w:val="20"/>
                <w:bdr w:val="none" w:sz="0" w:space="0" w:color="auto" w:frame="1"/>
                <w:lang w:val="en-AU"/>
              </w:rPr>
            </w:pPr>
            <w:r w:rsidRPr="008012CB">
              <w:rPr>
                <w:rFonts w:ascii="Times New Roman" w:eastAsia="Arial Unicode MS" w:hAnsi="Times New Roman"/>
                <w:i/>
                <w:sz w:val="20"/>
                <w:szCs w:val="20"/>
                <w:bdr w:val="none" w:sz="0" w:space="0" w:color="auto" w:frame="1"/>
                <w:lang w:val="en-AU"/>
              </w:rPr>
              <w:t>Stakeholders' views</w:t>
            </w:r>
          </w:p>
          <w:p w:rsidR="00D3660C" w:rsidRPr="008012CB" w:rsidRDefault="00D3660C" w:rsidP="009D59CB">
            <w:pPr>
              <w:jc w:val="both"/>
              <w:rPr>
                <w:sz w:val="20"/>
                <w:szCs w:val="20"/>
                <w:lang w:val="en-AU"/>
              </w:rPr>
            </w:pPr>
            <w:r w:rsidRPr="008012CB">
              <w:rPr>
                <w:rFonts w:ascii="Times New Roman" w:hAnsi="Times New Roman"/>
                <w:sz w:val="20"/>
                <w:szCs w:val="20"/>
                <w:lang w:val="en-AU"/>
              </w:rPr>
              <w:t xml:space="preserve">Most online service providers, such as content aggregators and social networks, oppose legislative intervention and support the status quo, as they consider that the relationships between them and </w:t>
            </w:r>
            <w:r w:rsidRPr="00AB1D72">
              <w:rPr>
                <w:rFonts w:ascii="Times New Roman" w:hAnsi="Times New Roman"/>
                <w:sz w:val="20"/>
                <w:szCs w:val="20"/>
                <w:lang w:val="en-AU"/>
              </w:rPr>
              <w:t xml:space="preserve">press </w:t>
            </w:r>
            <w:r w:rsidRPr="008012CB">
              <w:rPr>
                <w:rFonts w:ascii="Times New Roman" w:hAnsi="Times New Roman"/>
                <w:sz w:val="20"/>
                <w:szCs w:val="20"/>
                <w:lang w:val="en-AU"/>
              </w:rPr>
              <w:t>publishers should be left to the market. Most publishers consider that the status quo cannot solve the identified problems.</w:t>
            </w:r>
          </w:p>
        </w:tc>
      </w:tr>
    </w:tbl>
    <w:p w:rsidR="00D3660C" w:rsidRPr="008012CB" w:rsidRDefault="00D3660C" w:rsidP="00D3660C">
      <w:pPr>
        <w:spacing w:before="12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 xml:space="preserve">Option 1 – Encouraging stakeholders' dialogue and cooperation to find solutions concerning the dissemination of </w:t>
      </w:r>
      <w:r w:rsidRPr="00AB1D72">
        <w:rPr>
          <w:rFonts w:ascii="Times New Roman" w:eastAsia="Arial Unicode MS" w:hAnsi="Times New Roman" w:cs="Times New Roman"/>
          <w:b/>
          <w:sz w:val="24"/>
          <w:szCs w:val="24"/>
          <w:bdr w:val="none" w:sz="0" w:space="0" w:color="auto" w:frame="1"/>
          <w:lang w:val="en-AU"/>
        </w:rPr>
        <w:t xml:space="preserve">press </w:t>
      </w:r>
      <w:r w:rsidRPr="008012CB">
        <w:rPr>
          <w:rFonts w:ascii="Times New Roman" w:eastAsia="Arial Unicode MS" w:hAnsi="Times New Roman" w:cs="Times New Roman"/>
          <w:b/>
          <w:sz w:val="24"/>
          <w:szCs w:val="24"/>
          <w:bdr w:val="none" w:sz="0" w:space="0" w:color="auto" w:frame="1"/>
          <w:lang w:val="en-AU"/>
        </w:rPr>
        <w:t>publishers' contents</w:t>
      </w:r>
    </w:p>
    <w:p w:rsidR="00D3660C" w:rsidRPr="008012CB" w:rsidRDefault="00D3660C" w:rsidP="00D3660C">
      <w:pPr>
        <w:spacing w:after="120" w:line="240" w:lineRule="auto"/>
        <w:jc w:val="both"/>
        <w:rPr>
          <w:rFonts w:ascii="Times New Roman" w:hAnsi="Times New Roman" w:cs="Times New Roman"/>
          <w:sz w:val="24"/>
          <w:szCs w:val="24"/>
          <w:lang w:val="en-AU"/>
        </w:rPr>
      </w:pPr>
      <w:r w:rsidRPr="008012CB">
        <w:rPr>
          <w:rFonts w:ascii="Times New Roman" w:hAnsi="Times New Roman" w:cs="Times New Roman"/>
          <w:sz w:val="24"/>
          <w:szCs w:val="24"/>
          <w:lang w:val="en-AU"/>
        </w:rPr>
        <w:t xml:space="preserve">Under this option, the Commission would encourage stakeholders, namely </w:t>
      </w:r>
      <w:r w:rsidRPr="00AD1416">
        <w:rPr>
          <w:rFonts w:ascii="Times New Roman" w:hAnsi="Times New Roman" w:cs="Times New Roman"/>
          <w:sz w:val="24"/>
          <w:szCs w:val="24"/>
          <w:lang w:val="en-AU"/>
        </w:rPr>
        <w:t xml:space="preserve">press </w:t>
      </w:r>
      <w:r w:rsidRPr="008012CB">
        <w:rPr>
          <w:rFonts w:ascii="Times New Roman" w:hAnsi="Times New Roman" w:cs="Times New Roman"/>
          <w:sz w:val="24"/>
          <w:szCs w:val="24"/>
          <w:lang w:val="en-AU"/>
        </w:rPr>
        <w:t xml:space="preserve">publishers and online service providers, to identify collaborative solutions to facilitate the conclusion of agreements for the online use of </w:t>
      </w:r>
      <w:r w:rsidRPr="00AD1416">
        <w:rPr>
          <w:rFonts w:ascii="Times New Roman" w:hAnsi="Times New Roman" w:cs="Times New Roman"/>
          <w:sz w:val="24"/>
          <w:szCs w:val="24"/>
          <w:lang w:val="en-AU"/>
        </w:rPr>
        <w:t xml:space="preserve">press </w:t>
      </w:r>
      <w:r w:rsidRPr="008012CB">
        <w:rPr>
          <w:rFonts w:ascii="Times New Roman" w:hAnsi="Times New Roman" w:cs="Times New Roman"/>
          <w:sz w:val="24"/>
          <w:szCs w:val="24"/>
          <w:lang w:val="en-AU"/>
        </w:rPr>
        <w:t>publishers' contents. Notably, the Commission would:</w:t>
      </w:r>
    </w:p>
    <w:p w:rsidR="00D3660C" w:rsidRPr="008012CB" w:rsidRDefault="00D3660C" w:rsidP="00D3660C">
      <w:pPr>
        <w:spacing w:after="120" w:line="240" w:lineRule="auto"/>
        <w:jc w:val="both"/>
        <w:rPr>
          <w:rFonts w:ascii="Times New Roman" w:hAnsi="Times New Roman" w:cs="Times New Roman"/>
          <w:sz w:val="24"/>
          <w:szCs w:val="24"/>
          <w:lang w:val="en-AU" w:eastAsia="en-GB"/>
        </w:rPr>
      </w:pPr>
      <w:r w:rsidRPr="008012CB">
        <w:rPr>
          <w:rFonts w:ascii="Times New Roman" w:hAnsi="Times New Roman" w:cs="Times New Roman"/>
          <w:sz w:val="24"/>
          <w:szCs w:val="24"/>
          <w:lang w:val="en-AU" w:eastAsia="en-GB"/>
        </w:rPr>
        <w:t xml:space="preserve">(i) launch a structured dialogue between </w:t>
      </w:r>
      <w:r w:rsidRPr="00AD1416">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publishers and online service providers which would take stock of existing market initiatives</w:t>
      </w:r>
      <w:r w:rsidRPr="008012CB">
        <w:rPr>
          <w:rStyle w:val="FootnoteReference"/>
          <w:rFonts w:ascii="Times New Roman" w:hAnsi="Times New Roman" w:cs="Times New Roman"/>
          <w:sz w:val="24"/>
          <w:szCs w:val="24"/>
          <w:lang w:val="en-AU"/>
        </w:rPr>
        <w:footnoteReference w:id="503"/>
      </w:r>
      <w:r w:rsidRPr="008012CB">
        <w:rPr>
          <w:rFonts w:ascii="Times New Roman" w:hAnsi="Times New Roman" w:cs="Times New Roman"/>
          <w:sz w:val="24"/>
          <w:szCs w:val="24"/>
          <w:lang w:val="en-AU" w:eastAsia="en-GB"/>
        </w:rPr>
        <w:t xml:space="preserve"> and foster discussions to identify common solutions which would facilitate the emergence of cooperation agreements between the two categories of stakeholders; and  </w:t>
      </w:r>
    </w:p>
    <w:p w:rsidR="00D3660C" w:rsidRPr="008012CB" w:rsidRDefault="00D3660C" w:rsidP="00D3660C">
      <w:pPr>
        <w:spacing w:after="120" w:line="240" w:lineRule="auto"/>
        <w:jc w:val="both"/>
        <w:rPr>
          <w:rFonts w:ascii="Calibri" w:eastAsia="Calibri" w:hAnsi="Calibri" w:cs="Times New Roman"/>
        </w:rPr>
      </w:pPr>
      <w:r w:rsidRPr="008012CB">
        <w:rPr>
          <w:rFonts w:ascii="Times New Roman" w:hAnsi="Times New Roman" w:cs="Times New Roman"/>
          <w:sz w:val="24"/>
          <w:szCs w:val="24"/>
          <w:lang w:val="en-AU" w:eastAsia="en-GB"/>
        </w:rPr>
        <w:t xml:space="preserve">(ii) monitor the implementation of any resulting initiative and assess its effectiveness to ensure a fair distribution of revenues generated by the reuse of </w:t>
      </w:r>
      <w:r w:rsidRPr="00AB1D72">
        <w:rPr>
          <w:rFonts w:ascii="Times New Roman" w:hAnsi="Times New Roman" w:cs="Times New Roman"/>
          <w:sz w:val="24"/>
          <w:szCs w:val="24"/>
          <w:lang w:val="en-AU" w:eastAsia="en-GB"/>
        </w:rPr>
        <w:t xml:space="preserve">press </w:t>
      </w:r>
      <w:r w:rsidRPr="008012CB">
        <w:rPr>
          <w:rFonts w:ascii="Times New Roman" w:hAnsi="Times New Roman" w:cs="Times New Roman"/>
          <w:sz w:val="24"/>
          <w:szCs w:val="24"/>
          <w:lang w:val="en-AU" w:eastAsia="en-GB"/>
        </w:rPr>
        <w:t>publishers' contents, in particular to assess whether specific EU legislative intervention at a later stage is warranted.</w:t>
      </w:r>
      <w:r w:rsidRPr="008012CB">
        <w:rPr>
          <w:rFonts w:ascii="Times New Roman" w:eastAsia="Calibri" w:hAnsi="Times New Roman" w:cs="Times New Roman"/>
          <w:sz w:val="24"/>
          <w:szCs w:val="24"/>
          <w:lang w:val="en-AU" w:eastAsia="en-GB"/>
        </w:rPr>
        <w:t xml:space="preserve"> </w:t>
      </w:r>
    </w:p>
    <w:tbl>
      <w:tblPr>
        <w:tblStyle w:val="TableGrid31"/>
        <w:tblW w:w="0" w:type="auto"/>
        <w:tblInd w:w="0" w:type="dxa"/>
        <w:tblLook w:val="04A0" w:firstRow="1" w:lastRow="0" w:firstColumn="1" w:lastColumn="0" w:noHBand="0" w:noVBand="1"/>
      </w:tblPr>
      <w:tblGrid>
        <w:gridCol w:w="9288"/>
      </w:tblGrid>
      <w:tr w:rsidR="00D3660C" w:rsidRPr="008012CB" w:rsidTr="009D59CB">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660C" w:rsidRPr="008012CB" w:rsidRDefault="00D3660C" w:rsidP="009D59CB">
            <w:pPr>
              <w:jc w:val="both"/>
              <w:rPr>
                <w:rFonts w:ascii="Times New Roman" w:eastAsia="Arial Unicode MS" w:hAnsi="Times New Roman"/>
                <w:i/>
                <w:sz w:val="20"/>
                <w:szCs w:val="20"/>
                <w:bdr w:val="none" w:sz="0" w:space="0" w:color="auto" w:frame="1"/>
              </w:rPr>
            </w:pPr>
            <w:r w:rsidRPr="008012CB">
              <w:rPr>
                <w:rFonts w:ascii="Times New Roman" w:eastAsia="Arial Unicode MS" w:hAnsi="Times New Roman"/>
                <w:i/>
                <w:sz w:val="20"/>
                <w:szCs w:val="20"/>
                <w:bdr w:val="none" w:sz="0" w:space="0" w:color="auto" w:frame="1"/>
              </w:rPr>
              <w:t>Stakeholders' views</w:t>
            </w:r>
          </w:p>
          <w:p w:rsidR="00D3660C" w:rsidRPr="008012CB" w:rsidRDefault="00D3660C" w:rsidP="009D59CB">
            <w:pPr>
              <w:jc w:val="both"/>
              <w:rPr>
                <w:sz w:val="24"/>
                <w:szCs w:val="24"/>
              </w:rPr>
            </w:pPr>
            <w:r w:rsidRPr="008012CB">
              <w:rPr>
                <w:rFonts w:ascii="Times New Roman" w:hAnsi="Times New Roman"/>
                <w:sz w:val="20"/>
                <w:szCs w:val="20"/>
              </w:rPr>
              <w:t>Services providing access to publications could be supportive of this option, as it would not imply creation of any further rights at EU level. Most publishers consider that such a non-legislative approach would not be sufficient to tackle the challenges they currently face.</w:t>
            </w:r>
            <w:r w:rsidRPr="008012CB">
              <w:rPr>
                <w:sz w:val="24"/>
                <w:szCs w:val="24"/>
              </w:rPr>
              <w:t xml:space="preserve"> </w:t>
            </w:r>
          </w:p>
        </w:tc>
      </w:tr>
    </w:tbl>
    <w:p w:rsidR="00D3660C" w:rsidRPr="008012CB" w:rsidRDefault="00D3660C" w:rsidP="00D3660C">
      <w:pPr>
        <w:spacing w:before="12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 xml:space="preserve">Option 2 – Introduction in EU law of a related right covering </w:t>
      </w:r>
      <w:r w:rsidR="00F72422">
        <w:rPr>
          <w:rFonts w:ascii="Times New Roman" w:eastAsia="Arial Unicode MS" w:hAnsi="Times New Roman" w:cs="Times New Roman"/>
          <w:b/>
          <w:sz w:val="24"/>
          <w:szCs w:val="24"/>
          <w:bdr w:val="none" w:sz="0" w:space="0" w:color="auto" w:frame="1"/>
          <w:lang w:val="en-AU"/>
        </w:rPr>
        <w:t>digital</w:t>
      </w:r>
      <w:r w:rsidRPr="008012CB">
        <w:rPr>
          <w:rFonts w:ascii="Times New Roman" w:eastAsia="Arial Unicode MS" w:hAnsi="Times New Roman" w:cs="Times New Roman"/>
          <w:b/>
          <w:sz w:val="24"/>
          <w:szCs w:val="24"/>
          <w:bdr w:val="none" w:sz="0" w:space="0" w:color="auto" w:frame="1"/>
          <w:lang w:val="en-AU"/>
        </w:rPr>
        <w:t xml:space="preserve"> uses of </w:t>
      </w:r>
      <w:r w:rsidRPr="00AB1D72">
        <w:rPr>
          <w:rFonts w:ascii="Times New Roman" w:eastAsia="Arial Unicode MS" w:hAnsi="Times New Roman" w:cs="Times New Roman"/>
          <w:b/>
          <w:sz w:val="24"/>
          <w:szCs w:val="24"/>
          <w:bdr w:val="none" w:sz="0" w:space="0" w:color="auto" w:frame="1"/>
          <w:lang w:val="en-AU"/>
        </w:rPr>
        <w:t xml:space="preserve">press </w:t>
      </w:r>
      <w:r w:rsidRPr="008012CB">
        <w:rPr>
          <w:rFonts w:ascii="Times New Roman" w:eastAsia="Arial Unicode MS" w:hAnsi="Times New Roman" w:cs="Times New Roman"/>
          <w:b/>
          <w:sz w:val="24"/>
          <w:szCs w:val="24"/>
          <w:bdr w:val="none" w:sz="0" w:space="0" w:color="auto" w:frame="1"/>
          <w:lang w:val="en-AU"/>
        </w:rPr>
        <w:t xml:space="preserve">publications </w:t>
      </w:r>
    </w:p>
    <w:p w:rsidR="00D3660C" w:rsidRPr="008012CB" w:rsidRDefault="00D3660C" w:rsidP="00D3660C">
      <w:pPr>
        <w:spacing w:after="120" w:line="240" w:lineRule="auto"/>
        <w:jc w:val="both"/>
        <w:rPr>
          <w:rFonts w:ascii="Times New Roman" w:hAnsi="Times New Roman" w:cs="Times New Roman"/>
          <w:sz w:val="24"/>
          <w:szCs w:val="24"/>
          <w:lang w:val="en-AU"/>
        </w:rPr>
      </w:pPr>
      <w:r w:rsidRPr="008012CB">
        <w:rPr>
          <w:rFonts w:ascii="Times New Roman" w:hAnsi="Times New Roman" w:cs="Times New Roman"/>
          <w:sz w:val="24"/>
          <w:szCs w:val="24"/>
          <w:lang w:val="en-AU"/>
        </w:rPr>
        <w:t xml:space="preserve">This option would ensure that the creative and economic contribution of </w:t>
      </w:r>
      <w:r w:rsidRPr="00AD1416">
        <w:rPr>
          <w:rFonts w:ascii="Times New Roman" w:hAnsi="Times New Roman" w:cs="Times New Roman"/>
          <w:sz w:val="24"/>
          <w:szCs w:val="24"/>
          <w:lang w:val="en-AU"/>
        </w:rPr>
        <w:t xml:space="preserve">press </w:t>
      </w:r>
      <w:r w:rsidRPr="008012CB">
        <w:rPr>
          <w:rFonts w:ascii="Times New Roman" w:hAnsi="Times New Roman" w:cs="Times New Roman"/>
          <w:sz w:val="24"/>
          <w:szCs w:val="24"/>
          <w:lang w:val="en-AU"/>
        </w:rPr>
        <w:t>publishers (such as newspaper and magazine</w:t>
      </w:r>
      <w:r>
        <w:rPr>
          <w:rFonts w:ascii="Times New Roman" w:hAnsi="Times New Roman" w:cs="Times New Roman"/>
          <w:sz w:val="24"/>
          <w:szCs w:val="24"/>
          <w:lang w:val="en-AU"/>
        </w:rPr>
        <w:t xml:space="preserve"> publishers</w:t>
      </w:r>
      <w:r w:rsidRPr="008012CB">
        <w:rPr>
          <w:rFonts w:ascii="Times New Roman" w:hAnsi="Times New Roman" w:cs="Times New Roman"/>
          <w:sz w:val="24"/>
          <w:szCs w:val="24"/>
          <w:lang w:val="en-AU"/>
        </w:rPr>
        <w:t xml:space="preserve">) is recognised and incentivised in EU law, as it is today the case for other creative sectors (film and phonogram producers, broadcasters). The creation of a new category of </w:t>
      </w:r>
      <w:r>
        <w:rPr>
          <w:rFonts w:ascii="Times New Roman" w:hAnsi="Times New Roman" w:cs="Times New Roman"/>
          <w:sz w:val="24"/>
          <w:szCs w:val="24"/>
          <w:lang w:val="en-AU"/>
        </w:rPr>
        <w:t>rightholders</w:t>
      </w:r>
      <w:r w:rsidRPr="008012CB">
        <w:rPr>
          <w:rFonts w:ascii="Times New Roman" w:hAnsi="Times New Roman" w:cs="Times New Roman"/>
          <w:sz w:val="24"/>
          <w:szCs w:val="24"/>
          <w:lang w:val="en-AU"/>
        </w:rPr>
        <w:t xml:space="preserve"> (</w:t>
      </w:r>
      <w:r w:rsidRPr="00AD1416">
        <w:rPr>
          <w:rFonts w:ascii="Times New Roman" w:hAnsi="Times New Roman" w:cs="Times New Roman"/>
          <w:sz w:val="24"/>
          <w:szCs w:val="24"/>
          <w:lang w:val="en-AU"/>
        </w:rPr>
        <w:t xml:space="preserve">press </w:t>
      </w:r>
      <w:r w:rsidRPr="008012CB">
        <w:rPr>
          <w:rFonts w:ascii="Times New Roman" w:hAnsi="Times New Roman" w:cs="Times New Roman"/>
          <w:sz w:val="24"/>
          <w:szCs w:val="24"/>
          <w:lang w:val="en-AU"/>
        </w:rPr>
        <w:t>publishers) would not affect the scope of the exclusive rights granted to them, notably the rights of making available to the public and of reproduction, which are harmonised under current EU copyright rules. This means, in particular, that this intervention would not change the legal status of hyperlinks in EU law as it follows from the case-law of the CJEU according to which the</w:t>
      </w:r>
      <w:r w:rsidRPr="008012CB">
        <w:rPr>
          <w:rFonts w:ascii="Times New Roman" w:hAnsi="Times New Roman" w:cs="Times New Roman"/>
          <w:sz w:val="24"/>
          <w:szCs w:val="24"/>
        </w:rPr>
        <w:t xml:space="preserve"> </w:t>
      </w:r>
      <w:r w:rsidRPr="00A31DFA">
        <w:rPr>
          <w:rFonts w:ascii="Times New Roman" w:hAnsi="Times New Roman" w:cs="Times New Roman"/>
          <w:sz w:val="24"/>
          <w:szCs w:val="24"/>
        </w:rPr>
        <w:t>“</w:t>
      </w:r>
      <w:r w:rsidRPr="00D1507D">
        <w:rPr>
          <w:rFonts w:ascii="Times New Roman" w:hAnsi="Times New Roman"/>
          <w:sz w:val="24"/>
        </w:rPr>
        <w:t>provision on a website of clickable links to works freely available on another website</w:t>
      </w:r>
      <w:r w:rsidRPr="00A31DFA">
        <w:rPr>
          <w:rFonts w:ascii="Times New Roman" w:hAnsi="Times New Roman" w:cs="Times New Roman"/>
          <w:sz w:val="24"/>
          <w:szCs w:val="24"/>
        </w:rPr>
        <w:t>”</w:t>
      </w:r>
      <w:r w:rsidRPr="008012CB">
        <w:rPr>
          <w:rFonts w:ascii="Times New Roman" w:hAnsi="Times New Roman" w:cs="Times New Roman"/>
          <w:i/>
          <w:sz w:val="24"/>
          <w:szCs w:val="24"/>
        </w:rPr>
        <w:t xml:space="preserve"> </w:t>
      </w:r>
      <w:r w:rsidRPr="008012CB">
        <w:rPr>
          <w:rFonts w:ascii="Times New Roman" w:hAnsi="Times New Roman" w:cs="Times New Roman"/>
          <w:sz w:val="24"/>
          <w:szCs w:val="24"/>
        </w:rPr>
        <w:t>does not constitute a copyright relevant act</w:t>
      </w:r>
      <w:r>
        <w:rPr>
          <w:rFonts w:ascii="Times New Roman" w:hAnsi="Times New Roman" w:cs="Times New Roman"/>
          <w:sz w:val="24"/>
          <w:szCs w:val="24"/>
        </w:rPr>
        <w:t>.</w:t>
      </w:r>
      <w:r w:rsidRPr="008012CB">
        <w:rPr>
          <w:rStyle w:val="FootnoteReference"/>
          <w:rFonts w:ascii="Times New Roman" w:hAnsi="Times New Roman" w:cs="Times New Roman"/>
          <w:sz w:val="24"/>
          <w:szCs w:val="24"/>
        </w:rPr>
        <w:footnoteReference w:id="504"/>
      </w:r>
      <w:r w:rsidRPr="008012CB">
        <w:rPr>
          <w:rFonts w:ascii="Times New Roman" w:hAnsi="Times New Roman" w:cs="Times New Roman"/>
          <w:sz w:val="24"/>
          <w:szCs w:val="24"/>
        </w:rPr>
        <w:t xml:space="preserve"> </w:t>
      </w:r>
      <w:r w:rsidRPr="008012CB">
        <w:rPr>
          <w:rFonts w:ascii="Times New Roman" w:hAnsi="Times New Roman" w:cs="Times New Roman"/>
          <w:sz w:val="24"/>
          <w:szCs w:val="24"/>
          <w:lang w:val="en-AU"/>
        </w:rPr>
        <w:t>The legal intervention would be as follow</w:t>
      </w:r>
      <w:r>
        <w:rPr>
          <w:rFonts w:ascii="Times New Roman" w:hAnsi="Times New Roman" w:cs="Times New Roman"/>
          <w:sz w:val="24"/>
          <w:szCs w:val="24"/>
          <w:lang w:val="en-AU"/>
        </w:rPr>
        <w:t>s</w:t>
      </w:r>
      <w:r w:rsidRPr="008012CB">
        <w:rPr>
          <w:rFonts w:ascii="Times New Roman" w:hAnsi="Times New Roman" w:cs="Times New Roman"/>
          <w:sz w:val="24"/>
          <w:szCs w:val="24"/>
          <w:lang w:val="en-AU"/>
        </w:rPr>
        <w:t>:</w:t>
      </w:r>
    </w:p>
    <w:p w:rsidR="00D3660C" w:rsidRPr="008012CB" w:rsidRDefault="00D3660C" w:rsidP="00D3660C">
      <w:pPr>
        <w:numPr>
          <w:ilvl w:val="0"/>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Protected subject-matter</w:t>
      </w:r>
      <w:r w:rsidRPr="008012CB">
        <w:rPr>
          <w:rFonts w:ascii="Times New Roman" w:eastAsia="Calibri" w:hAnsi="Times New Roman" w:cs="Times New Roman"/>
          <w:sz w:val="24"/>
          <w:szCs w:val="24"/>
          <w:lang w:val="en-AU" w:eastAsia="en-GB"/>
        </w:rPr>
        <w:t xml:space="preserve">: The protection would benefit publishers of </w:t>
      </w:r>
      <w:r w:rsidRPr="00AD1416">
        <w:rPr>
          <w:rFonts w:ascii="Times New Roman" w:eastAsia="Calibri" w:hAnsi="Times New Roman" w:cs="Times New Roman"/>
          <w:sz w:val="24"/>
          <w:szCs w:val="24"/>
          <w:lang w:val="en-AU" w:eastAsia="en-GB"/>
        </w:rPr>
        <w:t xml:space="preserve">press </w:t>
      </w:r>
      <w:r w:rsidRPr="008012CB">
        <w:rPr>
          <w:rFonts w:ascii="Times New Roman" w:eastAsia="Calibri" w:hAnsi="Times New Roman" w:cs="Times New Roman"/>
          <w:sz w:val="24"/>
          <w:szCs w:val="24"/>
          <w:lang w:val="en-AU" w:eastAsia="en-GB"/>
        </w:rPr>
        <w:t>publications</w:t>
      </w:r>
      <w:r>
        <w:rPr>
          <w:rFonts w:ascii="Times New Roman" w:eastAsia="Calibri" w:hAnsi="Times New Roman" w:cs="Times New Roman"/>
          <w:sz w:val="24"/>
          <w:szCs w:val="24"/>
          <w:lang w:val="en-AU" w:eastAsia="en-GB"/>
        </w:rPr>
        <w:t xml:space="preserve"> such as newspapers and magazines according to the definition provided for in the legal instrument. </w:t>
      </w:r>
    </w:p>
    <w:p w:rsidR="00D3660C" w:rsidRPr="008012CB" w:rsidRDefault="00D3660C" w:rsidP="00D3660C">
      <w:pPr>
        <w:numPr>
          <w:ilvl w:val="0"/>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Rights covered</w:t>
      </w:r>
      <w:r w:rsidRPr="008012CB">
        <w:rPr>
          <w:rFonts w:ascii="Times New Roman" w:eastAsia="Calibri" w:hAnsi="Times New Roman" w:cs="Times New Roman"/>
          <w:sz w:val="24"/>
          <w:szCs w:val="24"/>
          <w:lang w:val="en-AU" w:eastAsia="en-GB"/>
        </w:rPr>
        <w:t xml:space="preserve">: </w:t>
      </w:r>
      <w:r w:rsidRPr="00AD1416">
        <w:rPr>
          <w:rFonts w:ascii="Times New Roman" w:eastAsia="Calibri" w:hAnsi="Times New Roman" w:cs="Times New Roman"/>
          <w:sz w:val="24"/>
          <w:szCs w:val="24"/>
          <w:lang w:val="en-AU" w:eastAsia="en-GB"/>
        </w:rPr>
        <w:t xml:space="preserve">press </w:t>
      </w:r>
      <w:r w:rsidRPr="008012CB">
        <w:rPr>
          <w:rFonts w:ascii="Times New Roman" w:eastAsia="Calibri" w:hAnsi="Times New Roman" w:cs="Times New Roman"/>
          <w:sz w:val="24"/>
          <w:szCs w:val="24"/>
          <w:lang w:val="en-AU" w:eastAsia="en-GB"/>
        </w:rPr>
        <w:t>publishers would be granted the exclusive rights of making available to the public and reproduction to the extent needed for digital uses.</w:t>
      </w:r>
      <w:r>
        <w:rPr>
          <w:rFonts w:ascii="Times New Roman" w:eastAsia="Calibri" w:hAnsi="Times New Roman" w:cs="Times New Roman"/>
          <w:sz w:val="24"/>
          <w:szCs w:val="24"/>
          <w:lang w:val="en-AU" w:eastAsia="en-GB"/>
        </w:rPr>
        <w:t xml:space="preserve"> </w:t>
      </w:r>
    </w:p>
    <w:p w:rsidR="00D3660C" w:rsidRPr="008012CB" w:rsidRDefault="00D3660C" w:rsidP="00D3660C">
      <w:pPr>
        <w:numPr>
          <w:ilvl w:val="0"/>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Exceptions</w:t>
      </w:r>
      <w:r w:rsidRPr="008012CB">
        <w:rPr>
          <w:rFonts w:ascii="Times New Roman" w:eastAsia="Calibri" w:hAnsi="Times New Roman" w:cs="Times New Roman"/>
          <w:sz w:val="24"/>
          <w:szCs w:val="24"/>
          <w:lang w:val="en-AU" w:eastAsia="en-GB"/>
        </w:rPr>
        <w:t xml:space="preserve">: exceptions and limitations laid down in EU copyright law, including new ones introduced by this legislative intervention, would apply. </w:t>
      </w:r>
    </w:p>
    <w:p w:rsidR="00D3660C" w:rsidRPr="008012CB" w:rsidRDefault="00D3660C" w:rsidP="00D3660C">
      <w:pPr>
        <w:numPr>
          <w:ilvl w:val="0"/>
          <w:numId w:val="41"/>
        </w:numPr>
        <w:spacing w:after="120" w:line="240" w:lineRule="auto"/>
        <w:ind w:left="714" w:hanging="357"/>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Protection of TPMs and Rights-Management Information and enforcement</w:t>
      </w:r>
      <w:r w:rsidRPr="008012CB">
        <w:rPr>
          <w:rFonts w:ascii="Times New Roman" w:eastAsia="Calibri" w:hAnsi="Times New Roman" w:cs="Times New Roman"/>
          <w:sz w:val="24"/>
          <w:szCs w:val="24"/>
          <w:lang w:val="en-AU" w:eastAsia="en-GB"/>
        </w:rPr>
        <w:t>: Articles 6, 7 and 8 of the InfoSoc Directive, as well as Directive 2004/48</w:t>
      </w:r>
      <w:r>
        <w:rPr>
          <w:rStyle w:val="FootnoteReference"/>
          <w:rFonts w:ascii="Times New Roman" w:eastAsia="Calibri" w:hAnsi="Times New Roman" w:cs="Times New Roman"/>
          <w:sz w:val="24"/>
          <w:szCs w:val="24"/>
          <w:lang w:val="en-AU" w:eastAsia="en-GB"/>
        </w:rPr>
        <w:footnoteReference w:id="505"/>
      </w:r>
      <w:r>
        <w:rPr>
          <w:rFonts w:ascii="Times New Roman" w:eastAsia="Calibri" w:hAnsi="Times New Roman" w:cs="Times New Roman"/>
          <w:sz w:val="24"/>
          <w:szCs w:val="24"/>
          <w:lang w:val="en-AU" w:eastAsia="en-GB"/>
        </w:rPr>
        <w:t xml:space="preserve"> (the "</w:t>
      </w:r>
      <w:r w:rsidRPr="00C74EBA">
        <w:rPr>
          <w:rFonts w:ascii="Times New Roman" w:eastAsia="Calibri" w:hAnsi="Times New Roman" w:cs="Times New Roman"/>
          <w:b/>
          <w:sz w:val="24"/>
          <w:szCs w:val="24"/>
          <w:lang w:val="en-AU" w:eastAsia="en-GB"/>
        </w:rPr>
        <w:t>Enforcement Directive</w:t>
      </w:r>
      <w:r>
        <w:rPr>
          <w:rFonts w:ascii="Times New Roman" w:eastAsia="Calibri" w:hAnsi="Times New Roman" w:cs="Times New Roman"/>
          <w:b/>
          <w:sz w:val="24"/>
          <w:szCs w:val="24"/>
          <w:lang w:val="en-AU" w:eastAsia="en-GB"/>
        </w:rPr>
        <w:t>"</w:t>
      </w:r>
      <w:r>
        <w:rPr>
          <w:rFonts w:ascii="Times New Roman" w:eastAsia="Calibri" w:hAnsi="Times New Roman" w:cs="Times New Roman"/>
          <w:sz w:val="24"/>
          <w:szCs w:val="24"/>
          <w:lang w:val="en-AU" w:eastAsia="en-GB"/>
        </w:rPr>
        <w:t>),</w:t>
      </w:r>
      <w:r w:rsidRPr="008012CB" w:rsidDel="00394FA9">
        <w:rPr>
          <w:rFonts w:ascii="Times New Roman" w:eastAsia="Calibri" w:hAnsi="Times New Roman" w:cs="Times New Roman"/>
          <w:sz w:val="24"/>
          <w:szCs w:val="24"/>
          <w:lang w:val="en-AU" w:eastAsia="en-GB"/>
        </w:rPr>
        <w:t xml:space="preserve"> </w:t>
      </w:r>
      <w:r w:rsidRPr="008012CB">
        <w:rPr>
          <w:rFonts w:ascii="Times New Roman" w:eastAsia="Calibri" w:hAnsi="Times New Roman" w:cs="Times New Roman"/>
          <w:sz w:val="24"/>
          <w:szCs w:val="24"/>
          <w:lang w:val="en-AU" w:eastAsia="en-GB"/>
        </w:rPr>
        <w:t xml:space="preserve">would apply. </w:t>
      </w:r>
    </w:p>
    <w:p w:rsidR="00D3660C" w:rsidRPr="008012CB" w:rsidRDefault="00D3660C" w:rsidP="00D3660C">
      <w:pPr>
        <w:numPr>
          <w:ilvl w:val="0"/>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Relationship with authors' rights</w:t>
      </w:r>
      <w:r w:rsidRPr="008012CB">
        <w:rPr>
          <w:rFonts w:ascii="Times New Roman" w:eastAsia="Calibri" w:hAnsi="Times New Roman" w:cs="Times New Roman"/>
          <w:sz w:val="24"/>
          <w:szCs w:val="24"/>
          <w:lang w:val="en-AU" w:eastAsia="en-GB"/>
        </w:rPr>
        <w:t xml:space="preserve">: Publishers' rights would apply without prejudice to authors and other creators' rights on their individual contributions (news </w:t>
      </w:r>
      <w:r>
        <w:rPr>
          <w:rFonts w:ascii="Times New Roman" w:eastAsia="Calibri" w:hAnsi="Times New Roman" w:cs="Times New Roman"/>
          <w:sz w:val="24"/>
          <w:szCs w:val="24"/>
          <w:lang w:val="en-AU" w:eastAsia="en-GB"/>
        </w:rPr>
        <w:t xml:space="preserve">or magazine </w:t>
      </w:r>
      <w:r w:rsidRPr="008012CB">
        <w:rPr>
          <w:rFonts w:ascii="Times New Roman" w:eastAsia="Calibri" w:hAnsi="Times New Roman" w:cs="Times New Roman"/>
          <w:sz w:val="24"/>
          <w:szCs w:val="24"/>
          <w:lang w:val="en-AU" w:eastAsia="en-GB"/>
        </w:rPr>
        <w:t xml:space="preserve">articles, photographs, videos) which compose the protected subject-matter (the final </w:t>
      </w:r>
      <w:r w:rsidRPr="00AD1416">
        <w:rPr>
          <w:rFonts w:ascii="Times New Roman" w:eastAsia="Calibri" w:hAnsi="Times New Roman" w:cs="Times New Roman"/>
          <w:sz w:val="24"/>
          <w:szCs w:val="24"/>
          <w:lang w:val="en-AU" w:eastAsia="en-GB"/>
        </w:rPr>
        <w:t xml:space="preserve">press </w:t>
      </w:r>
      <w:r w:rsidRPr="008012CB">
        <w:rPr>
          <w:rFonts w:ascii="Times New Roman" w:eastAsia="Calibri" w:hAnsi="Times New Roman" w:cs="Times New Roman"/>
          <w:sz w:val="24"/>
          <w:szCs w:val="24"/>
          <w:lang w:val="en-AU" w:eastAsia="en-GB"/>
        </w:rPr>
        <w:t xml:space="preserve">product). </w:t>
      </w:r>
    </w:p>
    <w:p w:rsidR="00D3660C" w:rsidRPr="008012CB" w:rsidRDefault="00D3660C" w:rsidP="00D3660C">
      <w:pPr>
        <w:numPr>
          <w:ilvl w:val="0"/>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u w:val="single"/>
          <w:lang w:val="en-AU" w:eastAsia="en-GB"/>
        </w:rPr>
        <w:t xml:space="preserve">Term of </w:t>
      </w:r>
      <w:r>
        <w:rPr>
          <w:rFonts w:ascii="Times New Roman" w:eastAsia="Calibri" w:hAnsi="Times New Roman" w:cs="Times New Roman"/>
          <w:sz w:val="24"/>
          <w:szCs w:val="24"/>
          <w:u w:val="single"/>
          <w:lang w:val="en-AU" w:eastAsia="en-GB"/>
        </w:rPr>
        <w:t>p</w:t>
      </w:r>
      <w:r w:rsidRPr="008012CB">
        <w:rPr>
          <w:rFonts w:ascii="Times New Roman" w:eastAsia="Calibri" w:hAnsi="Times New Roman" w:cs="Times New Roman"/>
          <w:sz w:val="24"/>
          <w:szCs w:val="24"/>
          <w:u w:val="single"/>
          <w:lang w:val="en-AU" w:eastAsia="en-GB"/>
        </w:rPr>
        <w:t>rotection</w:t>
      </w:r>
      <w:r w:rsidRPr="008012CB">
        <w:rPr>
          <w:rFonts w:ascii="Times New Roman" w:eastAsia="Calibri" w:hAnsi="Times New Roman" w:cs="Times New Roman"/>
          <w:sz w:val="24"/>
          <w:szCs w:val="24"/>
          <w:lang w:val="en-AU" w:eastAsia="en-GB"/>
        </w:rPr>
        <w:t xml:space="preserve">: The term of protection of other related rights such as those granted to film and </w:t>
      </w:r>
      <w:r>
        <w:rPr>
          <w:rFonts w:ascii="Times New Roman" w:eastAsia="Calibri" w:hAnsi="Times New Roman" w:cs="Times New Roman"/>
          <w:sz w:val="24"/>
          <w:szCs w:val="24"/>
          <w:lang w:val="en-AU" w:eastAsia="en-GB"/>
        </w:rPr>
        <w:t>phonogram</w:t>
      </w:r>
      <w:r w:rsidRPr="008012CB">
        <w:rPr>
          <w:rFonts w:ascii="Times New Roman" w:eastAsia="Calibri" w:hAnsi="Times New Roman" w:cs="Times New Roman"/>
          <w:sz w:val="24"/>
          <w:szCs w:val="24"/>
          <w:lang w:val="en-AU" w:eastAsia="en-GB"/>
        </w:rPr>
        <w:t xml:space="preserve"> producers is usually 50 years. A shorter term of protection should be proposed in this case, taking into account the shorter economic cycle of the exploitation of </w:t>
      </w:r>
      <w:r w:rsidRPr="00AD1416">
        <w:rPr>
          <w:rFonts w:ascii="Times New Roman" w:eastAsia="Calibri" w:hAnsi="Times New Roman" w:cs="Times New Roman"/>
          <w:sz w:val="24"/>
          <w:szCs w:val="24"/>
          <w:lang w:val="en-AU" w:eastAsia="en-GB"/>
        </w:rPr>
        <w:t xml:space="preserve">press </w:t>
      </w:r>
      <w:r w:rsidRPr="008012CB">
        <w:rPr>
          <w:rFonts w:ascii="Times New Roman" w:eastAsia="Calibri" w:hAnsi="Times New Roman" w:cs="Times New Roman"/>
          <w:sz w:val="24"/>
          <w:szCs w:val="24"/>
          <w:lang w:val="en-AU" w:eastAsia="en-GB"/>
        </w:rPr>
        <w:t>content (a relatively short period after publication). This is consistent with the situation in the MS where publishers are granted self-standing protection in copyright law (see Annex 13B) and in which the term of protection is usually shorter than for other related rights. Three scenarios are considered in this IA:</w:t>
      </w:r>
    </w:p>
    <w:p w:rsidR="00D3660C" w:rsidRPr="008012CB" w:rsidRDefault="00D3660C" w:rsidP="00D3660C">
      <w:pPr>
        <w:numPr>
          <w:ilvl w:val="1"/>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lang w:val="en-AU" w:eastAsia="en-GB"/>
        </w:rPr>
        <w:t>A) Medium term of protection (between 10 and 50 years)</w:t>
      </w:r>
      <w:r>
        <w:rPr>
          <w:rFonts w:ascii="Times New Roman" w:eastAsia="Calibri" w:hAnsi="Times New Roman" w:cs="Times New Roman"/>
          <w:sz w:val="24"/>
          <w:szCs w:val="24"/>
          <w:lang w:val="en-AU" w:eastAsia="en-GB"/>
        </w:rPr>
        <w:t>.</w:t>
      </w:r>
    </w:p>
    <w:p w:rsidR="00D3660C" w:rsidRDefault="00D3660C" w:rsidP="00D3660C">
      <w:pPr>
        <w:numPr>
          <w:ilvl w:val="1"/>
          <w:numId w:val="41"/>
        </w:numPr>
        <w:spacing w:after="120" w:line="240" w:lineRule="auto"/>
        <w:contextualSpacing/>
        <w:jc w:val="both"/>
        <w:rPr>
          <w:rFonts w:ascii="Times New Roman" w:eastAsia="Calibri" w:hAnsi="Times New Roman" w:cs="Times New Roman"/>
          <w:sz w:val="24"/>
          <w:szCs w:val="24"/>
          <w:lang w:val="en-AU" w:eastAsia="en-GB"/>
        </w:rPr>
      </w:pPr>
      <w:r w:rsidRPr="008012CB">
        <w:rPr>
          <w:rFonts w:ascii="Times New Roman" w:eastAsia="Calibri" w:hAnsi="Times New Roman" w:cs="Times New Roman"/>
          <w:sz w:val="24"/>
          <w:szCs w:val="24"/>
          <w:lang w:val="en-AU" w:eastAsia="en-GB"/>
        </w:rPr>
        <w:t>B) Short term of protection (between 5 and 10 years)</w:t>
      </w:r>
      <w:r>
        <w:rPr>
          <w:rFonts w:ascii="Times New Roman" w:eastAsia="Calibri" w:hAnsi="Times New Roman" w:cs="Times New Roman"/>
          <w:sz w:val="24"/>
          <w:szCs w:val="24"/>
          <w:lang w:val="en-AU" w:eastAsia="en-GB"/>
        </w:rPr>
        <w:t>.</w:t>
      </w:r>
      <w:r w:rsidRPr="008012CB">
        <w:rPr>
          <w:rFonts w:ascii="Times New Roman" w:eastAsia="Calibri" w:hAnsi="Times New Roman" w:cs="Times New Roman"/>
          <w:sz w:val="24"/>
          <w:szCs w:val="24"/>
          <w:lang w:val="en-AU" w:eastAsia="en-GB"/>
        </w:rPr>
        <w:t xml:space="preserve"> </w:t>
      </w:r>
    </w:p>
    <w:p w:rsidR="00D3660C" w:rsidRPr="004E5307" w:rsidRDefault="00D3660C" w:rsidP="00D3660C">
      <w:pPr>
        <w:numPr>
          <w:ilvl w:val="1"/>
          <w:numId w:val="41"/>
        </w:numPr>
        <w:spacing w:after="120" w:line="240" w:lineRule="auto"/>
        <w:contextualSpacing/>
        <w:jc w:val="both"/>
        <w:rPr>
          <w:rFonts w:ascii="Times New Roman" w:eastAsia="Calibri" w:hAnsi="Times New Roman" w:cs="Times New Roman"/>
          <w:sz w:val="24"/>
          <w:szCs w:val="24"/>
          <w:lang w:val="en-AU" w:eastAsia="en-GB"/>
        </w:rPr>
      </w:pPr>
      <w:r w:rsidRPr="00A31DFA">
        <w:rPr>
          <w:rFonts w:ascii="Times New Roman" w:eastAsia="Calibri" w:hAnsi="Times New Roman" w:cs="Times New Roman"/>
          <w:sz w:val="24"/>
          <w:szCs w:val="24"/>
          <w:lang w:val="en-AU" w:eastAsia="en-GB"/>
        </w:rPr>
        <w:t xml:space="preserve">C) Very short term of protection (between 1 and 5 years).  </w:t>
      </w:r>
    </w:p>
    <w:p w:rsidR="00D3660C" w:rsidRPr="00D1507D" w:rsidRDefault="00D3660C" w:rsidP="00D3660C">
      <w:pPr>
        <w:spacing w:after="120"/>
        <w:ind w:left="1440"/>
        <w:contextualSpacing/>
        <w:jc w:val="both"/>
        <w:rPr>
          <w:rFonts w:ascii="Times New Roman" w:hAnsi="Times New Roman"/>
          <w:i/>
          <w:sz w:val="20"/>
          <w:bdr w:val="none" w:sz="0" w:space="0" w:color="auto" w:frame="1"/>
          <w:lang w:val="en-AU"/>
        </w:rPr>
      </w:pPr>
    </w:p>
    <w:tbl>
      <w:tblPr>
        <w:tblStyle w:val="TableGrid31"/>
        <w:tblW w:w="0" w:type="auto"/>
        <w:tblInd w:w="0" w:type="dxa"/>
        <w:tblLook w:val="04A0" w:firstRow="1" w:lastRow="0" w:firstColumn="1" w:lastColumn="0" w:noHBand="0" w:noVBand="1"/>
      </w:tblPr>
      <w:tblGrid>
        <w:gridCol w:w="9288"/>
      </w:tblGrid>
      <w:tr w:rsidR="00D3660C" w:rsidRPr="008012CB" w:rsidTr="009D59CB">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660C" w:rsidRPr="00D1507D" w:rsidRDefault="00D3660C" w:rsidP="009D59CB">
            <w:pPr>
              <w:jc w:val="both"/>
              <w:rPr>
                <w:rFonts w:ascii="Times New Roman" w:hAnsi="Times New Roman"/>
                <w:sz w:val="20"/>
                <w:bdr w:val="none" w:sz="0" w:space="0" w:color="auto" w:frame="1"/>
                <w:lang w:val="en-AU"/>
              </w:rPr>
            </w:pPr>
            <w:r w:rsidRPr="008012CB">
              <w:rPr>
                <w:rFonts w:ascii="Times New Roman" w:eastAsia="Arial Unicode MS" w:hAnsi="Times New Roman"/>
                <w:i/>
                <w:sz w:val="20"/>
                <w:szCs w:val="20"/>
                <w:bdr w:val="none" w:sz="0" w:space="0" w:color="auto" w:frame="1"/>
                <w:lang w:val="en-AU"/>
              </w:rPr>
              <w:t>Stakeholders' views</w:t>
            </w:r>
            <w:r w:rsidRPr="008012CB">
              <w:rPr>
                <w:rFonts w:ascii="Times New Roman" w:eastAsia="Arial Unicode MS" w:hAnsi="Times New Roman"/>
                <w:sz w:val="20"/>
                <w:szCs w:val="20"/>
                <w:bdr w:val="none" w:sz="0" w:space="0" w:color="auto" w:frame="1"/>
                <w:lang w:val="en-AU"/>
              </w:rPr>
              <w:t xml:space="preserve"> </w:t>
            </w:r>
          </w:p>
          <w:p w:rsidR="00D3660C" w:rsidRPr="008012CB" w:rsidRDefault="00D3660C" w:rsidP="009D59CB">
            <w:pPr>
              <w:jc w:val="both"/>
              <w:rPr>
                <w:rFonts w:ascii="Times New Roman" w:eastAsia="Arial Unicode MS" w:hAnsi="Times New Roman"/>
                <w:sz w:val="24"/>
                <w:szCs w:val="24"/>
                <w:bdr w:val="none" w:sz="0" w:space="0" w:color="auto" w:frame="1"/>
                <w:lang w:val="en-AU"/>
              </w:rPr>
            </w:pPr>
            <w:r w:rsidRPr="008012CB">
              <w:rPr>
                <w:rFonts w:ascii="Times New Roman" w:eastAsia="Arial Unicode MS" w:hAnsi="Times New Roman"/>
                <w:sz w:val="20"/>
                <w:szCs w:val="20"/>
                <w:bdr w:val="none" w:sz="0" w:space="0" w:color="auto" w:frame="1"/>
                <w:lang w:val="en-AU"/>
              </w:rPr>
              <w:t xml:space="preserve">Most </w:t>
            </w:r>
            <w:r w:rsidRPr="00AD1416">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publishers, in particular the main newspaper and magazine organisations which replied to the public consultation, support the introduction of a new related right at EU level. Authors in the </w:t>
            </w:r>
            <w:r w:rsidRPr="00AD1416">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sector (notably journalists) have expressed mixed reactions when replying to the public consultation. They generally consider that the bargaining power of the publishing industry in relation to online service providers should be strengthened but they express some concerns as to the possible negative impact that new rights granted to publishers could have on them. Service providers, such as news aggregators and media monitoring services, are generally opposed to granting a new related right to </w:t>
            </w:r>
            <w:r w:rsidRPr="00AD1416">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publishers as they claim that this would disincentive investments in innovative online services and create barriers for small businesses. Consumer organisations have expressed reservations as regards the possible introduction of a </w:t>
            </w:r>
            <w:r>
              <w:rPr>
                <w:rFonts w:ascii="Times New Roman" w:eastAsia="Arial Unicode MS" w:hAnsi="Times New Roman"/>
                <w:sz w:val="20"/>
                <w:szCs w:val="20"/>
                <w:bdr w:val="none" w:sz="0" w:space="0" w:color="auto" w:frame="1"/>
                <w:lang w:val="en-AU"/>
              </w:rPr>
              <w:t>related</w:t>
            </w:r>
            <w:r w:rsidRPr="008012CB">
              <w:rPr>
                <w:rFonts w:ascii="Times New Roman" w:eastAsia="Arial Unicode MS" w:hAnsi="Times New Roman"/>
                <w:sz w:val="20"/>
                <w:szCs w:val="20"/>
                <w:bdr w:val="none" w:sz="0" w:space="0" w:color="auto" w:frame="1"/>
                <w:lang w:val="en-AU"/>
              </w:rPr>
              <w:t xml:space="preserve"> right and the concern that this could make it more difficult for consumers to access existing </w:t>
            </w:r>
            <w:r w:rsidRPr="00AB1D72">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content online. At the same time, some consumer organisations recognise that a </w:t>
            </w:r>
            <w:r>
              <w:rPr>
                <w:rFonts w:ascii="Times New Roman" w:eastAsia="Arial Unicode MS" w:hAnsi="Times New Roman"/>
                <w:sz w:val="20"/>
                <w:szCs w:val="20"/>
                <w:bdr w:val="none" w:sz="0" w:space="0" w:color="auto" w:frame="1"/>
                <w:lang w:val="en-AU"/>
              </w:rPr>
              <w:t>related</w:t>
            </w:r>
            <w:r w:rsidRPr="008012CB">
              <w:rPr>
                <w:rFonts w:ascii="Times New Roman" w:eastAsia="Arial Unicode MS" w:hAnsi="Times New Roman"/>
                <w:sz w:val="20"/>
                <w:szCs w:val="20"/>
                <w:bdr w:val="none" w:sz="0" w:space="0" w:color="auto" w:frame="1"/>
                <w:lang w:val="en-AU"/>
              </w:rPr>
              <w:t xml:space="preserve"> right could have a positive impact on the quality of news content.</w:t>
            </w:r>
          </w:p>
        </w:tc>
      </w:tr>
    </w:tbl>
    <w:p w:rsidR="00D3660C" w:rsidRPr="008012CB" w:rsidRDefault="00D3660C" w:rsidP="00D3660C">
      <w:pPr>
        <w:spacing w:before="12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Option 3 – As Option 2 plus introduction, in EU law, of the possibility for MS to provide that publishers may claim compensation for uses under an exception</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eastAsia="en-GB"/>
        </w:rPr>
        <w:t xml:space="preserve">In addition to the introduction of the new related right for online uses of </w:t>
      </w:r>
      <w:r w:rsidRPr="00AD1416">
        <w:rPr>
          <w:rFonts w:ascii="Times New Roman" w:eastAsia="Calibri" w:hAnsi="Times New Roman" w:cs="Times New Roman"/>
          <w:sz w:val="24"/>
          <w:szCs w:val="24"/>
          <w:lang w:val="en-AU" w:eastAsia="en-GB"/>
        </w:rPr>
        <w:t xml:space="preserve">press </w:t>
      </w:r>
      <w:r w:rsidRPr="008012CB">
        <w:rPr>
          <w:rFonts w:ascii="Times New Roman" w:eastAsia="Calibri" w:hAnsi="Times New Roman" w:cs="Times New Roman"/>
          <w:sz w:val="24"/>
          <w:szCs w:val="24"/>
          <w:lang w:val="en-AU" w:eastAsia="en-GB"/>
        </w:rPr>
        <w:t xml:space="preserve">publications described under Option 2, this option would introduce a specific provision in EU law clarifying that </w:t>
      </w:r>
      <w:r>
        <w:rPr>
          <w:rFonts w:ascii="Times New Roman" w:eastAsia="Calibri" w:hAnsi="Times New Roman" w:cs="Times New Roman"/>
          <w:sz w:val="24"/>
          <w:szCs w:val="24"/>
          <w:lang w:val="en-AU" w:eastAsia="en-GB"/>
        </w:rPr>
        <w:t>MS</w:t>
      </w:r>
      <w:r w:rsidRPr="008012CB">
        <w:rPr>
          <w:rFonts w:ascii="Times New Roman" w:eastAsia="Calibri" w:hAnsi="Times New Roman" w:cs="Times New Roman"/>
          <w:sz w:val="24"/>
          <w:szCs w:val="24"/>
          <w:lang w:val="en-AU" w:eastAsia="en-GB"/>
        </w:rPr>
        <w:t xml:space="preserve"> may choose to establish in their legislation that where an author has transferred </w:t>
      </w:r>
      <w:r w:rsidR="00BE7170">
        <w:rPr>
          <w:rFonts w:ascii="Times New Roman" w:eastAsia="Calibri" w:hAnsi="Times New Roman" w:cs="Times New Roman"/>
          <w:sz w:val="24"/>
          <w:szCs w:val="24"/>
          <w:lang w:val="en-AU" w:eastAsia="en-GB"/>
        </w:rPr>
        <w:t xml:space="preserve">or licensed </w:t>
      </w:r>
      <w:r w:rsidRPr="008012CB">
        <w:rPr>
          <w:rFonts w:ascii="Times New Roman" w:eastAsia="Calibri" w:hAnsi="Times New Roman" w:cs="Times New Roman"/>
          <w:sz w:val="24"/>
          <w:szCs w:val="24"/>
          <w:lang w:val="en-AU" w:eastAsia="en-GB"/>
        </w:rPr>
        <w:t>a right to a publisher, such a transfer constitutes a sufficient legal basis for the publisher to claim compensation for the uses made under an exception to the transferred</w:t>
      </w:r>
      <w:r w:rsidR="00BE7170" w:rsidRPr="00BE7170">
        <w:t xml:space="preserve"> </w:t>
      </w:r>
      <w:r w:rsidR="00BE7170" w:rsidRPr="00BE7170">
        <w:rPr>
          <w:rFonts w:ascii="Times New Roman" w:eastAsia="Calibri" w:hAnsi="Times New Roman" w:cs="Times New Roman"/>
          <w:sz w:val="24"/>
          <w:szCs w:val="24"/>
          <w:lang w:val="en-AU" w:eastAsia="en-GB"/>
        </w:rPr>
        <w:t>or licensed</w:t>
      </w:r>
      <w:r w:rsidRPr="008012CB">
        <w:rPr>
          <w:rFonts w:ascii="Times New Roman" w:eastAsia="Calibri" w:hAnsi="Times New Roman" w:cs="Times New Roman"/>
          <w:sz w:val="24"/>
          <w:szCs w:val="24"/>
          <w:lang w:val="en-AU" w:eastAsia="en-GB"/>
        </w:rPr>
        <w:t xml:space="preserve"> right.</w:t>
      </w:r>
    </w:p>
    <w:tbl>
      <w:tblPr>
        <w:tblStyle w:val="TableGrid31"/>
        <w:tblW w:w="0" w:type="auto"/>
        <w:tblInd w:w="0" w:type="dxa"/>
        <w:tblLook w:val="04A0" w:firstRow="1" w:lastRow="0" w:firstColumn="1" w:lastColumn="0" w:noHBand="0" w:noVBand="1"/>
      </w:tblPr>
      <w:tblGrid>
        <w:gridCol w:w="9288"/>
      </w:tblGrid>
      <w:tr w:rsidR="00D3660C" w:rsidRPr="008012CB" w:rsidTr="009D59CB">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660C" w:rsidRPr="008012CB" w:rsidRDefault="00D3660C" w:rsidP="009D59CB">
            <w:pPr>
              <w:jc w:val="both"/>
              <w:rPr>
                <w:rFonts w:ascii="Times New Roman" w:eastAsia="Arial Unicode MS" w:hAnsi="Times New Roman"/>
                <w:i/>
                <w:sz w:val="20"/>
                <w:szCs w:val="20"/>
                <w:bdr w:val="none" w:sz="0" w:space="0" w:color="auto" w:frame="1"/>
                <w:lang w:val="en-AU"/>
              </w:rPr>
            </w:pPr>
            <w:r w:rsidRPr="008012CB">
              <w:rPr>
                <w:rFonts w:ascii="Times New Roman" w:eastAsia="Arial Unicode MS" w:hAnsi="Times New Roman"/>
                <w:i/>
                <w:sz w:val="20"/>
                <w:szCs w:val="20"/>
                <w:bdr w:val="none" w:sz="0" w:space="0" w:color="auto" w:frame="1"/>
                <w:lang w:val="en-AU"/>
              </w:rPr>
              <w:t>Stakeholders' views (In addition to position as regards Option 2).</w:t>
            </w:r>
          </w:p>
          <w:p w:rsidR="00D3660C" w:rsidRPr="008012CB" w:rsidRDefault="00D3660C" w:rsidP="009D59CB">
            <w:pPr>
              <w:jc w:val="both"/>
              <w:rPr>
                <w:rFonts w:ascii="Times New Roman" w:eastAsia="Arial Unicode MS" w:hAnsi="Times New Roman"/>
                <w:sz w:val="24"/>
                <w:szCs w:val="24"/>
                <w:bdr w:val="none" w:sz="0" w:space="0" w:color="auto" w:frame="1"/>
                <w:lang w:val="en-AU"/>
              </w:rPr>
            </w:pPr>
            <w:r w:rsidRPr="008012CB">
              <w:rPr>
                <w:rFonts w:ascii="Times New Roman" w:eastAsia="Arial Unicode MS" w:hAnsi="Times New Roman"/>
                <w:sz w:val="20"/>
                <w:szCs w:val="20"/>
                <w:bdr w:val="none" w:sz="0" w:space="0" w:color="auto" w:frame="1"/>
                <w:lang w:val="en-AU"/>
              </w:rPr>
              <w:t>In the replies to the public consultation</w:t>
            </w:r>
            <w:r>
              <w:rPr>
                <w:rFonts w:ascii="Times New Roman" w:eastAsia="Arial Unicode MS" w:hAnsi="Times New Roman"/>
                <w:sz w:val="20"/>
                <w:szCs w:val="20"/>
                <w:bdr w:val="none" w:sz="0" w:space="0" w:color="auto" w:frame="1"/>
                <w:lang w:val="en-AU"/>
              </w:rPr>
              <w:t>,</w:t>
            </w:r>
            <w:r w:rsidRPr="008012CB">
              <w:rPr>
                <w:rFonts w:ascii="Times New Roman" w:eastAsia="Arial Unicode MS" w:hAnsi="Times New Roman"/>
                <w:sz w:val="20"/>
                <w:szCs w:val="20"/>
                <w:bdr w:val="none" w:sz="0" w:space="0" w:color="auto" w:frame="1"/>
                <w:lang w:val="en-AU"/>
              </w:rPr>
              <w:t xml:space="preserve"> publishers other than </w:t>
            </w:r>
            <w:r w:rsidRPr="00AB1D72">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publishers (book and scientific publishers) have mainly pointed to problems different from those raised by </w:t>
            </w:r>
            <w:r w:rsidRPr="00AB1D72">
              <w:rPr>
                <w:rFonts w:ascii="Times New Roman" w:eastAsia="Arial Unicode MS" w:hAnsi="Times New Roman"/>
                <w:sz w:val="20"/>
                <w:szCs w:val="20"/>
                <w:bdr w:val="none" w:sz="0" w:space="0" w:color="auto" w:frame="1"/>
                <w:lang w:val="en-AU"/>
              </w:rPr>
              <w:t xml:space="preserve">press </w:t>
            </w:r>
            <w:r w:rsidRPr="008012CB">
              <w:rPr>
                <w:rFonts w:ascii="Times New Roman" w:eastAsia="Arial Unicode MS" w:hAnsi="Times New Roman"/>
                <w:sz w:val="20"/>
                <w:szCs w:val="20"/>
                <w:bdr w:val="none" w:sz="0" w:space="0" w:color="auto" w:frame="1"/>
                <w:lang w:val="en-AU"/>
              </w:rPr>
              <w:t xml:space="preserve">publishers, notably the legal uncertainty as regards compensation for uses under exceptions. Therefore, publishers across different sectors are expected to be supportive of this option, as it establishes a margin of manoeuvre for MS to introduce national laws that foresee the distribution of compensation to publishers as derived </w:t>
            </w:r>
            <w:r>
              <w:rPr>
                <w:rFonts w:ascii="Times New Roman" w:eastAsia="Arial Unicode MS" w:hAnsi="Times New Roman"/>
                <w:sz w:val="20"/>
                <w:szCs w:val="20"/>
                <w:bdr w:val="none" w:sz="0" w:space="0" w:color="auto" w:frame="1"/>
                <w:lang w:val="en-AU"/>
              </w:rPr>
              <w:t>rightholders</w:t>
            </w:r>
            <w:r w:rsidRPr="008012CB">
              <w:rPr>
                <w:rFonts w:ascii="Times New Roman" w:eastAsia="Arial Unicode MS" w:hAnsi="Times New Roman"/>
                <w:sz w:val="20"/>
                <w:szCs w:val="20"/>
                <w:bdr w:val="none" w:sz="0" w:space="0" w:color="auto" w:frame="1"/>
                <w:lang w:val="en-AU"/>
              </w:rPr>
              <w:t>, thus in principle allowing the existing systems in many MS to endure, although there may be adaptations necessary. In the public consultation some authors have expressed support for such national arrangements, whereas other</w:t>
            </w:r>
            <w:r>
              <w:rPr>
                <w:rFonts w:ascii="Times New Roman" w:eastAsia="Arial Unicode MS" w:hAnsi="Times New Roman"/>
                <w:sz w:val="20"/>
                <w:szCs w:val="20"/>
                <w:bdr w:val="none" w:sz="0" w:space="0" w:color="auto" w:frame="1"/>
                <w:lang w:val="en-AU"/>
              </w:rPr>
              <w:t>s</w:t>
            </w:r>
            <w:r w:rsidRPr="008012CB">
              <w:rPr>
                <w:rFonts w:ascii="Times New Roman" w:eastAsia="Arial Unicode MS" w:hAnsi="Times New Roman"/>
                <w:sz w:val="20"/>
                <w:szCs w:val="20"/>
                <w:bdr w:val="none" w:sz="0" w:space="0" w:color="auto" w:frame="1"/>
                <w:lang w:val="en-AU"/>
              </w:rPr>
              <w:t xml:space="preserve"> are sceptical regarding the extent to which they benefit from them. Consumers </w:t>
            </w:r>
            <w:r w:rsidRPr="00256C3D">
              <w:rPr>
                <w:rFonts w:ascii="Times New Roman" w:eastAsia="Arial Unicode MS" w:hAnsi="Times New Roman"/>
                <w:sz w:val="20"/>
                <w:szCs w:val="20"/>
                <w:bdr w:val="none" w:sz="0" w:space="0" w:color="auto" w:frame="1"/>
                <w:lang w:val="en-AU"/>
              </w:rPr>
              <w:t>are expected</w:t>
            </w:r>
            <w:r w:rsidRPr="008012CB">
              <w:rPr>
                <w:rFonts w:ascii="Times New Roman" w:eastAsia="Arial Unicode MS" w:hAnsi="Times New Roman"/>
                <w:sz w:val="20"/>
                <w:szCs w:val="20"/>
                <w:bdr w:val="none" w:sz="0" w:space="0" w:color="auto" w:frame="1"/>
                <w:lang w:val="en-AU"/>
              </w:rPr>
              <w:t xml:space="preserve"> to take a neutral view as regards the additional elements in Option 3, as this intervention in the area of compensation for exceptions </w:t>
            </w:r>
            <w:r>
              <w:rPr>
                <w:rFonts w:ascii="Times New Roman" w:eastAsia="Arial Unicode MS" w:hAnsi="Times New Roman"/>
                <w:sz w:val="20"/>
                <w:szCs w:val="20"/>
                <w:bdr w:val="none" w:sz="0" w:space="0" w:color="auto" w:frame="1"/>
                <w:lang w:val="en-AU"/>
              </w:rPr>
              <w:t>should not</w:t>
            </w:r>
            <w:r w:rsidRPr="008012CB">
              <w:rPr>
                <w:rFonts w:ascii="Times New Roman" w:eastAsia="Arial Unicode MS" w:hAnsi="Times New Roman"/>
                <w:sz w:val="20"/>
                <w:szCs w:val="20"/>
                <w:bdr w:val="none" w:sz="0" w:space="0" w:color="auto" w:frame="1"/>
                <w:lang w:val="en-AU"/>
              </w:rPr>
              <w:t xml:space="preserve"> increase the overall level of compensation due and hence of levies charged to final consumers.</w:t>
            </w:r>
          </w:p>
        </w:tc>
      </w:tr>
    </w:tbl>
    <w:p w:rsidR="00D3660C" w:rsidRPr="00D1507D" w:rsidRDefault="00D3660C" w:rsidP="00D3660C">
      <w:pPr>
        <w:spacing w:before="120" w:after="120" w:line="240" w:lineRule="auto"/>
        <w:jc w:val="both"/>
        <w:rPr>
          <w:rFonts w:ascii="Times New Roman" w:hAnsi="Times New Roman"/>
          <w:b/>
          <w:sz w:val="24"/>
          <w:bdr w:val="none" w:sz="0" w:space="0" w:color="auto" w:frame="1"/>
          <w:lang w:val="en-AU"/>
        </w:rPr>
      </w:pPr>
      <w:bookmarkStart w:id="181" w:name="_Toc450311098"/>
      <w:r w:rsidRPr="00D1507D">
        <w:rPr>
          <w:rFonts w:ascii="Times New Roman" w:hAnsi="Times New Roman"/>
          <w:b/>
          <w:sz w:val="24"/>
          <w:u w:val="single"/>
          <w:bdr w:val="none" w:sz="0" w:space="0" w:color="auto" w:frame="1"/>
          <w:lang w:val="en-AU"/>
        </w:rPr>
        <w:t>Discarded option</w:t>
      </w:r>
    </w:p>
    <w:p w:rsidR="00D3660C" w:rsidRPr="008012CB" w:rsidRDefault="00D3660C" w:rsidP="00D3660C">
      <w:pPr>
        <w:spacing w:before="120" w:after="120" w:line="240" w:lineRule="auto"/>
        <w:jc w:val="both"/>
        <w:rPr>
          <w:rFonts w:ascii="Times New Roman" w:eastAsia="Arial Unicode MS" w:hAnsi="Times New Roman" w:cs="Times New Roman"/>
          <w:sz w:val="24"/>
          <w:szCs w:val="24"/>
          <w:bdr w:val="none" w:sz="0" w:space="0" w:color="auto" w:frame="1"/>
        </w:rPr>
      </w:pPr>
      <w:r w:rsidRPr="008012CB">
        <w:rPr>
          <w:rFonts w:ascii="Times New Roman" w:eastAsia="Arial Unicode MS" w:hAnsi="Times New Roman" w:cs="Times New Roman"/>
          <w:i/>
          <w:sz w:val="24"/>
          <w:szCs w:val="24"/>
          <w:u w:val="single"/>
          <w:bdr w:val="none" w:sz="0" w:space="0" w:color="auto" w:frame="1"/>
          <w:lang w:val="en-AU"/>
        </w:rPr>
        <w:t>Introduction in EU law of a related right covering all publications</w:t>
      </w:r>
      <w:r>
        <w:rPr>
          <w:rFonts w:ascii="Times New Roman" w:eastAsia="Arial Unicode MS" w:hAnsi="Times New Roman" w:cs="Times New Roman"/>
          <w:i/>
          <w:sz w:val="24"/>
          <w:szCs w:val="24"/>
          <w:u w:val="single"/>
          <w:bdr w:val="none" w:sz="0" w:space="0" w:color="auto" w:frame="1"/>
          <w:lang w:val="en-AU"/>
        </w:rPr>
        <w:t>,</w:t>
      </w:r>
      <w:r w:rsidRPr="008012CB">
        <w:rPr>
          <w:rFonts w:ascii="Times New Roman" w:eastAsia="Arial Unicode MS" w:hAnsi="Times New Roman" w:cs="Times New Roman"/>
          <w:i/>
          <w:sz w:val="24"/>
          <w:szCs w:val="24"/>
          <w:u w:val="single"/>
          <w:bdr w:val="none" w:sz="0" w:space="0" w:color="auto" w:frame="1"/>
          <w:lang w:val="en-AU"/>
        </w:rPr>
        <w:t xml:space="preserve"> including publications other than </w:t>
      </w:r>
      <w:r w:rsidRPr="00AD1416">
        <w:rPr>
          <w:rFonts w:ascii="Times New Roman" w:eastAsia="Arial Unicode MS" w:hAnsi="Times New Roman" w:cs="Times New Roman"/>
          <w:i/>
          <w:sz w:val="24"/>
          <w:szCs w:val="24"/>
          <w:u w:val="single"/>
          <w:bdr w:val="none" w:sz="0" w:space="0" w:color="auto" w:frame="1"/>
          <w:lang w:val="en-AU"/>
        </w:rPr>
        <w:t>press</w:t>
      </w:r>
      <w:r w:rsidR="00BE7170">
        <w:rPr>
          <w:rFonts w:ascii="Times New Roman" w:eastAsia="Arial Unicode MS" w:hAnsi="Times New Roman" w:cs="Times New Roman"/>
          <w:i/>
          <w:sz w:val="24"/>
          <w:szCs w:val="24"/>
          <w:u w:val="single"/>
          <w:bdr w:val="none" w:sz="0" w:space="0" w:color="auto" w:frame="1"/>
          <w:lang w:val="en-AU"/>
        </w:rPr>
        <w:t>:</w:t>
      </w:r>
      <w:r w:rsidRPr="008012CB">
        <w:rPr>
          <w:rFonts w:ascii="Times New Roman" w:eastAsia="Arial Unicode MS" w:hAnsi="Times New Roman" w:cs="Times New Roman"/>
          <w:b/>
          <w:sz w:val="24"/>
          <w:szCs w:val="24"/>
          <w:bdr w:val="none" w:sz="0" w:space="0" w:color="auto" w:frame="1"/>
          <w:lang w:val="en-AU"/>
        </w:rPr>
        <w:t xml:space="preserve"> </w:t>
      </w:r>
      <w:r w:rsidRPr="008012CB">
        <w:rPr>
          <w:rFonts w:ascii="Times New Roman" w:eastAsia="Arial Unicode MS" w:hAnsi="Times New Roman" w:cs="Times New Roman"/>
          <w:sz w:val="24"/>
          <w:szCs w:val="24"/>
          <w:bdr w:val="none" w:sz="0" w:space="0" w:color="auto" w:frame="1"/>
        </w:rPr>
        <w:t>The identified objectives could be achieved also by introducing in EU law a related right covering all publishers in all sectors (</w:t>
      </w:r>
      <w:r>
        <w:rPr>
          <w:rFonts w:ascii="Times New Roman" w:eastAsia="Arial Unicode MS" w:hAnsi="Times New Roman" w:cs="Times New Roman"/>
          <w:sz w:val="24"/>
          <w:szCs w:val="24"/>
          <w:bdr w:val="none" w:sz="0" w:space="0" w:color="auto" w:frame="1"/>
        </w:rPr>
        <w:t>press</w:t>
      </w:r>
      <w:r w:rsidRPr="008012CB">
        <w:rPr>
          <w:rFonts w:ascii="Times New Roman" w:eastAsia="Arial Unicode MS" w:hAnsi="Times New Roman" w:cs="Times New Roman"/>
          <w:sz w:val="24"/>
          <w:szCs w:val="24"/>
          <w:bdr w:val="none" w:sz="0" w:space="0" w:color="auto" w:frame="1"/>
        </w:rPr>
        <w:t xml:space="preserve">, book, scientific publishers, etc.). However, such an option is not considered in this IA as it would not be a proportionate way to address the problems faced by the publishing industry and described in </w:t>
      </w:r>
      <w:r>
        <w:rPr>
          <w:rFonts w:ascii="Times New Roman" w:eastAsia="Arial Unicode MS" w:hAnsi="Times New Roman" w:cs="Times New Roman"/>
          <w:sz w:val="24"/>
          <w:szCs w:val="24"/>
          <w:bdr w:val="none" w:sz="0" w:space="0" w:color="auto" w:frame="1"/>
        </w:rPr>
        <w:t>Section 5.3.1</w:t>
      </w:r>
      <w:r w:rsidRPr="008012CB">
        <w:rPr>
          <w:rFonts w:ascii="Times New Roman" w:eastAsia="Arial Unicode MS" w:hAnsi="Times New Roman" w:cs="Times New Roman"/>
          <w:sz w:val="24"/>
          <w:szCs w:val="24"/>
          <w:bdr w:val="none" w:sz="0" w:space="0" w:color="auto" w:frame="1"/>
        </w:rPr>
        <w:t xml:space="preserve">. The problem related to </w:t>
      </w:r>
      <w:r w:rsidRPr="00AD1416">
        <w:rPr>
          <w:rFonts w:ascii="Times New Roman" w:eastAsia="Arial Unicode MS" w:hAnsi="Times New Roman" w:cs="Times New Roman"/>
          <w:sz w:val="24"/>
          <w:szCs w:val="24"/>
          <w:bdr w:val="none" w:sz="0" w:space="0" w:color="auto" w:frame="1"/>
        </w:rPr>
        <w:t xml:space="preserve">press </w:t>
      </w:r>
      <w:r w:rsidRPr="008012CB">
        <w:rPr>
          <w:rFonts w:ascii="Times New Roman" w:eastAsia="Arial Unicode MS" w:hAnsi="Times New Roman" w:cs="Times New Roman"/>
          <w:sz w:val="24"/>
          <w:szCs w:val="24"/>
          <w:bdr w:val="none" w:sz="0" w:space="0" w:color="auto" w:frame="1"/>
        </w:rPr>
        <w:t xml:space="preserve">publishers' difficulties to reach agreements and monetise use of their content by online service providers can be addressed by a related right applicable to </w:t>
      </w:r>
      <w:r w:rsidRPr="00AB1D72">
        <w:rPr>
          <w:rFonts w:ascii="Times New Roman" w:eastAsia="Arial Unicode MS" w:hAnsi="Times New Roman" w:cs="Times New Roman"/>
          <w:sz w:val="24"/>
          <w:szCs w:val="24"/>
          <w:bdr w:val="none" w:sz="0" w:space="0" w:color="auto" w:frame="1"/>
        </w:rPr>
        <w:t xml:space="preserve">press </w:t>
      </w:r>
      <w:r w:rsidRPr="008012CB">
        <w:rPr>
          <w:rFonts w:ascii="Times New Roman" w:eastAsia="Arial Unicode MS" w:hAnsi="Times New Roman" w:cs="Times New Roman"/>
          <w:sz w:val="24"/>
          <w:szCs w:val="24"/>
          <w:bdr w:val="none" w:sz="0" w:space="0" w:color="auto" w:frame="1"/>
        </w:rPr>
        <w:t>publications only (Option</w:t>
      </w:r>
      <w:r>
        <w:rPr>
          <w:rFonts w:ascii="Times New Roman" w:eastAsia="Arial Unicode MS" w:hAnsi="Times New Roman" w:cs="Times New Roman"/>
          <w:sz w:val="24"/>
          <w:szCs w:val="24"/>
          <w:bdr w:val="none" w:sz="0" w:space="0" w:color="auto" w:frame="1"/>
        </w:rPr>
        <w:t>s</w:t>
      </w:r>
      <w:r w:rsidRPr="008012CB">
        <w:rPr>
          <w:rFonts w:ascii="Times New Roman" w:eastAsia="Arial Unicode MS" w:hAnsi="Times New Roman" w:cs="Times New Roman"/>
          <w:sz w:val="24"/>
          <w:szCs w:val="24"/>
          <w:bdr w:val="none" w:sz="0" w:space="0" w:color="auto" w:frame="1"/>
        </w:rPr>
        <w:t xml:space="preserve"> 2</w:t>
      </w:r>
      <w:r>
        <w:rPr>
          <w:rFonts w:ascii="Times New Roman" w:eastAsia="Arial Unicode MS" w:hAnsi="Times New Roman" w:cs="Times New Roman"/>
          <w:sz w:val="24"/>
          <w:szCs w:val="24"/>
          <w:bdr w:val="none" w:sz="0" w:space="0" w:color="auto" w:frame="1"/>
        </w:rPr>
        <w:t xml:space="preserve"> and 3</w:t>
      </w:r>
      <w:r w:rsidRPr="008012CB">
        <w:rPr>
          <w:rFonts w:ascii="Times New Roman" w:eastAsia="Arial Unicode MS" w:hAnsi="Times New Roman" w:cs="Times New Roman"/>
          <w:sz w:val="24"/>
          <w:szCs w:val="24"/>
          <w:bdr w:val="none" w:sz="0" w:space="0" w:color="auto" w:frame="1"/>
        </w:rPr>
        <w:t>). The situation as regards publishers' ability to receive compensation for uses under exceptions, which affect publishers across all sectors (news, book, scientific publications) can be addressed in a proportionate way by the introduction of the clarification concerning publishers' claim for compensation (Option 3).</w:t>
      </w:r>
    </w:p>
    <w:p w:rsidR="00D3660C" w:rsidRPr="008012CB" w:rsidRDefault="00D3660C" w:rsidP="00D3660C">
      <w:pPr>
        <w:pStyle w:val="Heading3"/>
      </w:pPr>
      <w:bookmarkStart w:id="182" w:name="_Toc461114754"/>
      <w:r w:rsidRPr="008012CB">
        <w:t>What are the impacts of the different policy options and who will be affected?</w:t>
      </w:r>
      <w:bookmarkEnd w:id="181"/>
      <w:bookmarkEnd w:id="182"/>
    </w:p>
    <w:tbl>
      <w:tblPr>
        <w:tblStyle w:val="TableGrid12"/>
        <w:tblW w:w="0" w:type="auto"/>
        <w:tblInd w:w="0" w:type="dxa"/>
        <w:tblLook w:val="04A0" w:firstRow="1" w:lastRow="0" w:firstColumn="1" w:lastColumn="0" w:noHBand="0" w:noVBand="1"/>
      </w:tblPr>
      <w:tblGrid>
        <w:gridCol w:w="9288"/>
      </w:tblGrid>
      <w:tr w:rsidR="00D3660C" w:rsidRPr="008012CB" w:rsidTr="009D59CB">
        <w:tc>
          <w:tcPr>
            <w:tcW w:w="9288" w:type="dxa"/>
            <w:tcBorders>
              <w:top w:val="single" w:sz="4" w:space="0" w:color="auto"/>
              <w:left w:val="single" w:sz="4" w:space="0" w:color="auto"/>
              <w:bottom w:val="single" w:sz="4" w:space="0" w:color="auto"/>
              <w:right w:val="single" w:sz="4" w:space="0" w:color="auto"/>
            </w:tcBorders>
            <w:hideMark/>
          </w:tcPr>
          <w:p w:rsidR="00D3660C" w:rsidRPr="008012CB" w:rsidRDefault="00D3660C" w:rsidP="009D59CB">
            <w:pPr>
              <w:jc w:val="both"/>
              <w:rPr>
                <w:rFonts w:ascii="Times New Roman" w:hAnsi="Times New Roman"/>
                <w:b/>
                <w:i/>
                <w:sz w:val="20"/>
                <w:szCs w:val="20"/>
                <w:lang w:val="en-AU" w:eastAsia="en-GB"/>
              </w:rPr>
            </w:pPr>
            <w:r w:rsidRPr="008012CB">
              <w:rPr>
                <w:rFonts w:ascii="Times New Roman" w:hAnsi="Times New Roman"/>
                <w:b/>
                <w:i/>
                <w:sz w:val="20"/>
                <w:szCs w:val="20"/>
                <w:lang w:val="en-AU" w:eastAsia="en-GB"/>
              </w:rPr>
              <w:t>Approach</w:t>
            </w:r>
          </w:p>
          <w:p w:rsidR="00D3660C" w:rsidRPr="008012CB" w:rsidRDefault="00D3660C" w:rsidP="009D59CB">
            <w:pPr>
              <w:jc w:val="both"/>
              <w:rPr>
                <w:rFonts w:ascii="Times New Roman" w:hAnsi="Times New Roman"/>
                <w:sz w:val="20"/>
                <w:szCs w:val="20"/>
                <w:lang w:val="en-AU" w:eastAsia="en-GB"/>
              </w:rPr>
            </w:pPr>
            <w:r w:rsidRPr="008012CB">
              <w:rPr>
                <w:rFonts w:ascii="Times New Roman" w:hAnsi="Times New Roman"/>
                <w:sz w:val="20"/>
                <w:szCs w:val="20"/>
                <w:lang w:val="en-AU" w:eastAsia="en-GB"/>
              </w:rPr>
              <w:t>The options presented above would primarily affect publishers and authors whose works are part of publications (in particular journalists, writers, photographers, etc</w:t>
            </w:r>
            <w:r>
              <w:rPr>
                <w:rFonts w:ascii="Times New Roman" w:hAnsi="Times New Roman"/>
                <w:sz w:val="20"/>
                <w:szCs w:val="20"/>
                <w:lang w:val="en-AU" w:eastAsia="en-GB"/>
              </w:rPr>
              <w:t>.</w:t>
            </w:r>
            <w:r w:rsidRPr="008012CB">
              <w:rPr>
                <w:rFonts w:ascii="Times New Roman" w:hAnsi="Times New Roman"/>
                <w:sz w:val="20"/>
                <w:szCs w:val="20"/>
                <w:lang w:val="en-AU" w:eastAsia="en-GB"/>
              </w:rPr>
              <w:t xml:space="preserve">) as well as online services providing access to or using publications, and consumers. The impacts affecting these four groups are presented separately: </w:t>
            </w:r>
          </w:p>
          <w:p w:rsidR="00D3660C" w:rsidRPr="008012CB" w:rsidRDefault="00D3660C" w:rsidP="009D59CB">
            <w:pPr>
              <w:pStyle w:val="ListParagraph"/>
              <w:numPr>
                <w:ilvl w:val="0"/>
                <w:numId w:val="42"/>
              </w:numPr>
              <w:jc w:val="both"/>
              <w:rPr>
                <w:rFonts w:ascii="Times New Roman" w:hAnsi="Times New Roman"/>
                <w:sz w:val="20"/>
                <w:lang w:val="en-AU"/>
              </w:rPr>
            </w:pPr>
            <w:r w:rsidRPr="008012CB">
              <w:rPr>
                <w:rFonts w:ascii="Times New Roman" w:hAnsi="Times New Roman"/>
                <w:sz w:val="20"/>
                <w:lang w:val="en-AU"/>
              </w:rPr>
              <w:t>For publishers, the main impacts are related to legal certainty and their ability to obtain revenues (including from compensation) for the use of their publications and to enforce their rights.</w:t>
            </w:r>
          </w:p>
          <w:p w:rsidR="00D3660C" w:rsidRPr="008012CB" w:rsidRDefault="00D3660C" w:rsidP="009D59CB">
            <w:pPr>
              <w:pStyle w:val="ListParagraph"/>
              <w:numPr>
                <w:ilvl w:val="0"/>
                <w:numId w:val="42"/>
              </w:numPr>
              <w:jc w:val="both"/>
              <w:rPr>
                <w:rFonts w:ascii="Times New Roman" w:hAnsi="Times New Roman"/>
                <w:sz w:val="20"/>
                <w:lang w:val="en-AU"/>
              </w:rPr>
            </w:pPr>
            <w:r w:rsidRPr="008012CB">
              <w:rPr>
                <w:rFonts w:ascii="Times New Roman" w:hAnsi="Times New Roman"/>
                <w:sz w:val="20"/>
                <w:lang w:val="en-AU"/>
              </w:rPr>
              <w:t>For authors and other creators of the individual contributions which compose a publication, the impacts on their current revenues and their ability to exploit their individual rights independently from publishers' rights are considered.</w:t>
            </w:r>
          </w:p>
          <w:p w:rsidR="00D3660C" w:rsidRPr="008012CB" w:rsidRDefault="00D3660C" w:rsidP="009D59CB">
            <w:pPr>
              <w:pStyle w:val="ListParagraph"/>
              <w:numPr>
                <w:ilvl w:val="0"/>
                <w:numId w:val="42"/>
              </w:numPr>
              <w:jc w:val="both"/>
              <w:rPr>
                <w:rFonts w:ascii="Times New Roman" w:hAnsi="Times New Roman"/>
                <w:sz w:val="20"/>
                <w:lang w:val="en-AU"/>
              </w:rPr>
            </w:pPr>
            <w:r w:rsidRPr="008012CB">
              <w:rPr>
                <w:rFonts w:ascii="Times New Roman" w:hAnsi="Times New Roman"/>
                <w:sz w:val="20"/>
                <w:lang w:val="en-AU"/>
              </w:rPr>
              <w:t>For service providers, impacts on legal certainty in their relations with publishers and economic impacts in their business models (licensing and transaction costs)</w:t>
            </w:r>
            <w:r>
              <w:rPr>
                <w:rFonts w:ascii="Times New Roman" w:hAnsi="Times New Roman"/>
                <w:sz w:val="20"/>
                <w:lang w:val="en-AU"/>
              </w:rPr>
              <w:t xml:space="preserve"> are</w:t>
            </w:r>
            <w:r w:rsidRPr="008012CB">
              <w:rPr>
                <w:rFonts w:ascii="Times New Roman" w:hAnsi="Times New Roman"/>
                <w:sz w:val="20"/>
                <w:lang w:val="en-AU"/>
              </w:rPr>
              <w:t xml:space="preserve"> considered.</w:t>
            </w:r>
          </w:p>
          <w:p w:rsidR="00D3660C" w:rsidRPr="008012CB" w:rsidRDefault="00D3660C" w:rsidP="009D59CB">
            <w:pPr>
              <w:pStyle w:val="ListParagraph"/>
              <w:numPr>
                <w:ilvl w:val="0"/>
                <w:numId w:val="42"/>
              </w:numPr>
              <w:jc w:val="both"/>
              <w:rPr>
                <w:rFonts w:ascii="Times New Roman" w:hAnsi="Times New Roman"/>
                <w:sz w:val="20"/>
                <w:lang w:val="en-AU"/>
              </w:rPr>
            </w:pPr>
            <w:r w:rsidRPr="008012CB">
              <w:rPr>
                <w:rFonts w:ascii="Times New Roman" w:hAnsi="Times New Roman"/>
                <w:sz w:val="20"/>
                <w:lang w:val="en-AU"/>
              </w:rPr>
              <w:t xml:space="preserve">For consumers, impacts related to the conditions to access content are considered. </w:t>
            </w:r>
          </w:p>
          <w:p w:rsidR="00D3660C" w:rsidRPr="008012CB" w:rsidRDefault="00D3660C" w:rsidP="009D59CB">
            <w:pPr>
              <w:jc w:val="both"/>
              <w:rPr>
                <w:rFonts w:ascii="Times New Roman" w:hAnsi="Times New Roman"/>
                <w:sz w:val="20"/>
                <w:szCs w:val="20"/>
                <w:lang w:val="en-AU"/>
              </w:rPr>
            </w:pPr>
            <w:r w:rsidRPr="008012CB">
              <w:rPr>
                <w:rFonts w:ascii="Times New Roman" w:eastAsiaTheme="minorHAnsi" w:hAnsi="Times New Roman" w:cstheme="minorBidi"/>
                <w:sz w:val="20"/>
                <w:szCs w:val="20"/>
                <w:lang w:val="en-AU"/>
              </w:rPr>
              <w:t xml:space="preserve">The policy options are also assessed in relation to their general </w:t>
            </w:r>
            <w:r w:rsidRPr="008012CB">
              <w:rPr>
                <w:rFonts w:ascii="Times New Roman" w:eastAsiaTheme="minorHAnsi" w:hAnsi="Times New Roman" w:cstheme="minorBidi"/>
                <w:b/>
                <w:sz w:val="20"/>
                <w:szCs w:val="20"/>
                <w:lang w:val="en-AU"/>
              </w:rPr>
              <w:t>social impacts</w:t>
            </w:r>
            <w:r w:rsidRPr="008012CB">
              <w:rPr>
                <w:rFonts w:ascii="Times New Roman" w:eastAsiaTheme="minorHAnsi" w:hAnsi="Times New Roman" w:cstheme="minorBidi"/>
                <w:sz w:val="20"/>
                <w:szCs w:val="20"/>
                <w:lang w:val="en-AU"/>
              </w:rPr>
              <w:t xml:space="preserve"> (on cultural diversity </w:t>
            </w:r>
            <w:r w:rsidRPr="008012CB">
              <w:rPr>
                <w:rFonts w:ascii="Times New Roman" w:hAnsi="Times New Roman"/>
                <w:sz w:val="20"/>
                <w:szCs w:val="20"/>
                <w:lang w:val="en-AU"/>
              </w:rPr>
              <w:t>and the availability and findability of content</w:t>
            </w:r>
            <w:r w:rsidRPr="008012CB">
              <w:rPr>
                <w:rFonts w:ascii="Times New Roman" w:eastAsiaTheme="minorHAnsi" w:hAnsi="Times New Roman" w:cstheme="minorBidi"/>
                <w:sz w:val="20"/>
                <w:szCs w:val="20"/>
                <w:lang w:val="en-AU"/>
              </w:rPr>
              <w:t xml:space="preserve">) and impacts on fundamental rights (property right and </w:t>
            </w:r>
            <w:r w:rsidRPr="008012CB">
              <w:rPr>
                <w:rFonts w:ascii="Times New Roman" w:hAnsi="Times New Roman"/>
                <w:sz w:val="20"/>
                <w:szCs w:val="20"/>
                <w:lang w:val="en-AU"/>
              </w:rPr>
              <w:t>freedom of information</w:t>
            </w:r>
            <w:r w:rsidRPr="008012CB">
              <w:rPr>
                <w:rFonts w:ascii="Times New Roman" w:eastAsiaTheme="minorHAnsi" w:hAnsi="Times New Roman" w:cstheme="minorBidi"/>
                <w:sz w:val="20"/>
                <w:szCs w:val="20"/>
                <w:lang w:val="en-AU"/>
              </w:rPr>
              <w:t>).</w:t>
            </w:r>
          </w:p>
        </w:tc>
      </w:tr>
    </w:tbl>
    <w:p w:rsidR="00D3660C" w:rsidRPr="008012CB" w:rsidRDefault="00D3660C" w:rsidP="00D3660C">
      <w:pPr>
        <w:spacing w:before="120" w:after="120" w:line="240" w:lineRule="auto"/>
        <w:rPr>
          <w:rFonts w:ascii="Times New Roman" w:eastAsia="Arial Unicode MS" w:hAnsi="Times New Roman" w:cs="Times New Roman"/>
          <w:bCs/>
          <w:i/>
          <w:color w:val="000000"/>
          <w:sz w:val="24"/>
          <w:szCs w:val="24"/>
          <w:bdr w:val="none" w:sz="0" w:space="0" w:color="auto" w:frame="1"/>
          <w:lang w:val="en-AU" w:eastAsia="en-GB"/>
        </w:rPr>
      </w:pPr>
      <w:r w:rsidRPr="008012CB">
        <w:rPr>
          <w:rFonts w:ascii="Times New Roman" w:eastAsia="Calibri" w:hAnsi="Times New Roman" w:cs="Times New Roman"/>
          <w:b/>
          <w:sz w:val="24"/>
          <w:szCs w:val="24"/>
          <w:u w:val="single"/>
          <w:lang w:val="en-AU"/>
        </w:rPr>
        <w:t xml:space="preserve">Baseline </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Publishers</w:t>
      </w:r>
    </w:p>
    <w:p w:rsidR="00D3660C" w:rsidRPr="008012CB" w:rsidRDefault="00D3660C" w:rsidP="00D3660C">
      <w:pPr>
        <w:autoSpaceDE w:val="0"/>
        <w:autoSpaceDN w:val="0"/>
        <w:adjustRightInd w:val="0"/>
        <w:spacing w:after="120" w:line="240" w:lineRule="auto"/>
        <w:jc w:val="both"/>
        <w:rPr>
          <w:rFonts w:ascii="Times New Roman" w:hAnsi="Times New Roman"/>
          <w:sz w:val="24"/>
          <w:szCs w:val="24"/>
          <w:lang w:val="en-AU"/>
        </w:rPr>
      </w:pPr>
      <w:r w:rsidRPr="008012CB">
        <w:rPr>
          <w:rFonts w:ascii="Times New Roman" w:hAnsi="Times New Roman"/>
          <w:sz w:val="24"/>
          <w:szCs w:val="24"/>
          <w:lang w:val="en-AU"/>
        </w:rPr>
        <w:t>Without intervention at EU level, legal uncertainty in this sector is expected to increase and publishers' bargaining position would further weaken. Print circulation of daily newspapers in Europe is expected to decline by 19 % between 2014 and 2019.</w:t>
      </w:r>
      <w:r w:rsidRPr="008012CB">
        <w:rPr>
          <w:rFonts w:ascii="Times New Roman" w:hAnsi="Times New Roman"/>
          <w:sz w:val="24"/>
          <w:szCs w:val="24"/>
          <w:vertAlign w:val="superscript"/>
          <w:lang w:val="en-AU"/>
        </w:rPr>
        <w:footnoteReference w:id="506"/>
      </w:r>
      <w:r w:rsidRPr="008012CB">
        <w:rPr>
          <w:rFonts w:ascii="Times New Roman" w:hAnsi="Times New Roman"/>
          <w:sz w:val="24"/>
          <w:szCs w:val="24"/>
          <w:lang w:val="en-AU"/>
        </w:rPr>
        <w:t xml:space="preserve"> In terms of revenues, the number of people who pay for news is projected to grow in the future between 7 % and 23 % in the UK, ES, IT and other MS.</w:t>
      </w:r>
      <w:r w:rsidRPr="008012CB">
        <w:rPr>
          <w:rFonts w:ascii="Times New Roman" w:hAnsi="Times New Roman"/>
          <w:sz w:val="24"/>
          <w:szCs w:val="24"/>
          <w:vertAlign w:val="superscript"/>
          <w:lang w:val="en-AU"/>
        </w:rPr>
        <w:footnoteReference w:id="507"/>
      </w:r>
      <w:r w:rsidRPr="008012CB">
        <w:rPr>
          <w:rFonts w:ascii="Times New Roman" w:hAnsi="Times New Roman"/>
          <w:sz w:val="24"/>
          <w:szCs w:val="24"/>
          <w:lang w:val="en-AU"/>
        </w:rPr>
        <w:t xml:space="preserve"> However, the loss of print revenues is not expected to be compensated by the increase of online revenues. Online revenue streams feature smaller margins, as the competition for digital advertisement revenues is tough and free-access </w:t>
      </w:r>
      <w:r>
        <w:rPr>
          <w:rFonts w:ascii="Times New Roman" w:hAnsi="Times New Roman"/>
          <w:sz w:val="24"/>
          <w:szCs w:val="24"/>
          <w:lang w:val="en-AU"/>
        </w:rPr>
        <w:t xml:space="preserve">press items </w:t>
      </w:r>
      <w:r w:rsidRPr="008012CB">
        <w:rPr>
          <w:rFonts w:ascii="Times New Roman" w:hAnsi="Times New Roman"/>
          <w:sz w:val="24"/>
          <w:szCs w:val="24"/>
          <w:lang w:val="en-AU"/>
        </w:rPr>
        <w:t>are widely available. Moreover, access to news through smartphones is increasing every year (e.g. in the UK, of those who use a device to access digital news, those who say it is now thei</w:t>
      </w:r>
      <w:r>
        <w:rPr>
          <w:rFonts w:ascii="Times New Roman" w:hAnsi="Times New Roman"/>
          <w:sz w:val="24"/>
          <w:szCs w:val="24"/>
          <w:lang w:val="en-AU"/>
        </w:rPr>
        <w:t xml:space="preserve">r main device have risen from 15 </w:t>
      </w:r>
      <w:r w:rsidRPr="008012CB">
        <w:rPr>
          <w:rFonts w:ascii="Times New Roman" w:hAnsi="Times New Roman"/>
          <w:sz w:val="24"/>
          <w:szCs w:val="24"/>
          <w:lang w:val="en-AU"/>
        </w:rPr>
        <w:t>% to 27 % since 2013 – this figure ha</w:t>
      </w:r>
      <w:r>
        <w:rPr>
          <w:rFonts w:ascii="Times New Roman" w:hAnsi="Times New Roman"/>
          <w:sz w:val="24"/>
          <w:szCs w:val="24"/>
          <w:lang w:val="en-AU"/>
        </w:rPr>
        <w:t xml:space="preserve">s risen to 47 </w:t>
      </w:r>
      <w:r w:rsidRPr="008012CB">
        <w:rPr>
          <w:rFonts w:ascii="Times New Roman" w:hAnsi="Times New Roman"/>
          <w:sz w:val="24"/>
          <w:szCs w:val="24"/>
          <w:lang w:val="en-AU"/>
        </w:rPr>
        <w:t>% of those aged 25-34).</w:t>
      </w:r>
      <w:r w:rsidRPr="008012CB">
        <w:rPr>
          <w:rFonts w:ascii="Times New Roman" w:hAnsi="Times New Roman"/>
          <w:sz w:val="24"/>
          <w:szCs w:val="24"/>
          <w:vertAlign w:val="superscript"/>
          <w:lang w:val="en-AU"/>
        </w:rPr>
        <w:footnoteReference w:id="508"/>
      </w:r>
      <w:r w:rsidRPr="008012CB">
        <w:rPr>
          <w:rFonts w:ascii="Times New Roman" w:hAnsi="Times New Roman"/>
          <w:sz w:val="24"/>
          <w:szCs w:val="24"/>
          <w:lang w:val="en-AU"/>
        </w:rPr>
        <w:t xml:space="preserve"> As advertising revenues linked to access through smartphones are lower than through computers, this evolution of news consumption would make overall revenues decrease. PwC estimates that Europe's newspaper and magazine revenues will decrease, under this option, by 7.34 % in the period 2014-2019.</w:t>
      </w:r>
      <w:r w:rsidRPr="008012CB">
        <w:rPr>
          <w:rFonts w:ascii="Times New Roman" w:hAnsi="Times New Roman"/>
          <w:sz w:val="24"/>
          <w:szCs w:val="24"/>
          <w:vertAlign w:val="superscript"/>
          <w:lang w:val="en-AU"/>
        </w:rPr>
        <w:footnoteReference w:id="509"/>
      </w:r>
    </w:p>
    <w:p w:rsidR="00D3660C" w:rsidRPr="008012CB" w:rsidRDefault="00D3660C" w:rsidP="00D3660C">
      <w:pPr>
        <w:autoSpaceDE w:val="0"/>
        <w:autoSpaceDN w:val="0"/>
        <w:adjustRightInd w:val="0"/>
        <w:spacing w:after="120" w:line="240" w:lineRule="auto"/>
        <w:jc w:val="both"/>
        <w:rPr>
          <w:rFonts w:ascii="Times New Roman" w:hAnsi="Times New Roman"/>
          <w:sz w:val="24"/>
          <w:szCs w:val="24"/>
          <w:lang w:val="en-AU"/>
        </w:rPr>
      </w:pPr>
      <w:r w:rsidRPr="008012CB">
        <w:rPr>
          <w:rFonts w:ascii="Times New Roman" w:hAnsi="Times New Roman"/>
          <w:sz w:val="24"/>
          <w:szCs w:val="24"/>
          <w:lang w:val="en-AU"/>
        </w:rPr>
        <w:t>In this scenario, service providers may be willing to agree on the use of publishers' content in a satisfactory way for both publishers and themselves, as some of them do today.</w:t>
      </w:r>
      <w:r w:rsidRPr="008012CB">
        <w:rPr>
          <w:rFonts w:ascii="Times New Roman" w:hAnsi="Times New Roman"/>
          <w:sz w:val="24"/>
          <w:szCs w:val="24"/>
          <w:vertAlign w:val="superscript"/>
          <w:lang w:val="en-AU"/>
        </w:rPr>
        <w:footnoteReference w:id="510"/>
      </w:r>
      <w:r w:rsidRPr="008012CB">
        <w:rPr>
          <w:rFonts w:ascii="Times New Roman" w:hAnsi="Times New Roman"/>
          <w:sz w:val="24"/>
          <w:szCs w:val="24"/>
          <w:lang w:val="en-AU"/>
        </w:rPr>
        <w:t xml:space="preserve"> However, it is difficult to envisage whether these agreements will be kept or extended in the long term if there are no external incentives, particularly as this market is constantly evolving.</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sidRPr="008012CB">
        <w:rPr>
          <w:rFonts w:ascii="Times New Roman" w:hAnsi="Times New Roman"/>
          <w:sz w:val="24"/>
          <w:szCs w:val="24"/>
          <w:lang w:val="en-AU"/>
        </w:rPr>
        <w:t>Publishers would still face difficulties to license their publications or prevent unauthorised uses thereof. In the long term, the quality of their content and the reputation of their brands may be affected. Legal uncertainty as regards publishers' ability to receive compensation for uses under exceptions would persist.</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 xml:space="preserve">Authors </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A decline in the publishing industry would have a negative impact on </w:t>
      </w:r>
      <w:r>
        <w:rPr>
          <w:rFonts w:ascii="Times New Roman" w:eastAsia="Calibri" w:hAnsi="Times New Roman" w:cs="Times New Roman"/>
          <w:sz w:val="24"/>
          <w:szCs w:val="24"/>
          <w:lang w:val="en-AU"/>
        </w:rPr>
        <w:t>rightholders</w:t>
      </w:r>
      <w:r w:rsidRPr="008012CB">
        <w:rPr>
          <w:rFonts w:ascii="Times New Roman" w:eastAsia="Calibri" w:hAnsi="Times New Roman" w:cs="Times New Roman"/>
          <w:sz w:val="24"/>
          <w:szCs w:val="24"/>
          <w:lang w:val="en-AU"/>
        </w:rPr>
        <w:t xml:space="preserve"> who depend on this sector. Journalists, photographers and other authors would continue to see their contributions to publications being reused by services other than the publishers they have transferred their rights to, without getting any appropriate income in return. As a result, the quality of journalism may be negatively affected in the medium term.</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Service providers</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sidRPr="008012CB">
        <w:rPr>
          <w:rFonts w:ascii="Times New Roman" w:hAnsi="Times New Roman" w:cs="Times New Roman"/>
          <w:sz w:val="24"/>
          <w:szCs w:val="24"/>
          <w:lang w:val="en-AU"/>
        </w:rPr>
        <w:t>Under this scenario, some online service providers would continue negotiating the use of publications with publishers on the basis of the transferred rights as it is the case, for instance, of some media monitoring and analysis organisations which already pay licence fees to publishers.</w:t>
      </w:r>
      <w:r w:rsidRPr="008012CB">
        <w:rPr>
          <w:rStyle w:val="FootnoteReference"/>
          <w:rFonts w:ascii="Times New Roman" w:hAnsi="Times New Roman" w:cs="Times New Roman"/>
          <w:sz w:val="24"/>
          <w:szCs w:val="24"/>
          <w:lang w:val="en-AU"/>
        </w:rPr>
        <w:footnoteReference w:id="511"/>
      </w:r>
      <w:r w:rsidRPr="008012CB">
        <w:rPr>
          <w:rFonts w:ascii="Times New Roman" w:hAnsi="Times New Roman" w:cs="Times New Roman"/>
          <w:sz w:val="24"/>
          <w:szCs w:val="24"/>
          <w:lang w:val="en-AU"/>
        </w:rPr>
        <w:t xml:space="preserve"> Others would continue to use the publications without licence or other commercial agreement. Finally, it should be noted that a decrease of the number or quality of </w:t>
      </w:r>
      <w:r w:rsidRPr="00AD1416">
        <w:rPr>
          <w:rFonts w:ascii="Times New Roman" w:hAnsi="Times New Roman" w:cs="Times New Roman"/>
          <w:sz w:val="24"/>
          <w:szCs w:val="24"/>
          <w:lang w:val="en-AU"/>
        </w:rPr>
        <w:t xml:space="preserve">press </w:t>
      </w:r>
      <w:r w:rsidRPr="008012CB">
        <w:rPr>
          <w:rFonts w:ascii="Times New Roman" w:hAnsi="Times New Roman" w:cs="Times New Roman"/>
          <w:sz w:val="24"/>
          <w:szCs w:val="24"/>
          <w:lang w:val="en-AU"/>
        </w:rPr>
        <w:t>publications could be generally negative for service providers, as they would have less content to base their business models on.</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Consumers</w:t>
      </w:r>
    </w:p>
    <w:p w:rsidR="00D3660C" w:rsidRPr="008012CB" w:rsidRDefault="00D3660C" w:rsidP="00D3660C">
      <w:pPr>
        <w:spacing w:after="120" w:line="240" w:lineRule="auto"/>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This option would be neutral regarding economic impacts on consumers.  </w:t>
      </w:r>
    </w:p>
    <w:p w:rsidR="00D3660C" w:rsidRPr="008012CB" w:rsidRDefault="00D3660C" w:rsidP="00D3660C">
      <w:pPr>
        <w:spacing w:after="120" w:line="240" w:lineRule="auto"/>
        <w:rPr>
          <w:rFonts w:ascii="Times New Roman" w:eastAsia="Arial Unicode MS" w:hAnsi="Arial Unicode MS" w:cs="Arial Unicode MS"/>
          <w:color w:val="000000"/>
          <w:sz w:val="24"/>
          <w:szCs w:val="24"/>
          <w:u w:val="single" w:color="000000"/>
          <w:bdr w:val="none" w:sz="0" w:space="0" w:color="auto" w:frame="1"/>
          <w:lang w:eastAsia="en-GB"/>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Arial Unicode MS" w:hAnsi="Arial Unicode MS" w:cs="Arial Unicode MS"/>
          <w:color w:val="000000"/>
          <w:sz w:val="24"/>
          <w:szCs w:val="24"/>
          <w:u w:val="single" w:color="000000"/>
          <w:bdr w:val="none" w:sz="0" w:space="0" w:color="auto" w:frame="1"/>
          <w:lang w:eastAsia="en-GB"/>
        </w:rPr>
        <w:t xml:space="preserve"> </w:t>
      </w:r>
    </w:p>
    <w:p w:rsidR="00D3660C" w:rsidRPr="008012CB" w:rsidRDefault="00D3660C" w:rsidP="00D3660C">
      <w:pPr>
        <w:spacing w:after="120" w:line="240" w:lineRule="auto"/>
        <w:jc w:val="both"/>
        <w:rPr>
          <w:rFonts w:ascii="Times New Roman" w:eastAsia="Calibri" w:hAnsi="Arial Unicode MS" w:cs="Arial Unicode MS"/>
          <w:color w:val="000000"/>
          <w:sz w:val="24"/>
          <w:szCs w:val="24"/>
          <w:u w:color="000000"/>
          <w:bdr w:val="none" w:sz="0" w:space="0" w:color="auto" w:frame="1"/>
          <w:lang w:val="en-AU" w:eastAsia="en-GB"/>
        </w:rPr>
      </w:pPr>
      <w:r w:rsidRPr="008012CB">
        <w:rPr>
          <w:rFonts w:ascii="Times New Roman" w:eastAsia="Arial Unicode MS" w:hAnsi="Arial Unicode MS" w:cs="Arial Unicode MS"/>
          <w:color w:val="000000"/>
          <w:sz w:val="24"/>
          <w:szCs w:val="24"/>
          <w:u w:color="000000"/>
          <w:lang w:val="en-AU" w:eastAsia="en-GB"/>
        </w:rPr>
        <w:t xml:space="preserve">Under the baseline scenario, incentives to create and invest in publications would </w:t>
      </w:r>
      <w:r>
        <w:rPr>
          <w:rFonts w:ascii="Times New Roman" w:eastAsia="Arial Unicode MS" w:hAnsi="Arial Unicode MS" w:cs="Arial Unicode MS"/>
          <w:color w:val="000000"/>
          <w:sz w:val="24"/>
          <w:szCs w:val="24"/>
          <w:u w:color="000000"/>
          <w:lang w:val="en-AU" w:eastAsia="en-GB"/>
        </w:rPr>
        <w:t xml:space="preserve">largely </w:t>
      </w:r>
      <w:r w:rsidRPr="008012CB">
        <w:rPr>
          <w:rFonts w:ascii="Times New Roman" w:eastAsia="Arial Unicode MS" w:hAnsi="Arial Unicode MS" w:cs="Arial Unicode MS"/>
          <w:color w:val="000000"/>
          <w:sz w:val="24"/>
          <w:szCs w:val="24"/>
          <w:u w:color="000000"/>
          <w:lang w:val="en-AU" w:eastAsia="en-GB"/>
        </w:rPr>
        <w:t>remain the same, which may negatively affect the number of publications in the medium term. This would entail negative social impacts, including regarding cultural diversity, media pluralism and the availability and findability of a wide variety of publications for consumers.</w:t>
      </w:r>
    </w:p>
    <w:p w:rsidR="00D3660C" w:rsidRPr="008012CB" w:rsidRDefault="00D3660C" w:rsidP="00D3660C">
      <w:pPr>
        <w:spacing w:after="120" w:line="240" w:lineRule="auto"/>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This option would have no impact on copyright as property right (Article 17 of the Charter), since there will be no change to current copyright rules. The right to freedom of expression and information (Article 11 of the Charter), which includes the pluralism of the media, may be negatively affected in the long run if the sustainability of the </w:t>
      </w:r>
      <w:r w:rsidRPr="00AD1416">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industry is at stake.</w:t>
      </w:r>
    </w:p>
    <w:p w:rsidR="00D3660C" w:rsidRPr="008012CB" w:rsidRDefault="00D3660C" w:rsidP="00D3660C">
      <w:pPr>
        <w:spacing w:after="120" w:line="240" w:lineRule="auto"/>
        <w:jc w:val="both"/>
        <w:rPr>
          <w:rFonts w:ascii="Times New Roman" w:eastAsia="Arial Unicode MS" w:hAnsi="Times New Roman" w:cs="Times New Roman"/>
          <w:b/>
          <w:bCs/>
          <w:color w:val="000000"/>
          <w:sz w:val="24"/>
          <w:szCs w:val="24"/>
          <w:u w:val="single"/>
          <w:bdr w:val="none" w:sz="0" w:space="0" w:color="auto" w:frame="1"/>
          <w:lang w:val="en-AU" w:eastAsia="en-GB"/>
        </w:rPr>
      </w:pPr>
      <w:r w:rsidRPr="008012CB">
        <w:rPr>
          <w:rFonts w:ascii="Times New Roman" w:eastAsia="Arial Unicode MS" w:hAnsi="Times New Roman" w:cs="Times New Roman"/>
          <w:b/>
          <w:bCs/>
          <w:color w:val="000000"/>
          <w:sz w:val="24"/>
          <w:szCs w:val="24"/>
          <w:u w:val="single"/>
          <w:bdr w:val="none" w:sz="0" w:space="0" w:color="auto" w:frame="1"/>
          <w:lang w:val="en-AU" w:eastAsia="en-GB"/>
        </w:rPr>
        <w:t xml:space="preserve">Option 1 – Encouraging stakeholders' dialogue and cooperation on finding solutions concerning the dissemination of </w:t>
      </w:r>
      <w:r w:rsidRPr="00AD1416">
        <w:rPr>
          <w:rFonts w:ascii="Times New Roman" w:eastAsia="Arial Unicode MS" w:hAnsi="Times New Roman" w:cs="Times New Roman"/>
          <w:b/>
          <w:bCs/>
          <w:color w:val="000000"/>
          <w:sz w:val="24"/>
          <w:szCs w:val="24"/>
          <w:u w:val="single"/>
          <w:bdr w:val="none" w:sz="0" w:space="0" w:color="auto" w:frame="1"/>
          <w:lang w:val="en-AU" w:eastAsia="en-GB"/>
        </w:rPr>
        <w:t xml:space="preserve">press </w:t>
      </w:r>
      <w:r w:rsidRPr="008012CB">
        <w:rPr>
          <w:rFonts w:ascii="Times New Roman" w:eastAsia="Arial Unicode MS" w:hAnsi="Times New Roman" w:cs="Times New Roman"/>
          <w:b/>
          <w:bCs/>
          <w:color w:val="000000"/>
          <w:sz w:val="24"/>
          <w:szCs w:val="24"/>
          <w:u w:val="single"/>
          <w:bdr w:val="none" w:sz="0" w:space="0" w:color="auto" w:frame="1"/>
          <w:lang w:val="en-AU" w:eastAsia="en-GB"/>
        </w:rPr>
        <w:t xml:space="preserve">publishers' contents </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D3660C" w:rsidRPr="008012CB" w:rsidRDefault="00D3660C" w:rsidP="00D3660C">
      <w:pPr>
        <w:spacing w:after="120" w:line="240" w:lineRule="auto"/>
        <w:jc w:val="both"/>
        <w:rPr>
          <w:rFonts w:ascii="Times New Roman" w:eastAsia="Calibri" w:hAnsi="Times New Roman" w:cs="Times New Roman"/>
          <w:b/>
          <w:sz w:val="24"/>
          <w:szCs w:val="24"/>
        </w:rPr>
      </w:pPr>
      <w:r w:rsidRPr="008012CB">
        <w:rPr>
          <w:rFonts w:ascii="Times New Roman" w:eastAsia="Calibri" w:hAnsi="Times New Roman" w:cs="Times New Roman"/>
          <w:b/>
          <w:sz w:val="24"/>
          <w:szCs w:val="24"/>
        </w:rPr>
        <w:t>Publishers</w:t>
      </w:r>
    </w:p>
    <w:p w:rsidR="00D3660C" w:rsidRPr="008012CB" w:rsidRDefault="00D3660C" w:rsidP="00D3660C">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non-binding nature of the stakeholders' dialogue would make the impacts of this option and its effectiveness to solve the problems raised by publishers mainly depend on the willingness of the stakeholders to participate in it and to take commitments. The complexity of the market and the variety of players and business models, as well as their unequal bargaining power and the opposed views of the relevant stakeholders as to how the reuse of </w:t>
      </w:r>
      <w:r w:rsidRPr="00AD1416">
        <w:rPr>
          <w:rFonts w:ascii="Times New Roman" w:eastAsia="Calibri" w:hAnsi="Times New Roman" w:cs="Times New Roman"/>
          <w:sz w:val="24"/>
          <w:szCs w:val="24"/>
        </w:rPr>
        <w:t xml:space="preserve">press </w:t>
      </w:r>
      <w:r w:rsidRPr="008012CB">
        <w:rPr>
          <w:rFonts w:ascii="Times New Roman" w:eastAsia="Calibri" w:hAnsi="Times New Roman" w:cs="Times New Roman"/>
          <w:sz w:val="24"/>
          <w:szCs w:val="24"/>
        </w:rPr>
        <w:t xml:space="preserve">content benefits the other party, are all factors which may limit the effectiveness of this option. As a result, the impacts of this option are expected to be rather limited and only slightly better than the baseline scenario. </w:t>
      </w:r>
    </w:p>
    <w:p w:rsidR="00D3660C" w:rsidRPr="008012CB" w:rsidRDefault="00D3660C" w:rsidP="00D3660C">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This option would not solve the specific problem concerning publishers' ability to receive compensation from uses of their publications under exceptions</w:t>
      </w:r>
      <w:r>
        <w:rPr>
          <w:rFonts w:ascii="Times New Roman" w:eastAsia="Calibri" w:hAnsi="Times New Roman" w:cs="Times New Roman"/>
          <w:sz w:val="24"/>
          <w:szCs w:val="24"/>
        </w:rPr>
        <w:t xml:space="preserve"> (which can only be addressed through legislation)</w:t>
      </w:r>
      <w:r w:rsidRPr="008012CB">
        <w:rPr>
          <w:rFonts w:ascii="Times New Roman" w:eastAsia="Calibri" w:hAnsi="Times New Roman" w:cs="Times New Roman"/>
          <w:sz w:val="24"/>
          <w:szCs w:val="24"/>
        </w:rPr>
        <w:t>. In all, these limited impacts may not make up for the costs related to the participation in the dialogue, considering in particular that many publishers are SMEs.</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 xml:space="preserve">Services providers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Neutral impacts are expected, or slightly positive if they manage to reach long-lasting favourable agreements with </w:t>
      </w:r>
      <w:r w:rsidRPr="00AD1416">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publishers, when they see a business opportunity to do so. </w:t>
      </w:r>
    </w:p>
    <w:p w:rsidR="009D59CB" w:rsidRDefault="009D59CB">
      <w:pPr>
        <w:rPr>
          <w:rFonts w:ascii="Times New Roman" w:eastAsia="Calibri" w:hAnsi="Times New Roman" w:cs="Times New Roman"/>
          <w:b/>
          <w:sz w:val="24"/>
          <w:szCs w:val="24"/>
          <w:lang w:val="en-AU"/>
        </w:rPr>
      </w:pPr>
      <w:r>
        <w:rPr>
          <w:rFonts w:ascii="Times New Roman" w:eastAsia="Calibri" w:hAnsi="Times New Roman" w:cs="Times New Roman"/>
          <w:b/>
          <w:sz w:val="24"/>
          <w:szCs w:val="24"/>
          <w:lang w:val="en-AU"/>
        </w:rPr>
        <w:br w:type="page"/>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Impacts on authors and consumers</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D1507D">
        <w:rPr>
          <w:rFonts w:ascii="Times New Roman" w:hAnsi="Times New Roman"/>
          <w:sz w:val="24"/>
        </w:rPr>
        <w:t>L</w:t>
      </w:r>
      <w:r w:rsidRPr="00434D5D">
        <w:rPr>
          <w:rFonts w:ascii="Times New Roman" w:eastAsia="Arial Unicode MS" w:hAnsi="Arial Unicode MS" w:cs="Arial Unicode MS"/>
          <w:color w:val="000000"/>
          <w:sz w:val="24"/>
          <w:szCs w:val="24"/>
          <w:bdr w:val="none" w:sz="0" w:space="0" w:color="auto" w:frame="1"/>
          <w:lang w:eastAsia="en-GB"/>
        </w:rPr>
        <w:t>ike</w:t>
      </w:r>
      <w:r w:rsidRPr="008012CB">
        <w:rPr>
          <w:rFonts w:ascii="Times New Roman" w:eastAsia="Arial Unicode MS" w:hAnsi="Arial Unicode MS" w:cs="Arial Unicode MS"/>
          <w:color w:val="000000"/>
          <w:sz w:val="24"/>
          <w:szCs w:val="24"/>
          <w:bdr w:val="none" w:sz="0" w:space="0" w:color="auto" w:frame="1"/>
          <w:lang w:eastAsia="en-GB"/>
        </w:rPr>
        <w:t xml:space="preserve"> baseline</w:t>
      </w:r>
      <w:r w:rsidRPr="0038249A">
        <w:rPr>
          <w:rFonts w:ascii="Times New Roman" w:eastAsia="Calibri" w:hAnsi="Times New Roman" w:cs="Times New Roman"/>
          <w:sz w:val="24"/>
          <w:szCs w:val="24"/>
          <w:lang w:val="en-AU"/>
        </w:rPr>
        <w:t xml:space="preserve">. </w:t>
      </w:r>
    </w:p>
    <w:p w:rsidR="00D3660C" w:rsidRPr="008012CB" w:rsidRDefault="00D3660C" w:rsidP="00D3660C">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Social impacts</w:t>
      </w:r>
    </w:p>
    <w:p w:rsidR="00D3660C" w:rsidRPr="008012CB" w:rsidRDefault="00D3660C" w:rsidP="00D3660C">
      <w:pPr>
        <w:spacing w:after="120" w:line="240" w:lineRule="auto"/>
        <w:jc w:val="both"/>
        <w:rPr>
          <w:rFonts w:ascii="Times New Roman" w:eastAsia="Arial Unicode MS" w:hAnsi="Arial Unicode MS" w:cs="Arial Unicode MS"/>
          <w:color w:val="000000"/>
          <w:sz w:val="24"/>
          <w:szCs w:val="24"/>
          <w:bdr w:val="none" w:sz="0" w:space="0" w:color="auto" w:frame="1"/>
          <w:lang w:eastAsia="en-GB"/>
        </w:rPr>
      </w:pPr>
      <w:r w:rsidRPr="008012CB">
        <w:rPr>
          <w:rFonts w:ascii="Times New Roman" w:eastAsia="Arial Unicode MS" w:hAnsi="Arial Unicode MS" w:cs="Arial Unicode MS"/>
          <w:color w:val="000000"/>
          <w:sz w:val="24"/>
          <w:szCs w:val="24"/>
          <w:bdr w:val="none" w:sz="0" w:space="0" w:color="auto" w:frame="1"/>
          <w:lang w:eastAsia="en-GB"/>
        </w:rPr>
        <w:t>Like baseline.</w:t>
      </w:r>
    </w:p>
    <w:p w:rsidR="00D3660C" w:rsidRPr="008012CB" w:rsidRDefault="00D3660C" w:rsidP="00D3660C">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D3660C" w:rsidRPr="008012CB" w:rsidRDefault="00D3660C" w:rsidP="00D3660C">
      <w:pPr>
        <w:spacing w:after="0" w:line="240" w:lineRule="auto"/>
        <w:jc w:val="both"/>
        <w:rPr>
          <w:rFonts w:ascii="Times New Roman" w:eastAsia="Arial Unicode MS" w:hAnsi="Arial Unicode MS" w:cs="Arial Unicode MS"/>
          <w:color w:val="000000"/>
          <w:sz w:val="24"/>
          <w:szCs w:val="24"/>
          <w:bdr w:val="none" w:sz="0" w:space="0" w:color="auto" w:frame="1"/>
          <w:lang w:eastAsia="en-GB"/>
        </w:rPr>
      </w:pPr>
      <w:r w:rsidRPr="008012CB">
        <w:rPr>
          <w:rFonts w:ascii="Times New Roman" w:eastAsia="Arial Unicode MS" w:hAnsi="Arial Unicode MS" w:cs="Arial Unicode MS"/>
          <w:color w:val="000000"/>
          <w:sz w:val="24"/>
          <w:szCs w:val="24"/>
          <w:bdr w:val="none" w:sz="0" w:space="0" w:color="auto" w:frame="1"/>
          <w:lang w:eastAsia="en-GB"/>
        </w:rPr>
        <w:t>Like baseline.</w:t>
      </w:r>
    </w:p>
    <w:p w:rsidR="00D3660C" w:rsidRPr="008012CB" w:rsidRDefault="00D3660C" w:rsidP="00D3660C">
      <w:pPr>
        <w:spacing w:before="120" w:after="120" w:line="240" w:lineRule="auto"/>
        <w:jc w:val="both"/>
        <w:rPr>
          <w:rFonts w:ascii="Times New Roman" w:eastAsia="Arial Unicode MS" w:hAnsi="Times New Roman" w:cs="Times New Roman"/>
          <w:b/>
          <w:sz w:val="24"/>
          <w:szCs w:val="24"/>
          <w:u w:val="single"/>
          <w:bdr w:val="none" w:sz="0" w:space="0" w:color="auto" w:frame="1"/>
          <w:lang w:val="en-AU"/>
        </w:rPr>
      </w:pPr>
      <w:r w:rsidRPr="00075C93">
        <w:rPr>
          <w:rFonts w:ascii="Times New Roman" w:eastAsia="Calibri" w:hAnsi="Times New Roman" w:cs="Times New Roman"/>
          <w:b/>
          <w:sz w:val="24"/>
          <w:szCs w:val="24"/>
          <w:u w:val="single"/>
          <w:lang w:val="en-AU"/>
        </w:rPr>
        <w:t>Option 2 –</w:t>
      </w:r>
      <w:r w:rsidRPr="008012CB">
        <w:rPr>
          <w:rFonts w:ascii="Times New Roman" w:eastAsia="Calibri" w:hAnsi="Times New Roman" w:cs="Times New Roman"/>
          <w:b/>
          <w:sz w:val="24"/>
          <w:szCs w:val="24"/>
          <w:u w:val="single"/>
          <w:lang w:val="en-AU"/>
        </w:rPr>
        <w:t xml:space="preserve"> </w:t>
      </w:r>
      <w:r w:rsidRPr="008012CB">
        <w:rPr>
          <w:rFonts w:ascii="Times New Roman" w:eastAsia="Arial Unicode MS" w:hAnsi="Times New Roman" w:cs="Times New Roman"/>
          <w:b/>
          <w:sz w:val="24"/>
          <w:szCs w:val="24"/>
          <w:u w:val="single"/>
          <w:bdr w:val="none" w:sz="0" w:space="0" w:color="auto" w:frame="1"/>
          <w:lang w:val="en-AU"/>
        </w:rPr>
        <w:t xml:space="preserve">Introduction in EU law of a related right covering </w:t>
      </w:r>
      <w:r w:rsidR="00547A84">
        <w:rPr>
          <w:rFonts w:ascii="Times New Roman" w:eastAsia="Arial Unicode MS" w:hAnsi="Times New Roman" w:cs="Times New Roman"/>
          <w:b/>
          <w:sz w:val="24"/>
          <w:szCs w:val="24"/>
          <w:u w:val="single"/>
          <w:bdr w:val="none" w:sz="0" w:space="0" w:color="auto" w:frame="1"/>
          <w:lang w:val="en-AU"/>
        </w:rPr>
        <w:t>digital</w:t>
      </w:r>
      <w:r w:rsidRPr="008012CB">
        <w:rPr>
          <w:rFonts w:ascii="Times New Roman" w:eastAsia="Arial Unicode MS" w:hAnsi="Times New Roman" w:cs="Times New Roman"/>
          <w:b/>
          <w:sz w:val="24"/>
          <w:szCs w:val="24"/>
          <w:u w:val="single"/>
          <w:bdr w:val="none" w:sz="0" w:space="0" w:color="auto" w:frame="1"/>
          <w:lang w:val="en-AU"/>
        </w:rPr>
        <w:t xml:space="preserve"> uses of </w:t>
      </w:r>
      <w:r w:rsidRPr="00AD1416">
        <w:rPr>
          <w:rFonts w:ascii="Times New Roman" w:eastAsia="Arial Unicode MS" w:hAnsi="Times New Roman" w:cs="Times New Roman"/>
          <w:b/>
          <w:sz w:val="24"/>
          <w:szCs w:val="24"/>
          <w:u w:val="single"/>
          <w:bdr w:val="none" w:sz="0" w:space="0" w:color="auto" w:frame="1"/>
          <w:lang w:val="en-AU"/>
        </w:rPr>
        <w:t xml:space="preserve">press </w:t>
      </w:r>
      <w:r w:rsidRPr="008012CB">
        <w:rPr>
          <w:rFonts w:ascii="Times New Roman" w:eastAsia="Arial Unicode MS" w:hAnsi="Times New Roman" w:cs="Times New Roman"/>
          <w:b/>
          <w:sz w:val="24"/>
          <w:szCs w:val="24"/>
          <w:u w:val="single"/>
          <w:bdr w:val="none" w:sz="0" w:space="0" w:color="auto" w:frame="1"/>
          <w:lang w:val="en-AU"/>
        </w:rPr>
        <w:t xml:space="preserve">publications </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D3660C" w:rsidRPr="00D1507D" w:rsidRDefault="00D3660C" w:rsidP="00D3660C">
      <w:pPr>
        <w:spacing w:after="120" w:line="240" w:lineRule="auto"/>
        <w:rPr>
          <w:rFonts w:ascii="Times New Roman" w:hAnsi="Times New Roman"/>
          <w:b/>
          <w:sz w:val="24"/>
        </w:rPr>
      </w:pPr>
      <w:r w:rsidRPr="00D1507D">
        <w:rPr>
          <w:rFonts w:ascii="Times New Roman" w:hAnsi="Times New Roman"/>
          <w:b/>
          <w:sz w:val="24"/>
        </w:rPr>
        <w:t>Publishers</w:t>
      </w:r>
    </w:p>
    <w:p w:rsidR="00D3660C" w:rsidRPr="00722296" w:rsidRDefault="00D3660C" w:rsidP="00D3660C">
      <w:pPr>
        <w:autoSpaceDE w:val="0"/>
        <w:autoSpaceDN w:val="0"/>
        <w:adjustRightInd w:val="0"/>
        <w:spacing w:after="120" w:line="240" w:lineRule="auto"/>
        <w:jc w:val="both"/>
        <w:rPr>
          <w:rFonts w:ascii="Times New Roman" w:eastAsia="Calibri" w:hAnsi="Times New Roman" w:cs="Times New Roman"/>
          <w:sz w:val="24"/>
          <w:szCs w:val="24"/>
        </w:rPr>
      </w:pPr>
      <w:r w:rsidRPr="00D574CC">
        <w:rPr>
          <w:rFonts w:ascii="Times New Roman" w:eastAsia="Calibri" w:hAnsi="Times New Roman" w:cs="Times New Roman"/>
          <w:sz w:val="24"/>
          <w:szCs w:val="24"/>
        </w:rPr>
        <w:t xml:space="preserve">Under this option, </w:t>
      </w:r>
      <w:r w:rsidRPr="00AD1416">
        <w:rPr>
          <w:rFonts w:ascii="Times New Roman" w:eastAsia="Calibri" w:hAnsi="Times New Roman" w:cs="Times New Roman"/>
          <w:sz w:val="24"/>
          <w:szCs w:val="24"/>
        </w:rPr>
        <w:t xml:space="preserve">press </w:t>
      </w:r>
      <w:r w:rsidRPr="00D574CC">
        <w:rPr>
          <w:rFonts w:ascii="Times New Roman" w:eastAsia="Calibri" w:hAnsi="Times New Roman" w:cs="Times New Roman"/>
          <w:sz w:val="24"/>
          <w:szCs w:val="24"/>
        </w:rPr>
        <w:t xml:space="preserve">publishers would still need to </w:t>
      </w:r>
      <w:r>
        <w:rPr>
          <w:rFonts w:ascii="Times New Roman" w:eastAsia="Calibri" w:hAnsi="Times New Roman" w:cs="Times New Roman"/>
          <w:sz w:val="24"/>
          <w:szCs w:val="24"/>
        </w:rPr>
        <w:t xml:space="preserve">acquire </w:t>
      </w:r>
      <w:r w:rsidRPr="00D574CC">
        <w:rPr>
          <w:rFonts w:ascii="Times New Roman" w:eastAsia="Calibri" w:hAnsi="Times New Roman" w:cs="Times New Roman"/>
          <w:sz w:val="24"/>
          <w:szCs w:val="24"/>
        </w:rPr>
        <w:t>authors' authorisation to publish their contributions in a newspaper or a magazine, as they do today.</w:t>
      </w:r>
      <w:r w:rsidRPr="00D574CC">
        <w:rPr>
          <w:rFonts w:ascii="Times New Roman" w:eastAsia="Calibri" w:hAnsi="Times New Roman" w:cs="Times New Roman"/>
          <w:sz w:val="24"/>
          <w:szCs w:val="24"/>
          <w:vertAlign w:val="superscript"/>
        </w:rPr>
        <w:footnoteReference w:id="512"/>
      </w:r>
      <w:r w:rsidRPr="00D574CC">
        <w:rPr>
          <w:rFonts w:ascii="Times New Roman" w:eastAsia="Calibri" w:hAnsi="Times New Roman" w:cs="Times New Roman"/>
          <w:sz w:val="24"/>
          <w:szCs w:val="24"/>
        </w:rPr>
        <w:t xml:space="preserve"> Therefore, the </w:t>
      </w:r>
      <w:r w:rsidRPr="00722296">
        <w:rPr>
          <w:rFonts w:ascii="Times New Roman" w:eastAsia="Calibri" w:hAnsi="Times New Roman" w:cs="Times New Roman"/>
          <w:sz w:val="24"/>
          <w:szCs w:val="24"/>
        </w:rPr>
        <w:t xml:space="preserve">relationship authors-publishers would remain untouched. </w:t>
      </w:r>
    </w:p>
    <w:p w:rsidR="00D3660C" w:rsidRPr="00D574CC" w:rsidRDefault="00D3660C" w:rsidP="00D3660C">
      <w:pPr>
        <w:autoSpaceDE w:val="0"/>
        <w:autoSpaceDN w:val="0"/>
        <w:adjustRightInd w:val="0"/>
        <w:spacing w:after="120" w:line="240" w:lineRule="auto"/>
        <w:jc w:val="both"/>
        <w:rPr>
          <w:rFonts w:ascii="Times New Roman" w:eastAsia="Calibri" w:hAnsi="Times New Roman" w:cs="Times New Roman"/>
          <w:sz w:val="24"/>
          <w:szCs w:val="24"/>
        </w:rPr>
      </w:pPr>
      <w:r w:rsidRPr="00722296">
        <w:rPr>
          <w:rFonts w:ascii="Times New Roman" w:eastAsia="Calibri" w:hAnsi="Times New Roman" w:cs="Times New Roman"/>
          <w:sz w:val="24"/>
          <w:szCs w:val="24"/>
        </w:rPr>
        <w:t xml:space="preserve">In contrast, this option </w:t>
      </w:r>
      <w:r>
        <w:rPr>
          <w:rFonts w:ascii="Times New Roman" w:eastAsia="Calibri" w:hAnsi="Times New Roman" w:cs="Times New Roman"/>
          <w:sz w:val="24"/>
          <w:szCs w:val="24"/>
        </w:rPr>
        <w:t>would</w:t>
      </w:r>
      <w:r w:rsidRPr="00722296">
        <w:rPr>
          <w:rFonts w:ascii="Times New Roman" w:eastAsia="Calibri" w:hAnsi="Times New Roman" w:cs="Times New Roman"/>
          <w:sz w:val="24"/>
          <w:szCs w:val="24"/>
        </w:rPr>
        <w:t xml:space="preserve"> provide these publishers with </w:t>
      </w:r>
      <w:r w:rsidRPr="00D1507D">
        <w:rPr>
          <w:rFonts w:ascii="Times New Roman" w:hAnsi="Times New Roman"/>
          <w:sz w:val="24"/>
        </w:rPr>
        <w:t xml:space="preserve">a </w:t>
      </w:r>
      <w:r w:rsidRPr="00722296">
        <w:rPr>
          <w:rFonts w:ascii="Times New Roman" w:eastAsia="Calibri" w:hAnsi="Times New Roman" w:cs="Times New Roman"/>
          <w:sz w:val="24"/>
          <w:szCs w:val="24"/>
        </w:rPr>
        <w:t xml:space="preserve">substantial </w:t>
      </w:r>
      <w:r w:rsidRPr="00AD57F7">
        <w:rPr>
          <w:rFonts w:ascii="Times New Roman" w:hAnsi="Times New Roman"/>
          <w:sz w:val="24"/>
        </w:rPr>
        <w:t xml:space="preserve">added value </w:t>
      </w:r>
      <w:r w:rsidRPr="00722296">
        <w:rPr>
          <w:rFonts w:ascii="Times New Roman" w:eastAsia="Calibri" w:hAnsi="Times New Roman" w:cs="Times New Roman"/>
          <w:sz w:val="24"/>
          <w:szCs w:val="24"/>
        </w:rPr>
        <w:t xml:space="preserve">when it comes to licensing out their publications for online uses by third parties, something that, as explained in </w:t>
      </w:r>
      <w:r>
        <w:rPr>
          <w:rFonts w:ascii="Times New Roman" w:eastAsia="Calibri" w:hAnsi="Times New Roman" w:cs="Times New Roman"/>
          <w:sz w:val="24"/>
          <w:szCs w:val="24"/>
        </w:rPr>
        <w:t>Section 5.3.1</w:t>
      </w:r>
      <w:r w:rsidRPr="00722296">
        <w:rPr>
          <w:rFonts w:ascii="Times New Roman" w:eastAsia="Calibri" w:hAnsi="Times New Roman" w:cs="Times New Roman"/>
          <w:sz w:val="24"/>
          <w:szCs w:val="24"/>
        </w:rPr>
        <w:t xml:space="preserve">, is increasingly important for them in the digital environment. Being able to authorise the use of their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722296">
        <w:rPr>
          <w:rFonts w:ascii="Times New Roman" w:eastAsia="Calibri" w:hAnsi="Times New Roman" w:cs="Times New Roman"/>
          <w:sz w:val="24"/>
          <w:szCs w:val="24"/>
        </w:rPr>
        <w:t xml:space="preserve">publications on the basis of </w:t>
      </w:r>
      <w:r>
        <w:rPr>
          <w:rFonts w:ascii="Times New Roman" w:eastAsia="Calibri" w:hAnsi="Times New Roman" w:cs="Times New Roman"/>
          <w:sz w:val="24"/>
          <w:szCs w:val="24"/>
        </w:rPr>
        <w:t xml:space="preserve">an </w:t>
      </w:r>
      <w:r w:rsidRPr="00722296">
        <w:rPr>
          <w:rFonts w:ascii="Times New Roman" w:eastAsia="Calibri" w:hAnsi="Times New Roman" w:cs="Times New Roman"/>
          <w:sz w:val="24"/>
          <w:szCs w:val="24"/>
        </w:rPr>
        <w:t xml:space="preserve">own self-standing </w:t>
      </w:r>
      <w:r w:rsidRPr="00D1507D">
        <w:rPr>
          <w:rFonts w:ascii="Times New Roman" w:hAnsi="Times New Roman"/>
          <w:sz w:val="24"/>
        </w:rPr>
        <w:t xml:space="preserve">right would </w:t>
      </w:r>
      <w:r w:rsidRPr="00AD57F7">
        <w:rPr>
          <w:rFonts w:ascii="Times New Roman" w:eastAsia="Calibri" w:hAnsi="Times New Roman" w:cs="Times New Roman"/>
          <w:sz w:val="24"/>
          <w:szCs w:val="24"/>
        </w:rPr>
        <w:t xml:space="preserve">place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in </w:t>
      </w:r>
      <w:r w:rsidRPr="00AD57F7">
        <w:rPr>
          <w:rFonts w:ascii="Times New Roman" w:eastAsia="Calibri" w:hAnsi="Times New Roman" w:cs="Times New Roman"/>
          <w:sz w:val="24"/>
          <w:szCs w:val="24"/>
        </w:rPr>
        <w:t xml:space="preserve">a comparable situation to the one of other related </w:t>
      </w:r>
      <w:r>
        <w:rPr>
          <w:rFonts w:ascii="Times New Roman" w:eastAsia="Calibri" w:hAnsi="Times New Roman" w:cs="Times New Roman"/>
          <w:sz w:val="24"/>
          <w:szCs w:val="24"/>
        </w:rPr>
        <w:t>rightholders</w:t>
      </w:r>
      <w:r w:rsidRPr="00AD57F7">
        <w:rPr>
          <w:rFonts w:ascii="Times New Roman" w:eastAsia="Calibri" w:hAnsi="Times New Roman" w:cs="Times New Roman"/>
          <w:sz w:val="24"/>
          <w:szCs w:val="24"/>
        </w:rPr>
        <w:t xml:space="preserve"> in EU law, </w:t>
      </w:r>
      <w:r w:rsidRPr="004B59A1">
        <w:rPr>
          <w:rFonts w:ascii="Times New Roman" w:eastAsia="Calibri" w:hAnsi="Times New Roman" w:cs="Times New Roman"/>
          <w:sz w:val="24"/>
          <w:szCs w:val="24"/>
        </w:rPr>
        <w:t xml:space="preserve">such as film and phonogram producers, </w:t>
      </w:r>
      <w:r w:rsidRPr="00AD57F7">
        <w:rPr>
          <w:rFonts w:ascii="Times New Roman" w:eastAsia="Calibri" w:hAnsi="Times New Roman" w:cs="Times New Roman"/>
          <w:sz w:val="24"/>
          <w:szCs w:val="24"/>
        </w:rPr>
        <w:t xml:space="preserve">thus recognising their role in </w:t>
      </w:r>
      <w:r w:rsidRPr="00D1507D">
        <w:rPr>
          <w:rFonts w:ascii="Times New Roman" w:hAnsi="Times New Roman"/>
          <w:sz w:val="24"/>
        </w:rPr>
        <w:t xml:space="preserve">terms of </w:t>
      </w:r>
      <w:r w:rsidRPr="00AD57F7">
        <w:rPr>
          <w:rFonts w:ascii="Times New Roman" w:eastAsia="Calibri" w:hAnsi="Times New Roman" w:cs="Times New Roman"/>
          <w:sz w:val="24"/>
          <w:szCs w:val="24"/>
        </w:rPr>
        <w:t xml:space="preserve">investments and overall contribution to the creative process </w:t>
      </w:r>
      <w:r w:rsidRPr="00D1507D">
        <w:rPr>
          <w:rFonts w:ascii="Times New Roman" w:hAnsi="Times New Roman"/>
          <w:sz w:val="24"/>
        </w:rPr>
        <w:t xml:space="preserve">and </w:t>
      </w:r>
      <w:r w:rsidRPr="00722296">
        <w:rPr>
          <w:rFonts w:ascii="Times New Roman" w:eastAsia="Calibri" w:hAnsi="Times New Roman" w:cs="Times New Roman"/>
          <w:sz w:val="24"/>
          <w:szCs w:val="24"/>
        </w:rPr>
        <w:t>allow</w:t>
      </w:r>
      <w:r>
        <w:rPr>
          <w:rFonts w:ascii="Times New Roman" w:eastAsia="Calibri" w:hAnsi="Times New Roman" w:cs="Times New Roman"/>
          <w:sz w:val="24"/>
          <w:szCs w:val="24"/>
        </w:rPr>
        <w:t>ing</w:t>
      </w:r>
      <w:r w:rsidRPr="007222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them </w:t>
      </w:r>
      <w:r w:rsidRPr="00722296">
        <w:rPr>
          <w:rFonts w:ascii="Times New Roman" w:eastAsia="Calibri" w:hAnsi="Times New Roman" w:cs="Times New Roman"/>
          <w:sz w:val="24"/>
          <w:szCs w:val="24"/>
        </w:rPr>
        <w:t>to benefit from:</w:t>
      </w:r>
    </w:p>
    <w:p w:rsidR="00D3660C" w:rsidRPr="00457342" w:rsidRDefault="00D3660C" w:rsidP="00D3660C">
      <w:pPr>
        <w:autoSpaceDE w:val="0"/>
        <w:autoSpaceDN w:val="0"/>
        <w:adjustRightInd w:val="0"/>
        <w:spacing w:after="120" w:line="240" w:lineRule="auto"/>
        <w:jc w:val="both"/>
        <w:rPr>
          <w:rFonts w:ascii="Times New Roman" w:eastAsia="Calibri" w:hAnsi="Times New Roman" w:cs="Times New Roman"/>
          <w:sz w:val="24"/>
          <w:szCs w:val="24"/>
        </w:rPr>
      </w:pPr>
      <w:r w:rsidRPr="00457342">
        <w:rPr>
          <w:rFonts w:ascii="Times New Roman" w:eastAsia="Calibri" w:hAnsi="Times New Roman" w:cs="Times New Roman"/>
          <w:sz w:val="24"/>
          <w:szCs w:val="24"/>
        </w:rPr>
        <w:t xml:space="preserve">1. More efficient licensing mechanisms. While a self-standing related right would not remove the need from publishers to acquire authors' rights also for the purposes of further licences with third parties, it would nevertheless provide them with a clearer position </w:t>
      </w:r>
      <w:r w:rsidRPr="00AD57F7">
        <w:rPr>
          <w:rFonts w:ascii="Times New Roman" w:hAnsi="Times New Roman"/>
          <w:sz w:val="24"/>
        </w:rPr>
        <w:t xml:space="preserve">in </w:t>
      </w:r>
      <w:r w:rsidRPr="00457342">
        <w:rPr>
          <w:rFonts w:ascii="Times New Roman" w:eastAsia="Calibri" w:hAnsi="Times New Roman" w:cs="Times New Roman"/>
          <w:sz w:val="24"/>
          <w:szCs w:val="24"/>
        </w:rPr>
        <w:t xml:space="preserve">the context of negotiations with </w:t>
      </w:r>
      <w:r>
        <w:rPr>
          <w:rFonts w:ascii="Times New Roman" w:eastAsia="Calibri" w:hAnsi="Times New Roman" w:cs="Times New Roman"/>
          <w:sz w:val="24"/>
          <w:szCs w:val="24"/>
        </w:rPr>
        <w:t>them as they will be able to rely on their own right</w:t>
      </w:r>
      <w:r w:rsidRPr="00457342">
        <w:rPr>
          <w:rFonts w:ascii="Times New Roman" w:eastAsia="Calibri" w:hAnsi="Times New Roman" w:cs="Times New Roman"/>
          <w:sz w:val="24"/>
          <w:szCs w:val="24"/>
        </w:rPr>
        <w:t xml:space="preserve">. </w:t>
      </w:r>
      <w:r>
        <w:rPr>
          <w:rFonts w:ascii="Times New Roman" w:eastAsia="Calibri" w:hAnsi="Times New Roman" w:cs="Times New Roman"/>
          <w:sz w:val="24"/>
          <w:szCs w:val="24"/>
        </w:rPr>
        <w:t>Harmonised</w:t>
      </w:r>
      <w:r w:rsidRPr="00D1507D">
        <w:rPr>
          <w:rFonts w:ascii="Times New Roman" w:hAnsi="Times New Roman"/>
          <w:sz w:val="24"/>
        </w:rPr>
        <w:t xml:space="preserve"> protection at EU level would further </w:t>
      </w:r>
      <w:r>
        <w:rPr>
          <w:rFonts w:ascii="Times New Roman" w:eastAsia="Calibri" w:hAnsi="Times New Roman" w:cs="Times New Roman"/>
          <w:sz w:val="24"/>
          <w:szCs w:val="24"/>
        </w:rPr>
        <w:t xml:space="preserve">increase the legal certainty to the benefit of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rPr>
        <w:t xml:space="preserve">publishers. </w:t>
      </w:r>
    </w:p>
    <w:p w:rsidR="00D3660C" w:rsidRPr="00D574CC" w:rsidRDefault="00D3660C" w:rsidP="00D3660C">
      <w:pPr>
        <w:autoSpaceDE w:val="0"/>
        <w:autoSpaceDN w:val="0"/>
        <w:adjustRightInd w:val="0"/>
        <w:spacing w:after="120" w:line="240" w:lineRule="auto"/>
        <w:jc w:val="both"/>
        <w:rPr>
          <w:rFonts w:ascii="Times New Roman" w:eastAsia="Calibri" w:hAnsi="Times New Roman" w:cs="Times New Roman"/>
          <w:sz w:val="24"/>
          <w:szCs w:val="24"/>
        </w:rPr>
      </w:pPr>
      <w:r w:rsidRPr="00D574CC">
        <w:rPr>
          <w:rFonts w:ascii="Times New Roman" w:eastAsia="Calibri" w:hAnsi="Times New Roman" w:cs="Times New Roman"/>
          <w:sz w:val="24"/>
          <w:szCs w:val="24"/>
        </w:rPr>
        <w:t xml:space="preserve">2. More efficient enforcement of rights. Enforcing transferred rights is burdensome and time-consuming if the number of </w:t>
      </w:r>
      <w:r>
        <w:rPr>
          <w:rFonts w:ascii="Times New Roman" w:eastAsia="Calibri" w:hAnsi="Times New Roman" w:cs="Times New Roman"/>
          <w:sz w:val="24"/>
          <w:szCs w:val="24"/>
        </w:rPr>
        <w:t xml:space="preserve">content </w:t>
      </w:r>
      <w:r w:rsidRPr="00D574CC">
        <w:rPr>
          <w:rFonts w:ascii="Times New Roman" w:eastAsia="Calibri" w:hAnsi="Times New Roman" w:cs="Times New Roman"/>
          <w:sz w:val="24"/>
          <w:szCs w:val="24"/>
        </w:rPr>
        <w:t>contributors is very high</w:t>
      </w:r>
      <w:r>
        <w:rPr>
          <w:rFonts w:ascii="Times New Roman" w:eastAsia="Calibri" w:hAnsi="Times New Roman" w:cs="Times New Roman"/>
          <w:sz w:val="24"/>
          <w:szCs w:val="24"/>
        </w:rPr>
        <w:t>, as it is typically the case with press content</w:t>
      </w:r>
      <w:r w:rsidRPr="00D574CC">
        <w:rPr>
          <w:rFonts w:ascii="Times New Roman" w:eastAsia="Calibri" w:hAnsi="Times New Roman" w:cs="Times New Roman"/>
          <w:sz w:val="24"/>
          <w:szCs w:val="24"/>
        </w:rPr>
        <w:t xml:space="preserve">. As set out in </w:t>
      </w:r>
      <w:r>
        <w:rPr>
          <w:rFonts w:ascii="Times New Roman" w:eastAsia="Calibri" w:hAnsi="Times New Roman" w:cs="Times New Roman"/>
          <w:sz w:val="24"/>
          <w:szCs w:val="24"/>
        </w:rPr>
        <w:t>Section 5.3.1</w:t>
      </w:r>
      <w:r w:rsidRPr="00D574CC">
        <w:rPr>
          <w:rFonts w:ascii="Times New Roman" w:eastAsia="Calibri" w:hAnsi="Times New Roman" w:cs="Times New Roman"/>
          <w:sz w:val="24"/>
          <w:szCs w:val="24"/>
        </w:rPr>
        <w:t>, a court may ask a publisher, as licensee or transferee, to prove that it owns all the allegedly infringed rights</w:t>
      </w:r>
      <w:r>
        <w:rPr>
          <w:rFonts w:ascii="Times New Roman" w:eastAsia="Calibri" w:hAnsi="Times New Roman" w:cs="Times New Roman"/>
          <w:sz w:val="24"/>
          <w:szCs w:val="24"/>
        </w:rPr>
        <w:t xml:space="preserve"> </w:t>
      </w:r>
      <w:r w:rsidRPr="00D574CC">
        <w:rPr>
          <w:rFonts w:ascii="Times New Roman" w:eastAsia="Calibri" w:hAnsi="Times New Roman" w:cs="Times New Roman"/>
          <w:sz w:val="24"/>
          <w:szCs w:val="24"/>
        </w:rPr>
        <w:t xml:space="preserve">(e.g. </w:t>
      </w:r>
      <w:r>
        <w:rPr>
          <w:rFonts w:ascii="Times New Roman" w:eastAsia="Calibri" w:hAnsi="Times New Roman" w:cs="Times New Roman"/>
          <w:sz w:val="24"/>
          <w:szCs w:val="24"/>
        </w:rPr>
        <w:t xml:space="preserve">in one case reported by the publishing industry </w:t>
      </w:r>
      <w:r w:rsidRPr="00D574CC">
        <w:rPr>
          <w:rFonts w:ascii="Times New Roman" w:eastAsia="Calibri" w:hAnsi="Times New Roman" w:cs="Times New Roman"/>
          <w:sz w:val="24"/>
          <w:szCs w:val="24"/>
        </w:rPr>
        <w:t>up to 22,000 contracts with journalists in order to file a lawsuit for the</w:t>
      </w:r>
      <w:r>
        <w:rPr>
          <w:rFonts w:ascii="Times New Roman" w:eastAsia="Calibri" w:hAnsi="Times New Roman" w:cs="Times New Roman"/>
          <w:sz w:val="24"/>
          <w:szCs w:val="24"/>
        </w:rPr>
        <w:t xml:space="preserve"> mass</w:t>
      </w:r>
      <w:r w:rsidRPr="00D574CC">
        <w:rPr>
          <w:rFonts w:ascii="Times New Roman" w:eastAsia="Calibri" w:hAnsi="Times New Roman" w:cs="Times New Roman"/>
          <w:sz w:val="24"/>
          <w:szCs w:val="24"/>
        </w:rPr>
        <w:t xml:space="preserve"> infringement of publishers' rights in DE). In contrast, under this option publishers would enforce their own rights. They would be treated by the national courts as original </w:t>
      </w:r>
      <w:r>
        <w:rPr>
          <w:rFonts w:ascii="Times New Roman" w:eastAsia="Calibri" w:hAnsi="Times New Roman" w:cs="Times New Roman"/>
          <w:sz w:val="24"/>
          <w:szCs w:val="24"/>
        </w:rPr>
        <w:t>rightholders</w:t>
      </w:r>
      <w:r w:rsidRPr="00D574CC">
        <w:rPr>
          <w:rFonts w:ascii="Times New Roman" w:eastAsia="Calibri" w:hAnsi="Times New Roman" w:cs="Times New Roman"/>
          <w:sz w:val="24"/>
          <w:szCs w:val="24"/>
        </w:rPr>
        <w:t xml:space="preserve">, not as licensees. </w:t>
      </w:r>
      <w:r>
        <w:rPr>
          <w:rFonts w:ascii="Times New Roman" w:eastAsia="Calibri" w:hAnsi="Times New Roman" w:cs="Times New Roman"/>
          <w:sz w:val="24"/>
          <w:szCs w:val="24"/>
        </w:rPr>
        <w:t>As a result, publishers would be able to fully benefit from the remedies provided for under the Enforcement Directive and the related national laws.</w:t>
      </w:r>
      <w:r>
        <w:rPr>
          <w:rStyle w:val="FootnoteReference"/>
          <w:rFonts w:ascii="Times New Roman" w:eastAsia="Calibri" w:hAnsi="Times New Roman" w:cs="Times New Roman"/>
          <w:sz w:val="24"/>
          <w:szCs w:val="24"/>
        </w:rPr>
        <w:footnoteReference w:id="513"/>
      </w:r>
      <w:r>
        <w:rPr>
          <w:rFonts w:ascii="Times New Roman" w:eastAsia="Calibri" w:hAnsi="Times New Roman" w:cs="Times New Roman"/>
          <w:sz w:val="24"/>
          <w:szCs w:val="24"/>
        </w:rPr>
        <w:t xml:space="preserve"> </w:t>
      </w:r>
      <w:r w:rsidRPr="00D574CC">
        <w:rPr>
          <w:rFonts w:ascii="Times New Roman" w:eastAsia="Calibri" w:hAnsi="Times New Roman" w:cs="Times New Roman"/>
          <w:sz w:val="24"/>
          <w:szCs w:val="24"/>
        </w:rPr>
        <w:t xml:space="preserve">Consequently, getting injunctive relief or instituting infringement proceedings before the court would be swifter. </w:t>
      </w:r>
    </w:p>
    <w:p w:rsidR="00D3660C" w:rsidRDefault="00D3660C" w:rsidP="00D3660C">
      <w:pPr>
        <w:autoSpaceDE w:val="0"/>
        <w:autoSpaceDN w:val="0"/>
        <w:adjustRightInd w:val="0"/>
        <w:spacing w:after="120" w:line="240" w:lineRule="auto"/>
        <w:jc w:val="both"/>
        <w:rPr>
          <w:rFonts w:ascii="Times New Roman" w:eastAsia="Calibri" w:hAnsi="Times New Roman" w:cs="Times New Roman"/>
          <w:sz w:val="24"/>
          <w:szCs w:val="24"/>
        </w:rPr>
      </w:pPr>
      <w:r w:rsidRPr="00D574CC">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Stronger incentives on online services to seek licences for the reuse of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rPr>
        <w:t xml:space="preserve">publishers' content. </w:t>
      </w:r>
      <w:r w:rsidRPr="00D574CC">
        <w:rPr>
          <w:rFonts w:ascii="Times New Roman" w:eastAsia="Calibri" w:hAnsi="Times New Roman" w:cs="Times New Roman"/>
          <w:sz w:val="24"/>
          <w:szCs w:val="24"/>
        </w:rPr>
        <w:t xml:space="preserve">Today, some online service providers take advantage of the inefficiencies in the enforcement of </w:t>
      </w:r>
      <w:r>
        <w:rPr>
          <w:rFonts w:ascii="Times New Roman" w:eastAsia="Calibri" w:hAnsi="Times New Roman" w:cs="Times New Roman"/>
          <w:sz w:val="24"/>
          <w:szCs w:val="24"/>
        </w:rPr>
        <w:t>large</w:t>
      </w:r>
      <w:r w:rsidRPr="00D574CC">
        <w:rPr>
          <w:rFonts w:ascii="Times New Roman" w:eastAsia="Calibri" w:hAnsi="Times New Roman" w:cs="Times New Roman"/>
          <w:sz w:val="24"/>
          <w:szCs w:val="24"/>
        </w:rPr>
        <w:t xml:space="preserve"> numbers of transferred authors' rights, knowing that they would not face any significant opposition due to the burdensome processes</w:t>
      </w:r>
      <w:r w:rsidRPr="00D1507D">
        <w:rPr>
          <w:rFonts w:ascii="Times New Roman" w:hAnsi="Times New Roman"/>
          <w:sz w:val="24"/>
        </w:rPr>
        <w:t xml:space="preserv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w:t>
      </w:r>
      <w:r w:rsidRPr="00D574CC">
        <w:rPr>
          <w:rFonts w:ascii="Times New Roman" w:eastAsia="Calibri" w:hAnsi="Times New Roman" w:cs="Times New Roman"/>
          <w:sz w:val="24"/>
          <w:szCs w:val="24"/>
        </w:rPr>
        <w:t xml:space="preserve">would have to go through to enforce those rights. </w:t>
      </w:r>
      <w:r>
        <w:rPr>
          <w:rFonts w:ascii="Times New Roman" w:eastAsia="Calibri" w:hAnsi="Times New Roman" w:cs="Times New Roman"/>
          <w:sz w:val="24"/>
          <w:szCs w:val="24"/>
        </w:rPr>
        <w:t xml:space="preserve">More efficient enforcement is therefore likely to result in increased licensing opportunities for publishers as it </w:t>
      </w:r>
      <w:r w:rsidRPr="00D574CC">
        <w:rPr>
          <w:rFonts w:ascii="Times New Roman" w:eastAsia="Calibri" w:hAnsi="Times New Roman" w:cs="Times New Roman"/>
          <w:sz w:val="24"/>
          <w:szCs w:val="24"/>
        </w:rPr>
        <w:t xml:space="preserve">would </w:t>
      </w:r>
      <w:r>
        <w:rPr>
          <w:rFonts w:ascii="Times New Roman" w:eastAsia="Calibri" w:hAnsi="Times New Roman" w:cs="Times New Roman"/>
          <w:sz w:val="24"/>
          <w:szCs w:val="24"/>
        </w:rPr>
        <w:t>discourage</w:t>
      </w:r>
      <w:r w:rsidRPr="00D574CC">
        <w:rPr>
          <w:rFonts w:ascii="Times New Roman" w:eastAsia="Calibri" w:hAnsi="Times New Roman" w:cs="Times New Roman"/>
          <w:sz w:val="24"/>
          <w:szCs w:val="24"/>
        </w:rPr>
        <w:t xml:space="preserve"> </w:t>
      </w:r>
      <w:r>
        <w:rPr>
          <w:rFonts w:ascii="Times New Roman" w:eastAsia="Calibri" w:hAnsi="Times New Roman" w:cs="Times New Roman"/>
          <w:sz w:val="24"/>
          <w:szCs w:val="24"/>
        </w:rPr>
        <w:t>online service providers from infringing publishers' rights and incentivise them to seek the required licences</w:t>
      </w:r>
      <w:r w:rsidRPr="00D574CC">
        <w:rPr>
          <w:rFonts w:ascii="Times New Roman" w:eastAsia="Calibri" w:hAnsi="Times New Roman" w:cs="Times New Roman"/>
          <w:sz w:val="24"/>
          <w:szCs w:val="24"/>
        </w:rPr>
        <w:t xml:space="preserve">. </w:t>
      </w:r>
    </w:p>
    <w:p w:rsidR="00D3660C" w:rsidRPr="00DE76C7" w:rsidRDefault="00D3660C" w:rsidP="00D3660C">
      <w:pPr>
        <w:autoSpaceDE w:val="0"/>
        <w:autoSpaceDN w:val="0"/>
        <w:adjustRightInd w:val="0"/>
        <w:spacing w:after="120" w:line="240" w:lineRule="auto"/>
        <w:jc w:val="both"/>
        <w:rPr>
          <w:rFonts w:ascii="Times New Roman" w:hAnsi="Times New Roman"/>
          <w:sz w:val="24"/>
        </w:rPr>
      </w:pPr>
      <w:r w:rsidRPr="00D574CC">
        <w:rPr>
          <w:rFonts w:ascii="Times New Roman" w:eastAsia="Calibri" w:hAnsi="Times New Roman" w:cs="Times New Roman"/>
          <w:sz w:val="24"/>
          <w:szCs w:val="24"/>
        </w:rPr>
        <w:t xml:space="preserve">As a </w:t>
      </w:r>
      <w:r>
        <w:rPr>
          <w:rFonts w:ascii="Times New Roman" w:eastAsia="Calibri" w:hAnsi="Times New Roman" w:cs="Times New Roman"/>
          <w:sz w:val="24"/>
          <w:szCs w:val="24"/>
        </w:rPr>
        <w:t>combined effect of the above mentioned factors</w:t>
      </w:r>
      <w:r w:rsidRPr="00D574CC">
        <w:rPr>
          <w:rFonts w:ascii="Times New Roman" w:eastAsia="Calibri" w:hAnsi="Times New Roman" w:cs="Times New Roman"/>
          <w:sz w:val="24"/>
          <w:szCs w:val="24"/>
        </w:rPr>
        <w:t xml:space="preserve">, this option would increase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574CC">
        <w:rPr>
          <w:rFonts w:ascii="Times New Roman" w:eastAsia="Calibri" w:hAnsi="Times New Roman" w:cs="Times New Roman"/>
          <w:sz w:val="24"/>
          <w:szCs w:val="24"/>
        </w:rPr>
        <w:t xml:space="preserve">publishers' </w:t>
      </w:r>
      <w:r w:rsidRPr="000B6E88">
        <w:rPr>
          <w:rFonts w:ascii="Times New Roman" w:eastAsia="Calibri" w:hAnsi="Times New Roman" w:cs="Times New Roman"/>
          <w:sz w:val="24"/>
          <w:szCs w:val="24"/>
        </w:rPr>
        <w:t>bargaining power</w:t>
      </w:r>
      <w:r>
        <w:rPr>
          <w:rFonts w:ascii="Times New Roman" w:eastAsia="Calibri" w:hAnsi="Times New Roman" w:cs="Times New Roman"/>
          <w:sz w:val="24"/>
          <w:szCs w:val="24"/>
        </w:rPr>
        <w:t xml:space="preserve"> vis-à-vis third parties, thus creating new licensing opportunities in the digital environment. The expected reduction of piracy in this sector is likely to increase revenues related to the legal exploitation of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rPr>
        <w:t xml:space="preserve">publications (i.e. the reduction of piracy would redirect readers to legal sources). Moreover, some of the online service providers which reuse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rPr>
        <w:t>publications without the required authorisation may seek</w:t>
      </w:r>
      <w:r w:rsidRPr="00E50FAC">
        <w:rPr>
          <w:rFonts w:ascii="Times New Roman" w:hAnsi="Times New Roman"/>
          <w:sz w:val="24"/>
          <w:szCs w:val="24"/>
        </w:rPr>
        <w:t xml:space="preserve"> </w:t>
      </w:r>
      <w:r w:rsidRPr="00D574CC">
        <w:rPr>
          <w:rFonts w:ascii="Times New Roman" w:hAnsi="Times New Roman"/>
          <w:sz w:val="24"/>
          <w:szCs w:val="24"/>
        </w:rPr>
        <w:t xml:space="preserve">licences or </w:t>
      </w:r>
      <w:r w:rsidRPr="00490414">
        <w:rPr>
          <w:rFonts w:ascii="Times New Roman" w:hAnsi="Times New Roman"/>
          <w:sz w:val="24"/>
          <w:szCs w:val="24"/>
        </w:rPr>
        <w:t>monetisation agreements</w:t>
      </w:r>
      <w:r>
        <w:rPr>
          <w:rFonts w:ascii="Times New Roman" w:hAnsi="Times New Roman"/>
          <w:sz w:val="24"/>
          <w:szCs w:val="24"/>
        </w:rPr>
        <w:t xml:space="preserve"> with press publishers, thus raising revenues stemming from licences. </w:t>
      </w:r>
      <w:r>
        <w:rPr>
          <w:rFonts w:ascii="Times New Roman" w:eastAsia="Calibri" w:hAnsi="Times New Roman" w:cs="Times New Roman"/>
          <w:sz w:val="24"/>
          <w:szCs w:val="24"/>
        </w:rPr>
        <w:t>While it is difficult to quantify these benefits</w:t>
      </w:r>
      <w:r w:rsidRPr="00D65E9A">
        <w:rPr>
          <w:rFonts w:ascii="Times New Roman" w:hAnsi="Times New Roman"/>
          <w:sz w:val="24"/>
          <w:szCs w:val="24"/>
        </w:rPr>
        <w:t xml:space="preserve">, it is important to note that </w:t>
      </w:r>
      <w:r w:rsidRPr="00D65E9A">
        <w:rPr>
          <w:rFonts w:ascii="Times New Roman" w:hAnsi="Times New Roman"/>
          <w:sz w:val="24"/>
        </w:rPr>
        <w:t xml:space="preserve">losses for news publishers </w:t>
      </w:r>
      <w:r w:rsidRPr="00D65E9A">
        <w:rPr>
          <w:rFonts w:ascii="Times New Roman" w:hAnsi="Times New Roman"/>
          <w:sz w:val="24"/>
          <w:szCs w:val="24"/>
        </w:rPr>
        <w:t xml:space="preserve">related to piracy </w:t>
      </w:r>
      <w:r w:rsidRPr="00D65E9A">
        <w:rPr>
          <w:rFonts w:ascii="Times New Roman" w:hAnsi="Times New Roman"/>
          <w:sz w:val="24"/>
        </w:rPr>
        <w:t>have been estimated to be around €10.76 million per year in BE</w:t>
      </w:r>
      <w:r w:rsidRPr="00D65E9A">
        <w:rPr>
          <w:rFonts w:ascii="Times New Roman" w:hAnsi="Times New Roman"/>
          <w:sz w:val="24"/>
          <w:szCs w:val="24"/>
        </w:rPr>
        <w:t xml:space="preserve">, </w:t>
      </w:r>
      <w:r>
        <w:rPr>
          <w:rFonts w:ascii="Times New Roman" w:hAnsi="Times New Roman"/>
          <w:sz w:val="24"/>
          <w:szCs w:val="24"/>
        </w:rPr>
        <w:t>and</w:t>
      </w:r>
      <w:r w:rsidRPr="00D65E9A">
        <w:rPr>
          <w:rFonts w:ascii="Times New Roman" w:hAnsi="Times New Roman"/>
          <w:sz w:val="24"/>
          <w:szCs w:val="24"/>
        </w:rPr>
        <w:t xml:space="preserve"> </w:t>
      </w:r>
      <w:r w:rsidRPr="00D65E9A">
        <w:rPr>
          <w:rFonts w:ascii="Times New Roman" w:hAnsi="Times New Roman"/>
          <w:sz w:val="24"/>
        </w:rPr>
        <w:t>the industry estimates €27.59 million annually on increased licensing revenues if piracy decreased</w:t>
      </w:r>
      <w:r w:rsidRPr="00D574CC">
        <w:rPr>
          <w:rFonts w:ascii="Times New Roman" w:hAnsi="Times New Roman"/>
          <w:sz w:val="24"/>
          <w:szCs w:val="24"/>
          <w:vertAlign w:val="superscript"/>
        </w:rPr>
        <w:footnoteReference w:id="514"/>
      </w:r>
      <w:r w:rsidRPr="00D65E9A">
        <w:rPr>
          <w:rFonts w:ascii="Times New Roman" w:hAnsi="Times New Roman"/>
          <w:sz w:val="24"/>
        </w:rPr>
        <w:t>.</w:t>
      </w:r>
      <w:r w:rsidRPr="00D65E9A">
        <w:rPr>
          <w:rFonts w:ascii="Times New Roman" w:hAnsi="Times New Roman"/>
          <w:sz w:val="24"/>
          <w:szCs w:val="24"/>
        </w:rPr>
        <w:t xml:space="preserve"> </w:t>
      </w:r>
      <w:r w:rsidRPr="00D65E9A">
        <w:rPr>
          <w:rFonts w:ascii="Times New Roman" w:hAnsi="Times New Roman"/>
          <w:sz w:val="24"/>
        </w:rPr>
        <w:t>News publishers have also estimated that piracy causes 30 % loss of digital transaction volume and a potential 10-20 % of turnover in DE</w:t>
      </w:r>
      <w:r>
        <w:rPr>
          <w:rFonts w:ascii="Times New Roman" w:hAnsi="Times New Roman"/>
          <w:sz w:val="24"/>
          <w:szCs w:val="24"/>
        </w:rPr>
        <w:t>, while</w:t>
      </w:r>
      <w:r w:rsidRPr="00E50FAC">
        <w:rPr>
          <w:rFonts w:ascii="Times New Roman" w:hAnsi="Times New Roman"/>
          <w:sz w:val="24"/>
        </w:rPr>
        <w:t xml:space="preserve"> </w:t>
      </w:r>
      <w:r w:rsidRPr="00DE76C7">
        <w:rPr>
          <w:rFonts w:ascii="Times New Roman" w:hAnsi="Times New Roman"/>
          <w:sz w:val="24"/>
        </w:rPr>
        <w:t>the introduction of a new related right could lead to a 10</w:t>
      </w:r>
      <w:r w:rsidRPr="00E50FAC">
        <w:rPr>
          <w:rFonts w:ascii="Times New Roman" w:hAnsi="Times New Roman"/>
          <w:sz w:val="24"/>
        </w:rPr>
        <w:t xml:space="preserve"> </w:t>
      </w:r>
      <w:r w:rsidRPr="00DE76C7">
        <w:rPr>
          <w:rFonts w:ascii="Times New Roman" w:hAnsi="Times New Roman"/>
          <w:sz w:val="24"/>
        </w:rPr>
        <w:t>% increase in</w:t>
      </w:r>
      <w:r w:rsidRPr="00860C8F">
        <w:rPr>
          <w:rFonts w:ascii="Times New Roman" w:hAnsi="Times New Roman"/>
          <w:sz w:val="24"/>
        </w:rPr>
        <w:t xml:space="preserve"> revenues or between 10</w:t>
      </w:r>
      <w:r>
        <w:rPr>
          <w:rFonts w:ascii="Times New Roman" w:hAnsi="Times New Roman"/>
          <w:sz w:val="24"/>
        </w:rPr>
        <w:noBreakHyphen/>
      </w:r>
      <w:r w:rsidRPr="00DE76C7">
        <w:rPr>
          <w:rFonts w:ascii="Times New Roman" w:hAnsi="Times New Roman"/>
          <w:sz w:val="24"/>
        </w:rPr>
        <w:t>15</w:t>
      </w:r>
      <w:r>
        <w:rPr>
          <w:rFonts w:ascii="Times New Roman" w:hAnsi="Times New Roman"/>
          <w:sz w:val="24"/>
        </w:rPr>
        <w:t xml:space="preserve"> </w:t>
      </w:r>
      <w:r w:rsidRPr="00860C8F">
        <w:rPr>
          <w:rFonts w:ascii="Times New Roman" w:hAnsi="Times New Roman"/>
          <w:sz w:val="24"/>
        </w:rPr>
        <w:t xml:space="preserve">% in publishers' </w:t>
      </w:r>
      <w:r w:rsidRPr="00D65E9A">
        <w:rPr>
          <w:rFonts w:ascii="Times New Roman" w:hAnsi="Times New Roman"/>
          <w:sz w:val="24"/>
        </w:rPr>
        <w:t>operating profit margin</w:t>
      </w:r>
      <w:r w:rsidRPr="00E30C5B">
        <w:rPr>
          <w:rFonts w:ascii="Times New Roman" w:hAnsi="Times New Roman"/>
          <w:sz w:val="24"/>
          <w:vertAlign w:val="superscript"/>
        </w:rPr>
        <w:footnoteReference w:id="515"/>
      </w:r>
      <w:r w:rsidRPr="00E50FAC">
        <w:rPr>
          <w:rFonts w:ascii="Times New Roman" w:hAnsi="Times New Roman"/>
          <w:sz w:val="24"/>
        </w:rPr>
        <w:t>.</w:t>
      </w:r>
      <w:r>
        <w:rPr>
          <w:rFonts w:ascii="Times New Roman" w:hAnsi="Times New Roman"/>
          <w:sz w:val="24"/>
        </w:rPr>
        <w:t xml:space="preserve"> Similar</w:t>
      </w:r>
      <w:r w:rsidRPr="00E50FAC">
        <w:rPr>
          <w:rFonts w:ascii="Times New Roman" w:hAnsi="Times New Roman"/>
          <w:sz w:val="24"/>
        </w:rPr>
        <w:t xml:space="preserve"> </w:t>
      </w:r>
      <w:r w:rsidRPr="00DE76C7">
        <w:rPr>
          <w:rFonts w:ascii="Times New Roman" w:hAnsi="Times New Roman"/>
          <w:sz w:val="24"/>
        </w:rPr>
        <w:t xml:space="preserve">potential revenues </w:t>
      </w:r>
      <w:r>
        <w:rPr>
          <w:rFonts w:ascii="Times New Roman" w:hAnsi="Times New Roman"/>
          <w:sz w:val="24"/>
        </w:rPr>
        <w:t>have been estimated to amount to</w:t>
      </w:r>
      <w:r w:rsidRPr="00E50FAC">
        <w:rPr>
          <w:rFonts w:ascii="Times New Roman" w:hAnsi="Times New Roman"/>
          <w:sz w:val="24"/>
        </w:rPr>
        <w:t xml:space="preserve"> </w:t>
      </w:r>
      <w:r w:rsidRPr="00DE76C7">
        <w:rPr>
          <w:rFonts w:ascii="Times New Roman" w:hAnsi="Times New Roman"/>
          <w:sz w:val="24"/>
        </w:rPr>
        <w:t xml:space="preserve">€31 million in </w:t>
      </w:r>
      <w:r>
        <w:rPr>
          <w:rFonts w:ascii="Times New Roman" w:hAnsi="Times New Roman"/>
          <w:sz w:val="24"/>
        </w:rPr>
        <w:t>FR</w:t>
      </w:r>
      <w:r w:rsidRPr="00DE76C7">
        <w:rPr>
          <w:rFonts w:ascii="Times New Roman" w:hAnsi="Times New Roman"/>
          <w:sz w:val="24"/>
          <w:vertAlign w:val="superscript"/>
        </w:rPr>
        <w:footnoteReference w:id="516"/>
      </w:r>
      <w:r w:rsidRPr="00E50FAC">
        <w:rPr>
          <w:rFonts w:ascii="Times New Roman" w:hAnsi="Times New Roman"/>
          <w:sz w:val="24"/>
        </w:rPr>
        <w:t>.</w:t>
      </w:r>
    </w:p>
    <w:p w:rsidR="00D3660C" w:rsidRPr="00D1507D" w:rsidRDefault="00D3660C" w:rsidP="00D3660C">
      <w:pPr>
        <w:autoSpaceDE w:val="0"/>
        <w:autoSpaceDN w:val="0"/>
        <w:adjustRightInd w:val="0"/>
        <w:spacing w:after="120" w:line="240" w:lineRule="auto"/>
        <w:jc w:val="both"/>
        <w:rPr>
          <w:rFonts w:ascii="Times New Roman" w:hAnsi="Times New Roman"/>
          <w:sz w:val="24"/>
        </w:rPr>
      </w:pPr>
      <w:r w:rsidRPr="00D83983">
        <w:rPr>
          <w:rFonts w:ascii="Times New Roman" w:hAnsi="Times New Roman"/>
          <w:sz w:val="24"/>
        </w:rPr>
        <w:t>The positive impacts on publishers of the protection granted under this option would be reinforced by its</w:t>
      </w:r>
      <w:r w:rsidRPr="00D1507D">
        <w:rPr>
          <w:rFonts w:ascii="Times New Roman" w:hAnsi="Times New Roman"/>
          <w:sz w:val="24"/>
        </w:rPr>
        <w:t xml:space="preserve"> EU scale, thus providing a more effective protection than under different national laws.</w:t>
      </w:r>
      <w:r w:rsidRPr="00D1507D">
        <w:rPr>
          <w:rFonts w:ascii="Times New Roman" w:hAnsi="Times New Roman"/>
          <w:sz w:val="24"/>
          <w:vertAlign w:val="superscript"/>
        </w:rPr>
        <w:footnoteReference w:id="517"/>
      </w:r>
      <w:r w:rsidRPr="00D1507D">
        <w:rPr>
          <w:rFonts w:ascii="Times New Roman" w:hAnsi="Times New Roman"/>
          <w:sz w:val="24"/>
        </w:rPr>
        <w:t xml:space="preserve"> In particular</w:t>
      </w:r>
      <w:r>
        <w:rPr>
          <w:rFonts w:ascii="Times New Roman" w:hAnsi="Times New Roman"/>
          <w:sz w:val="24"/>
        </w:rPr>
        <w:t>,</w:t>
      </w:r>
      <w:r w:rsidRPr="00D1507D">
        <w:rPr>
          <w:rFonts w:ascii="Times New Roman" w:hAnsi="Times New Roman"/>
          <w:sz w:val="24"/>
        </w:rPr>
        <w:t xml:space="preserve"> intervention at EU level is expected to strengthen publishers bargaining powers in a more effective way than it has happened under national measures such as the </w:t>
      </w:r>
      <w:r>
        <w:rPr>
          <w:rFonts w:ascii="Times New Roman" w:hAnsi="Times New Roman"/>
          <w:sz w:val="24"/>
        </w:rPr>
        <w:t>‘</w:t>
      </w:r>
      <w:r w:rsidRPr="00D1507D">
        <w:rPr>
          <w:rFonts w:ascii="Times New Roman" w:hAnsi="Times New Roman"/>
          <w:sz w:val="24"/>
        </w:rPr>
        <w:t xml:space="preserve">ancillary </w:t>
      </w:r>
      <w:r w:rsidRPr="00D83983">
        <w:rPr>
          <w:rFonts w:ascii="Times New Roman" w:hAnsi="Times New Roman"/>
          <w:sz w:val="24"/>
        </w:rPr>
        <w:t>rights</w:t>
      </w:r>
      <w:r>
        <w:rPr>
          <w:rFonts w:ascii="Times New Roman" w:hAnsi="Times New Roman"/>
          <w:sz w:val="24"/>
        </w:rPr>
        <w:t>’</w:t>
      </w:r>
      <w:r w:rsidRPr="00D1507D">
        <w:rPr>
          <w:rFonts w:ascii="Times New Roman" w:hAnsi="Times New Roman"/>
          <w:sz w:val="24"/>
        </w:rPr>
        <w:t xml:space="preserve"> adopted in DE and ES</w:t>
      </w:r>
      <w:r w:rsidRPr="00011947">
        <w:rPr>
          <w:rFonts w:ascii="Times New Roman" w:hAnsi="Times New Roman"/>
          <w:sz w:val="24"/>
        </w:rPr>
        <w:t xml:space="preserve"> (see Annex 13B),</w:t>
      </w:r>
      <w:r w:rsidRPr="00D1507D">
        <w:rPr>
          <w:rFonts w:ascii="Times New Roman" w:hAnsi="Times New Roman"/>
          <w:sz w:val="24"/>
        </w:rPr>
        <w:t xml:space="preserve"> where major online service providers either closed down their news aggregation services (ES) or concluded free licences for the use of publishers' content (DE) which </w:t>
      </w:r>
      <w:r>
        <w:rPr>
          <w:rFonts w:ascii="Times New Roman" w:hAnsi="Times New Roman"/>
          <w:sz w:val="24"/>
        </w:rPr>
        <w:t>has</w:t>
      </w:r>
      <w:r w:rsidRPr="00D1507D">
        <w:rPr>
          <w:rFonts w:ascii="Times New Roman" w:hAnsi="Times New Roman"/>
          <w:sz w:val="24"/>
        </w:rPr>
        <w:t xml:space="preserve"> not </w:t>
      </w:r>
      <w:r w:rsidRPr="00D83983">
        <w:rPr>
          <w:rFonts w:ascii="Times New Roman" w:hAnsi="Times New Roman"/>
          <w:sz w:val="24"/>
        </w:rPr>
        <w:t>generate</w:t>
      </w:r>
      <w:r>
        <w:rPr>
          <w:rFonts w:ascii="Times New Roman" w:hAnsi="Times New Roman"/>
          <w:sz w:val="24"/>
        </w:rPr>
        <w:t>d</w:t>
      </w:r>
      <w:r w:rsidRPr="00D1507D">
        <w:rPr>
          <w:rFonts w:ascii="Times New Roman" w:hAnsi="Times New Roman"/>
          <w:sz w:val="24"/>
        </w:rPr>
        <w:t xml:space="preserve"> any remuneration for publishers so far. Moreover</w:t>
      </w:r>
      <w:r>
        <w:rPr>
          <w:rFonts w:ascii="Times New Roman" w:hAnsi="Times New Roman"/>
          <w:sz w:val="24"/>
        </w:rPr>
        <w:t>,</w:t>
      </w:r>
      <w:r w:rsidRPr="00D1507D">
        <w:rPr>
          <w:rFonts w:ascii="Times New Roman" w:hAnsi="Times New Roman"/>
          <w:sz w:val="24"/>
        </w:rPr>
        <w:t xml:space="preserve"> the related right granted to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under this option would be different from the </w:t>
      </w:r>
      <w:r w:rsidRPr="00011947">
        <w:rPr>
          <w:rFonts w:ascii="Times New Roman" w:hAnsi="Times New Roman"/>
          <w:sz w:val="24"/>
        </w:rPr>
        <w:t>DE law</w:t>
      </w:r>
      <w:r>
        <w:rPr>
          <w:rFonts w:ascii="Times New Roman" w:hAnsi="Times New Roman"/>
          <w:sz w:val="24"/>
        </w:rPr>
        <w:t>,</w:t>
      </w:r>
      <w:r w:rsidRPr="00011947">
        <w:rPr>
          <w:rFonts w:ascii="Times New Roman" w:hAnsi="Times New Roman"/>
          <w:sz w:val="24"/>
        </w:rPr>
        <w:t xml:space="preserve"> which can only be exercised against specific categories of online service providers</w:t>
      </w:r>
      <w:r>
        <w:rPr>
          <w:rFonts w:ascii="Times New Roman" w:hAnsi="Times New Roman"/>
          <w:sz w:val="24"/>
        </w:rPr>
        <w:t>,</w:t>
      </w:r>
      <w:r w:rsidRPr="00011947">
        <w:rPr>
          <w:rFonts w:ascii="Times New Roman" w:hAnsi="Times New Roman"/>
          <w:sz w:val="24"/>
        </w:rPr>
        <w:t xml:space="preserve"> and from the </w:t>
      </w:r>
      <w:r w:rsidRPr="00D1507D">
        <w:rPr>
          <w:rFonts w:ascii="Times New Roman" w:hAnsi="Times New Roman"/>
          <w:sz w:val="24"/>
        </w:rPr>
        <w:t>ES law</w:t>
      </w:r>
      <w:r>
        <w:rPr>
          <w:rFonts w:ascii="Times New Roman" w:hAnsi="Times New Roman"/>
          <w:sz w:val="24"/>
        </w:rPr>
        <w:t>,</w:t>
      </w:r>
      <w:r w:rsidRPr="00D1507D">
        <w:rPr>
          <w:rFonts w:ascii="Times New Roman" w:hAnsi="Times New Roman"/>
          <w:sz w:val="24"/>
        </w:rPr>
        <w:t xml:space="preserve"> as it would be an exclusive right and not an unwaivable compensation</w:t>
      </w:r>
      <w:r w:rsidRPr="00011947">
        <w:rPr>
          <w:rFonts w:ascii="Times New Roman" w:hAnsi="Times New Roman"/>
          <w:sz w:val="24"/>
        </w:rPr>
        <w:t>. Accordingly, the related right recognised to publishers at EU level</w:t>
      </w:r>
      <w:r w:rsidRPr="00D1507D">
        <w:rPr>
          <w:rFonts w:ascii="Times New Roman" w:hAnsi="Times New Roman"/>
          <w:sz w:val="24"/>
        </w:rPr>
        <w:t xml:space="preserve"> would leave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a greater margin </w:t>
      </w:r>
      <w:r>
        <w:rPr>
          <w:rFonts w:ascii="Times New Roman" w:hAnsi="Times New Roman"/>
          <w:sz w:val="24"/>
        </w:rPr>
        <w:t>of</w:t>
      </w:r>
      <w:r w:rsidRPr="00D1507D">
        <w:rPr>
          <w:rFonts w:ascii="Times New Roman" w:hAnsi="Times New Roman"/>
          <w:sz w:val="24"/>
        </w:rPr>
        <w:t xml:space="preserve"> manoeuvre to negotiate different types of agreements with service providers </w:t>
      </w:r>
      <w:r w:rsidRPr="00011947">
        <w:rPr>
          <w:rFonts w:ascii="Times New Roman" w:hAnsi="Times New Roman"/>
          <w:sz w:val="24"/>
        </w:rPr>
        <w:t xml:space="preserve">than it has been the case in DE and ES </w:t>
      </w:r>
      <w:r w:rsidRPr="00D1507D">
        <w:rPr>
          <w:rFonts w:ascii="Times New Roman" w:hAnsi="Times New Roman"/>
          <w:sz w:val="24"/>
        </w:rPr>
        <w:t xml:space="preserve">and is therefore expected to be more effective for them in the long run (notably as it will allow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publishers to develop new business models in a flexible way).</w:t>
      </w:r>
    </w:p>
    <w:p w:rsidR="00D3660C" w:rsidRPr="00D1507D" w:rsidRDefault="00D3660C" w:rsidP="00D3660C">
      <w:pPr>
        <w:autoSpaceDE w:val="0"/>
        <w:autoSpaceDN w:val="0"/>
        <w:adjustRightInd w:val="0"/>
        <w:spacing w:after="120" w:line="240" w:lineRule="auto"/>
        <w:jc w:val="both"/>
        <w:rPr>
          <w:rFonts w:ascii="Times New Roman" w:hAnsi="Times New Roman"/>
          <w:sz w:val="24"/>
          <w:u w:val="single"/>
        </w:rPr>
      </w:pPr>
      <w:r w:rsidRPr="00D1507D">
        <w:rPr>
          <w:rFonts w:ascii="Times New Roman" w:hAnsi="Times New Roman"/>
          <w:sz w:val="24"/>
        </w:rPr>
        <w:t xml:space="preserve">The effects on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described above would materialise in all the three scenarios considered as regards the term of protection. Scenario A (10 to 50 years) would place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in a situation comparable to that of other related </w:t>
      </w:r>
      <w:r>
        <w:rPr>
          <w:rFonts w:ascii="Times New Roman" w:hAnsi="Times New Roman"/>
          <w:sz w:val="24"/>
        </w:rPr>
        <w:t>rightholders</w:t>
      </w:r>
      <w:r w:rsidRPr="00D1507D">
        <w:rPr>
          <w:rFonts w:ascii="Times New Roman" w:hAnsi="Times New Roman"/>
          <w:sz w:val="24"/>
        </w:rPr>
        <w:t xml:space="preserve">. Scenario B (5 to 10 years) would address the problem of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publishers as regards the use of their content by online service providers such as news aggregators and social media, and would also provide publishers with a clearer legal framework when concluding licensing agreements with service providers having a different business model (e.g. distributors of multi-publishers content, services providing access to news archives). Scenario C (1 to 5 years) would address specifically the situation concerning online service providers such as news aggregators and social media but may not be fully future</w:t>
      </w:r>
      <w:r w:rsidRPr="00D574CC">
        <w:rPr>
          <w:rFonts w:ascii="Times New Roman" w:eastAsia="Calibri" w:hAnsi="Times New Roman" w:cs="Times New Roman"/>
          <w:sz w:val="24"/>
          <w:szCs w:val="24"/>
        </w:rPr>
        <w:t>-</w:t>
      </w:r>
      <w:r w:rsidRPr="00D1507D">
        <w:rPr>
          <w:rFonts w:ascii="Times New Roman" w:hAnsi="Times New Roman"/>
          <w:sz w:val="24"/>
        </w:rPr>
        <w:t xml:space="preserve">proof as regards exploitation of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content by other businesses. </w:t>
      </w:r>
    </w:p>
    <w:p w:rsidR="00D3660C" w:rsidRPr="00D1507D" w:rsidRDefault="00D3660C" w:rsidP="00D3660C">
      <w:pPr>
        <w:autoSpaceDE w:val="0"/>
        <w:autoSpaceDN w:val="0"/>
        <w:adjustRightInd w:val="0"/>
        <w:spacing w:after="120" w:line="240" w:lineRule="auto"/>
        <w:jc w:val="both"/>
        <w:rPr>
          <w:rFonts w:ascii="Times New Roman" w:hAnsi="Times New Roman"/>
          <w:sz w:val="24"/>
        </w:rPr>
      </w:pPr>
      <w:r w:rsidRPr="00D1507D">
        <w:rPr>
          <w:rFonts w:ascii="Times New Roman" w:hAnsi="Times New Roman"/>
          <w:sz w:val="24"/>
        </w:rPr>
        <w:t xml:space="preserve">Under this option, publishers other than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D1507D">
        <w:rPr>
          <w:rFonts w:ascii="Times New Roman" w:hAnsi="Times New Roman"/>
          <w:sz w:val="24"/>
        </w:rPr>
        <w:t xml:space="preserve">publishers would not be affected, as per the baseline scenario. Therefore, problems </w:t>
      </w:r>
      <w:r>
        <w:rPr>
          <w:rFonts w:ascii="Times New Roman" w:eastAsia="Calibri" w:hAnsi="Times New Roman" w:cs="Times New Roman"/>
          <w:sz w:val="24"/>
          <w:szCs w:val="24"/>
        </w:rPr>
        <w:t>faced</w:t>
      </w:r>
      <w:r w:rsidRPr="00D1507D">
        <w:rPr>
          <w:rFonts w:ascii="Times New Roman" w:hAnsi="Times New Roman"/>
          <w:sz w:val="24"/>
        </w:rPr>
        <w:t xml:space="preserve"> by these publishers as regards claims for compensation would not be addressed. </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b/>
          <w:sz w:val="24"/>
          <w:szCs w:val="24"/>
          <w:lang w:val="en-AU"/>
        </w:rPr>
      </w:pPr>
      <w:r w:rsidRPr="001E5F81">
        <w:rPr>
          <w:rFonts w:ascii="Times New Roman" w:hAnsi="Times New Roman"/>
          <w:b/>
          <w:sz w:val="24"/>
          <w:lang w:val="en-AU"/>
        </w:rPr>
        <w:t>Authors</w:t>
      </w:r>
      <w:r w:rsidRPr="008012CB">
        <w:rPr>
          <w:rFonts w:ascii="Times New Roman" w:eastAsia="Calibri" w:hAnsi="Times New Roman" w:cs="Times New Roman"/>
          <w:b/>
          <w:sz w:val="24"/>
          <w:szCs w:val="24"/>
          <w:lang w:val="en-AU"/>
        </w:rPr>
        <w:t xml:space="preserve"> </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I</w:t>
      </w:r>
      <w:r w:rsidRPr="008012CB">
        <w:rPr>
          <w:rFonts w:ascii="Times New Roman" w:eastAsia="Calibri" w:hAnsi="Times New Roman" w:cs="Times New Roman"/>
          <w:sz w:val="24"/>
          <w:szCs w:val="24"/>
          <w:lang w:val="en-AU"/>
        </w:rPr>
        <w:t xml:space="preserve">mprovements to the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8012CB">
        <w:rPr>
          <w:rFonts w:ascii="Times New Roman" w:eastAsia="Calibri" w:hAnsi="Times New Roman" w:cs="Times New Roman"/>
          <w:sz w:val="24"/>
          <w:szCs w:val="24"/>
          <w:lang w:val="en-AU"/>
        </w:rPr>
        <w:t xml:space="preserve">publishers' bargaining position under this option could indirectly have a positive impact on authors and other </w:t>
      </w:r>
      <w:r>
        <w:rPr>
          <w:rFonts w:ascii="Times New Roman" w:eastAsia="Calibri" w:hAnsi="Times New Roman" w:cs="Times New Roman"/>
          <w:sz w:val="24"/>
          <w:szCs w:val="24"/>
          <w:lang w:val="en-AU"/>
        </w:rPr>
        <w:t>rightholders</w:t>
      </w:r>
      <w:r w:rsidRPr="008012CB">
        <w:rPr>
          <w:rFonts w:ascii="Times New Roman" w:eastAsia="Calibri" w:hAnsi="Times New Roman" w:cs="Times New Roman"/>
          <w:sz w:val="24"/>
          <w:szCs w:val="24"/>
          <w:lang w:val="en-AU"/>
        </w:rPr>
        <w:t xml:space="preserve"> working in this sector insofar as publishers transfer part of these benefits to the authors in terms of job creation or better salaries/remuneration (which would vary on a case-by-case basis).</w:t>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Authors, journalists in particular, have expressed concerns, in the context of the public consultation, that a publishers' right could make it more difficult for them to exploit their works separately from the publisher. The related right under this option would protect the value added by the publisher, which in a print product is not always easily separable from the author's work (in contrast with, for instance, a cinematographic work, where the subject-matter of protection of the producer, the film, is clearly different from the script, which is a text-based work). Today, when a journalist grants a publisher a non-exclusive authorisation to use an article,</w:t>
      </w:r>
      <w:r w:rsidRPr="008012CB">
        <w:rPr>
          <w:rFonts w:ascii="Times New Roman" w:eastAsia="Calibri" w:hAnsi="Times New Roman" w:cs="Times New Roman"/>
          <w:sz w:val="24"/>
          <w:szCs w:val="24"/>
          <w:vertAlign w:val="superscript"/>
          <w:lang w:val="en-AU"/>
        </w:rPr>
        <w:footnoteReference w:id="518"/>
      </w:r>
      <w:r w:rsidRPr="008012CB">
        <w:rPr>
          <w:rFonts w:ascii="Times New Roman" w:eastAsia="Calibri" w:hAnsi="Times New Roman" w:cs="Times New Roman"/>
          <w:sz w:val="24"/>
          <w:szCs w:val="24"/>
          <w:lang w:val="en-AU"/>
        </w:rPr>
        <w:t xml:space="preserve"> he generally remains entitled (as the author of the work) to further use it (e.g. to authorise the use by a third party or to publish it himself in a collection or anthology). This is common industry practice even when the author's original manuscript has been subject to amendments during the editing process carried out by the publisher. Intervention in EU law under this option will clarify that the introduction of a related right for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8012CB">
        <w:rPr>
          <w:rFonts w:ascii="Times New Roman" w:eastAsia="Calibri" w:hAnsi="Times New Roman" w:cs="Times New Roman"/>
          <w:sz w:val="24"/>
          <w:szCs w:val="24"/>
          <w:lang w:val="en-AU"/>
        </w:rPr>
        <w:t>publishers does not affect authors' ability to exploit their works independently. Provisions to this effect exist in MS laws granting self-standing protection to publishers.</w:t>
      </w:r>
      <w:r w:rsidRPr="008012CB">
        <w:rPr>
          <w:rFonts w:ascii="Times New Roman" w:eastAsia="Calibri" w:hAnsi="Times New Roman" w:cs="Times New Roman"/>
          <w:sz w:val="24"/>
          <w:szCs w:val="24"/>
          <w:vertAlign w:val="superscript"/>
          <w:lang w:val="en-AU"/>
        </w:rPr>
        <w:footnoteReference w:id="519"/>
      </w:r>
    </w:p>
    <w:p w:rsidR="00D3660C" w:rsidRPr="008012CB" w:rsidRDefault="00D3660C" w:rsidP="00D3660C">
      <w:pPr>
        <w:autoSpaceDE w:val="0"/>
        <w:autoSpaceDN w:val="0"/>
        <w:adjustRightInd w:val="0"/>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The three scenarios (A, B, C) as regards the term of protection should be generally neutral on authors considering that the related right granted to publishers will not affect authors</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 xml:space="preserve"> rights.</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 xml:space="preserve">Service providers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The impact of </w:t>
      </w:r>
      <w:r>
        <w:rPr>
          <w:rFonts w:ascii="Times New Roman" w:eastAsia="Calibri" w:hAnsi="Times New Roman" w:cs="Times New Roman"/>
          <w:sz w:val="24"/>
          <w:szCs w:val="24"/>
          <w:lang w:val="en-AU"/>
        </w:rPr>
        <w:t>this option</w:t>
      </w:r>
      <w:r w:rsidRPr="008012CB">
        <w:rPr>
          <w:rFonts w:ascii="Times New Roman" w:eastAsia="Calibri" w:hAnsi="Times New Roman" w:cs="Times New Roman"/>
          <w:sz w:val="24"/>
          <w:szCs w:val="24"/>
          <w:lang w:val="en-AU"/>
        </w:rPr>
        <w:t xml:space="preserve"> on service providers would depend on the size, bargaining power and business model of the different players.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The clear identification of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8012CB">
        <w:rPr>
          <w:rFonts w:ascii="Times New Roman" w:eastAsia="Calibri" w:hAnsi="Times New Roman" w:cs="Times New Roman"/>
          <w:sz w:val="24"/>
          <w:szCs w:val="24"/>
          <w:lang w:val="en-AU"/>
        </w:rPr>
        <w:t xml:space="preserve">publishers as </w:t>
      </w:r>
      <w:r>
        <w:rPr>
          <w:rFonts w:ascii="Times New Roman" w:eastAsia="Calibri" w:hAnsi="Times New Roman" w:cs="Times New Roman"/>
          <w:sz w:val="24"/>
          <w:szCs w:val="24"/>
          <w:lang w:val="en-AU"/>
        </w:rPr>
        <w:t>rightholders</w:t>
      </w:r>
      <w:r w:rsidRPr="008012CB">
        <w:rPr>
          <w:rFonts w:ascii="Times New Roman" w:eastAsia="Calibri" w:hAnsi="Times New Roman" w:cs="Times New Roman"/>
          <w:sz w:val="24"/>
          <w:szCs w:val="24"/>
          <w:lang w:val="en-AU"/>
        </w:rPr>
        <w:t xml:space="preserve"> is likely to prompt more online service providers to conclude agreements with publishers for the use of their content online, thus accelerating the cooperation which is starting to emerge between </w:t>
      </w:r>
      <w:r>
        <w:rPr>
          <w:rFonts w:ascii="Times New Roman" w:eastAsia="Calibri" w:hAnsi="Times New Roman" w:cs="Times New Roman"/>
          <w:sz w:val="24"/>
          <w:szCs w:val="24"/>
          <w:lang w:val="en-AU"/>
        </w:rPr>
        <w:t>larger</w:t>
      </w:r>
      <w:r w:rsidRPr="008012CB">
        <w:rPr>
          <w:rFonts w:ascii="Times New Roman" w:eastAsia="Calibri" w:hAnsi="Times New Roman" w:cs="Times New Roman"/>
          <w:sz w:val="24"/>
          <w:szCs w:val="24"/>
          <w:lang w:val="en-AU"/>
        </w:rPr>
        <w:t xml:space="preserve"> online service providers and the publishing sector (see </w:t>
      </w:r>
      <w:r>
        <w:rPr>
          <w:rFonts w:ascii="Times New Roman" w:eastAsia="Calibri" w:hAnsi="Times New Roman" w:cs="Times New Roman"/>
          <w:sz w:val="24"/>
          <w:szCs w:val="24"/>
          <w:lang w:val="en-AU"/>
        </w:rPr>
        <w:t>Section 5.3.1</w:t>
      </w:r>
      <w:r w:rsidRPr="008012CB">
        <w:rPr>
          <w:rFonts w:ascii="Times New Roman" w:eastAsia="Calibri" w:hAnsi="Times New Roman" w:cs="Times New Roman"/>
          <w:sz w:val="24"/>
          <w:szCs w:val="24"/>
          <w:lang w:val="en-AU"/>
        </w:rPr>
        <w:t xml:space="preserve"> and baseline). The introduction of a new right is not likely to substantially affect the ongoing initiatives and would probably foster the conclusion of more agreements between the major internet players and the publishing industry in the medium to long term.</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Some service providers wh</w:t>
      </w:r>
      <w:r>
        <w:rPr>
          <w:rFonts w:ascii="Times New Roman" w:eastAsia="Calibri" w:hAnsi="Times New Roman" w:cs="Times New Roman"/>
          <w:sz w:val="24"/>
          <w:szCs w:val="24"/>
          <w:lang w:val="en-AU"/>
        </w:rPr>
        <w:t>ich</w:t>
      </w:r>
      <w:r w:rsidRPr="008012CB">
        <w:rPr>
          <w:rFonts w:ascii="Times New Roman" w:eastAsia="Calibri" w:hAnsi="Times New Roman" w:cs="Times New Roman"/>
          <w:sz w:val="24"/>
          <w:szCs w:val="24"/>
          <w:lang w:val="en-AU"/>
        </w:rPr>
        <w:t xml:space="preserve"> already conclude licences covering specifically the use of digital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8012CB">
        <w:rPr>
          <w:rFonts w:ascii="Times New Roman" w:eastAsia="Calibri" w:hAnsi="Times New Roman" w:cs="Times New Roman"/>
          <w:sz w:val="24"/>
          <w:szCs w:val="24"/>
          <w:lang w:val="en-AU"/>
        </w:rPr>
        <w:t>content, such as the media monitoring services, have expressed the concern that licence fees may increase as a result of the introduction of a new publisher</w:t>
      </w:r>
      <w:r>
        <w:rPr>
          <w:rFonts w:ascii="Times New Roman" w:eastAsia="Calibri" w:hAnsi="Times New Roman" w:cs="Times New Roman"/>
          <w:sz w:val="24"/>
          <w:szCs w:val="24"/>
          <w:lang w:val="en-AU"/>
        </w:rPr>
        <w:t>s'</w:t>
      </w:r>
      <w:r w:rsidRPr="008012CB">
        <w:rPr>
          <w:rFonts w:ascii="Times New Roman" w:eastAsia="Calibri" w:hAnsi="Times New Roman" w:cs="Times New Roman"/>
          <w:sz w:val="24"/>
          <w:szCs w:val="24"/>
          <w:lang w:val="en-AU"/>
        </w:rPr>
        <w:t xml:space="preserve"> right.</w:t>
      </w:r>
      <w:r w:rsidRPr="008012CB">
        <w:rPr>
          <w:rFonts w:ascii="Times New Roman" w:eastAsia="Calibri" w:hAnsi="Times New Roman" w:cs="Times New Roman"/>
          <w:sz w:val="24"/>
          <w:szCs w:val="24"/>
          <w:vertAlign w:val="superscript"/>
          <w:lang w:val="en-AU"/>
        </w:rPr>
        <w:footnoteReference w:id="520"/>
      </w:r>
      <w:r w:rsidRPr="008012CB">
        <w:rPr>
          <w:rFonts w:ascii="Times New Roman" w:eastAsia="Calibri" w:hAnsi="Times New Roman" w:cs="Times New Roman"/>
          <w:sz w:val="24"/>
          <w:szCs w:val="24"/>
          <w:lang w:val="en-AU"/>
        </w:rPr>
        <w:t xml:space="preserve"> In practice, licence fees would depend on specific negotiations and business models and</w:t>
      </w:r>
      <w:r>
        <w:rPr>
          <w:rFonts w:ascii="Times New Roman" w:eastAsia="Calibri" w:hAnsi="Times New Roman" w:cs="Times New Roman"/>
          <w:sz w:val="24"/>
          <w:szCs w:val="24"/>
          <w:lang w:val="en-AU"/>
        </w:rPr>
        <w:t xml:space="preserve"> not on the legal basis on which agreements are concluded (transferred authors' rights today,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lang w:val="en-AU"/>
        </w:rPr>
        <w:t>publishers' rights under this option). Therefore,</w:t>
      </w:r>
      <w:r w:rsidRPr="008012CB">
        <w:rPr>
          <w:rFonts w:ascii="Times New Roman" w:eastAsia="Calibri" w:hAnsi="Times New Roman" w:cs="Times New Roman"/>
          <w:sz w:val="24"/>
          <w:szCs w:val="24"/>
          <w:lang w:val="en-AU"/>
        </w:rPr>
        <w:t xml:space="preserve"> publishers may not have an interest in raising licence fees in licensing markets which already function today. </w:t>
      </w:r>
    </w:p>
    <w:p w:rsidR="00D3660C" w:rsidRDefault="00D3660C" w:rsidP="00D3660C">
      <w:pPr>
        <w:spacing w:after="120" w:line="240" w:lineRule="auto"/>
        <w:jc w:val="both"/>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In summary, the main impacts of this option would affect those online services providers which are not concluding licences for the reuse of publishers' content today when they should in principle do so, pursuant to copyright law. Therefore, neither the services which today have agreements with publishers nor n</w:t>
      </w:r>
      <w:r w:rsidRPr="008012CB">
        <w:rPr>
          <w:rFonts w:ascii="Times New Roman" w:eastAsia="Calibri" w:hAnsi="Times New Roman" w:cs="Times New Roman"/>
          <w:sz w:val="24"/>
          <w:szCs w:val="24"/>
          <w:lang w:val="en-AU"/>
        </w:rPr>
        <w:t>ew entrants in th</w:t>
      </w:r>
      <w:r>
        <w:rPr>
          <w:rFonts w:ascii="Times New Roman" w:eastAsia="Calibri" w:hAnsi="Times New Roman" w:cs="Times New Roman"/>
          <w:sz w:val="24"/>
          <w:szCs w:val="24"/>
          <w:lang w:val="en-AU"/>
        </w:rPr>
        <w:t>is</w:t>
      </w:r>
      <w:r w:rsidRPr="008012CB">
        <w:rPr>
          <w:rFonts w:ascii="Times New Roman" w:eastAsia="Calibri" w:hAnsi="Times New Roman" w:cs="Times New Roman"/>
          <w:sz w:val="24"/>
          <w:szCs w:val="24"/>
          <w:lang w:val="en-AU"/>
        </w:rPr>
        <w:t xml:space="preserve"> market </w:t>
      </w:r>
      <w:r>
        <w:rPr>
          <w:rFonts w:ascii="Times New Roman" w:eastAsia="Calibri" w:hAnsi="Times New Roman" w:cs="Times New Roman"/>
          <w:sz w:val="24"/>
          <w:szCs w:val="24"/>
          <w:lang w:val="en-AU"/>
        </w:rPr>
        <w:t>would be negatively affected in terms of additional costs or fees</w:t>
      </w:r>
      <w:r w:rsidRPr="008012CB">
        <w:rPr>
          <w:rFonts w:ascii="Times New Roman" w:eastAsia="Calibri" w:hAnsi="Times New Roman" w:cs="Times New Roman"/>
          <w:sz w:val="24"/>
          <w:szCs w:val="24"/>
          <w:lang w:val="en-AU"/>
        </w:rPr>
        <w:t>.</w:t>
      </w:r>
      <w:r>
        <w:rPr>
          <w:rFonts w:ascii="Times New Roman" w:eastAsia="Calibri" w:hAnsi="Times New Roman" w:cs="Times New Roman"/>
          <w:sz w:val="24"/>
          <w:szCs w:val="24"/>
          <w:lang w:val="en-AU"/>
        </w:rPr>
        <w:t xml:space="preserve"> As indicated in the description of the options, the introduction of a new related right for </w:t>
      </w:r>
      <w:r>
        <w:rPr>
          <w:rFonts w:ascii="Times New Roman" w:hAnsi="Times New Roman"/>
          <w:sz w:val="24"/>
          <w:szCs w:val="24"/>
          <w:lang w:val="en-AU"/>
        </w:rPr>
        <w:t>press</w:t>
      </w:r>
      <w:r w:rsidRPr="008012CB">
        <w:rPr>
          <w:rFonts w:ascii="Times New Roman" w:hAnsi="Times New Roman"/>
          <w:sz w:val="24"/>
          <w:szCs w:val="24"/>
          <w:lang w:val="en-AU"/>
        </w:rPr>
        <w:t xml:space="preserve"> </w:t>
      </w:r>
      <w:r>
        <w:rPr>
          <w:rFonts w:ascii="Times New Roman" w:eastAsia="Calibri" w:hAnsi="Times New Roman" w:cs="Times New Roman"/>
          <w:sz w:val="24"/>
          <w:szCs w:val="24"/>
          <w:lang w:val="en-AU"/>
        </w:rPr>
        <w:t xml:space="preserve">publishers would not alter the scope of the right of making available to the public. Therefore, the question whether certain uses, including hyperlinking and browsing, are today copyright relevant under EU law, would not be affected by this option.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Finally</w:t>
      </w:r>
      <w:r w:rsidRPr="008012CB">
        <w:rPr>
          <w:rFonts w:ascii="Times New Roman" w:eastAsia="Calibri" w:hAnsi="Times New Roman" w:cs="Times New Roman"/>
          <w:sz w:val="24"/>
          <w:szCs w:val="24"/>
          <w:lang w:val="en-AU"/>
        </w:rPr>
        <w:t xml:space="preserve">, the introduction of uniform rules at EU level under this option would have the positive effect for service providers to reduce fragmentation of the rules protecting publishers across MS, making it easier for them to conclude licences for multi-territorial uses of publishers' content. This aspect, together with better market conditions supporting the emergence of new B2B licence opportunities for </w:t>
      </w:r>
      <w:r>
        <w:rPr>
          <w:rFonts w:ascii="Times New Roman" w:hAnsi="Times New Roman"/>
          <w:sz w:val="24"/>
          <w:szCs w:val="24"/>
          <w:lang w:val="en-AU"/>
        </w:rPr>
        <w:t>press</w:t>
      </w:r>
      <w:r w:rsidRPr="008012CB">
        <w:rPr>
          <w:rFonts w:ascii="Times New Roman" w:hAnsi="Times New Roman"/>
          <w:sz w:val="24"/>
          <w:szCs w:val="24"/>
          <w:lang w:val="en-AU"/>
        </w:rPr>
        <w:t xml:space="preserve"> </w:t>
      </w:r>
      <w:r w:rsidRPr="008012CB">
        <w:rPr>
          <w:rFonts w:ascii="Times New Roman" w:eastAsia="Calibri" w:hAnsi="Times New Roman" w:cs="Times New Roman"/>
          <w:sz w:val="24"/>
          <w:szCs w:val="24"/>
          <w:lang w:val="en-AU"/>
        </w:rPr>
        <w:t xml:space="preserve">products, could foster innovation and facilitate the emergence of new and diverse business models of digital </w:t>
      </w:r>
      <w:r>
        <w:rPr>
          <w:rFonts w:ascii="Times New Roman" w:eastAsia="Calibri" w:hAnsi="Times New Roman" w:cs="Times New Roman"/>
          <w:sz w:val="24"/>
          <w:szCs w:val="24"/>
          <w:lang w:val="en-AU"/>
        </w:rPr>
        <w:t>press content</w:t>
      </w:r>
      <w:r w:rsidRPr="008012CB">
        <w:rPr>
          <w:rFonts w:ascii="Times New Roman" w:eastAsia="Calibri" w:hAnsi="Times New Roman" w:cs="Times New Roman"/>
          <w:sz w:val="24"/>
          <w:szCs w:val="24"/>
          <w:lang w:val="en-AU"/>
        </w:rPr>
        <w:t xml:space="preserve"> distribution (such as streaming, access to broad multi-brand catalogues of different newspapers</w:t>
      </w:r>
      <w:r>
        <w:rPr>
          <w:rFonts w:ascii="Times New Roman" w:eastAsia="Calibri" w:hAnsi="Times New Roman" w:cs="Times New Roman"/>
          <w:sz w:val="24"/>
          <w:szCs w:val="24"/>
          <w:lang w:val="en-AU"/>
        </w:rPr>
        <w:t xml:space="preserve"> and magazines</w:t>
      </w:r>
      <w:r w:rsidRPr="008012CB">
        <w:rPr>
          <w:rFonts w:ascii="Times New Roman" w:eastAsia="Calibri" w:hAnsi="Times New Roman" w:cs="Times New Roman"/>
          <w:sz w:val="24"/>
          <w:szCs w:val="24"/>
          <w:lang w:val="en-AU"/>
        </w:rPr>
        <w:t>, etc).</w:t>
      </w:r>
      <w:r w:rsidRPr="008012CB">
        <w:rPr>
          <w:rFonts w:ascii="Times New Roman" w:eastAsia="Calibri" w:hAnsi="Times New Roman" w:cs="Times New Roman"/>
          <w:sz w:val="24"/>
          <w:szCs w:val="24"/>
          <w:vertAlign w:val="superscript"/>
          <w:lang w:val="en-AU"/>
        </w:rPr>
        <w:footnoteReference w:id="521"/>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Service providers could in principle be affected by the three term of protection scenarios (A, B, C) to a varying extent, depending on their business models (i.e. whether they target the distribution of </w:t>
      </w:r>
      <w:r>
        <w:rPr>
          <w:rFonts w:ascii="Times New Roman" w:eastAsia="Calibri" w:hAnsi="Times New Roman" w:cs="Times New Roman"/>
          <w:sz w:val="24"/>
          <w:szCs w:val="24"/>
          <w:lang w:val="en-AU"/>
        </w:rPr>
        <w:t xml:space="preserve">daily </w:t>
      </w:r>
      <w:r w:rsidRPr="008012CB">
        <w:rPr>
          <w:rFonts w:ascii="Times New Roman" w:eastAsia="Calibri" w:hAnsi="Times New Roman" w:cs="Times New Roman"/>
          <w:sz w:val="24"/>
          <w:szCs w:val="24"/>
          <w:lang w:val="en-AU"/>
        </w:rPr>
        <w:t>news</w:t>
      </w:r>
      <w:r>
        <w:rPr>
          <w:rFonts w:ascii="Times New Roman" w:eastAsia="Calibri" w:hAnsi="Times New Roman" w:cs="Times New Roman"/>
          <w:sz w:val="24"/>
          <w:szCs w:val="24"/>
          <w:lang w:val="en-AU"/>
        </w:rPr>
        <w:t>, as</w:t>
      </w:r>
      <w:r w:rsidRPr="008012CB">
        <w:rPr>
          <w:rFonts w:ascii="Times New Roman" w:eastAsia="Calibri" w:hAnsi="Times New Roman" w:cs="Times New Roman"/>
          <w:sz w:val="24"/>
          <w:szCs w:val="24"/>
          <w:lang w:val="en-AU"/>
        </w:rPr>
        <w:t xml:space="preserve"> it is generally the case of online service providers such as news aggregators and social media</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 xml:space="preserve"> or rather longer term uses, such as access to newspaper archives). However, in practice, the impact of a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publishers' right on these stakeholders may not substantially change under the three scenarios. This is due to the fact that service providers would have in any event to seek authorisation for the use of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content even after the expiry of the publishers' right because they would still need to clear – as it is already the case today</w:t>
      </w:r>
      <w:r>
        <w:rPr>
          <w:rFonts w:ascii="Times New Roman" w:eastAsia="Calibri" w:hAnsi="Times New Roman" w:cs="Times New Roman"/>
          <w:sz w:val="24"/>
          <w:szCs w:val="24"/>
          <w:lang w:val="en-AU"/>
        </w:rPr>
        <w:t xml:space="preserve"> –</w:t>
      </w:r>
      <w:r w:rsidRPr="008012CB">
        <w:rPr>
          <w:rFonts w:ascii="Times New Roman" w:eastAsia="Calibri" w:hAnsi="Times New Roman" w:cs="Times New Roman"/>
          <w:sz w:val="24"/>
          <w:szCs w:val="24"/>
          <w:lang w:val="en-AU"/>
        </w:rPr>
        <w:t xml:space="preserve"> the rights of the authors in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publications (which have a longer term of protection: i.e. </w:t>
      </w:r>
      <w:r>
        <w:rPr>
          <w:rFonts w:ascii="Times New Roman" w:eastAsia="Calibri" w:hAnsi="Times New Roman" w:cs="Times New Roman"/>
          <w:sz w:val="24"/>
          <w:szCs w:val="24"/>
          <w:lang w:val="en-AU"/>
        </w:rPr>
        <w:t xml:space="preserve">life of the author plus </w:t>
      </w:r>
      <w:r w:rsidRPr="008012CB">
        <w:rPr>
          <w:rFonts w:ascii="Times New Roman" w:eastAsia="Calibri" w:hAnsi="Times New Roman" w:cs="Times New Roman"/>
          <w:sz w:val="24"/>
          <w:szCs w:val="24"/>
          <w:lang w:val="en-AU"/>
        </w:rPr>
        <w:t>70 years)</w:t>
      </w:r>
      <w:r>
        <w:rPr>
          <w:rFonts w:ascii="Times New Roman" w:eastAsia="Calibri" w:hAnsi="Times New Roman" w:cs="Times New Roman"/>
          <w:sz w:val="24"/>
          <w:szCs w:val="24"/>
          <w:lang w:val="en-AU"/>
        </w:rPr>
        <w:t xml:space="preserve">. </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Consumers</w:t>
      </w:r>
    </w:p>
    <w:p w:rsidR="00D3660C"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Consumers reap considerable benefits from news aggregators and social media. At the same time they also benefit from high quality newspaper content feeding these channels of consumption. By fostering the production of high quality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content, this option is expected to have a positive impact on consumers. Better market conditions for the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publishing industry could give rise to the development of innovative offers for the digital distribution of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content, with larger catalogues and more choice.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Consumer organisations have raised concerns that granting additional protection to publishers could negatively affect consumers as a result of the consequences that they believe this intervention could have on online services providing access to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content online. The extent to which this may happen in practice depend</w:t>
      </w:r>
      <w:r>
        <w:rPr>
          <w:rFonts w:ascii="Times New Roman" w:eastAsia="Calibri" w:hAnsi="Times New Roman" w:cs="Times New Roman"/>
          <w:sz w:val="24"/>
          <w:szCs w:val="24"/>
          <w:lang w:val="en-AU"/>
        </w:rPr>
        <w:t>s</w:t>
      </w:r>
      <w:r w:rsidRPr="008012CB">
        <w:rPr>
          <w:rFonts w:ascii="Times New Roman" w:eastAsia="Calibri" w:hAnsi="Times New Roman" w:cs="Times New Roman"/>
          <w:sz w:val="24"/>
          <w:szCs w:val="24"/>
          <w:lang w:val="en-AU"/>
        </w:rPr>
        <w:t xml:space="preserve"> at least in part on the impact of the option on service providers (see above), including as regards the different scenarios for the term of protection (scenario</w:t>
      </w:r>
      <w:r>
        <w:rPr>
          <w:rFonts w:ascii="Times New Roman" w:eastAsia="Calibri" w:hAnsi="Times New Roman" w:cs="Times New Roman"/>
          <w:sz w:val="24"/>
          <w:szCs w:val="24"/>
          <w:lang w:val="en-AU"/>
        </w:rPr>
        <w:t>s</w:t>
      </w:r>
      <w:r w:rsidRPr="008012CB">
        <w:rPr>
          <w:rFonts w:ascii="Times New Roman" w:eastAsia="Calibri" w:hAnsi="Times New Roman" w:cs="Times New Roman"/>
          <w:sz w:val="24"/>
          <w:szCs w:val="24"/>
          <w:lang w:val="en-AU"/>
        </w:rPr>
        <w:t xml:space="preserve"> A, B and C, above). However</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 xml:space="preserve"> problems experienced by consumers in ES – which are often quoted as a source of concern in relation to a possible intervention on publishers at EU level (given that a major news aggregators decided to discontinue its service in ES) – are not expected to arise under this option since the related right proposed is different from the unwaivable compensation measure under the ES </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ancillary rights</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 xml:space="preserve"> law (see above: impact on publishers).</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By improving the sustainability of the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publishing sector, this option would have a very positive impact </w:t>
      </w:r>
      <w:r>
        <w:rPr>
          <w:rFonts w:ascii="Times New Roman" w:eastAsia="Calibri" w:hAnsi="Times New Roman" w:cs="Times New Roman"/>
          <w:sz w:val="24"/>
          <w:szCs w:val="24"/>
          <w:lang w:val="en-AU"/>
        </w:rPr>
        <w:t>o</w:t>
      </w:r>
      <w:r w:rsidRPr="008012CB">
        <w:rPr>
          <w:rFonts w:ascii="Times New Roman" w:eastAsia="Calibri" w:hAnsi="Times New Roman" w:cs="Times New Roman"/>
          <w:sz w:val="24"/>
          <w:szCs w:val="24"/>
          <w:lang w:val="en-AU"/>
        </w:rPr>
        <w:t xml:space="preserve">n the number and quality of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 xml:space="preserve">publications. European society would benefit from media pluralism and enhanced participation in the democratic debate. </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fundamental rights</w:t>
      </w:r>
      <w:r w:rsidRPr="008012CB">
        <w:rPr>
          <w:rFonts w:ascii="Times New Roman" w:eastAsia="Calibri" w:hAnsi="Times New Roman" w:cs="Times New Roman"/>
          <w:b/>
          <w:sz w:val="24"/>
          <w:szCs w:val="24"/>
          <w:lang w:val="en-AU"/>
        </w:rPr>
        <w:t xml:space="preserve">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Positive impacts on copyright as property right and the right to freedom of information, resulting from the fact that this option is expected to increase the level of protection of </w:t>
      </w:r>
      <w:r w:rsidRPr="00AB1D72">
        <w:rPr>
          <w:rFonts w:ascii="Times New Roman" w:eastAsia="Calibri" w:hAnsi="Times New Roman" w:cs="Times New Roman"/>
          <w:sz w:val="24"/>
          <w:szCs w:val="24"/>
          <w:lang w:val="en-AU"/>
        </w:rPr>
        <w:t xml:space="preserve">press </w:t>
      </w:r>
      <w:r w:rsidRPr="008012CB">
        <w:rPr>
          <w:rFonts w:ascii="Times New Roman" w:eastAsia="Calibri" w:hAnsi="Times New Roman" w:cs="Times New Roman"/>
          <w:sz w:val="24"/>
          <w:szCs w:val="24"/>
          <w:lang w:val="en-AU"/>
        </w:rPr>
        <w:t>publications and to foster the quality of journalistic content.</w:t>
      </w:r>
    </w:p>
    <w:p w:rsidR="00D3660C" w:rsidRPr="008012CB" w:rsidRDefault="00D3660C" w:rsidP="00D3660C">
      <w:pPr>
        <w:spacing w:line="240" w:lineRule="auto"/>
        <w:jc w:val="both"/>
        <w:rPr>
          <w:rFonts w:ascii="Times New Roman" w:eastAsia="Calibri" w:hAnsi="Times New Roman" w:cs="Times New Roman"/>
          <w:b/>
          <w:sz w:val="24"/>
          <w:szCs w:val="24"/>
          <w:u w:val="single"/>
          <w:lang w:val="en-AU"/>
        </w:rPr>
      </w:pPr>
      <w:r w:rsidRPr="008012CB">
        <w:rPr>
          <w:rFonts w:ascii="Times New Roman" w:eastAsia="Calibri" w:hAnsi="Times New Roman" w:cs="Times New Roman"/>
          <w:b/>
          <w:sz w:val="24"/>
          <w:szCs w:val="24"/>
          <w:u w:val="single"/>
          <w:lang w:val="en-AU"/>
        </w:rPr>
        <w:t>Option 3 – As Option 2 plus introduction, in EU law, of the possibility for MS to provide that publishers may claim compensation for uses under an exception</w:t>
      </w:r>
    </w:p>
    <w:p w:rsidR="00D3660C" w:rsidRPr="008012CB" w:rsidRDefault="00D3660C" w:rsidP="00D3660C">
      <w:pPr>
        <w:spacing w:after="120" w:line="240" w:lineRule="auto"/>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stakeholders</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In addition to the impacts of Option 2, Option 3 would have the following impacts:</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Publishers</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This option would </w:t>
      </w:r>
      <w:r>
        <w:rPr>
          <w:rFonts w:ascii="Times New Roman" w:eastAsia="Calibri" w:hAnsi="Times New Roman" w:cs="Times New Roman"/>
          <w:sz w:val="24"/>
          <w:szCs w:val="24"/>
          <w:lang w:val="en-AU"/>
        </w:rPr>
        <w:t xml:space="preserve">have a positive impact on all publishers, in particular </w:t>
      </w:r>
      <w:r w:rsidRPr="008012CB">
        <w:rPr>
          <w:rFonts w:ascii="Times New Roman" w:eastAsia="Calibri" w:hAnsi="Times New Roman" w:cs="Times New Roman"/>
          <w:sz w:val="24"/>
          <w:szCs w:val="24"/>
          <w:lang w:val="en-AU"/>
        </w:rPr>
        <w:t>book and scientific publishers</w:t>
      </w:r>
      <w:r>
        <w:rPr>
          <w:rFonts w:ascii="Times New Roman" w:eastAsia="Calibri" w:hAnsi="Times New Roman" w:cs="Times New Roman"/>
          <w:sz w:val="24"/>
          <w:szCs w:val="24"/>
          <w:lang w:val="en-AU"/>
        </w:rPr>
        <w:t xml:space="preserve"> but </w:t>
      </w:r>
      <w:r w:rsidRPr="00B27FB0">
        <w:rPr>
          <w:rFonts w:ascii="Times New Roman" w:eastAsia="Calibri" w:hAnsi="Times New Roman" w:cs="Times New Roman"/>
          <w:sz w:val="24"/>
          <w:szCs w:val="24"/>
          <w:lang w:val="en-AU"/>
        </w:rPr>
        <w:t xml:space="preserve">also on </w:t>
      </w:r>
      <w:r w:rsidRPr="00AB1D72">
        <w:rPr>
          <w:rFonts w:ascii="Times New Roman" w:eastAsia="Calibri" w:hAnsi="Times New Roman" w:cs="Times New Roman"/>
          <w:sz w:val="24"/>
          <w:szCs w:val="24"/>
          <w:lang w:val="en-AU"/>
        </w:rPr>
        <w:t xml:space="preserve">press </w:t>
      </w:r>
      <w:r w:rsidRPr="00B27FB0">
        <w:rPr>
          <w:rFonts w:ascii="Times New Roman" w:eastAsia="Calibri" w:hAnsi="Times New Roman" w:cs="Times New Roman"/>
          <w:sz w:val="24"/>
          <w:szCs w:val="24"/>
          <w:lang w:val="en-AU"/>
        </w:rPr>
        <w:t>publishers</w:t>
      </w:r>
      <w:r>
        <w:rPr>
          <w:rFonts w:ascii="Times New Roman" w:eastAsia="Calibri" w:hAnsi="Times New Roman" w:cs="Times New Roman"/>
          <w:sz w:val="24"/>
          <w:szCs w:val="24"/>
          <w:lang w:val="en-AU"/>
        </w:rPr>
        <w:t xml:space="preserve"> regarding their</w:t>
      </w:r>
      <w:r w:rsidRPr="008012CB">
        <w:rPr>
          <w:rFonts w:ascii="Times New Roman" w:eastAsia="Calibri" w:hAnsi="Times New Roman" w:cs="Times New Roman"/>
          <w:sz w:val="24"/>
          <w:szCs w:val="24"/>
          <w:lang w:val="en-AU"/>
        </w:rPr>
        <w:t xml:space="preserve"> ability to receive compensation for uses under exceptions (notably the reprography exception).</w:t>
      </w:r>
      <w:r w:rsidRPr="008012CB">
        <w:rPr>
          <w:rFonts w:ascii="Times New Roman" w:eastAsia="Calibri" w:hAnsi="Times New Roman" w:cs="Times New Roman"/>
          <w:sz w:val="24"/>
          <w:szCs w:val="24"/>
          <w:vertAlign w:val="superscript"/>
          <w:lang w:val="en-AU"/>
        </w:rPr>
        <w:footnoteReference w:id="522"/>
      </w:r>
      <w:r w:rsidRPr="008012CB">
        <w:rPr>
          <w:rFonts w:ascii="Times New Roman" w:eastAsia="Calibri" w:hAnsi="Times New Roman" w:cs="Times New Roman"/>
          <w:sz w:val="24"/>
          <w:szCs w:val="24"/>
          <w:lang w:val="en-AU"/>
        </w:rPr>
        <w:t xml:space="preserve"> For example, in DE, the reprography compensation distributed to </w:t>
      </w:r>
      <w:r>
        <w:rPr>
          <w:rFonts w:ascii="Times New Roman" w:eastAsia="Calibri" w:hAnsi="Times New Roman" w:cs="Times New Roman"/>
          <w:sz w:val="24"/>
          <w:szCs w:val="24"/>
          <w:lang w:val="en-AU"/>
        </w:rPr>
        <w:t>press</w:t>
      </w:r>
      <w:r w:rsidRPr="008012CB">
        <w:rPr>
          <w:rFonts w:ascii="Times New Roman" w:eastAsia="Calibri" w:hAnsi="Times New Roman" w:cs="Times New Roman"/>
          <w:sz w:val="24"/>
          <w:szCs w:val="24"/>
          <w:lang w:val="en-AU"/>
        </w:rPr>
        <w:t xml:space="preserve"> publishers has numbered in recent years around €1.5 million per year and has been used exclusively for the education and training of journalists.</w:t>
      </w:r>
      <w:r w:rsidRPr="008012CB">
        <w:rPr>
          <w:rFonts w:ascii="Times New Roman" w:eastAsia="Calibri" w:hAnsi="Times New Roman" w:cs="Times New Roman"/>
          <w:sz w:val="24"/>
          <w:szCs w:val="24"/>
          <w:vertAlign w:val="superscript"/>
          <w:lang w:val="en-AU"/>
        </w:rPr>
        <w:footnoteReference w:id="523"/>
      </w:r>
      <w:r w:rsidRPr="008012CB">
        <w:rPr>
          <w:rFonts w:ascii="Times New Roman" w:eastAsia="Calibri" w:hAnsi="Times New Roman" w:cs="Times New Roman"/>
          <w:sz w:val="24"/>
          <w:szCs w:val="24"/>
          <w:lang w:val="en-AU"/>
        </w:rPr>
        <w:t xml:space="preserve">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For other publishers, in particular book and scientific publishers, Option 3 is highly significant, as their publications are often used under an exception such as private copying. For instance, in DE in 2013 over €20 million have been distributed to scientific publishers (books and journals) alone and an additional €3 million to other book publishers.</w:t>
      </w:r>
      <w:r w:rsidRPr="008012CB">
        <w:rPr>
          <w:rFonts w:ascii="Times New Roman" w:eastAsia="Calibri" w:hAnsi="Times New Roman" w:cs="Times New Roman"/>
          <w:sz w:val="24"/>
          <w:szCs w:val="24"/>
          <w:vertAlign w:val="superscript"/>
          <w:lang w:val="en-AU"/>
        </w:rPr>
        <w:footnoteReference w:id="524"/>
      </w:r>
      <w:r w:rsidRPr="008012CB">
        <w:rPr>
          <w:rFonts w:ascii="Times New Roman" w:eastAsia="Calibri" w:hAnsi="Times New Roman" w:cs="Times New Roman"/>
          <w:sz w:val="24"/>
          <w:szCs w:val="24"/>
          <w:lang w:val="en-AU"/>
        </w:rPr>
        <w:t xml:space="preserve"> In 2012 the sum that scientific publishers received amounted even to over €30 million and to €2.3 million to other book publishers.</w:t>
      </w:r>
      <w:r w:rsidRPr="008012CB">
        <w:rPr>
          <w:rFonts w:ascii="Times New Roman" w:eastAsia="Calibri" w:hAnsi="Times New Roman" w:cs="Times New Roman"/>
          <w:sz w:val="24"/>
          <w:szCs w:val="24"/>
          <w:vertAlign w:val="superscript"/>
          <w:lang w:val="en-AU"/>
        </w:rPr>
        <w:footnoteReference w:id="525"/>
      </w:r>
      <w:r w:rsidRPr="008012CB">
        <w:rPr>
          <w:rFonts w:ascii="Times New Roman" w:eastAsia="Calibri" w:hAnsi="Times New Roman" w:cs="Times New Roman"/>
          <w:sz w:val="24"/>
          <w:szCs w:val="24"/>
          <w:lang w:val="en-AU"/>
        </w:rPr>
        <w:t xml:space="preserve"> </w:t>
      </w:r>
    </w:p>
    <w:p w:rsidR="00D3660C"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Until now, publishers in 18 MS have received (part of the) compensation for uses of their publications under an exception.</w:t>
      </w:r>
      <w:r w:rsidRPr="008012CB">
        <w:rPr>
          <w:rFonts w:ascii="Times New Roman" w:eastAsia="Calibri" w:hAnsi="Times New Roman" w:cs="Times New Roman"/>
          <w:sz w:val="24"/>
          <w:szCs w:val="24"/>
          <w:vertAlign w:val="superscript"/>
          <w:lang w:val="en-AU"/>
        </w:rPr>
        <w:footnoteReference w:id="526"/>
      </w:r>
      <w:r w:rsidRPr="008012CB">
        <w:rPr>
          <w:rFonts w:ascii="Times New Roman" w:eastAsia="Calibri" w:hAnsi="Times New Roman" w:cs="Times New Roman"/>
          <w:sz w:val="24"/>
          <w:szCs w:val="24"/>
          <w:lang w:val="en-AU"/>
        </w:rPr>
        <w:t xml:space="preserve"> The basis and the details of the respective arrangements in place differ, but in many MS there are joint authors/publishers collecting societies in place that are in charge of negotiating tariffs and collecting the compensation, e.g. in the form of a levy, and distributing it to authors and publishers. In their replies to the public consultation these collecting societies have expressed the concern that their very existence could be put in danger by the current situation of legal uncertainty. In the 12 MS for which detailed data was available, </w:t>
      </w:r>
      <w:r>
        <w:rPr>
          <w:rFonts w:ascii="Times New Roman" w:eastAsia="Calibri" w:hAnsi="Times New Roman" w:cs="Times New Roman"/>
          <w:sz w:val="24"/>
          <w:szCs w:val="24"/>
          <w:lang w:val="en-AU"/>
        </w:rPr>
        <w:t>the</w:t>
      </w:r>
      <w:r w:rsidRPr="008012CB">
        <w:rPr>
          <w:rFonts w:ascii="Times New Roman" w:eastAsia="Calibri" w:hAnsi="Times New Roman" w:cs="Times New Roman"/>
          <w:sz w:val="24"/>
          <w:szCs w:val="24"/>
          <w:lang w:val="en-AU"/>
        </w:rPr>
        <w:t xml:space="preserve"> compensation to publishers amounted to an aggregated sum of €40 million in the respective last financial year.</w:t>
      </w:r>
      <w:r w:rsidRPr="008012CB">
        <w:rPr>
          <w:rFonts w:ascii="Times New Roman" w:eastAsia="Calibri" w:hAnsi="Times New Roman" w:cs="Times New Roman"/>
          <w:sz w:val="24"/>
          <w:szCs w:val="24"/>
          <w:vertAlign w:val="superscript"/>
          <w:lang w:val="en-AU"/>
        </w:rPr>
        <w:footnoteReference w:id="527"/>
      </w:r>
      <w:r w:rsidRPr="008012CB">
        <w:rPr>
          <w:rFonts w:ascii="Times New Roman" w:eastAsia="Calibri" w:hAnsi="Times New Roman" w:cs="Times New Roman"/>
          <w:sz w:val="24"/>
          <w:szCs w:val="24"/>
          <w:lang w:val="en-AU"/>
        </w:rPr>
        <w:t xml:space="preserve"> Figures </w:t>
      </w:r>
      <w:r w:rsidRPr="001E5F81">
        <w:rPr>
          <w:rFonts w:ascii="Times New Roman" w:eastAsia="Calibri" w:hAnsi="Times New Roman" w:cs="Times New Roman"/>
          <w:sz w:val="24"/>
          <w:szCs w:val="24"/>
          <w:lang w:val="en-AU"/>
        </w:rPr>
        <w:t>differ greatly from MS to MS and range from €24 million in DE to €7,000 in LT for reprography. Option 3 would not change this situation but allow MS to keep the existing systems and provide a clear legal basis for them. More precisely, Option 3 leaves it to MS to decide if they want to put publishers in a position to receive compensation for uses of publications</w:t>
      </w:r>
      <w:r w:rsidRPr="008012CB">
        <w:rPr>
          <w:rFonts w:ascii="Times New Roman" w:eastAsia="Calibri" w:hAnsi="Times New Roman" w:cs="Times New Roman"/>
          <w:sz w:val="24"/>
          <w:szCs w:val="24"/>
          <w:lang w:val="en-AU"/>
        </w:rPr>
        <w:t xml:space="preserve"> under an exception on condition that the original </w:t>
      </w:r>
      <w:r>
        <w:rPr>
          <w:rFonts w:ascii="Times New Roman" w:eastAsia="Calibri" w:hAnsi="Times New Roman" w:cs="Times New Roman"/>
          <w:sz w:val="24"/>
          <w:szCs w:val="24"/>
          <w:lang w:val="en-AU"/>
        </w:rPr>
        <w:t>rightholders</w:t>
      </w:r>
      <w:r w:rsidRPr="008012CB">
        <w:rPr>
          <w:rFonts w:ascii="Times New Roman" w:eastAsia="Calibri" w:hAnsi="Times New Roman" w:cs="Times New Roman"/>
          <w:sz w:val="24"/>
          <w:szCs w:val="24"/>
          <w:lang w:val="en-AU"/>
        </w:rPr>
        <w:t xml:space="preserve"> benefit in an adequate manner, directly or indirectly, from the compensation due. </w:t>
      </w:r>
      <w:r>
        <w:rPr>
          <w:rFonts w:ascii="Times New Roman" w:eastAsia="Calibri" w:hAnsi="Times New Roman" w:cs="Times New Roman"/>
          <w:sz w:val="24"/>
          <w:szCs w:val="24"/>
          <w:lang w:val="en-AU"/>
        </w:rPr>
        <w:t xml:space="preserve">It also remains neutral regarding the issue of levies as such and aims merely at giving MS discretion regarding the recipients of compensation for uses under an exception or limitation under certain conditions. </w:t>
      </w:r>
      <w:r w:rsidRPr="008012CB">
        <w:rPr>
          <w:rFonts w:ascii="Times New Roman" w:eastAsia="Calibri" w:hAnsi="Times New Roman" w:cs="Times New Roman"/>
          <w:sz w:val="24"/>
          <w:szCs w:val="24"/>
          <w:lang w:val="en-AU"/>
        </w:rPr>
        <w:t xml:space="preserve">Thus, depending on the concrete legislative measures passed by the MS, the existing schemes providing for a split of the compensation between authors and publishers as well as the established practise of </w:t>
      </w:r>
      <w:r>
        <w:rPr>
          <w:rFonts w:ascii="Times New Roman" w:eastAsia="Calibri" w:hAnsi="Times New Roman" w:cs="Times New Roman"/>
          <w:sz w:val="24"/>
          <w:szCs w:val="24"/>
          <w:lang w:val="en-AU"/>
        </w:rPr>
        <w:t xml:space="preserve">joint </w:t>
      </w:r>
      <w:r w:rsidRPr="008012CB">
        <w:rPr>
          <w:rFonts w:ascii="Times New Roman" w:eastAsia="Calibri" w:hAnsi="Times New Roman" w:cs="Times New Roman"/>
          <w:sz w:val="24"/>
          <w:szCs w:val="24"/>
          <w:lang w:val="en-AU"/>
        </w:rPr>
        <w:t>collecting societies could be maintained, so long as it is ensured that authors benefit adequately from the compensation due.</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 xml:space="preserve">Authors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Th</w:t>
      </w:r>
      <w:r>
        <w:rPr>
          <w:rFonts w:ascii="Times New Roman" w:eastAsia="Calibri" w:hAnsi="Times New Roman" w:cs="Times New Roman"/>
          <w:sz w:val="24"/>
          <w:szCs w:val="24"/>
          <w:lang w:val="en-AU"/>
        </w:rPr>
        <w:t>e</w:t>
      </w:r>
      <w:r w:rsidRPr="008012CB">
        <w:rPr>
          <w:rFonts w:ascii="Times New Roman" w:eastAsia="Calibri" w:hAnsi="Times New Roman" w:cs="Times New Roman"/>
          <w:sz w:val="24"/>
          <w:szCs w:val="24"/>
          <w:lang w:val="en-AU"/>
        </w:rPr>
        <w:t xml:space="preserve"> impact </w:t>
      </w:r>
      <w:r>
        <w:rPr>
          <w:rFonts w:ascii="Times New Roman" w:eastAsia="Calibri" w:hAnsi="Times New Roman" w:cs="Times New Roman"/>
          <w:sz w:val="24"/>
          <w:szCs w:val="24"/>
          <w:lang w:val="en-AU"/>
        </w:rPr>
        <w:t xml:space="preserve">on authors (journalists, writers, photographers) </w:t>
      </w:r>
      <w:r w:rsidRPr="008012CB">
        <w:rPr>
          <w:rFonts w:ascii="Times New Roman" w:eastAsia="Calibri" w:hAnsi="Times New Roman" w:cs="Times New Roman"/>
          <w:sz w:val="24"/>
          <w:szCs w:val="24"/>
          <w:lang w:val="en-AU"/>
        </w:rPr>
        <w:t xml:space="preserve">would vary across MS, depending </w:t>
      </w:r>
      <w:r>
        <w:rPr>
          <w:rFonts w:ascii="Times New Roman" w:eastAsia="Calibri" w:hAnsi="Times New Roman" w:cs="Times New Roman"/>
          <w:sz w:val="24"/>
          <w:szCs w:val="24"/>
          <w:lang w:val="en-AU"/>
        </w:rPr>
        <w:t xml:space="preserve">on their choices to make use of this option and </w:t>
      </w:r>
      <w:r w:rsidRPr="008012CB">
        <w:rPr>
          <w:rFonts w:ascii="Times New Roman" w:eastAsia="Calibri" w:hAnsi="Times New Roman" w:cs="Times New Roman"/>
          <w:sz w:val="24"/>
          <w:szCs w:val="24"/>
          <w:lang w:val="en-AU"/>
        </w:rPr>
        <w:t>on the starting situation in the respective MS</w:t>
      </w:r>
      <w:r>
        <w:rPr>
          <w:rFonts w:ascii="Times New Roman" w:eastAsia="Calibri" w:hAnsi="Times New Roman" w:cs="Times New Roman"/>
          <w:sz w:val="24"/>
          <w:szCs w:val="24"/>
          <w:lang w:val="en-AU"/>
        </w:rPr>
        <w:t xml:space="preserve">. Authors have regarded positively, in those MS where they exist, compensation schemes encompassing both authors and publishers. They have traditionally been considered as instrumental to the good functioning of collecting societies and of the print publishing market overall. Therefore the intervention under this option aiming at providing MS with the legal space to keep these systems in place is likely to ultimately benefit authors as well.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Accordingly, this option would benefit authors by enhancing transparency regarding the economic value of the compensation due for uses under an exception and the way in which they benefit from it, after transferring </w:t>
      </w:r>
      <w:r w:rsidR="00547A84">
        <w:rPr>
          <w:rFonts w:ascii="Times New Roman" w:eastAsia="Calibri" w:hAnsi="Times New Roman" w:cs="Times New Roman"/>
          <w:sz w:val="24"/>
          <w:szCs w:val="24"/>
          <w:lang w:val="en-AU"/>
        </w:rPr>
        <w:t xml:space="preserve">or licensing </w:t>
      </w:r>
      <w:r w:rsidRPr="008012CB">
        <w:rPr>
          <w:rFonts w:ascii="Times New Roman" w:eastAsia="Calibri" w:hAnsi="Times New Roman" w:cs="Times New Roman"/>
          <w:sz w:val="24"/>
          <w:szCs w:val="24"/>
          <w:lang w:val="en-AU"/>
        </w:rPr>
        <w:t>their rights to a publisher.</w:t>
      </w:r>
      <w:r w:rsidRPr="008012CB">
        <w:rPr>
          <w:rFonts w:ascii="Times New Roman" w:eastAsia="Calibri" w:hAnsi="Times New Roman" w:cs="Times New Roman"/>
          <w:sz w:val="24"/>
          <w:szCs w:val="24"/>
          <w:lang w:val="en-AU" w:eastAsia="en-GB"/>
        </w:rPr>
        <w:t xml:space="preserve"> </w:t>
      </w:r>
    </w:p>
    <w:p w:rsidR="00D3660C" w:rsidRPr="008012CB" w:rsidRDefault="00D3660C" w:rsidP="00D3660C">
      <w:pPr>
        <w:spacing w:after="120" w:line="240" w:lineRule="auto"/>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 xml:space="preserve">Service providers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The additional elements under Option 3 should have no impact on online service providers. </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b/>
          <w:sz w:val="24"/>
          <w:szCs w:val="24"/>
          <w:lang w:val="en-AU"/>
        </w:rPr>
        <w:t>Consumers</w:t>
      </w:r>
    </w:p>
    <w:p w:rsidR="00D3660C"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 xml:space="preserve">The additional elements under Option 3 should have no additional impact on consumers, as the overall level of compensation would stay the same. This is the case because the optional mechanism proposed additionally under Option 3 would be neutral as to the overall level of harm caused by uses under the exception. </w:t>
      </w:r>
    </w:p>
    <w:p w:rsidR="00D3660C" w:rsidRPr="008012CB"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D3660C" w:rsidRPr="008012CB" w:rsidRDefault="00D3660C" w:rsidP="00D3660C">
      <w:pPr>
        <w:spacing w:after="120" w:line="240" w:lineRule="auto"/>
        <w:jc w:val="both"/>
        <w:rPr>
          <w:rFonts w:ascii="Times New Roman" w:eastAsia="Calibri" w:hAnsi="Times New Roman" w:cs="Times New Roman"/>
          <w:sz w:val="24"/>
          <w:szCs w:val="24"/>
          <w:lang w:val="en-AU"/>
        </w:rPr>
      </w:pPr>
      <w:r w:rsidRPr="008012CB">
        <w:rPr>
          <w:rFonts w:ascii="Times New Roman" w:eastAsia="Calibri" w:hAnsi="Times New Roman" w:cs="Times New Roman"/>
          <w:sz w:val="24"/>
          <w:szCs w:val="24"/>
          <w:lang w:val="en-AU"/>
        </w:rPr>
        <w:t>Additional positive impacts on cultural diversity are expected under this option, because of the added value that it would bring to publishers across all sectors</w:t>
      </w:r>
      <w:r>
        <w:rPr>
          <w:rFonts w:ascii="Times New Roman" w:eastAsia="Calibri" w:hAnsi="Times New Roman" w:cs="Times New Roman"/>
          <w:sz w:val="24"/>
          <w:szCs w:val="24"/>
          <w:lang w:val="en-AU"/>
        </w:rPr>
        <w:t>,</w:t>
      </w:r>
      <w:r w:rsidRPr="008012CB">
        <w:rPr>
          <w:rFonts w:ascii="Times New Roman" w:eastAsia="Calibri" w:hAnsi="Times New Roman" w:cs="Times New Roman"/>
          <w:sz w:val="24"/>
          <w:szCs w:val="24"/>
          <w:lang w:val="en-AU"/>
        </w:rPr>
        <w:t xml:space="preserve"> in particular smaller book publishers.</w:t>
      </w:r>
    </w:p>
    <w:p w:rsidR="00D3660C" w:rsidRPr="008012CB" w:rsidRDefault="00D3660C" w:rsidP="00D3660C">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D3660C" w:rsidRPr="00784322" w:rsidRDefault="00D3660C" w:rsidP="00D3660C">
      <w:pPr>
        <w:spacing w:after="120" w:line="240" w:lineRule="auto"/>
        <w:jc w:val="both"/>
        <w:rPr>
          <w:rFonts w:ascii="Times New Roman" w:eastAsia="Calibri" w:hAnsi="Times New Roman" w:cs="Times New Roman"/>
          <w:b/>
          <w:sz w:val="24"/>
          <w:szCs w:val="24"/>
          <w:lang w:val="en-AU"/>
        </w:rPr>
      </w:pPr>
      <w:r w:rsidRPr="008012CB">
        <w:rPr>
          <w:rFonts w:ascii="Times New Roman" w:eastAsia="Calibri" w:hAnsi="Times New Roman" w:cs="Times New Roman"/>
          <w:sz w:val="24"/>
          <w:szCs w:val="24"/>
          <w:lang w:val="en-AU"/>
        </w:rPr>
        <w:t>No additional impact on</w:t>
      </w:r>
      <w:r w:rsidRPr="008012CB">
        <w:rPr>
          <w:rFonts w:ascii="Calibri" w:eastAsia="Calibri" w:hAnsi="Calibri" w:cs="Times New Roman"/>
          <w:lang w:val="en-AU"/>
        </w:rPr>
        <w:t xml:space="preserve"> </w:t>
      </w:r>
      <w:r w:rsidRPr="008012CB">
        <w:rPr>
          <w:rFonts w:ascii="Times New Roman" w:eastAsia="Calibri" w:hAnsi="Times New Roman" w:cs="Times New Roman"/>
          <w:sz w:val="24"/>
          <w:szCs w:val="24"/>
          <w:lang w:val="en-AU"/>
        </w:rPr>
        <w:t xml:space="preserve">fundamental rights. </w:t>
      </w:r>
      <w:r w:rsidRPr="008012CB">
        <w:rPr>
          <w:rFonts w:ascii="Times New Roman" w:eastAsia="Calibri" w:hAnsi="Times New Roman" w:cs="Times New Roman"/>
          <w:sz w:val="24"/>
          <w:szCs w:val="24"/>
          <w:lang w:val="en-AU"/>
        </w:rPr>
        <w:tab/>
      </w:r>
    </w:p>
    <w:p w:rsidR="00D3660C" w:rsidRPr="008012CB" w:rsidRDefault="00D3660C" w:rsidP="00D3660C">
      <w:pPr>
        <w:pStyle w:val="Heading3"/>
      </w:pPr>
      <w:bookmarkStart w:id="183" w:name="_Toc461114755"/>
      <w:r w:rsidRPr="008012CB">
        <w:t>How do the options compare?</w:t>
      </w:r>
      <w:bookmarkEnd w:id="183"/>
    </w:p>
    <w:tbl>
      <w:tblPr>
        <w:tblStyle w:val="TableGrid11"/>
        <w:tblW w:w="0" w:type="auto"/>
        <w:tblInd w:w="0" w:type="dxa"/>
        <w:shd w:val="clear" w:color="auto" w:fill="FFFFFF" w:themeFill="background1"/>
        <w:tblLayout w:type="fixed"/>
        <w:tblLook w:val="04A0" w:firstRow="1" w:lastRow="0" w:firstColumn="1" w:lastColumn="0" w:noHBand="0" w:noVBand="1"/>
      </w:tblPr>
      <w:tblGrid>
        <w:gridCol w:w="1242"/>
        <w:gridCol w:w="1985"/>
        <w:gridCol w:w="1843"/>
        <w:gridCol w:w="2268"/>
        <w:gridCol w:w="1950"/>
      </w:tblGrid>
      <w:tr w:rsidR="00D3660C" w:rsidRPr="008012CB" w:rsidTr="009D59CB">
        <w:tc>
          <w:tcPr>
            <w:tcW w:w="1242"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Option</w:t>
            </w:r>
          </w:p>
        </w:tc>
        <w:tc>
          <w:tcPr>
            <w:tcW w:w="1985"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Effectiveness</w:t>
            </w:r>
          </w:p>
        </w:tc>
        <w:tc>
          <w:tcPr>
            <w:tcW w:w="1843"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Efficiency</w:t>
            </w:r>
          </w:p>
        </w:tc>
        <w:tc>
          <w:tcPr>
            <w:tcW w:w="2268"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Impact on stakeholders</w:t>
            </w:r>
          </w:p>
        </w:tc>
        <w:tc>
          <w:tcPr>
            <w:tcW w:w="1950"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Social impacts and fundamental rights</w:t>
            </w:r>
          </w:p>
        </w:tc>
      </w:tr>
      <w:tr w:rsidR="00D3660C" w:rsidRPr="008012CB" w:rsidTr="009D59CB">
        <w:tc>
          <w:tcPr>
            <w:tcW w:w="1242"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Baseline</w:t>
            </w:r>
          </w:p>
        </w:tc>
        <w:tc>
          <w:tcPr>
            <w:tcW w:w="1985" w:type="dxa"/>
            <w:shd w:val="clear" w:color="auto" w:fill="FFFFFF" w:themeFill="background1"/>
          </w:tcPr>
          <w:p w:rsidR="00D3660C" w:rsidRPr="00D1507D" w:rsidRDefault="00D3660C" w:rsidP="009D59CB">
            <w:pPr>
              <w:pStyle w:val="Default"/>
              <w:rPr>
                <w:sz w:val="20"/>
              </w:rPr>
            </w:pPr>
            <w:r w:rsidRPr="00D1507D">
              <w:rPr>
                <w:sz w:val="20"/>
              </w:rPr>
              <w:t>(0) Publishers would continue to face difficulties to license their publications or to get enough revenues (including compensation) for the reuse of their content.</w:t>
            </w:r>
          </w:p>
        </w:tc>
        <w:tc>
          <w:tcPr>
            <w:tcW w:w="1843" w:type="dxa"/>
            <w:shd w:val="clear" w:color="auto" w:fill="FFFFFF" w:themeFill="background1"/>
          </w:tcPr>
          <w:p w:rsidR="00D3660C" w:rsidRPr="00D1507D" w:rsidRDefault="00D3660C" w:rsidP="009D59CB">
            <w:pPr>
              <w:pStyle w:val="Default"/>
              <w:rPr>
                <w:sz w:val="20"/>
              </w:rPr>
            </w:pPr>
            <w:r w:rsidRPr="00D1507D">
              <w:rPr>
                <w:sz w:val="20"/>
              </w:rPr>
              <w:t>(0) No direct costs associated with the baseline option.</w:t>
            </w:r>
          </w:p>
          <w:p w:rsidR="00D3660C" w:rsidRPr="00D1507D" w:rsidRDefault="00D3660C" w:rsidP="009D59CB">
            <w:pPr>
              <w:rPr>
                <w:rFonts w:ascii="Times New Roman" w:hAnsi="Times New Roman"/>
                <w:sz w:val="20"/>
              </w:rPr>
            </w:pPr>
          </w:p>
        </w:tc>
        <w:tc>
          <w:tcPr>
            <w:tcW w:w="2268" w:type="dxa"/>
            <w:shd w:val="clear" w:color="auto" w:fill="FFFFFF" w:themeFill="background1"/>
          </w:tcPr>
          <w:p w:rsidR="00D3660C" w:rsidRPr="00D1507D" w:rsidRDefault="00D3660C" w:rsidP="009D59CB">
            <w:pPr>
              <w:pStyle w:val="Default"/>
              <w:rPr>
                <w:sz w:val="20"/>
              </w:rPr>
            </w:pPr>
            <w:r w:rsidRPr="00D1507D">
              <w:rPr>
                <w:sz w:val="20"/>
              </w:rPr>
              <w:t>(0) Impacts would depend on the evolution of the market. This uncertainty would prejudice publishers.</w:t>
            </w:r>
          </w:p>
          <w:p w:rsidR="00D3660C" w:rsidRPr="00D1507D" w:rsidRDefault="00D3660C" w:rsidP="009D59CB">
            <w:pPr>
              <w:pStyle w:val="Default"/>
              <w:rPr>
                <w:sz w:val="20"/>
              </w:rPr>
            </w:pPr>
          </w:p>
        </w:tc>
        <w:tc>
          <w:tcPr>
            <w:tcW w:w="1950" w:type="dxa"/>
            <w:shd w:val="clear" w:color="auto" w:fill="FFFFFF" w:themeFill="background1"/>
          </w:tcPr>
          <w:p w:rsidR="00D3660C" w:rsidRPr="00D1507D" w:rsidRDefault="00D3660C" w:rsidP="009D59CB">
            <w:pPr>
              <w:pStyle w:val="Default"/>
              <w:rPr>
                <w:sz w:val="20"/>
              </w:rPr>
            </w:pPr>
            <w:r w:rsidRPr="00D1507D">
              <w:rPr>
                <w:sz w:val="20"/>
              </w:rPr>
              <w:t xml:space="preserve">(0) No direct impact on fundamental rights. Cultural diversity may be negatively affected in the long term. </w:t>
            </w:r>
          </w:p>
        </w:tc>
      </w:tr>
      <w:tr w:rsidR="00D3660C" w:rsidRPr="008012CB" w:rsidTr="009D59CB">
        <w:tc>
          <w:tcPr>
            <w:tcW w:w="1242"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Option 1 –Stake-holders' dialogue</w:t>
            </w:r>
          </w:p>
        </w:tc>
        <w:tc>
          <w:tcPr>
            <w:tcW w:w="1985" w:type="dxa"/>
            <w:shd w:val="clear" w:color="auto" w:fill="FFFFFF" w:themeFill="background1"/>
          </w:tcPr>
          <w:p w:rsidR="00D3660C" w:rsidRPr="00D1507D" w:rsidRDefault="00D3660C" w:rsidP="009D59CB">
            <w:pPr>
              <w:pStyle w:val="Default"/>
              <w:rPr>
                <w:sz w:val="20"/>
              </w:rPr>
            </w:pPr>
            <w:r w:rsidRPr="00D1507D">
              <w:rPr>
                <w:sz w:val="20"/>
              </w:rPr>
              <w:t>(0/+) It could foster new agreements but depending mainly on the willingness of the parties to participate. (0) Legal certainty (including on the claims to receive compensation) across the EU would not be achieved.</w:t>
            </w:r>
          </w:p>
        </w:tc>
        <w:tc>
          <w:tcPr>
            <w:tcW w:w="1843" w:type="dxa"/>
            <w:shd w:val="clear" w:color="auto" w:fill="FFFFFF" w:themeFill="background1"/>
          </w:tcPr>
          <w:p w:rsidR="00D3660C" w:rsidRPr="00D1507D" w:rsidRDefault="00D3660C" w:rsidP="009D59CB">
            <w:pPr>
              <w:pStyle w:val="Default"/>
              <w:rPr>
                <w:sz w:val="20"/>
              </w:rPr>
            </w:pPr>
            <w:r w:rsidRPr="00D1507D">
              <w:rPr>
                <w:sz w:val="20"/>
              </w:rPr>
              <w:t>(-) Costs linked to the organisation of the stakeholders' dialogue.</w:t>
            </w:r>
          </w:p>
        </w:tc>
        <w:tc>
          <w:tcPr>
            <w:tcW w:w="2268" w:type="dxa"/>
            <w:shd w:val="clear" w:color="auto" w:fill="FFFFFF" w:themeFill="background1"/>
          </w:tcPr>
          <w:p w:rsidR="00D3660C" w:rsidRPr="00D1507D" w:rsidRDefault="00D3660C" w:rsidP="009D59CB">
            <w:pPr>
              <w:pStyle w:val="Default"/>
              <w:rPr>
                <w:sz w:val="20"/>
              </w:rPr>
            </w:pPr>
            <w:r w:rsidRPr="00D1507D">
              <w:rPr>
                <w:sz w:val="20"/>
              </w:rPr>
              <w:t xml:space="preserve">(0) Main impacts on stakeholders would depend on the uneven willingness of the parties to participate in the dialogue and reach agreements. </w:t>
            </w:r>
          </w:p>
          <w:p w:rsidR="00D3660C" w:rsidRPr="00D1507D" w:rsidRDefault="00D3660C" w:rsidP="009D59CB">
            <w:pPr>
              <w:pStyle w:val="Default"/>
              <w:rPr>
                <w:sz w:val="20"/>
              </w:rPr>
            </w:pPr>
          </w:p>
        </w:tc>
        <w:tc>
          <w:tcPr>
            <w:tcW w:w="1950" w:type="dxa"/>
            <w:shd w:val="clear" w:color="auto" w:fill="FFFFFF" w:themeFill="background1"/>
          </w:tcPr>
          <w:p w:rsidR="00D3660C" w:rsidRPr="00D1507D" w:rsidRDefault="00D3660C" w:rsidP="009D59CB">
            <w:pPr>
              <w:pStyle w:val="Default"/>
              <w:rPr>
                <w:sz w:val="20"/>
              </w:rPr>
            </w:pPr>
            <w:r w:rsidRPr="00D1507D">
              <w:rPr>
                <w:sz w:val="20"/>
              </w:rPr>
              <w:t>(0) No direct impact on fundamental rights. Cultural diversity may be negatively affected in the long term.</w:t>
            </w:r>
          </w:p>
        </w:tc>
      </w:tr>
      <w:tr w:rsidR="00D3660C" w:rsidRPr="008012CB" w:rsidTr="009D59CB">
        <w:trPr>
          <w:trHeight w:val="269"/>
        </w:trPr>
        <w:tc>
          <w:tcPr>
            <w:tcW w:w="1242" w:type="dxa"/>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 xml:space="preserve">Option 2 – Introduction in EU law of a related right covering </w:t>
            </w:r>
            <w:r w:rsidR="00B72D86">
              <w:rPr>
                <w:rFonts w:ascii="Times New Roman" w:hAnsi="Times New Roman"/>
                <w:b/>
                <w:sz w:val="20"/>
              </w:rPr>
              <w:t>digital</w:t>
            </w:r>
            <w:r w:rsidRPr="00D1507D">
              <w:rPr>
                <w:rFonts w:ascii="Times New Roman" w:hAnsi="Times New Roman"/>
                <w:b/>
                <w:sz w:val="20"/>
              </w:rPr>
              <w:t xml:space="preserve"> uses of </w:t>
            </w:r>
            <w:r w:rsidRPr="00AB1D72">
              <w:rPr>
                <w:rFonts w:ascii="Times New Roman" w:hAnsi="Times New Roman"/>
                <w:b/>
                <w:sz w:val="20"/>
              </w:rPr>
              <w:t xml:space="preserve">press </w:t>
            </w:r>
            <w:r w:rsidRPr="00AD57F7">
              <w:rPr>
                <w:rFonts w:ascii="Times New Roman" w:hAnsi="Times New Roman"/>
                <w:b/>
                <w:sz w:val="20"/>
                <w:szCs w:val="18"/>
              </w:rPr>
              <w:t>publica</w:t>
            </w:r>
            <w:r>
              <w:rPr>
                <w:rFonts w:ascii="Times New Roman" w:hAnsi="Times New Roman"/>
                <w:b/>
                <w:sz w:val="20"/>
                <w:szCs w:val="18"/>
              </w:rPr>
              <w:t>-</w:t>
            </w:r>
            <w:r w:rsidRPr="00AD57F7">
              <w:rPr>
                <w:rFonts w:ascii="Times New Roman" w:hAnsi="Times New Roman"/>
                <w:b/>
                <w:sz w:val="20"/>
                <w:szCs w:val="18"/>
              </w:rPr>
              <w:t>tions</w:t>
            </w:r>
            <w:r w:rsidRPr="00D1507D">
              <w:rPr>
                <w:rFonts w:ascii="Times New Roman" w:hAnsi="Times New Roman"/>
                <w:b/>
                <w:sz w:val="20"/>
              </w:rPr>
              <w:t xml:space="preserve"> </w:t>
            </w:r>
          </w:p>
          <w:p w:rsidR="00D3660C" w:rsidRPr="00D1507D" w:rsidRDefault="00D3660C" w:rsidP="009D59CB">
            <w:pPr>
              <w:rPr>
                <w:rFonts w:ascii="Times New Roman" w:hAnsi="Times New Roman"/>
                <w:b/>
                <w:sz w:val="20"/>
              </w:rPr>
            </w:pPr>
          </w:p>
        </w:tc>
        <w:tc>
          <w:tcPr>
            <w:tcW w:w="1985" w:type="dxa"/>
            <w:shd w:val="clear" w:color="auto" w:fill="FFFFFF" w:themeFill="background1"/>
          </w:tcPr>
          <w:p w:rsidR="00D3660C" w:rsidRDefault="00D3660C" w:rsidP="009D59CB">
            <w:pPr>
              <w:pStyle w:val="Default"/>
              <w:rPr>
                <w:sz w:val="20"/>
                <w:szCs w:val="18"/>
              </w:rPr>
            </w:pPr>
            <w:r w:rsidRPr="004B59A1">
              <w:rPr>
                <w:sz w:val="20"/>
                <w:szCs w:val="18"/>
              </w:rPr>
              <w:t xml:space="preserve">(++) The EU-scale of the recognition of a related right for </w:t>
            </w:r>
            <w:r w:rsidRPr="00AB1D72">
              <w:rPr>
                <w:sz w:val="20"/>
                <w:szCs w:val="18"/>
              </w:rPr>
              <w:t xml:space="preserve">press </w:t>
            </w:r>
            <w:r w:rsidRPr="004B59A1">
              <w:rPr>
                <w:sz w:val="20"/>
                <w:szCs w:val="18"/>
              </w:rPr>
              <w:t>publications would provide more effective protection than provisions in national law.</w:t>
            </w:r>
          </w:p>
          <w:p w:rsidR="00D3660C" w:rsidRPr="00D1507D" w:rsidRDefault="00D3660C" w:rsidP="009D59CB">
            <w:pPr>
              <w:pStyle w:val="Default"/>
              <w:rPr>
                <w:sz w:val="20"/>
              </w:rPr>
            </w:pPr>
            <w:r w:rsidRPr="00AD57F7">
              <w:rPr>
                <w:sz w:val="20"/>
                <w:szCs w:val="18"/>
              </w:rPr>
              <w:t xml:space="preserve">(+) </w:t>
            </w:r>
            <w:r>
              <w:rPr>
                <w:sz w:val="20"/>
                <w:szCs w:val="18"/>
              </w:rPr>
              <w:t>As a result, l</w:t>
            </w:r>
            <w:r w:rsidRPr="00AD57F7">
              <w:rPr>
                <w:sz w:val="20"/>
                <w:szCs w:val="18"/>
              </w:rPr>
              <w:t>egal</w:t>
            </w:r>
            <w:r w:rsidRPr="00D1507D">
              <w:rPr>
                <w:sz w:val="20"/>
              </w:rPr>
              <w:t xml:space="preserve"> certainty and stronger bargaining powers would foster the conclusion of B2B licences for online uses of news. The positive impact on publishers would remain but decrease under the three scenarios (A, B, C) concerning the term of protection. </w:t>
            </w:r>
          </w:p>
          <w:p w:rsidR="00D3660C" w:rsidRPr="00D1507D" w:rsidRDefault="00D3660C" w:rsidP="009D59CB">
            <w:pPr>
              <w:pStyle w:val="Default"/>
              <w:rPr>
                <w:sz w:val="20"/>
              </w:rPr>
            </w:pPr>
            <w:r w:rsidRPr="00D1507D">
              <w:rPr>
                <w:sz w:val="20"/>
              </w:rPr>
              <w:t>(-) It would not solve the unclear situation regarding publishers' possibility to claim compensation for uses made under an exception.</w:t>
            </w:r>
          </w:p>
        </w:tc>
        <w:tc>
          <w:tcPr>
            <w:tcW w:w="1843" w:type="dxa"/>
            <w:shd w:val="clear" w:color="auto" w:fill="FFFFFF" w:themeFill="background1"/>
          </w:tcPr>
          <w:p w:rsidR="00D3660C" w:rsidRPr="00AD57F7" w:rsidRDefault="00D3660C" w:rsidP="009D59CB">
            <w:pPr>
              <w:pStyle w:val="Default"/>
              <w:rPr>
                <w:sz w:val="20"/>
                <w:szCs w:val="18"/>
              </w:rPr>
            </w:pPr>
            <w:r w:rsidRPr="00AD57F7">
              <w:rPr>
                <w:sz w:val="20"/>
                <w:szCs w:val="18"/>
              </w:rPr>
              <w:t>(0) No direct costs associated with this option.</w:t>
            </w:r>
          </w:p>
          <w:p w:rsidR="00D3660C" w:rsidRPr="00AD57F7" w:rsidRDefault="00D3660C" w:rsidP="009D59CB">
            <w:pPr>
              <w:pStyle w:val="Default"/>
              <w:rPr>
                <w:sz w:val="20"/>
                <w:szCs w:val="18"/>
              </w:rPr>
            </w:pPr>
            <w:r w:rsidRPr="00AD57F7">
              <w:rPr>
                <w:sz w:val="20"/>
                <w:szCs w:val="18"/>
              </w:rPr>
              <w:t xml:space="preserve"> </w:t>
            </w:r>
          </w:p>
          <w:p w:rsidR="00D3660C" w:rsidRPr="00D1507D" w:rsidRDefault="00D3660C" w:rsidP="009D59CB">
            <w:pPr>
              <w:pStyle w:val="Default"/>
              <w:rPr>
                <w:sz w:val="20"/>
              </w:rPr>
            </w:pPr>
          </w:p>
        </w:tc>
        <w:tc>
          <w:tcPr>
            <w:tcW w:w="2268" w:type="dxa"/>
            <w:shd w:val="clear" w:color="auto" w:fill="FFFFFF" w:themeFill="background1"/>
          </w:tcPr>
          <w:p w:rsidR="00D3660C" w:rsidRPr="00D1507D" w:rsidRDefault="00D3660C" w:rsidP="009D59CB">
            <w:pPr>
              <w:pStyle w:val="Default"/>
              <w:rPr>
                <w:sz w:val="20"/>
              </w:rPr>
            </w:pPr>
            <w:r w:rsidRPr="00AD57F7">
              <w:rPr>
                <w:sz w:val="20"/>
                <w:szCs w:val="18"/>
              </w:rPr>
              <w:t>(++) More efficient licensing mechanisms and enforcement measures</w:t>
            </w:r>
            <w:r w:rsidRPr="00D1507D">
              <w:rPr>
                <w:sz w:val="20"/>
              </w:rPr>
              <w:t xml:space="preserve"> would help </w:t>
            </w:r>
            <w:r w:rsidRPr="00AB1D72">
              <w:rPr>
                <w:sz w:val="20"/>
              </w:rPr>
              <w:t xml:space="preserve">press </w:t>
            </w:r>
            <w:r w:rsidRPr="00D1507D">
              <w:rPr>
                <w:sz w:val="20"/>
              </w:rPr>
              <w:t xml:space="preserve">publishers to conclude digital licences and monetise the reuse of their content. </w:t>
            </w:r>
          </w:p>
          <w:p w:rsidR="00D3660C" w:rsidRPr="00D1507D" w:rsidRDefault="00D3660C" w:rsidP="009D59CB">
            <w:pPr>
              <w:pStyle w:val="Default"/>
              <w:rPr>
                <w:sz w:val="20"/>
              </w:rPr>
            </w:pPr>
            <w:r w:rsidRPr="00D1507D">
              <w:rPr>
                <w:sz w:val="20"/>
              </w:rPr>
              <w:t xml:space="preserve">(0/+) Authors to benefit indirectly from positive impact on </w:t>
            </w:r>
            <w:r w:rsidRPr="00AB1D72">
              <w:rPr>
                <w:sz w:val="20"/>
              </w:rPr>
              <w:t xml:space="preserve">press </w:t>
            </w:r>
            <w:r w:rsidRPr="00D1507D">
              <w:rPr>
                <w:sz w:val="20"/>
              </w:rPr>
              <w:t>publishers.</w:t>
            </w:r>
          </w:p>
          <w:p w:rsidR="00D3660C" w:rsidRPr="00D1507D" w:rsidRDefault="00D3660C" w:rsidP="009D59CB">
            <w:pPr>
              <w:pStyle w:val="Default"/>
              <w:rPr>
                <w:sz w:val="20"/>
              </w:rPr>
            </w:pPr>
            <w:r w:rsidRPr="00D1507D">
              <w:rPr>
                <w:sz w:val="20"/>
              </w:rPr>
              <w:t xml:space="preserve">(-/+) </w:t>
            </w:r>
            <w:r w:rsidRPr="00AD57F7">
              <w:rPr>
                <w:sz w:val="20"/>
                <w:szCs w:val="18"/>
              </w:rPr>
              <w:t>It will be clearer that some</w:t>
            </w:r>
            <w:r w:rsidRPr="00D1507D">
              <w:rPr>
                <w:sz w:val="20"/>
              </w:rPr>
              <w:t xml:space="preserve"> online service providers</w:t>
            </w:r>
            <w:r w:rsidRPr="00AD57F7">
              <w:rPr>
                <w:sz w:val="20"/>
                <w:szCs w:val="18"/>
              </w:rPr>
              <w:t xml:space="preserve"> that today do not do so (even if they may already be legally required) have to acquire prior licences from </w:t>
            </w:r>
            <w:r w:rsidRPr="00AB1D72">
              <w:rPr>
                <w:sz w:val="20"/>
                <w:szCs w:val="18"/>
              </w:rPr>
              <w:t xml:space="preserve">press </w:t>
            </w:r>
            <w:r w:rsidRPr="00AD57F7">
              <w:rPr>
                <w:sz w:val="20"/>
                <w:szCs w:val="18"/>
              </w:rPr>
              <w:t>publishers</w:t>
            </w:r>
            <w:r w:rsidRPr="00D1507D">
              <w:rPr>
                <w:sz w:val="20"/>
              </w:rPr>
              <w:t xml:space="preserve">. At the same time, new innovative business models for the distribution of </w:t>
            </w:r>
            <w:r w:rsidRPr="00AB1D72">
              <w:rPr>
                <w:sz w:val="20"/>
              </w:rPr>
              <w:t xml:space="preserve">press </w:t>
            </w:r>
            <w:r w:rsidRPr="00D1507D">
              <w:rPr>
                <w:sz w:val="20"/>
              </w:rPr>
              <w:t xml:space="preserve">could emerge. </w:t>
            </w:r>
          </w:p>
          <w:p w:rsidR="00D3660C" w:rsidRPr="00D1507D" w:rsidRDefault="00D3660C" w:rsidP="009D59CB">
            <w:pPr>
              <w:pStyle w:val="Default"/>
              <w:rPr>
                <w:sz w:val="20"/>
              </w:rPr>
            </w:pPr>
            <w:r w:rsidRPr="00D1507D">
              <w:rPr>
                <w:sz w:val="20"/>
              </w:rPr>
              <w:t xml:space="preserve">(0/+) </w:t>
            </w:r>
            <w:r w:rsidRPr="00AD57F7">
              <w:rPr>
                <w:sz w:val="20"/>
                <w:szCs w:val="18"/>
              </w:rPr>
              <w:t>Positive</w:t>
            </w:r>
            <w:r w:rsidRPr="00D1507D">
              <w:rPr>
                <w:sz w:val="20"/>
              </w:rPr>
              <w:t xml:space="preserve"> impact on consumers as regards the enhanced availability of quality content in the long term.</w:t>
            </w:r>
          </w:p>
        </w:tc>
        <w:tc>
          <w:tcPr>
            <w:tcW w:w="1950" w:type="dxa"/>
            <w:shd w:val="clear" w:color="auto" w:fill="FFFFFF" w:themeFill="background1"/>
          </w:tcPr>
          <w:p w:rsidR="00D3660C" w:rsidRPr="00D1507D" w:rsidRDefault="00D3660C" w:rsidP="009D59CB">
            <w:pPr>
              <w:pStyle w:val="Default"/>
              <w:rPr>
                <w:sz w:val="20"/>
              </w:rPr>
            </w:pPr>
            <w:r w:rsidRPr="00D1507D">
              <w:rPr>
                <w:sz w:val="20"/>
              </w:rPr>
              <w:t>(+) Positive impact on copyright as property right.</w:t>
            </w:r>
          </w:p>
          <w:p w:rsidR="00D3660C" w:rsidRPr="00D1507D" w:rsidRDefault="00D3660C" w:rsidP="009D59CB">
            <w:pPr>
              <w:pStyle w:val="Default"/>
              <w:rPr>
                <w:sz w:val="20"/>
              </w:rPr>
            </w:pPr>
            <w:r w:rsidRPr="00D1507D">
              <w:rPr>
                <w:sz w:val="20"/>
              </w:rPr>
              <w:t>(+) It would help secure the quality and plurality of journalism.</w:t>
            </w:r>
          </w:p>
          <w:p w:rsidR="00D3660C" w:rsidRPr="00D1507D" w:rsidRDefault="00D3660C" w:rsidP="009D59CB">
            <w:pPr>
              <w:pStyle w:val="Default"/>
              <w:rPr>
                <w:sz w:val="20"/>
              </w:rPr>
            </w:pPr>
          </w:p>
        </w:tc>
      </w:tr>
      <w:tr w:rsidR="00D3660C" w:rsidRPr="008012CB" w:rsidTr="009D59CB">
        <w:trPr>
          <w:trHeight w:val="269"/>
        </w:trPr>
        <w:tc>
          <w:tcPr>
            <w:tcW w:w="1242" w:type="dxa"/>
            <w:vMerge w:val="restart"/>
            <w:shd w:val="clear" w:color="auto" w:fill="FFFFFF" w:themeFill="background1"/>
          </w:tcPr>
          <w:p w:rsidR="00D3660C" w:rsidRPr="00D1507D" w:rsidRDefault="00D3660C" w:rsidP="009D59CB">
            <w:pPr>
              <w:rPr>
                <w:rFonts w:ascii="Times New Roman" w:hAnsi="Times New Roman"/>
                <w:b/>
                <w:sz w:val="20"/>
              </w:rPr>
            </w:pPr>
            <w:r w:rsidRPr="00D1507D">
              <w:rPr>
                <w:rFonts w:ascii="Times New Roman" w:hAnsi="Times New Roman"/>
                <w:b/>
                <w:sz w:val="20"/>
              </w:rPr>
              <w:t>Option 3 – As Option 2 plus EU law possibility for claims for compen-sation</w:t>
            </w:r>
          </w:p>
        </w:tc>
        <w:tc>
          <w:tcPr>
            <w:tcW w:w="8046" w:type="dxa"/>
            <w:gridSpan w:val="4"/>
            <w:shd w:val="clear" w:color="auto" w:fill="FFFFFF" w:themeFill="background1"/>
          </w:tcPr>
          <w:p w:rsidR="00D3660C" w:rsidRPr="00D1507D" w:rsidRDefault="00D3660C" w:rsidP="009D59CB">
            <w:pPr>
              <w:pStyle w:val="Default"/>
              <w:jc w:val="center"/>
              <w:rPr>
                <w:sz w:val="20"/>
              </w:rPr>
            </w:pPr>
            <w:r w:rsidRPr="00D1507D">
              <w:rPr>
                <w:sz w:val="20"/>
              </w:rPr>
              <w:t>Same impacts as Option 2, and additional impacts as follows</w:t>
            </w:r>
            <w:r w:rsidRPr="00AD57F7">
              <w:rPr>
                <w:sz w:val="20"/>
                <w:szCs w:val="18"/>
              </w:rPr>
              <w:t>:</w:t>
            </w:r>
          </w:p>
        </w:tc>
      </w:tr>
      <w:tr w:rsidR="00D3660C" w:rsidRPr="008012CB" w:rsidTr="009D59CB">
        <w:trPr>
          <w:trHeight w:val="269"/>
        </w:trPr>
        <w:tc>
          <w:tcPr>
            <w:tcW w:w="1242" w:type="dxa"/>
            <w:vMerge/>
            <w:shd w:val="clear" w:color="auto" w:fill="FFFFFF" w:themeFill="background1"/>
          </w:tcPr>
          <w:p w:rsidR="00D3660C" w:rsidRPr="00D1507D" w:rsidRDefault="00D3660C" w:rsidP="009D59CB">
            <w:pPr>
              <w:rPr>
                <w:rFonts w:ascii="Times New Roman" w:hAnsi="Times New Roman"/>
                <w:b/>
                <w:sz w:val="20"/>
              </w:rPr>
            </w:pPr>
          </w:p>
        </w:tc>
        <w:tc>
          <w:tcPr>
            <w:tcW w:w="1985" w:type="dxa"/>
            <w:shd w:val="clear" w:color="auto" w:fill="FFFFFF" w:themeFill="background1"/>
          </w:tcPr>
          <w:p w:rsidR="00D3660C" w:rsidRPr="00D1507D" w:rsidRDefault="00D3660C" w:rsidP="009D59CB">
            <w:pPr>
              <w:pStyle w:val="Default"/>
              <w:rPr>
                <w:sz w:val="20"/>
              </w:rPr>
            </w:pPr>
            <w:r w:rsidRPr="00D1507D">
              <w:rPr>
                <w:sz w:val="20"/>
              </w:rPr>
              <w:t>(+) It would effectively solve the unclear situation regarding publishers' possibility to claim compensation for uses made under an exception.</w:t>
            </w:r>
          </w:p>
        </w:tc>
        <w:tc>
          <w:tcPr>
            <w:tcW w:w="1843" w:type="dxa"/>
            <w:shd w:val="clear" w:color="auto" w:fill="FFFFFF" w:themeFill="background1"/>
          </w:tcPr>
          <w:p w:rsidR="00D3660C" w:rsidRPr="00D1507D" w:rsidRDefault="00D3660C" w:rsidP="009D59CB">
            <w:pPr>
              <w:pStyle w:val="Default"/>
              <w:rPr>
                <w:sz w:val="20"/>
              </w:rPr>
            </w:pPr>
          </w:p>
        </w:tc>
        <w:tc>
          <w:tcPr>
            <w:tcW w:w="2268" w:type="dxa"/>
            <w:shd w:val="clear" w:color="auto" w:fill="FFFFFF" w:themeFill="background1"/>
          </w:tcPr>
          <w:p w:rsidR="00D3660C" w:rsidRPr="00D1507D" w:rsidRDefault="00D3660C" w:rsidP="009D59CB">
            <w:pPr>
              <w:pStyle w:val="Default"/>
              <w:rPr>
                <w:sz w:val="20"/>
              </w:rPr>
            </w:pPr>
            <w:r w:rsidRPr="00D1507D">
              <w:rPr>
                <w:sz w:val="20"/>
              </w:rPr>
              <w:t>(+) If provided by national law, publishers would be entitled to get compensation from exceptions in most MS.</w:t>
            </w:r>
          </w:p>
          <w:p w:rsidR="00D3660C" w:rsidRPr="00D1507D" w:rsidRDefault="00D3660C" w:rsidP="009D59CB">
            <w:pPr>
              <w:pStyle w:val="Default"/>
              <w:rPr>
                <w:sz w:val="20"/>
              </w:rPr>
            </w:pPr>
          </w:p>
        </w:tc>
        <w:tc>
          <w:tcPr>
            <w:tcW w:w="1950" w:type="dxa"/>
            <w:shd w:val="clear" w:color="auto" w:fill="FFFFFF" w:themeFill="background1"/>
          </w:tcPr>
          <w:p w:rsidR="00D3660C" w:rsidRPr="00D1507D" w:rsidRDefault="00D3660C" w:rsidP="009D59CB">
            <w:pPr>
              <w:pStyle w:val="Default"/>
              <w:rPr>
                <w:sz w:val="20"/>
              </w:rPr>
            </w:pPr>
            <w:r w:rsidRPr="00D1507D">
              <w:rPr>
                <w:sz w:val="20"/>
              </w:rPr>
              <w:t>(+) Specific positive impacts on small book publishers would be positive for the cultural diversity.</w:t>
            </w:r>
          </w:p>
        </w:tc>
      </w:tr>
    </w:tbl>
    <w:p w:rsidR="00D3660C" w:rsidRPr="00D1507D" w:rsidRDefault="00D3660C" w:rsidP="00D3660C">
      <w:pPr>
        <w:spacing w:before="240" w:after="120" w:line="240" w:lineRule="auto"/>
        <w:jc w:val="both"/>
        <w:rPr>
          <w:rFonts w:ascii="Times New Roman" w:hAnsi="Times New Roman"/>
          <w:b/>
          <w:sz w:val="24"/>
        </w:rPr>
      </w:pPr>
      <w:r w:rsidRPr="00C801D5">
        <w:rPr>
          <w:rFonts w:ascii="Times New Roman" w:hAnsi="Times New Roman" w:cs="Times New Roman"/>
          <w:b/>
          <w:sz w:val="24"/>
        </w:rPr>
        <w:t>Option 3</w:t>
      </w:r>
      <w:r w:rsidRPr="00D1507D">
        <w:rPr>
          <w:rFonts w:ascii="Times New Roman" w:hAnsi="Times New Roman"/>
          <w:b/>
          <w:sz w:val="24"/>
        </w:rPr>
        <w:t xml:space="preserve"> is the preferred option.</w:t>
      </w:r>
      <w:r w:rsidRPr="008012CB">
        <w:rPr>
          <w:rFonts w:ascii="Times New Roman" w:hAnsi="Times New Roman" w:cs="Times New Roman"/>
          <w:sz w:val="24"/>
        </w:rPr>
        <w:t xml:space="preserve"> This </w:t>
      </w:r>
      <w:r>
        <w:rPr>
          <w:rFonts w:ascii="Times New Roman" w:hAnsi="Times New Roman" w:cs="Times New Roman"/>
          <w:sz w:val="24"/>
        </w:rPr>
        <w:t>IA</w:t>
      </w:r>
      <w:r w:rsidRPr="008012CB">
        <w:rPr>
          <w:rFonts w:ascii="Times New Roman" w:hAnsi="Times New Roman" w:cs="Times New Roman"/>
          <w:sz w:val="24"/>
        </w:rPr>
        <w:t xml:space="preserve"> does not take a decision as to whether the term of protection of the related right for </w:t>
      </w:r>
      <w:r w:rsidRPr="00AB1D72">
        <w:rPr>
          <w:rFonts w:ascii="Times New Roman" w:hAnsi="Times New Roman" w:cs="Times New Roman"/>
          <w:sz w:val="24"/>
        </w:rPr>
        <w:t xml:space="preserve">press </w:t>
      </w:r>
      <w:r w:rsidRPr="008012CB">
        <w:rPr>
          <w:rFonts w:ascii="Times New Roman" w:hAnsi="Times New Roman" w:cs="Times New Roman"/>
          <w:sz w:val="24"/>
        </w:rPr>
        <w:t>publishers should be as under scenario A, B or C (at this stage this is left for political decisions). Option 1 would not solve the problems effectively</w:t>
      </w:r>
      <w:r>
        <w:rPr>
          <w:rFonts w:ascii="Times New Roman" w:hAnsi="Times New Roman" w:cs="Times New Roman"/>
          <w:sz w:val="24"/>
        </w:rPr>
        <w:t>,</w:t>
      </w:r>
      <w:r w:rsidRPr="008012CB">
        <w:rPr>
          <w:rFonts w:ascii="Times New Roman" w:hAnsi="Times New Roman" w:cs="Times New Roman"/>
          <w:sz w:val="24"/>
        </w:rPr>
        <w:t xml:space="preserve"> as self-regulatory solutions alone</w:t>
      </w:r>
      <w:r>
        <w:rPr>
          <w:rFonts w:ascii="Times New Roman" w:hAnsi="Times New Roman" w:cs="Times New Roman"/>
          <w:sz w:val="24"/>
        </w:rPr>
        <w:t>, which depend</w:t>
      </w:r>
      <w:r w:rsidRPr="008012CB">
        <w:rPr>
          <w:rFonts w:ascii="Times New Roman" w:hAnsi="Times New Roman" w:cs="Times New Roman"/>
          <w:sz w:val="24"/>
        </w:rPr>
        <w:t xml:space="preserve"> on the </w:t>
      </w:r>
      <w:r>
        <w:rPr>
          <w:rFonts w:ascii="Times New Roman" w:hAnsi="Times New Roman" w:cs="Times New Roman"/>
          <w:sz w:val="24"/>
        </w:rPr>
        <w:t>willingness</w:t>
      </w:r>
      <w:r w:rsidRPr="008012CB">
        <w:rPr>
          <w:rFonts w:ascii="Times New Roman" w:hAnsi="Times New Roman" w:cs="Times New Roman"/>
          <w:sz w:val="24"/>
        </w:rPr>
        <w:t xml:space="preserve"> of the different market players</w:t>
      </w:r>
      <w:r>
        <w:rPr>
          <w:rFonts w:ascii="Times New Roman" w:hAnsi="Times New Roman" w:cs="Times New Roman"/>
          <w:sz w:val="24"/>
        </w:rPr>
        <w:t xml:space="preserve"> to reach agreements,</w:t>
      </w:r>
      <w:r w:rsidRPr="008012CB">
        <w:rPr>
          <w:rFonts w:ascii="Times New Roman" w:hAnsi="Times New Roman" w:cs="Times New Roman"/>
          <w:sz w:val="24"/>
        </w:rPr>
        <w:t xml:space="preserve"> </w:t>
      </w:r>
      <w:r>
        <w:rPr>
          <w:rFonts w:ascii="Times New Roman" w:hAnsi="Times New Roman" w:cs="Times New Roman"/>
          <w:sz w:val="24"/>
        </w:rPr>
        <w:t>cannot</w:t>
      </w:r>
      <w:r w:rsidRPr="008012CB">
        <w:rPr>
          <w:rFonts w:ascii="Times New Roman" w:hAnsi="Times New Roman" w:cs="Times New Roman"/>
          <w:sz w:val="24"/>
        </w:rPr>
        <w:t xml:space="preserve"> fully address the </w:t>
      </w:r>
      <w:r>
        <w:rPr>
          <w:rFonts w:ascii="Times New Roman" w:hAnsi="Times New Roman" w:cs="Times New Roman"/>
          <w:sz w:val="24"/>
        </w:rPr>
        <w:t>identified problems</w:t>
      </w:r>
      <w:r w:rsidRPr="008012CB">
        <w:rPr>
          <w:rFonts w:ascii="Times New Roman" w:hAnsi="Times New Roman" w:cs="Times New Roman"/>
          <w:sz w:val="24"/>
        </w:rPr>
        <w:t xml:space="preserve">. </w:t>
      </w:r>
      <w:r w:rsidRPr="00AD57F7">
        <w:rPr>
          <w:rFonts w:ascii="Times New Roman" w:hAnsi="Times New Roman" w:cs="Times New Roman"/>
          <w:b/>
          <w:sz w:val="24"/>
        </w:rPr>
        <w:t xml:space="preserve">Both Options 2 and 3 would strengthen the bargaining position of </w:t>
      </w:r>
      <w:r w:rsidRPr="00AB1D72">
        <w:rPr>
          <w:rFonts w:ascii="Times New Roman" w:hAnsi="Times New Roman" w:cs="Times New Roman"/>
          <w:b/>
          <w:sz w:val="24"/>
        </w:rPr>
        <w:t xml:space="preserve">press </w:t>
      </w:r>
      <w:r w:rsidRPr="00AD57F7">
        <w:rPr>
          <w:rFonts w:ascii="Times New Roman" w:hAnsi="Times New Roman" w:cs="Times New Roman"/>
          <w:b/>
          <w:sz w:val="24"/>
        </w:rPr>
        <w:t xml:space="preserve">publishers and foster the conclusion of licences. Option 3 would have in addition positive impacts on </w:t>
      </w:r>
      <w:r>
        <w:rPr>
          <w:rFonts w:ascii="Times New Roman" w:hAnsi="Times New Roman" w:cs="Times New Roman"/>
          <w:b/>
          <w:sz w:val="24"/>
        </w:rPr>
        <w:t xml:space="preserve">all </w:t>
      </w:r>
      <w:r w:rsidRPr="00AD57F7">
        <w:rPr>
          <w:rFonts w:ascii="Times New Roman" w:hAnsi="Times New Roman" w:cs="Times New Roman"/>
          <w:b/>
          <w:sz w:val="24"/>
        </w:rPr>
        <w:t>publishers in relation to their possibility to claim compensation for uses under an exception, without giving rise to any negative impact on other stakeholders.</w:t>
      </w:r>
    </w:p>
    <w:p w:rsidR="00D3660C" w:rsidRPr="00AD57F7" w:rsidRDefault="00D3660C" w:rsidP="00D3660C">
      <w:pPr>
        <w:spacing w:after="120" w:line="240" w:lineRule="auto"/>
        <w:jc w:val="both"/>
        <w:rPr>
          <w:rFonts w:ascii="Times New Roman" w:hAnsi="Times New Roman" w:cs="Times New Roman"/>
          <w:b/>
          <w:sz w:val="24"/>
        </w:rPr>
      </w:pPr>
      <w:r w:rsidRPr="00F6197B">
        <w:rPr>
          <w:rFonts w:ascii="Times New Roman" w:hAnsi="Times New Roman" w:cs="Times New Roman"/>
          <w:sz w:val="24"/>
          <w:u w:val="single"/>
        </w:rPr>
        <w:t xml:space="preserve">Proportionality of </w:t>
      </w:r>
      <w:r w:rsidRPr="00D1507D">
        <w:rPr>
          <w:rFonts w:ascii="Times New Roman" w:hAnsi="Times New Roman"/>
          <w:sz w:val="24"/>
          <w:u w:val="single"/>
        </w:rPr>
        <w:t xml:space="preserve">the </w:t>
      </w:r>
      <w:r w:rsidRPr="00F6197B">
        <w:rPr>
          <w:rFonts w:ascii="Times New Roman" w:hAnsi="Times New Roman" w:cs="Times New Roman"/>
          <w:sz w:val="24"/>
          <w:u w:val="single"/>
        </w:rPr>
        <w:t>preferred option and impacts on MS:</w:t>
      </w:r>
      <w:r>
        <w:rPr>
          <w:rFonts w:ascii="Times New Roman" w:hAnsi="Times New Roman" w:cs="Times New Roman"/>
          <w:sz w:val="24"/>
        </w:rPr>
        <w:t xml:space="preserve"> </w:t>
      </w:r>
      <w:r w:rsidRPr="00AD57F7">
        <w:rPr>
          <w:rFonts w:ascii="Times New Roman" w:hAnsi="Times New Roman" w:cs="Times New Roman"/>
          <w:b/>
          <w:sz w:val="24"/>
        </w:rPr>
        <w:t xml:space="preserve">Option 3 is the most proportionate option as it allows addressing in a targeted way and in their own merits the specific </w:t>
      </w:r>
      <w:r w:rsidRPr="00D1507D">
        <w:rPr>
          <w:rFonts w:ascii="Times New Roman" w:hAnsi="Times New Roman"/>
          <w:b/>
          <w:sz w:val="24"/>
        </w:rPr>
        <w:t xml:space="preserve">problems </w:t>
      </w:r>
      <w:r w:rsidRPr="00AD57F7">
        <w:rPr>
          <w:rFonts w:ascii="Times New Roman" w:hAnsi="Times New Roman" w:cs="Times New Roman"/>
          <w:b/>
          <w:sz w:val="24"/>
        </w:rPr>
        <w:t>faced by different categories</w:t>
      </w:r>
      <w:r w:rsidRPr="00D1507D">
        <w:rPr>
          <w:rFonts w:ascii="Times New Roman" w:hAnsi="Times New Roman"/>
          <w:b/>
          <w:sz w:val="24"/>
        </w:rPr>
        <w:t xml:space="preserve"> of publishers</w:t>
      </w:r>
      <w:r w:rsidRPr="00AD57F7">
        <w:rPr>
          <w:rFonts w:ascii="Times New Roman" w:hAnsi="Times New Roman" w:cs="Times New Roman"/>
          <w:b/>
          <w:sz w:val="24"/>
        </w:rPr>
        <w:t xml:space="preserve">, without going beyond what is needed to achieve this objective. </w:t>
      </w:r>
    </w:p>
    <w:p w:rsidR="00C801D5" w:rsidRDefault="00D3660C" w:rsidP="00C801D5">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All MS will have to reflect in their legislation the new related right granted to </w:t>
      </w:r>
      <w:r w:rsidRPr="00AB1D72">
        <w:rPr>
          <w:rFonts w:ascii="Times New Roman" w:eastAsia="Calibri" w:hAnsi="Times New Roman" w:cs="Times New Roman"/>
          <w:sz w:val="24"/>
        </w:rPr>
        <w:t xml:space="preserve">press </w:t>
      </w:r>
      <w:r>
        <w:rPr>
          <w:rFonts w:ascii="Times New Roman" w:eastAsia="Calibri" w:hAnsi="Times New Roman" w:cs="Times New Roman"/>
          <w:sz w:val="24"/>
        </w:rPr>
        <w:t>publishers at EU level. T</w:t>
      </w:r>
      <w:r w:rsidRPr="005565A7">
        <w:rPr>
          <w:rFonts w:ascii="Times New Roman" w:eastAsia="Calibri" w:hAnsi="Times New Roman" w:cs="Times New Roman"/>
          <w:sz w:val="24"/>
        </w:rPr>
        <w:t>h</w:t>
      </w:r>
      <w:r>
        <w:rPr>
          <w:rFonts w:ascii="Times New Roman" w:eastAsia="Calibri" w:hAnsi="Times New Roman" w:cs="Times New Roman"/>
          <w:sz w:val="24"/>
        </w:rPr>
        <w:t xml:space="preserve">is is not expected to directly </w:t>
      </w:r>
      <w:r w:rsidRPr="005565A7">
        <w:rPr>
          <w:rFonts w:ascii="Times New Roman" w:eastAsia="Calibri" w:hAnsi="Times New Roman" w:cs="Times New Roman"/>
          <w:sz w:val="24"/>
        </w:rPr>
        <w:t>affect the existing provisions in MS laws which are broader (e.g. protection of collective works, presumptions of transfer of rights) or have a totally different subject-matter of protection (typographical arrangements)</w:t>
      </w:r>
      <w:r>
        <w:rPr>
          <w:rFonts w:ascii="Times New Roman" w:eastAsia="Calibri" w:hAnsi="Times New Roman" w:cs="Times New Roman"/>
          <w:sz w:val="24"/>
        </w:rPr>
        <w:t xml:space="preserve"> but may require adapting national laws which have a similar subject-matter of protection to bring them fully in line with the scope of the right granted at EU level. </w:t>
      </w:r>
      <w:r w:rsidRPr="005565A7">
        <w:rPr>
          <w:rFonts w:ascii="Times New Roman" w:eastAsia="Calibri" w:hAnsi="Times New Roman" w:cs="Times New Roman"/>
          <w:sz w:val="24"/>
        </w:rPr>
        <w:t xml:space="preserve">The complementary element introduced in Option 3 (possibility for MS to provide that publishers may claim compensation for uses under an exception) is an enabling provision that </w:t>
      </w:r>
      <w:r>
        <w:rPr>
          <w:rFonts w:ascii="Times New Roman" w:eastAsia="Calibri" w:hAnsi="Times New Roman" w:cs="Times New Roman"/>
          <w:sz w:val="24"/>
        </w:rPr>
        <w:t>does not require</w:t>
      </w:r>
      <w:r w:rsidRPr="005565A7">
        <w:rPr>
          <w:rFonts w:ascii="Times New Roman" w:eastAsia="Calibri" w:hAnsi="Times New Roman" w:cs="Times New Roman"/>
          <w:sz w:val="24"/>
        </w:rPr>
        <w:t xml:space="preserve"> MS to change their existing laws, but should they wish to do so, provides them with a clear margin of manoeuvre to allow for the sharing of compensation for exceptions between authors and publishers. </w:t>
      </w:r>
      <w:r w:rsidR="00C801D5" w:rsidRPr="005565A7">
        <w:rPr>
          <w:rFonts w:ascii="Times New Roman" w:eastAsia="Calibri" w:hAnsi="Times New Roman" w:cs="Times New Roman"/>
          <w:sz w:val="24"/>
        </w:rPr>
        <w:t xml:space="preserve"> </w:t>
      </w:r>
    </w:p>
    <w:p w:rsidR="00C801D5" w:rsidRPr="00D1507D" w:rsidRDefault="00C801D5" w:rsidP="00C801D5">
      <w:pPr>
        <w:spacing w:after="120" w:line="240" w:lineRule="auto"/>
        <w:jc w:val="both"/>
      </w:pPr>
    </w:p>
    <w:p w:rsidR="007B61B9" w:rsidRPr="008012CB" w:rsidRDefault="007B61B9" w:rsidP="007B61B9">
      <w:pPr>
        <w:pStyle w:val="Heading2"/>
        <w:numPr>
          <w:ilvl w:val="1"/>
          <w:numId w:val="1"/>
        </w:numPr>
        <w:spacing w:before="0" w:after="240"/>
        <w:rPr>
          <w:rFonts w:ascii="Times New Roman Bold" w:hAnsi="Times New Roman Bold"/>
          <w:smallCaps/>
        </w:rPr>
      </w:pPr>
      <w:bookmarkStart w:id="184" w:name="_Toc461114756"/>
      <w:r w:rsidRPr="008012CB">
        <w:rPr>
          <w:rFonts w:ascii="Times New Roman Bold" w:hAnsi="Times New Roman Bold"/>
          <w:smallCaps/>
        </w:rPr>
        <w:t>Fair remuneration in contracts of authors and performers</w:t>
      </w:r>
      <w:bookmarkEnd w:id="184"/>
    </w:p>
    <w:p w:rsidR="007B61B9" w:rsidRPr="008012CB" w:rsidRDefault="007B61B9" w:rsidP="00CF38F1">
      <w:pPr>
        <w:pStyle w:val="Heading3"/>
      </w:pPr>
      <w:bookmarkStart w:id="185" w:name="_Toc461114757"/>
      <w:r w:rsidRPr="008012CB">
        <w:t>What is the problem and why is it a problem?</w:t>
      </w:r>
      <w:bookmarkEnd w:id="185"/>
    </w:p>
    <w:p w:rsidR="007B61B9" w:rsidRPr="008012CB" w:rsidRDefault="007B61B9" w:rsidP="007B61B9">
      <w:pPr>
        <w:spacing w:line="240" w:lineRule="auto"/>
        <w:jc w:val="both"/>
        <w:rPr>
          <w:rFonts w:ascii="Times New Roman" w:eastAsia="Calibri" w:hAnsi="Times New Roman" w:cs="Times New Roman"/>
          <w:i/>
          <w:sz w:val="24"/>
          <w:szCs w:val="24"/>
        </w:rPr>
      </w:pPr>
      <w:r w:rsidRPr="008012CB">
        <w:rPr>
          <w:rFonts w:ascii="Times New Roman" w:eastAsia="Calibri" w:hAnsi="Times New Roman" w:cs="Times New Roman"/>
          <w:b/>
          <w:i/>
          <w:sz w:val="24"/>
          <w:szCs w:val="24"/>
        </w:rPr>
        <w:t xml:space="preserve">Problem: </w:t>
      </w:r>
      <w:r w:rsidR="00644AC9" w:rsidRPr="008012CB">
        <w:rPr>
          <w:rFonts w:ascii="Times New Roman" w:eastAsia="Calibri" w:hAnsi="Times New Roman" w:cs="Times New Roman"/>
          <w:i/>
          <w:sz w:val="24"/>
          <w:szCs w:val="24"/>
        </w:rPr>
        <w:t>Authors and performers face a lack of transparency in their contractual relationships as to the exploitation of their works and their performances and as to what remuneration is owed for the exploitation.</w:t>
      </w:r>
    </w:p>
    <w:p w:rsidR="00A05FE0" w:rsidRPr="008012CB" w:rsidRDefault="007B61B9" w:rsidP="00A05FE0">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Description of the problem:</w:t>
      </w:r>
      <w:r w:rsidRPr="008012CB">
        <w:rPr>
          <w:rFonts w:ascii="Times New Roman" w:eastAsia="Calibri" w:hAnsi="Times New Roman" w:cs="Times New Roman"/>
          <w:sz w:val="24"/>
          <w:szCs w:val="24"/>
        </w:rPr>
        <w:t xml:space="preserve"> </w:t>
      </w:r>
      <w:r w:rsidR="00A05FE0">
        <w:rPr>
          <w:rFonts w:ascii="Times New Roman" w:eastAsia="Calibri" w:hAnsi="Times New Roman" w:cs="Times New Roman"/>
          <w:sz w:val="24"/>
          <w:szCs w:val="24"/>
        </w:rPr>
        <w:t xml:space="preserve">Economic rights granted to authors and performers </w:t>
      </w:r>
      <w:r w:rsidR="00A05FE0" w:rsidRPr="008012CB">
        <w:rPr>
          <w:rFonts w:ascii="Times New Roman" w:eastAsia="Calibri" w:hAnsi="Times New Roman" w:cs="Times New Roman"/>
          <w:sz w:val="24"/>
          <w:szCs w:val="24"/>
        </w:rPr>
        <w:t>(hereafter: 'creators')</w:t>
      </w:r>
      <w:r w:rsidR="00A05FE0">
        <w:rPr>
          <w:rFonts w:ascii="Times New Roman" w:eastAsia="Calibri" w:hAnsi="Times New Roman" w:cs="Times New Roman"/>
          <w:sz w:val="24"/>
          <w:szCs w:val="24"/>
        </w:rPr>
        <w:t xml:space="preserve"> </w:t>
      </w:r>
      <w:r w:rsidR="00A05FE0" w:rsidRPr="008012CB">
        <w:rPr>
          <w:rFonts w:ascii="Times New Roman" w:eastAsia="Calibri" w:hAnsi="Times New Roman" w:cs="Times New Roman"/>
          <w:sz w:val="24"/>
          <w:szCs w:val="24"/>
        </w:rPr>
        <w:t>over the use of their works and performances (hereafter: 'works')</w:t>
      </w:r>
      <w:r w:rsidR="00A05FE0">
        <w:rPr>
          <w:rFonts w:ascii="Times New Roman" w:eastAsia="Calibri" w:hAnsi="Times New Roman" w:cs="Times New Roman"/>
          <w:sz w:val="24"/>
          <w:szCs w:val="24"/>
        </w:rPr>
        <w:t xml:space="preserve"> have been harmonised at EU level by several directives, in particular by </w:t>
      </w:r>
      <w:r w:rsidR="00F55E93">
        <w:rPr>
          <w:rFonts w:ascii="Times New Roman" w:eastAsia="Calibri" w:hAnsi="Times New Roman" w:cs="Times New Roman"/>
          <w:sz w:val="24"/>
          <w:szCs w:val="24"/>
        </w:rPr>
        <w:t>the Infosoc Directive</w:t>
      </w:r>
      <w:r w:rsidR="00A05FE0" w:rsidRPr="008012CB">
        <w:rPr>
          <w:rFonts w:ascii="Times New Roman" w:eastAsia="Calibri" w:hAnsi="Times New Roman" w:cs="Times New Roman"/>
          <w:sz w:val="24"/>
          <w:szCs w:val="24"/>
        </w:rPr>
        <w:t xml:space="preserve">. </w:t>
      </w:r>
      <w:r w:rsidR="00A05FE0">
        <w:rPr>
          <w:rFonts w:ascii="Times New Roman" w:eastAsia="Calibri" w:hAnsi="Times New Roman" w:cs="Times New Roman"/>
          <w:sz w:val="24"/>
          <w:szCs w:val="24"/>
        </w:rPr>
        <w:t>In the case of creators, these directives provide a framework wherein the exploitation of the content protected by those rights can take place. Works are not generally exploited by the creators themselves; c</w:t>
      </w:r>
      <w:r w:rsidR="00A05FE0" w:rsidRPr="008012CB">
        <w:rPr>
          <w:rFonts w:ascii="Times New Roman" w:eastAsia="Calibri" w:hAnsi="Times New Roman" w:cs="Times New Roman"/>
          <w:sz w:val="24"/>
          <w:szCs w:val="24"/>
        </w:rPr>
        <w:t>ommercial exploitation is often arranged through the grant of licences or the transfer of rights e.g. to a publishe</w:t>
      </w:r>
      <w:r w:rsidR="00A05FE0">
        <w:rPr>
          <w:rFonts w:ascii="Times New Roman" w:eastAsia="Calibri" w:hAnsi="Times New Roman" w:cs="Times New Roman"/>
          <w:sz w:val="24"/>
          <w:szCs w:val="24"/>
        </w:rPr>
        <w:t>r,</w:t>
      </w:r>
      <w:r w:rsidR="00A05FE0" w:rsidRPr="008012CB">
        <w:rPr>
          <w:rFonts w:ascii="Times New Roman" w:eastAsia="Calibri" w:hAnsi="Times New Roman" w:cs="Times New Roman"/>
          <w:sz w:val="24"/>
          <w:szCs w:val="24"/>
        </w:rPr>
        <w:t xml:space="preserve"> producer</w:t>
      </w:r>
      <w:r w:rsidR="00A05FE0">
        <w:rPr>
          <w:rFonts w:ascii="Times New Roman" w:eastAsia="Calibri" w:hAnsi="Times New Roman" w:cs="Times New Roman"/>
          <w:sz w:val="24"/>
          <w:szCs w:val="24"/>
        </w:rPr>
        <w:t>, or a broadcaster</w:t>
      </w:r>
      <w:r w:rsidR="00A05FE0" w:rsidRPr="008012CB">
        <w:rPr>
          <w:rFonts w:ascii="Times New Roman" w:eastAsia="Calibri" w:hAnsi="Times New Roman" w:cs="Times New Roman"/>
          <w:sz w:val="24"/>
          <w:szCs w:val="24"/>
        </w:rPr>
        <w:t xml:space="preserve"> (hereafter collectively: 'contractual counterparties')</w:t>
      </w:r>
      <w:r w:rsidR="00A05FE0">
        <w:rPr>
          <w:rFonts w:ascii="Times New Roman" w:eastAsia="Calibri" w:hAnsi="Times New Roman" w:cs="Times New Roman"/>
          <w:sz w:val="24"/>
          <w:szCs w:val="24"/>
        </w:rPr>
        <w:t>.</w:t>
      </w:r>
      <w:r w:rsidR="00A05FE0" w:rsidRPr="008012CB">
        <w:rPr>
          <w:rFonts w:ascii="Times New Roman" w:eastAsia="Calibri" w:hAnsi="Times New Roman" w:cs="Times New Roman"/>
          <w:sz w:val="24"/>
          <w:szCs w:val="24"/>
        </w:rPr>
        <w:t xml:space="preserve"> These contractual relationships constitute the exercise of the economic rights</w:t>
      </w:r>
      <w:r w:rsidR="00A05FE0">
        <w:rPr>
          <w:rFonts w:ascii="Times New Roman" w:eastAsia="Calibri" w:hAnsi="Times New Roman" w:cs="Times New Roman"/>
          <w:sz w:val="24"/>
          <w:szCs w:val="24"/>
        </w:rPr>
        <w:t xml:space="preserve"> and govern the exploitation of works and the remuneration owed to creators</w:t>
      </w:r>
      <w:r w:rsidR="00A05FE0" w:rsidRPr="008012CB">
        <w:rPr>
          <w:rFonts w:ascii="Times New Roman" w:eastAsia="Calibri" w:hAnsi="Times New Roman" w:cs="Times New Roman"/>
          <w:sz w:val="24"/>
          <w:szCs w:val="24"/>
        </w:rPr>
        <w:t>.</w:t>
      </w:r>
      <w:r w:rsidR="00A05FE0">
        <w:rPr>
          <w:rFonts w:ascii="Times New Roman" w:eastAsia="Calibri" w:hAnsi="Times New Roman" w:cs="Times New Roman"/>
          <w:sz w:val="24"/>
          <w:szCs w:val="24"/>
        </w:rPr>
        <w:t xml:space="preserve"> Creators should be able to license or transfer their rights </w:t>
      </w:r>
      <w:r w:rsidR="00A05FE0" w:rsidRPr="008012CB">
        <w:rPr>
          <w:rFonts w:ascii="Times New Roman" w:eastAsia="Calibri" w:hAnsi="Times New Roman" w:cs="Times New Roman"/>
          <w:sz w:val="24"/>
          <w:szCs w:val="24"/>
        </w:rPr>
        <w:t>“</w:t>
      </w:r>
      <w:r w:rsidR="00A05FE0" w:rsidRPr="008012CB">
        <w:rPr>
          <w:rFonts w:ascii="Times New Roman" w:eastAsia="Calibri" w:hAnsi="Times New Roman" w:cs="Times New Roman"/>
          <w:i/>
          <w:sz w:val="24"/>
          <w:szCs w:val="24"/>
        </w:rPr>
        <w:t>in return for payment of appropriate remuneration</w:t>
      </w:r>
      <w:r w:rsidR="00A05FE0">
        <w:rPr>
          <w:rFonts w:ascii="Times New Roman" w:eastAsia="Calibri" w:hAnsi="Times New Roman" w:cs="Times New Roman"/>
          <w:sz w:val="24"/>
          <w:szCs w:val="24"/>
        </w:rPr>
        <w:t>”</w:t>
      </w:r>
      <w:r w:rsidR="00F55E93">
        <w:rPr>
          <w:rFonts w:ascii="Times New Roman" w:eastAsia="Calibri" w:hAnsi="Times New Roman" w:cs="Times New Roman"/>
          <w:sz w:val="24"/>
          <w:szCs w:val="24"/>
        </w:rPr>
        <w:t>,</w:t>
      </w:r>
      <w:r w:rsidR="00A05FE0" w:rsidRPr="008012CB">
        <w:rPr>
          <w:rFonts w:ascii="Times New Roman" w:eastAsia="Calibri" w:hAnsi="Times New Roman" w:cs="Times New Roman"/>
          <w:sz w:val="24"/>
          <w:szCs w:val="24"/>
          <w:vertAlign w:val="superscript"/>
        </w:rPr>
        <w:footnoteReference w:id="528"/>
      </w:r>
      <w:r w:rsidR="00A05FE0">
        <w:rPr>
          <w:rFonts w:ascii="Times New Roman" w:eastAsia="Calibri" w:hAnsi="Times New Roman" w:cs="Times New Roman"/>
          <w:sz w:val="24"/>
          <w:szCs w:val="24"/>
        </w:rPr>
        <w:t xml:space="preserve"> which</w:t>
      </w:r>
      <w:r w:rsidR="00A05FE0" w:rsidRPr="008012CB">
        <w:rPr>
          <w:rFonts w:ascii="Times New Roman" w:eastAsia="Calibri" w:hAnsi="Times New Roman" w:cs="Times New Roman"/>
          <w:sz w:val="24"/>
          <w:szCs w:val="24"/>
        </w:rPr>
        <w:t xml:space="preserve"> </w:t>
      </w:r>
      <w:r w:rsidR="00A05FE0">
        <w:rPr>
          <w:rFonts w:ascii="Times New Roman" w:eastAsia="Calibri" w:hAnsi="Times New Roman" w:cs="Times New Roman"/>
          <w:sz w:val="24"/>
          <w:szCs w:val="24"/>
        </w:rPr>
        <w:t>is a prerequisite for a sustainable and functioning marketplace of content creation, exploitation and consumption.</w:t>
      </w:r>
      <w:r w:rsidR="00A05FE0">
        <w:rPr>
          <w:rStyle w:val="FootnoteReference"/>
          <w:rFonts w:ascii="Times New Roman" w:eastAsia="Calibri" w:hAnsi="Times New Roman" w:cs="Times New Roman"/>
          <w:sz w:val="24"/>
          <w:szCs w:val="24"/>
        </w:rPr>
        <w:footnoteReference w:id="529"/>
      </w:r>
      <w:r w:rsidR="00A05FE0">
        <w:rPr>
          <w:rFonts w:ascii="Times New Roman" w:eastAsia="Calibri" w:hAnsi="Times New Roman" w:cs="Times New Roman"/>
          <w:sz w:val="24"/>
          <w:szCs w:val="24"/>
        </w:rPr>
        <w:t xml:space="preserve"> </w:t>
      </w:r>
      <w:r w:rsidR="00A05FE0" w:rsidRPr="008012CB">
        <w:rPr>
          <w:rFonts w:ascii="Times New Roman" w:eastAsia="Calibri" w:hAnsi="Times New Roman" w:cs="Times New Roman"/>
          <w:sz w:val="24"/>
          <w:szCs w:val="24"/>
        </w:rPr>
        <w:t>The determination of what constitutes appropriate remuneration depends on factors such as the nature and scope of the use of the works. However,</w:t>
      </w:r>
      <w:r w:rsidR="00A05FE0">
        <w:rPr>
          <w:rFonts w:ascii="Times New Roman" w:eastAsia="Calibri" w:hAnsi="Times New Roman" w:cs="Times New Roman"/>
          <w:sz w:val="24"/>
          <w:szCs w:val="24"/>
        </w:rPr>
        <w:t xml:space="preserve"> there is sufficient evidence of creators lacking access to such information, and calling for legislative intervention by the EU</w:t>
      </w:r>
      <w:r w:rsidR="00F55E93">
        <w:rPr>
          <w:rFonts w:ascii="Times New Roman" w:eastAsia="Calibri" w:hAnsi="Times New Roman" w:cs="Times New Roman"/>
          <w:sz w:val="24"/>
          <w:szCs w:val="24"/>
        </w:rPr>
        <w:t>.</w:t>
      </w:r>
      <w:r w:rsidR="00A05FE0">
        <w:rPr>
          <w:rStyle w:val="FootnoteReference"/>
          <w:rFonts w:ascii="Times New Roman" w:eastAsia="Calibri" w:hAnsi="Times New Roman" w:cs="Times New Roman"/>
          <w:sz w:val="24"/>
          <w:szCs w:val="24"/>
        </w:rPr>
        <w:footnoteReference w:id="530"/>
      </w:r>
      <w:r w:rsidR="00F55E93">
        <w:rPr>
          <w:rFonts w:ascii="Times New Roman" w:eastAsia="Calibri" w:hAnsi="Times New Roman" w:cs="Times New Roman"/>
          <w:sz w:val="24"/>
          <w:szCs w:val="24"/>
        </w:rPr>
        <w:t xml:space="preserve"> </w:t>
      </w:r>
      <w:r w:rsidR="00A05FE0">
        <w:rPr>
          <w:rFonts w:ascii="Times New Roman" w:eastAsia="Calibri" w:hAnsi="Times New Roman" w:cs="Times New Roman"/>
          <w:sz w:val="24"/>
          <w:szCs w:val="24"/>
        </w:rPr>
        <w:t xml:space="preserve">For example, creators point to the </w:t>
      </w:r>
      <w:r w:rsidR="00A05FE0" w:rsidRPr="00DF48E5">
        <w:rPr>
          <w:rFonts w:ascii="Times New Roman" w:eastAsia="Calibri" w:hAnsi="Times New Roman" w:cs="Times New Roman"/>
          <w:sz w:val="24"/>
          <w:szCs w:val="24"/>
        </w:rPr>
        <w:t xml:space="preserve">poor quality and/or lack of accounts and reporting by publishers and producers with regards to the use of the rights </w:t>
      </w:r>
      <w:r w:rsidR="00A05FE0">
        <w:rPr>
          <w:rFonts w:ascii="Times New Roman" w:eastAsia="Calibri" w:hAnsi="Times New Roman" w:cs="Times New Roman"/>
          <w:sz w:val="24"/>
          <w:szCs w:val="24"/>
        </w:rPr>
        <w:t>they have transferred</w:t>
      </w:r>
      <w:r w:rsidR="00A05FE0" w:rsidRPr="00DF48E5">
        <w:rPr>
          <w:rFonts w:ascii="Times New Roman" w:eastAsia="Calibri" w:hAnsi="Times New Roman" w:cs="Times New Roman"/>
          <w:sz w:val="24"/>
          <w:szCs w:val="24"/>
        </w:rPr>
        <w:t>.</w:t>
      </w:r>
      <w:r w:rsidR="00A05FE0" w:rsidRPr="008012CB">
        <w:rPr>
          <w:rFonts w:ascii="Times New Roman" w:eastAsia="Calibri" w:hAnsi="Times New Roman" w:cs="Times New Roman"/>
          <w:sz w:val="24"/>
          <w:szCs w:val="24"/>
          <w:vertAlign w:val="superscript"/>
        </w:rPr>
        <w:footnoteReference w:id="531"/>
      </w:r>
      <w:r w:rsidR="00A05FE0" w:rsidRPr="00DF48E5">
        <w:rPr>
          <w:rFonts w:ascii="Times New Roman" w:eastAsia="Calibri" w:hAnsi="Times New Roman" w:cs="Times New Roman"/>
          <w:sz w:val="24"/>
          <w:szCs w:val="24"/>
        </w:rPr>
        <w:t xml:space="preserve"> </w:t>
      </w:r>
      <w:r w:rsidR="00A05FE0">
        <w:rPr>
          <w:rFonts w:ascii="Times New Roman" w:eastAsia="Calibri" w:hAnsi="Times New Roman" w:cs="Times New Roman"/>
          <w:sz w:val="24"/>
          <w:szCs w:val="24"/>
        </w:rPr>
        <w:t>T</w:t>
      </w:r>
      <w:r w:rsidR="00A05FE0" w:rsidRPr="008012CB">
        <w:rPr>
          <w:rFonts w:ascii="Times New Roman" w:eastAsia="Calibri" w:hAnsi="Times New Roman" w:cs="Times New Roman"/>
          <w:sz w:val="24"/>
          <w:szCs w:val="24"/>
        </w:rPr>
        <w:t>he information received from creators and some recent studies</w:t>
      </w:r>
      <w:r w:rsidR="00A05FE0" w:rsidRPr="008012CB">
        <w:rPr>
          <w:rFonts w:ascii="Times New Roman" w:eastAsia="Calibri" w:hAnsi="Times New Roman" w:cs="Times New Roman"/>
          <w:sz w:val="24"/>
          <w:szCs w:val="24"/>
          <w:vertAlign w:val="superscript"/>
        </w:rPr>
        <w:footnoteReference w:id="532"/>
      </w:r>
      <w:r w:rsidR="00A05FE0" w:rsidRPr="008012CB">
        <w:rPr>
          <w:rFonts w:ascii="Times New Roman" w:eastAsia="Calibri" w:hAnsi="Times New Roman" w:cs="Times New Roman"/>
          <w:sz w:val="24"/>
          <w:szCs w:val="24"/>
        </w:rPr>
        <w:t xml:space="preserve"> indicate </w:t>
      </w:r>
      <w:r w:rsidR="00A05FE0">
        <w:rPr>
          <w:rFonts w:ascii="Times New Roman" w:eastAsia="Calibri" w:hAnsi="Times New Roman" w:cs="Times New Roman"/>
          <w:sz w:val="24"/>
          <w:szCs w:val="24"/>
        </w:rPr>
        <w:t xml:space="preserve">that </w:t>
      </w:r>
      <w:r w:rsidR="00A05FE0" w:rsidRPr="008012CB">
        <w:rPr>
          <w:rFonts w:ascii="Times New Roman" w:eastAsia="Calibri" w:hAnsi="Times New Roman" w:cs="Times New Roman"/>
          <w:sz w:val="24"/>
          <w:szCs w:val="24"/>
        </w:rPr>
        <w:t xml:space="preserve">the lack of transparency in the creators' contractual relationships </w:t>
      </w:r>
      <w:r w:rsidR="00A05FE0">
        <w:rPr>
          <w:rFonts w:ascii="Times New Roman" w:eastAsia="Calibri" w:hAnsi="Times New Roman" w:cs="Times New Roman"/>
          <w:sz w:val="24"/>
          <w:szCs w:val="24"/>
        </w:rPr>
        <w:t>concerns</w:t>
      </w:r>
      <w:r w:rsidR="00A05FE0" w:rsidRPr="008012CB">
        <w:rPr>
          <w:rFonts w:ascii="Times New Roman" w:eastAsia="Calibri" w:hAnsi="Times New Roman" w:cs="Times New Roman"/>
          <w:sz w:val="24"/>
          <w:szCs w:val="24"/>
        </w:rPr>
        <w:t>:</w:t>
      </w:r>
    </w:p>
    <w:p w:rsidR="001F1005" w:rsidRPr="008012CB" w:rsidRDefault="001F1005" w:rsidP="00510415">
      <w:pPr>
        <w:numPr>
          <w:ilvl w:val="0"/>
          <w:numId w:val="43"/>
        </w:num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w:t>
      </w:r>
      <w:r w:rsidRPr="008012CB">
        <w:rPr>
          <w:rFonts w:ascii="Times New Roman" w:eastAsia="Calibri" w:hAnsi="Times New Roman" w:cs="Times New Roman"/>
          <w:i/>
          <w:sz w:val="24"/>
          <w:szCs w:val="24"/>
        </w:rPr>
        <w:t>possible exploitation</w:t>
      </w:r>
      <w:r w:rsidRPr="008012CB">
        <w:rPr>
          <w:rFonts w:ascii="Times New Roman" w:eastAsia="Calibri" w:hAnsi="Times New Roman" w:cs="Times New Roman"/>
          <w:sz w:val="24"/>
          <w:szCs w:val="24"/>
        </w:rPr>
        <w:t>, i.e. how the work may be used;</w:t>
      </w:r>
    </w:p>
    <w:p w:rsidR="001F1005" w:rsidRPr="008012CB" w:rsidRDefault="001F1005" w:rsidP="00510415">
      <w:pPr>
        <w:numPr>
          <w:ilvl w:val="0"/>
          <w:numId w:val="43"/>
        </w:num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w:t>
      </w:r>
      <w:r w:rsidRPr="008012CB">
        <w:rPr>
          <w:rFonts w:ascii="Times New Roman" w:eastAsia="Calibri" w:hAnsi="Times New Roman" w:cs="Times New Roman"/>
          <w:i/>
          <w:sz w:val="24"/>
          <w:szCs w:val="24"/>
        </w:rPr>
        <w:t>actual exploitation</w:t>
      </w:r>
      <w:r w:rsidRPr="008012CB">
        <w:rPr>
          <w:rFonts w:ascii="Times New Roman" w:eastAsia="Calibri" w:hAnsi="Times New Roman" w:cs="Times New Roman"/>
          <w:sz w:val="24"/>
          <w:szCs w:val="24"/>
        </w:rPr>
        <w:t>, i.e. how the work is used and with what commercial result; and</w:t>
      </w:r>
    </w:p>
    <w:p w:rsidR="001F1005" w:rsidRPr="008012CB" w:rsidRDefault="001F1005" w:rsidP="00510415">
      <w:pPr>
        <w:numPr>
          <w:ilvl w:val="0"/>
          <w:numId w:val="43"/>
        </w:num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w:t>
      </w:r>
      <w:r w:rsidRPr="008012CB">
        <w:rPr>
          <w:rFonts w:ascii="Times New Roman" w:eastAsia="Calibri" w:hAnsi="Times New Roman" w:cs="Times New Roman"/>
          <w:i/>
          <w:sz w:val="24"/>
          <w:szCs w:val="24"/>
        </w:rPr>
        <w:t>remuneration</w:t>
      </w:r>
      <w:r w:rsidRPr="008012CB">
        <w:rPr>
          <w:rFonts w:ascii="Times New Roman" w:eastAsia="Calibri" w:hAnsi="Times New Roman" w:cs="Times New Roman"/>
          <w:sz w:val="24"/>
          <w:szCs w:val="24"/>
        </w:rPr>
        <w:t xml:space="preserve"> that is owed for the exploitation.</w:t>
      </w:r>
    </w:p>
    <w:p w:rsidR="00A05FE0" w:rsidRDefault="001F1005" w:rsidP="001F100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There may be uncertainty about </w:t>
      </w:r>
      <w:r w:rsidRPr="008012CB">
        <w:rPr>
          <w:rFonts w:ascii="Times New Roman" w:eastAsia="Calibri" w:hAnsi="Times New Roman" w:cs="Times New Roman"/>
          <w:i/>
          <w:sz w:val="24"/>
          <w:szCs w:val="24"/>
        </w:rPr>
        <w:t>possible exploitation</w:t>
      </w:r>
      <w:r w:rsidRPr="008012CB">
        <w:rPr>
          <w:rFonts w:ascii="Times New Roman" w:eastAsia="Calibri" w:hAnsi="Times New Roman" w:cs="Times New Roman"/>
          <w:sz w:val="24"/>
          <w:szCs w:val="24"/>
        </w:rPr>
        <w:t xml:space="preserve"> because licence and transfer agreements do not always specify the obtained rights while modes of exploitation and supply chains have become very diverse and complex. Concerning </w:t>
      </w:r>
      <w:r w:rsidRPr="008012CB">
        <w:rPr>
          <w:rFonts w:ascii="Times New Roman" w:eastAsia="Calibri" w:hAnsi="Times New Roman" w:cs="Times New Roman"/>
          <w:i/>
          <w:sz w:val="24"/>
          <w:szCs w:val="24"/>
        </w:rPr>
        <w:t>actual exploitation</w:t>
      </w:r>
      <w:r w:rsidRPr="008012CB">
        <w:rPr>
          <w:rFonts w:ascii="Times New Roman" w:eastAsia="Calibri" w:hAnsi="Times New Roman" w:cs="Times New Roman"/>
          <w:sz w:val="24"/>
          <w:szCs w:val="24"/>
        </w:rPr>
        <w:t>, on the basis of the information available there seems to be many instances when creators do not receive satisfactory or any information from their contractual counterparty on the modes and extent of use and on the revenues generated from the exploitation,</w:t>
      </w:r>
      <w:r w:rsidRPr="008012CB">
        <w:rPr>
          <w:rFonts w:ascii="Times New Roman" w:eastAsia="Calibri" w:hAnsi="Times New Roman" w:cs="Times New Roman"/>
          <w:sz w:val="24"/>
          <w:szCs w:val="24"/>
          <w:vertAlign w:val="superscript"/>
        </w:rPr>
        <w:footnoteReference w:id="533"/>
      </w:r>
      <w:r w:rsidRPr="008012CB">
        <w:rPr>
          <w:rFonts w:ascii="Times New Roman" w:eastAsia="Calibri" w:hAnsi="Times New Roman" w:cs="Times New Roman"/>
          <w:sz w:val="24"/>
          <w:szCs w:val="24"/>
        </w:rPr>
        <w:t xml:space="preserve"> which may lead to uncertainty about owed </w:t>
      </w:r>
      <w:r w:rsidRPr="008012CB">
        <w:rPr>
          <w:rFonts w:ascii="Times New Roman" w:eastAsia="Calibri" w:hAnsi="Times New Roman" w:cs="Times New Roman"/>
          <w:i/>
          <w:sz w:val="24"/>
          <w:szCs w:val="24"/>
        </w:rPr>
        <w:t>remuneration</w:t>
      </w:r>
      <w:r w:rsidRPr="008012CB">
        <w:rPr>
          <w:rFonts w:ascii="Times New Roman" w:eastAsia="Calibri" w:hAnsi="Times New Roman" w:cs="Times New Roman"/>
          <w:sz w:val="24"/>
          <w:szCs w:val="24"/>
        </w:rPr>
        <w:t xml:space="preserve">. </w:t>
      </w:r>
    </w:p>
    <w:p w:rsidR="001F1005" w:rsidRDefault="001F1005" w:rsidP="001F100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This situation can be described as an </w:t>
      </w:r>
      <w:r w:rsidRPr="00D1507D">
        <w:rPr>
          <w:rFonts w:ascii="Times New Roman" w:hAnsi="Times New Roman"/>
          <w:sz w:val="24"/>
        </w:rPr>
        <w:t>information asymmetry</w:t>
      </w:r>
      <w:r w:rsidRPr="008012CB">
        <w:rPr>
          <w:rFonts w:ascii="Times New Roman" w:eastAsia="Calibri" w:hAnsi="Times New Roman" w:cs="Times New Roman"/>
          <w:sz w:val="24"/>
          <w:szCs w:val="24"/>
        </w:rPr>
        <w:t xml:space="preserve"> because the information that would be required to ensure transparency may, in fact, be available to the contractual counterparties but it is not shared with creators.</w:t>
      </w:r>
      <w:r w:rsidRPr="008012CB">
        <w:rPr>
          <w:rFonts w:ascii="Times New Roman" w:eastAsia="Calibri" w:hAnsi="Times New Roman" w:cs="Times New Roman"/>
          <w:sz w:val="24"/>
          <w:szCs w:val="24"/>
          <w:vertAlign w:val="superscript"/>
        </w:rPr>
        <w:footnoteReference w:id="534"/>
      </w:r>
    </w:p>
    <w:p w:rsidR="00EC509F" w:rsidRPr="008012CB" w:rsidRDefault="00EC509F" w:rsidP="001F1005">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Transparency is also affected by the </w:t>
      </w:r>
      <w:r w:rsidRPr="008012CB">
        <w:rPr>
          <w:rFonts w:ascii="Times New Roman" w:eastAsia="Calibri" w:hAnsi="Times New Roman" w:cs="Times New Roman"/>
          <w:sz w:val="24"/>
          <w:szCs w:val="24"/>
        </w:rPr>
        <w:t xml:space="preserve">increasing complexity of new modes of </w:t>
      </w:r>
      <w:r>
        <w:rPr>
          <w:rFonts w:ascii="Times New Roman" w:eastAsia="Calibri" w:hAnsi="Times New Roman" w:cs="Times New Roman"/>
          <w:sz w:val="24"/>
          <w:szCs w:val="24"/>
        </w:rPr>
        <w:t xml:space="preserve">online </w:t>
      </w:r>
      <w:r w:rsidRPr="008012CB">
        <w:rPr>
          <w:rFonts w:ascii="Times New Roman" w:eastAsia="Calibri" w:hAnsi="Times New Roman" w:cs="Times New Roman"/>
          <w:sz w:val="24"/>
          <w:szCs w:val="24"/>
        </w:rPr>
        <w:t>distribution</w:t>
      </w:r>
      <w:r>
        <w:rPr>
          <w:rFonts w:ascii="Times New Roman" w:eastAsia="Calibri" w:hAnsi="Times New Roman" w:cs="Times New Roman"/>
          <w:sz w:val="24"/>
          <w:szCs w:val="24"/>
        </w:rPr>
        <w:t xml:space="preserve">, the variety of intermediaries and </w:t>
      </w:r>
      <w:r w:rsidRPr="008012C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difficulties for the individual creator to </w:t>
      </w:r>
      <w:r w:rsidRPr="008012CB">
        <w:rPr>
          <w:rFonts w:ascii="Times New Roman" w:eastAsia="Calibri" w:hAnsi="Times New Roman" w:cs="Times New Roman"/>
          <w:sz w:val="24"/>
          <w:szCs w:val="24"/>
        </w:rPr>
        <w:t>measure</w:t>
      </w:r>
      <w:r>
        <w:rPr>
          <w:rFonts w:ascii="Times New Roman" w:eastAsia="Calibri" w:hAnsi="Times New Roman" w:cs="Times New Roman"/>
          <w:sz w:val="24"/>
          <w:szCs w:val="24"/>
        </w:rPr>
        <w:t xml:space="preserve"> </w:t>
      </w:r>
      <w:r w:rsidRPr="008012CB">
        <w:rPr>
          <w:rFonts w:ascii="Times New Roman" w:eastAsia="Calibri" w:hAnsi="Times New Roman" w:cs="Times New Roman"/>
          <w:sz w:val="24"/>
          <w:szCs w:val="24"/>
        </w:rPr>
        <w:t>the actual online exploitation, notably due to the evolution of consumption patterns in some sectors, for instance from ownership to access</w:t>
      </w:r>
      <w:r>
        <w:rPr>
          <w:rFonts w:ascii="Times New Roman" w:eastAsia="Calibri" w:hAnsi="Times New Roman" w:cs="Times New Roman"/>
          <w:sz w:val="24"/>
          <w:szCs w:val="24"/>
        </w:rPr>
        <w:t>/streaming modes of consumption. Online distribution</w:t>
      </w:r>
      <w:r w:rsidRPr="00446CC1">
        <w:rPr>
          <w:rFonts w:ascii="Times New Roman" w:eastAsia="Calibri" w:hAnsi="Times New Roman" w:cs="Times New Roman"/>
          <w:sz w:val="24"/>
          <w:szCs w:val="24"/>
        </w:rPr>
        <w:t xml:space="preserve"> is expected to become </w:t>
      </w:r>
      <w:r>
        <w:rPr>
          <w:rFonts w:ascii="Times New Roman" w:eastAsia="Calibri" w:hAnsi="Times New Roman" w:cs="Times New Roman"/>
          <w:sz w:val="24"/>
          <w:szCs w:val="24"/>
        </w:rPr>
        <w:t>the main form of exploitation in many content sectors. Transparency is, therefore, even more essential in the online environment to enable creators to assess and better exploit these new opportunities.</w:t>
      </w:r>
    </w:p>
    <w:p w:rsidR="001F1005" w:rsidRPr="008012CB" w:rsidRDefault="001F1005" w:rsidP="001F100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The situation of creators varies to some extent depending on MS or the sector and seems to be better where collective bargaining is allowed and efficient</w:t>
      </w:r>
      <w:r w:rsidRPr="008012CB">
        <w:rPr>
          <w:rFonts w:ascii="Times New Roman" w:eastAsia="Calibri" w:hAnsi="Times New Roman" w:cs="Times New Roman"/>
          <w:sz w:val="24"/>
          <w:szCs w:val="24"/>
          <w:vertAlign w:val="superscript"/>
        </w:rPr>
        <w:footnoteReference w:id="535"/>
      </w:r>
      <w:r w:rsidRPr="008012CB">
        <w:rPr>
          <w:rFonts w:ascii="Times New Roman" w:eastAsia="Calibri" w:hAnsi="Times New Roman" w:cs="Times New Roman"/>
          <w:sz w:val="24"/>
          <w:szCs w:val="24"/>
        </w:rPr>
        <w:t xml:space="preserve"> but problems related to lack of transparency and information asymmetry seem to arise in most creative sectors.</w:t>
      </w:r>
      <w:r w:rsidRPr="008012CB">
        <w:rPr>
          <w:rFonts w:ascii="Times New Roman" w:eastAsia="Calibri" w:hAnsi="Times New Roman" w:cs="Times New Roman"/>
          <w:sz w:val="24"/>
          <w:szCs w:val="24"/>
          <w:vertAlign w:val="superscript"/>
        </w:rPr>
        <w:footnoteReference w:id="536"/>
      </w:r>
      <w:r w:rsidRPr="008012CB">
        <w:rPr>
          <w:rFonts w:ascii="Times New Roman" w:eastAsia="Calibri" w:hAnsi="Times New Roman" w:cs="Times New Roman"/>
          <w:sz w:val="24"/>
          <w:szCs w:val="24"/>
        </w:rPr>
        <w:t xml:space="preserve"> </w:t>
      </w:r>
    </w:p>
    <w:p w:rsidR="00EC509F" w:rsidRPr="008012CB" w:rsidRDefault="00EC509F" w:rsidP="00EC509F">
      <w:pPr>
        <w:spacing w:after="120" w:line="240" w:lineRule="auto"/>
        <w:jc w:val="both"/>
        <w:rPr>
          <w:rFonts w:ascii="Times New Roman" w:eastAsia="Calibri" w:hAnsi="Times New Roman" w:cs="Times New Roman"/>
          <w:sz w:val="24"/>
          <w:szCs w:val="24"/>
        </w:rPr>
      </w:pPr>
      <w:r w:rsidRPr="000615BE">
        <w:rPr>
          <w:rFonts w:ascii="Times New Roman" w:eastAsia="Calibri" w:hAnsi="Times New Roman" w:cs="Times New Roman"/>
          <w:sz w:val="24"/>
          <w:szCs w:val="24"/>
        </w:rPr>
        <w:t>The problem has a significant European dimension. Cross</w:t>
      </w:r>
      <w:r w:rsidR="00507AC2">
        <w:rPr>
          <w:rFonts w:ascii="Times New Roman" w:eastAsia="Calibri" w:hAnsi="Times New Roman" w:cs="Times New Roman"/>
          <w:sz w:val="24"/>
          <w:szCs w:val="24"/>
        </w:rPr>
        <w:t>-</w:t>
      </w:r>
      <w:r w:rsidRPr="000615BE">
        <w:rPr>
          <w:rFonts w:ascii="Times New Roman" w:eastAsia="Calibri" w:hAnsi="Times New Roman" w:cs="Times New Roman"/>
          <w:sz w:val="24"/>
          <w:szCs w:val="24"/>
        </w:rPr>
        <w:t xml:space="preserve">border exploitation and production of content is a reality in Europe. For instance, in the music sector the share of non-local </w:t>
      </w:r>
      <w:r>
        <w:rPr>
          <w:rFonts w:ascii="Times New Roman" w:eastAsia="Calibri" w:hAnsi="Times New Roman" w:cs="Times New Roman"/>
          <w:sz w:val="24"/>
          <w:szCs w:val="24"/>
        </w:rPr>
        <w:t xml:space="preserve">EU </w:t>
      </w:r>
      <w:r w:rsidRPr="000615BE">
        <w:rPr>
          <w:rFonts w:ascii="Times New Roman" w:eastAsia="Calibri" w:hAnsi="Times New Roman" w:cs="Times New Roman"/>
          <w:sz w:val="24"/>
          <w:szCs w:val="24"/>
        </w:rPr>
        <w:t xml:space="preserve">repertoire consumed in </w:t>
      </w:r>
      <w:r w:rsidR="00181FF9">
        <w:rPr>
          <w:rFonts w:ascii="Times New Roman" w:eastAsia="Calibri" w:hAnsi="Times New Roman" w:cs="Times New Roman"/>
          <w:sz w:val="24"/>
          <w:szCs w:val="24"/>
        </w:rPr>
        <w:t>MS</w:t>
      </w:r>
      <w:r w:rsidRPr="000615BE">
        <w:rPr>
          <w:rFonts w:ascii="Times New Roman" w:eastAsia="Calibri" w:hAnsi="Times New Roman" w:cs="Times New Roman"/>
          <w:sz w:val="24"/>
          <w:szCs w:val="24"/>
        </w:rPr>
        <w:t xml:space="preserve"> ranges between 20 and 40 % in radio and between 15 and 32</w:t>
      </w:r>
      <w:r w:rsidR="000B17FD">
        <w:rPr>
          <w:rFonts w:ascii="Times New Roman" w:eastAsia="Calibri" w:hAnsi="Times New Roman" w:cs="Times New Roman"/>
          <w:sz w:val="24"/>
          <w:szCs w:val="24"/>
        </w:rPr>
        <w:t xml:space="preserve"> </w:t>
      </w:r>
      <w:r w:rsidR="00EC2C05">
        <w:rPr>
          <w:rFonts w:ascii="Times New Roman" w:eastAsia="Calibri" w:hAnsi="Times New Roman" w:cs="Times New Roman"/>
          <w:sz w:val="24"/>
          <w:szCs w:val="24"/>
        </w:rPr>
        <w:t>% in digital downloads; in the AV</w:t>
      </w:r>
      <w:r w:rsidRPr="000615BE">
        <w:rPr>
          <w:rFonts w:ascii="Times New Roman" w:eastAsia="Calibri" w:hAnsi="Times New Roman" w:cs="Times New Roman"/>
          <w:sz w:val="24"/>
          <w:szCs w:val="24"/>
        </w:rPr>
        <w:t xml:space="preserve"> s</w:t>
      </w:r>
      <w:r>
        <w:rPr>
          <w:rFonts w:ascii="Times New Roman" w:eastAsia="Calibri" w:hAnsi="Times New Roman" w:cs="Times New Roman"/>
          <w:sz w:val="24"/>
          <w:szCs w:val="24"/>
        </w:rPr>
        <w:t xml:space="preserve">ector co-productions account for </w:t>
      </w:r>
      <w:r w:rsidRPr="000615BE">
        <w:rPr>
          <w:rFonts w:ascii="Times New Roman" w:eastAsia="Calibri" w:hAnsi="Times New Roman" w:cs="Times New Roman"/>
          <w:sz w:val="24"/>
          <w:szCs w:val="24"/>
        </w:rPr>
        <w:t>a</w:t>
      </w:r>
      <w:r>
        <w:rPr>
          <w:rFonts w:ascii="Times New Roman" w:eastAsia="Calibri" w:hAnsi="Times New Roman" w:cs="Times New Roman"/>
          <w:sz w:val="24"/>
          <w:szCs w:val="24"/>
        </w:rPr>
        <w:t>n</w:t>
      </w:r>
      <w:r w:rsidRPr="000615BE">
        <w:rPr>
          <w:rFonts w:ascii="Times New Roman" w:eastAsia="Calibri" w:hAnsi="Times New Roman" w:cs="Times New Roman"/>
          <w:sz w:val="24"/>
          <w:szCs w:val="24"/>
        </w:rPr>
        <w:t xml:space="preserve"> average of 25</w:t>
      </w:r>
      <w:r w:rsidR="000B17FD">
        <w:rPr>
          <w:rFonts w:ascii="Times New Roman" w:eastAsia="Calibri" w:hAnsi="Times New Roman" w:cs="Times New Roman"/>
          <w:sz w:val="24"/>
          <w:szCs w:val="24"/>
        </w:rPr>
        <w:t xml:space="preserve"> </w:t>
      </w:r>
      <w:r w:rsidRPr="000615BE">
        <w:rPr>
          <w:rFonts w:ascii="Times New Roman" w:eastAsia="Calibri" w:hAnsi="Times New Roman" w:cs="Times New Roman"/>
          <w:sz w:val="24"/>
          <w:szCs w:val="24"/>
        </w:rPr>
        <w:t>% of total productions.</w:t>
      </w:r>
      <w:r w:rsidRPr="008012CB">
        <w:rPr>
          <w:rFonts w:ascii="Times New Roman" w:eastAsia="Calibri" w:hAnsi="Times New Roman" w:cs="Times New Roman"/>
          <w:sz w:val="24"/>
          <w:szCs w:val="24"/>
          <w:vertAlign w:val="superscript"/>
        </w:rPr>
        <w:footnoteReference w:id="537"/>
      </w:r>
      <w:r w:rsidRPr="000615BE">
        <w:rPr>
          <w:rFonts w:ascii="Times New Roman" w:eastAsia="Calibri" w:hAnsi="Times New Roman" w:cs="Times New Roman"/>
          <w:sz w:val="24"/>
          <w:szCs w:val="24"/>
        </w:rPr>
        <w:t xml:space="preserve"> In this context, it is important to ensure that authors and pe</w:t>
      </w:r>
      <w:r>
        <w:rPr>
          <w:rFonts w:ascii="Times New Roman" w:eastAsia="Calibri" w:hAnsi="Times New Roman" w:cs="Times New Roman"/>
          <w:sz w:val="24"/>
          <w:szCs w:val="24"/>
        </w:rPr>
        <w:t xml:space="preserve">rformers enjoy in practice the </w:t>
      </w:r>
      <w:r w:rsidRPr="000615BE">
        <w:rPr>
          <w:rFonts w:ascii="Times New Roman" w:eastAsia="Calibri" w:hAnsi="Times New Roman" w:cs="Times New Roman"/>
          <w:sz w:val="24"/>
          <w:szCs w:val="24"/>
        </w:rPr>
        <w:t xml:space="preserve">high level of protection </w:t>
      </w:r>
      <w:r>
        <w:rPr>
          <w:rFonts w:ascii="Times New Roman" w:eastAsia="Calibri" w:hAnsi="Times New Roman" w:cs="Times New Roman"/>
          <w:sz w:val="24"/>
          <w:szCs w:val="24"/>
        </w:rPr>
        <w:t>established by EU legislation (</w:t>
      </w:r>
      <w:r w:rsidRPr="000615BE">
        <w:rPr>
          <w:rFonts w:ascii="Times New Roman" w:eastAsia="Calibri" w:hAnsi="Times New Roman" w:cs="Times New Roman"/>
          <w:sz w:val="24"/>
          <w:szCs w:val="24"/>
        </w:rPr>
        <w:t>including as regards the digital dissemination of their works and performances) and do so disregarding where in the EU they assign or transfer their rights and where their works and performances are exploited. Tools to effectively exercise rights are as important as the recognition of such rights at EU level.</w:t>
      </w:r>
    </w:p>
    <w:p w:rsidR="00EC509F" w:rsidRPr="008012CB" w:rsidRDefault="00EC509F" w:rsidP="00EC509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Drivers:</w:t>
      </w:r>
      <w:r w:rsidRPr="008012CB">
        <w:rPr>
          <w:rFonts w:ascii="Times New Roman" w:eastAsia="Calibri" w:hAnsi="Times New Roman" w:cs="Times New Roman"/>
          <w:sz w:val="24"/>
          <w:szCs w:val="24"/>
        </w:rPr>
        <w:t xml:space="preserve"> [</w:t>
      </w:r>
      <w:r w:rsidRPr="008012CB">
        <w:rPr>
          <w:rFonts w:ascii="Times New Roman" w:eastAsia="Calibri" w:hAnsi="Times New Roman" w:cs="Times New Roman"/>
          <w:i/>
          <w:sz w:val="24"/>
          <w:szCs w:val="24"/>
        </w:rPr>
        <w:t>Weaker bargaining power of authors and performers in contractual negotiations</w:t>
      </w:r>
      <w:r w:rsidRPr="008012CB">
        <w:rPr>
          <w:rFonts w:ascii="Times New Roman" w:eastAsia="Calibri" w:hAnsi="Times New Roman" w:cs="Times New Roman"/>
          <w:sz w:val="24"/>
          <w:szCs w:val="24"/>
        </w:rPr>
        <w:t>] The main underlying cause of this problem is related to a market failure: there is a natural imbalance in bargaining power in the contractual relationships,</w:t>
      </w:r>
      <w:r w:rsidRPr="008012CB">
        <w:rPr>
          <w:rFonts w:ascii="Times New Roman" w:eastAsia="Calibri" w:hAnsi="Times New Roman" w:cs="Times New Roman"/>
          <w:sz w:val="24"/>
          <w:szCs w:val="24"/>
          <w:vertAlign w:val="superscript"/>
        </w:rPr>
        <w:footnoteReference w:id="538"/>
      </w:r>
      <w:r w:rsidRPr="008012CB">
        <w:rPr>
          <w:rFonts w:ascii="Times New Roman" w:eastAsia="Calibri" w:hAnsi="Times New Roman" w:cs="Times New Roman"/>
          <w:sz w:val="24"/>
          <w:szCs w:val="24"/>
        </w:rPr>
        <w:t xml:space="preserve"> favouring the counterparty of the creator, partly due to the existing information asymmetry. The difference in bargaining power can also create a "take it or leave it" situation for creators and therefore full “buy-outs” using catch-all language that covers any mode of exploitation without any obligation to report to the creator.</w:t>
      </w:r>
      <w:r>
        <w:rPr>
          <w:rStyle w:val="FootnoteReference"/>
          <w:rFonts w:ascii="Times New Roman" w:eastAsia="Calibri" w:hAnsi="Times New Roman" w:cs="Times New Roman"/>
          <w:sz w:val="24"/>
          <w:szCs w:val="24"/>
        </w:rPr>
        <w:footnoteReference w:id="539"/>
      </w:r>
    </w:p>
    <w:p w:rsidR="00EC509F" w:rsidRPr="008012CB" w:rsidRDefault="00EC509F" w:rsidP="00EC509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w:t>
      </w:r>
      <w:r w:rsidRPr="008012CB">
        <w:rPr>
          <w:rFonts w:ascii="Times New Roman" w:eastAsia="Calibri" w:hAnsi="Times New Roman" w:cs="Times New Roman"/>
          <w:i/>
          <w:sz w:val="24"/>
          <w:szCs w:val="24"/>
        </w:rPr>
        <w:t>Weaker bargaining power of authors and performers in contract enforcement</w:t>
      </w:r>
      <w:r w:rsidRPr="008012CB">
        <w:rPr>
          <w:rFonts w:ascii="Times New Roman" w:eastAsia="Calibri" w:hAnsi="Times New Roman" w:cs="Times New Roman"/>
          <w:sz w:val="24"/>
          <w:szCs w:val="24"/>
        </w:rPr>
        <w:t>] Another driver of the issue, also related to the difference in bargaining power, is that often creators depend on their contractual counterparties and are unwilling to challenge them or to request further information for fear of possible consequences.</w:t>
      </w:r>
      <w:r w:rsidRPr="008012CB">
        <w:rPr>
          <w:rFonts w:ascii="Times New Roman" w:eastAsia="Calibri" w:hAnsi="Times New Roman" w:cs="Times New Roman"/>
          <w:sz w:val="24"/>
          <w:szCs w:val="24"/>
          <w:vertAlign w:val="superscript"/>
        </w:rPr>
        <w:footnoteReference w:id="540"/>
      </w:r>
    </w:p>
    <w:p w:rsidR="00EC509F" w:rsidRDefault="00EC509F" w:rsidP="00EC509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w:t>
      </w:r>
      <w:r w:rsidRPr="008012CB">
        <w:rPr>
          <w:rFonts w:ascii="Times New Roman" w:eastAsia="Calibri" w:hAnsi="Times New Roman" w:cs="Times New Roman"/>
          <w:i/>
          <w:sz w:val="24"/>
          <w:szCs w:val="24"/>
        </w:rPr>
        <w:t>Legislative solutions ensuring transparency in MS</w:t>
      </w:r>
      <w:r>
        <w:rPr>
          <w:rFonts w:ascii="Times New Roman" w:eastAsia="Calibri" w:hAnsi="Times New Roman" w:cs="Times New Roman"/>
          <w:i/>
          <w:sz w:val="24"/>
          <w:szCs w:val="24"/>
        </w:rPr>
        <w:t xml:space="preserve"> are not sufficient</w:t>
      </w:r>
      <w:r w:rsidRPr="008012CB">
        <w:rPr>
          <w:rFonts w:ascii="Times New Roman" w:eastAsia="Calibri" w:hAnsi="Times New Roman" w:cs="Times New Roman"/>
          <w:sz w:val="24"/>
          <w:szCs w:val="24"/>
        </w:rPr>
        <w:t>] A regulatory aspect of the problem is that most MS impose either too generic transparency or reporting obligations</w:t>
      </w:r>
      <w:r>
        <w:rPr>
          <w:rFonts w:ascii="Times New Roman" w:eastAsia="Calibri" w:hAnsi="Times New Roman" w:cs="Times New Roman"/>
          <w:sz w:val="24"/>
          <w:szCs w:val="24"/>
        </w:rPr>
        <w:t>,</w:t>
      </w:r>
      <w:r w:rsidRPr="008012CB">
        <w:rPr>
          <w:rFonts w:ascii="Times New Roman" w:eastAsia="Calibri" w:hAnsi="Times New Roman" w:cs="Times New Roman"/>
          <w:sz w:val="24"/>
          <w:szCs w:val="24"/>
        </w:rPr>
        <w:t xml:space="preserve"> or transparency obligations only applicable to certain sectors (without the necessary mechanisms to ensure enforcement). The fact that some MS, notably FR and DE, </w:t>
      </w:r>
      <w:r>
        <w:rPr>
          <w:rFonts w:ascii="Times New Roman" w:eastAsia="Calibri" w:hAnsi="Times New Roman" w:cs="Times New Roman"/>
          <w:sz w:val="24"/>
          <w:szCs w:val="24"/>
        </w:rPr>
        <w:t xml:space="preserve">have recently introduced or </w:t>
      </w:r>
      <w:r w:rsidRPr="008012CB">
        <w:rPr>
          <w:rFonts w:ascii="Times New Roman" w:eastAsia="Calibri" w:hAnsi="Times New Roman" w:cs="Times New Roman"/>
          <w:sz w:val="24"/>
          <w:szCs w:val="24"/>
        </w:rPr>
        <w:t>are currently planning to introduce or to strengthen such measures</w:t>
      </w:r>
      <w:r w:rsidRPr="008012CB">
        <w:rPr>
          <w:rFonts w:ascii="Times New Roman" w:eastAsia="Calibri" w:hAnsi="Times New Roman" w:cs="Times New Roman"/>
          <w:sz w:val="24"/>
          <w:szCs w:val="24"/>
          <w:vertAlign w:val="superscript"/>
        </w:rPr>
        <w:footnoteReference w:id="541"/>
      </w:r>
      <w:r w:rsidRPr="008012CB">
        <w:rPr>
          <w:rFonts w:ascii="Times New Roman" w:eastAsia="Calibri" w:hAnsi="Times New Roman" w:cs="Times New Roman"/>
          <w:sz w:val="24"/>
          <w:szCs w:val="24"/>
        </w:rPr>
        <w:t xml:space="preserve"> also confirms the existence of the problem.</w:t>
      </w:r>
    </w:p>
    <w:tbl>
      <w:tblPr>
        <w:tblStyle w:val="TableGrid"/>
        <w:tblW w:w="9180" w:type="dxa"/>
        <w:tblLook w:val="04A0" w:firstRow="1" w:lastRow="0" w:firstColumn="1" w:lastColumn="0" w:noHBand="0" w:noVBand="1"/>
      </w:tblPr>
      <w:tblGrid>
        <w:gridCol w:w="2943"/>
        <w:gridCol w:w="2079"/>
        <w:gridCol w:w="2079"/>
        <w:gridCol w:w="2079"/>
      </w:tblGrid>
      <w:tr w:rsidR="00EC509F" w:rsidRPr="005D1150" w:rsidTr="00EC509F">
        <w:tc>
          <w:tcPr>
            <w:tcW w:w="2943" w:type="dxa"/>
          </w:tcPr>
          <w:p w:rsidR="00EC509F" w:rsidRPr="00AD57F7" w:rsidRDefault="00EC509F" w:rsidP="00EC509F">
            <w:pPr>
              <w:jc w:val="both"/>
              <w:rPr>
                <w:rFonts w:ascii="Times New Roman" w:hAnsi="Times New Roman" w:cs="Times New Roman"/>
                <w:b/>
                <w:sz w:val="20"/>
              </w:rPr>
            </w:pPr>
          </w:p>
        </w:tc>
        <w:tc>
          <w:tcPr>
            <w:tcW w:w="2079" w:type="dxa"/>
          </w:tcPr>
          <w:p w:rsidR="00EC509F" w:rsidRPr="00AD57F7" w:rsidRDefault="00EC509F" w:rsidP="00EC509F">
            <w:pPr>
              <w:jc w:val="center"/>
              <w:rPr>
                <w:rFonts w:ascii="Times New Roman" w:hAnsi="Times New Roman" w:cs="Times New Roman"/>
                <w:b/>
                <w:sz w:val="20"/>
              </w:rPr>
            </w:pPr>
            <w:r w:rsidRPr="00AD57F7">
              <w:rPr>
                <w:rFonts w:ascii="Times New Roman" w:hAnsi="Times New Roman" w:cs="Times New Roman"/>
                <w:b/>
                <w:sz w:val="20"/>
              </w:rPr>
              <w:t>Book / Press Sector</w:t>
            </w:r>
          </w:p>
        </w:tc>
        <w:tc>
          <w:tcPr>
            <w:tcW w:w="2079" w:type="dxa"/>
          </w:tcPr>
          <w:p w:rsidR="00EC509F" w:rsidRPr="00AD57F7" w:rsidRDefault="00EC509F" w:rsidP="00EC509F">
            <w:pPr>
              <w:jc w:val="center"/>
              <w:rPr>
                <w:rFonts w:ascii="Times New Roman" w:hAnsi="Times New Roman" w:cs="Times New Roman"/>
                <w:b/>
                <w:sz w:val="20"/>
              </w:rPr>
            </w:pPr>
            <w:r w:rsidRPr="00AD57F7">
              <w:rPr>
                <w:rFonts w:ascii="Times New Roman" w:hAnsi="Times New Roman" w:cs="Times New Roman"/>
                <w:b/>
                <w:sz w:val="20"/>
              </w:rPr>
              <w:t>Music Sector</w:t>
            </w:r>
          </w:p>
        </w:tc>
        <w:tc>
          <w:tcPr>
            <w:tcW w:w="2079" w:type="dxa"/>
          </w:tcPr>
          <w:p w:rsidR="00EC509F" w:rsidRPr="00AD57F7" w:rsidRDefault="00EC509F" w:rsidP="00EC509F">
            <w:pPr>
              <w:jc w:val="center"/>
              <w:rPr>
                <w:rFonts w:ascii="Times New Roman" w:hAnsi="Times New Roman" w:cs="Times New Roman"/>
                <w:b/>
                <w:sz w:val="20"/>
              </w:rPr>
            </w:pPr>
            <w:r w:rsidRPr="00AD57F7">
              <w:rPr>
                <w:rFonts w:ascii="Times New Roman" w:hAnsi="Times New Roman" w:cs="Times New Roman"/>
                <w:b/>
                <w:sz w:val="20"/>
              </w:rPr>
              <w:t>Audiovisual Sector</w:t>
            </w:r>
          </w:p>
        </w:tc>
      </w:tr>
      <w:tr w:rsidR="00EC509F" w:rsidTr="00EC509F">
        <w:tc>
          <w:tcPr>
            <w:tcW w:w="2943" w:type="dxa"/>
          </w:tcPr>
          <w:p w:rsidR="00EC509F" w:rsidRPr="00AD57F7" w:rsidRDefault="00EC509F" w:rsidP="00EC509F">
            <w:pPr>
              <w:rPr>
                <w:rFonts w:ascii="Times New Roman" w:hAnsi="Times New Roman" w:cs="Times New Roman"/>
                <w:b/>
                <w:sz w:val="20"/>
              </w:rPr>
            </w:pPr>
            <w:r w:rsidRPr="00AD57F7">
              <w:rPr>
                <w:rFonts w:ascii="Times New Roman" w:hAnsi="Times New Roman" w:cs="Times New Roman"/>
                <w:b/>
                <w:sz w:val="20"/>
              </w:rPr>
              <w:t>Number of MS with legislative reporting/transparency obligations</w:t>
            </w:r>
          </w:p>
        </w:tc>
        <w:tc>
          <w:tcPr>
            <w:tcW w:w="2079" w:type="dxa"/>
            <w:vAlign w:val="center"/>
          </w:tcPr>
          <w:p w:rsidR="00EC509F" w:rsidRPr="00AD57F7" w:rsidRDefault="00EC509F" w:rsidP="00EC509F">
            <w:pPr>
              <w:jc w:val="center"/>
              <w:rPr>
                <w:rFonts w:ascii="Times New Roman" w:hAnsi="Times New Roman" w:cs="Times New Roman"/>
                <w:sz w:val="20"/>
              </w:rPr>
            </w:pPr>
            <w:r w:rsidRPr="00AD57F7">
              <w:rPr>
                <w:rFonts w:ascii="Times New Roman" w:hAnsi="Times New Roman" w:cs="Times New Roman"/>
                <w:sz w:val="20"/>
              </w:rPr>
              <w:t>14</w:t>
            </w:r>
          </w:p>
        </w:tc>
        <w:tc>
          <w:tcPr>
            <w:tcW w:w="2079" w:type="dxa"/>
            <w:vAlign w:val="center"/>
          </w:tcPr>
          <w:p w:rsidR="00EC509F" w:rsidRPr="00AD57F7" w:rsidRDefault="00EC509F" w:rsidP="00EC509F">
            <w:pPr>
              <w:jc w:val="center"/>
              <w:rPr>
                <w:rFonts w:ascii="Times New Roman" w:hAnsi="Times New Roman" w:cs="Times New Roman"/>
                <w:sz w:val="20"/>
              </w:rPr>
            </w:pPr>
            <w:r w:rsidRPr="00AD57F7">
              <w:rPr>
                <w:rFonts w:ascii="Times New Roman" w:hAnsi="Times New Roman" w:cs="Times New Roman"/>
                <w:sz w:val="20"/>
              </w:rPr>
              <w:t>6</w:t>
            </w:r>
          </w:p>
        </w:tc>
        <w:tc>
          <w:tcPr>
            <w:tcW w:w="2079" w:type="dxa"/>
            <w:vAlign w:val="center"/>
          </w:tcPr>
          <w:p w:rsidR="00EC509F" w:rsidRPr="00AD57F7" w:rsidRDefault="00EC509F" w:rsidP="00EC509F">
            <w:pPr>
              <w:jc w:val="center"/>
              <w:rPr>
                <w:rFonts w:ascii="Times New Roman" w:hAnsi="Times New Roman" w:cs="Times New Roman"/>
                <w:sz w:val="20"/>
              </w:rPr>
            </w:pPr>
            <w:r w:rsidRPr="00AD57F7">
              <w:rPr>
                <w:rFonts w:ascii="Times New Roman" w:hAnsi="Times New Roman" w:cs="Times New Roman"/>
                <w:sz w:val="20"/>
              </w:rPr>
              <w:t>14</w:t>
            </w:r>
          </w:p>
        </w:tc>
      </w:tr>
    </w:tbl>
    <w:p w:rsidR="00181FF9" w:rsidRDefault="00181FF9" w:rsidP="00EC509F">
      <w:pPr>
        <w:spacing w:after="120" w:line="240" w:lineRule="auto"/>
        <w:jc w:val="both"/>
        <w:rPr>
          <w:rFonts w:ascii="Times New Roman" w:eastAsia="Calibri" w:hAnsi="Times New Roman" w:cs="Times New Roman"/>
          <w:sz w:val="24"/>
          <w:szCs w:val="24"/>
        </w:rPr>
      </w:pPr>
    </w:p>
    <w:p w:rsidR="00EC509F" w:rsidRDefault="00EC509F" w:rsidP="00EC509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Consequences:</w:t>
      </w:r>
      <w:r w:rsidRPr="008012CB">
        <w:rPr>
          <w:rFonts w:ascii="Times New Roman" w:eastAsia="Calibri" w:hAnsi="Times New Roman" w:cs="Times New Roman"/>
          <w:sz w:val="24"/>
          <w:szCs w:val="24"/>
        </w:rPr>
        <w:t xml:space="preserve"> As a consequence, creators are confronted with instances where they are unable to effectively monitor the use, measure the commercial success and assess the economic value of their works. Because of this, there </w:t>
      </w:r>
      <w:r>
        <w:rPr>
          <w:rFonts w:ascii="Times New Roman" w:eastAsia="Calibri" w:hAnsi="Times New Roman" w:cs="Times New Roman"/>
          <w:sz w:val="24"/>
          <w:szCs w:val="24"/>
        </w:rPr>
        <w:t xml:space="preserve">is a risk that </w:t>
      </w:r>
      <w:r w:rsidRPr="008012CB">
        <w:rPr>
          <w:rFonts w:ascii="Times New Roman" w:eastAsia="Calibri" w:hAnsi="Times New Roman" w:cs="Times New Roman"/>
          <w:sz w:val="24"/>
          <w:szCs w:val="24"/>
        </w:rPr>
        <w:t>creators are unable to negotiate an appropriate remuneration in exchange for their rights, to verify that they are receiving the agreed amounts or to enforce their claims for remuneration effectively.</w:t>
      </w:r>
      <w:r w:rsidRPr="008012CB">
        <w:rPr>
          <w:rFonts w:ascii="Times New Roman" w:eastAsia="Calibri" w:hAnsi="Times New Roman" w:cs="Times New Roman"/>
          <w:sz w:val="24"/>
          <w:szCs w:val="24"/>
          <w:vertAlign w:val="superscript"/>
        </w:rPr>
        <w:footnoteReference w:id="542"/>
      </w:r>
      <w:r w:rsidRPr="008012CB">
        <w:rPr>
          <w:rFonts w:ascii="Times New Roman" w:eastAsia="Calibri" w:hAnsi="Times New Roman" w:cs="Times New Roman"/>
          <w:sz w:val="24"/>
          <w:szCs w:val="24"/>
        </w:rPr>
        <w:t xml:space="preserve"> This situation has been reflected in statements on lack of fair remuneration from stakeholders</w:t>
      </w:r>
      <w:r w:rsidRPr="008012CB">
        <w:rPr>
          <w:rFonts w:ascii="Times New Roman" w:eastAsia="Calibri" w:hAnsi="Times New Roman" w:cs="Times New Roman"/>
          <w:sz w:val="24"/>
          <w:szCs w:val="24"/>
          <w:vertAlign w:val="superscript"/>
        </w:rPr>
        <w:footnoteReference w:id="543"/>
      </w:r>
      <w:r w:rsidRPr="008012CB">
        <w:rPr>
          <w:rFonts w:ascii="Times New Roman" w:eastAsia="Calibri" w:hAnsi="Times New Roman" w:cs="Times New Roman"/>
          <w:sz w:val="24"/>
          <w:szCs w:val="24"/>
        </w:rPr>
        <w:t xml:space="preserve"> and, in recent studies conducted in the UK and France, for example.</w:t>
      </w:r>
      <w:r w:rsidRPr="008012CB">
        <w:rPr>
          <w:rFonts w:ascii="Times New Roman" w:eastAsia="Calibri" w:hAnsi="Times New Roman" w:cs="Times New Roman"/>
          <w:sz w:val="24"/>
          <w:szCs w:val="24"/>
          <w:vertAlign w:val="superscript"/>
        </w:rPr>
        <w:footnoteReference w:id="544"/>
      </w:r>
    </w:p>
    <w:p w:rsidR="00EC509F" w:rsidRDefault="00EC509F" w:rsidP="00EC509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Lack of transparency has effects on the </w:t>
      </w:r>
      <w:r w:rsidR="00AB08C3">
        <w:rPr>
          <w:rFonts w:ascii="Times New Roman" w:eastAsia="Calibri" w:hAnsi="Times New Roman" w:cs="Times New Roman"/>
          <w:sz w:val="24"/>
          <w:szCs w:val="24"/>
        </w:rPr>
        <w:t>i</w:t>
      </w:r>
      <w:r>
        <w:rPr>
          <w:rFonts w:ascii="Times New Roman" w:eastAsia="Calibri" w:hAnsi="Times New Roman" w:cs="Times New Roman"/>
          <w:sz w:val="24"/>
          <w:szCs w:val="24"/>
        </w:rPr>
        <w:t xml:space="preserve">nternal </w:t>
      </w:r>
      <w:r w:rsidR="00AB08C3">
        <w:rPr>
          <w:rFonts w:ascii="Times New Roman" w:eastAsia="Calibri" w:hAnsi="Times New Roman" w:cs="Times New Roman"/>
          <w:sz w:val="24"/>
          <w:szCs w:val="24"/>
        </w:rPr>
        <w:t>m</w:t>
      </w:r>
      <w:r>
        <w:rPr>
          <w:rFonts w:ascii="Times New Roman" w:eastAsia="Calibri" w:hAnsi="Times New Roman" w:cs="Times New Roman"/>
          <w:sz w:val="24"/>
          <w:szCs w:val="24"/>
        </w:rPr>
        <w:t xml:space="preserve">arket as well. Firstly, </w:t>
      </w:r>
      <w:r w:rsidRPr="008012CB">
        <w:rPr>
          <w:rFonts w:ascii="Times New Roman" w:eastAsia="Calibri" w:hAnsi="Times New Roman" w:cs="Times New Roman"/>
          <w:sz w:val="24"/>
          <w:szCs w:val="24"/>
        </w:rPr>
        <w:t>creators</w:t>
      </w:r>
      <w:r>
        <w:rPr>
          <w:rFonts w:ascii="Times New Roman" w:eastAsia="Calibri" w:hAnsi="Times New Roman" w:cs="Times New Roman"/>
          <w:sz w:val="24"/>
          <w:szCs w:val="24"/>
        </w:rPr>
        <w:t xml:space="preserve"> are,</w:t>
      </w:r>
      <w:r w:rsidRPr="008012CB">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8012CB">
        <w:rPr>
          <w:rFonts w:ascii="Times New Roman" w:eastAsia="Calibri" w:hAnsi="Times New Roman" w:cs="Times New Roman"/>
          <w:sz w:val="24"/>
          <w:szCs w:val="24"/>
        </w:rPr>
        <w:t>n the absence of transparency, unable to effectively compare deals and offers, including across borders</w:t>
      </w:r>
      <w:r>
        <w:rPr>
          <w:rFonts w:ascii="Times New Roman" w:eastAsia="Calibri" w:hAnsi="Times New Roman" w:cs="Times New Roman"/>
          <w:sz w:val="24"/>
          <w:szCs w:val="24"/>
        </w:rPr>
        <w:t>.</w:t>
      </w:r>
      <w:r w:rsidRPr="008012CB">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w:t>
      </w:r>
      <w:r w:rsidRPr="008012CB">
        <w:rPr>
          <w:rFonts w:ascii="Times New Roman" w:eastAsia="Calibri" w:hAnsi="Times New Roman" w:cs="Times New Roman"/>
          <w:sz w:val="24"/>
          <w:szCs w:val="24"/>
        </w:rPr>
        <w:t xml:space="preserve"> undermines their ability to exercise their freedom of movement</w:t>
      </w:r>
      <w:r w:rsidRPr="008012CB">
        <w:rPr>
          <w:rFonts w:ascii="Times New Roman" w:eastAsia="Calibri" w:hAnsi="Times New Roman" w:cs="Times New Roman"/>
          <w:sz w:val="24"/>
          <w:szCs w:val="24"/>
          <w:vertAlign w:val="superscript"/>
        </w:rPr>
        <w:footnoteReference w:id="545"/>
      </w:r>
      <w:r>
        <w:rPr>
          <w:rFonts w:ascii="Times New Roman" w:eastAsia="Calibri" w:hAnsi="Times New Roman" w:cs="Times New Roman"/>
          <w:sz w:val="24"/>
          <w:szCs w:val="24"/>
        </w:rPr>
        <w:t xml:space="preserve"> and to enter into contractual agreements with economic partners from different MS</w:t>
      </w:r>
      <w:r w:rsidRPr="008012CB">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546"/>
      </w:r>
      <w:r>
        <w:rPr>
          <w:rFonts w:ascii="Times New Roman" w:eastAsia="Calibri" w:hAnsi="Times New Roman" w:cs="Times New Roman"/>
          <w:sz w:val="24"/>
          <w:szCs w:val="24"/>
        </w:rPr>
        <w:t>Secondly, contractual counterparties face a</w:t>
      </w:r>
      <w:r w:rsidRPr="00482651">
        <w:rPr>
          <w:rFonts w:ascii="Times New Roman" w:eastAsia="Calibri" w:hAnsi="Times New Roman" w:cs="Times New Roman"/>
          <w:sz w:val="24"/>
          <w:szCs w:val="24"/>
        </w:rPr>
        <w:t xml:space="preserve"> </w:t>
      </w:r>
      <w:r w:rsidRPr="008012CB">
        <w:rPr>
          <w:rFonts w:ascii="Times New Roman" w:eastAsia="Calibri" w:hAnsi="Times New Roman" w:cs="Times New Roman"/>
          <w:sz w:val="24"/>
          <w:szCs w:val="24"/>
        </w:rPr>
        <w:t>fragmented situation between the different MS</w:t>
      </w:r>
      <w:r w:rsidRPr="008012CB">
        <w:rPr>
          <w:rFonts w:ascii="Times New Roman" w:eastAsia="Calibri" w:hAnsi="Times New Roman" w:cs="Times New Roman"/>
          <w:sz w:val="24"/>
          <w:szCs w:val="24"/>
          <w:vertAlign w:val="superscript"/>
        </w:rPr>
        <w:footnoteReference w:id="547"/>
      </w:r>
      <w:r w:rsidRPr="008012CB">
        <w:rPr>
          <w:rFonts w:ascii="Times New Roman" w:eastAsia="Calibri" w:hAnsi="Times New Roman" w:cs="Times New Roman"/>
          <w:sz w:val="24"/>
          <w:szCs w:val="24"/>
        </w:rPr>
        <w:t xml:space="preserve"> as regards transparency which prejudices a level playing field in the Internal Market.</w:t>
      </w:r>
      <w:r>
        <w:rPr>
          <w:rFonts w:ascii="Times New Roman" w:eastAsia="Calibri" w:hAnsi="Times New Roman" w:cs="Times New Roman"/>
          <w:sz w:val="24"/>
          <w:szCs w:val="24"/>
        </w:rPr>
        <w:t xml:space="preserve"> C</w:t>
      </w:r>
      <w:r w:rsidRPr="00C84B81">
        <w:rPr>
          <w:rFonts w:ascii="Times New Roman" w:eastAsia="Calibri" w:hAnsi="Times New Roman" w:cs="Times New Roman"/>
          <w:sz w:val="24"/>
          <w:szCs w:val="24"/>
        </w:rPr>
        <w:t xml:space="preserve">ompanies established in different MS </w:t>
      </w:r>
      <w:r>
        <w:rPr>
          <w:rFonts w:ascii="Times New Roman" w:eastAsia="Calibri" w:hAnsi="Times New Roman" w:cs="Times New Roman"/>
          <w:sz w:val="24"/>
          <w:szCs w:val="24"/>
        </w:rPr>
        <w:t>and</w:t>
      </w:r>
      <w:r w:rsidRPr="00C84B81">
        <w:rPr>
          <w:rFonts w:ascii="Times New Roman" w:eastAsia="Calibri" w:hAnsi="Times New Roman" w:cs="Times New Roman"/>
          <w:sz w:val="24"/>
          <w:szCs w:val="24"/>
        </w:rPr>
        <w:t xml:space="preserve"> in competition for the same online market </w:t>
      </w:r>
      <w:r>
        <w:rPr>
          <w:rFonts w:ascii="Times New Roman" w:eastAsia="Calibri" w:hAnsi="Times New Roman" w:cs="Times New Roman"/>
          <w:sz w:val="24"/>
          <w:szCs w:val="24"/>
        </w:rPr>
        <w:t>have to comply with</w:t>
      </w:r>
      <w:r w:rsidRPr="00C84B81">
        <w:rPr>
          <w:rFonts w:ascii="Times New Roman" w:eastAsia="Calibri" w:hAnsi="Times New Roman" w:cs="Times New Roman"/>
          <w:sz w:val="24"/>
          <w:szCs w:val="24"/>
        </w:rPr>
        <w:t xml:space="preserve"> different transparency </w:t>
      </w:r>
      <w:r>
        <w:rPr>
          <w:rFonts w:ascii="Times New Roman" w:eastAsia="Calibri" w:hAnsi="Times New Roman" w:cs="Times New Roman"/>
          <w:sz w:val="24"/>
          <w:szCs w:val="24"/>
        </w:rPr>
        <w:t>obligations</w:t>
      </w:r>
      <w:r w:rsidRPr="00C84B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resulting in a competitive advantage for </w:t>
      </w:r>
      <w:r w:rsidRPr="00C84B81">
        <w:rPr>
          <w:rFonts w:ascii="Times New Roman" w:eastAsia="Calibri" w:hAnsi="Times New Roman" w:cs="Times New Roman"/>
          <w:sz w:val="24"/>
          <w:szCs w:val="24"/>
        </w:rPr>
        <w:t>th</w:t>
      </w:r>
      <w:r>
        <w:rPr>
          <w:rFonts w:ascii="Times New Roman" w:eastAsia="Calibri" w:hAnsi="Times New Roman" w:cs="Times New Roman"/>
          <w:sz w:val="24"/>
          <w:szCs w:val="24"/>
        </w:rPr>
        <w:t xml:space="preserve">ose under a </w:t>
      </w:r>
      <w:r w:rsidRPr="00C84B81">
        <w:rPr>
          <w:rFonts w:ascii="Times New Roman" w:eastAsia="Calibri" w:hAnsi="Times New Roman" w:cs="Times New Roman"/>
          <w:sz w:val="24"/>
          <w:szCs w:val="24"/>
        </w:rPr>
        <w:t>lighte</w:t>
      </w:r>
      <w:r>
        <w:rPr>
          <w:rFonts w:ascii="Times New Roman" w:eastAsia="Calibri" w:hAnsi="Times New Roman" w:cs="Times New Roman"/>
          <w:sz w:val="24"/>
          <w:szCs w:val="24"/>
        </w:rPr>
        <w:t>r transparency regime</w:t>
      </w:r>
      <w:r w:rsidRPr="00C84B8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012CB">
        <w:rPr>
          <w:rFonts w:ascii="Times New Roman" w:eastAsia="Calibri" w:hAnsi="Times New Roman" w:cs="Times New Roman"/>
          <w:sz w:val="24"/>
          <w:szCs w:val="24"/>
        </w:rPr>
        <w:t xml:space="preserve">Furthermore, differences between MS may create legal uncertainty </w:t>
      </w:r>
      <w:r>
        <w:rPr>
          <w:rFonts w:ascii="Times New Roman" w:eastAsia="Calibri" w:hAnsi="Times New Roman" w:cs="Times New Roman"/>
          <w:sz w:val="24"/>
          <w:szCs w:val="24"/>
        </w:rPr>
        <w:t xml:space="preserve">for both creators and contractual counterparties, </w:t>
      </w:r>
      <w:r w:rsidRPr="008012CB">
        <w:rPr>
          <w:rFonts w:ascii="Times New Roman" w:eastAsia="Calibri" w:hAnsi="Times New Roman" w:cs="Times New Roman"/>
          <w:sz w:val="24"/>
          <w:szCs w:val="24"/>
        </w:rPr>
        <w:t>and lead to greater transaction costs and "jurisdiction shopping" by transferees.</w:t>
      </w:r>
    </w:p>
    <w:p w:rsidR="001F1005" w:rsidRPr="008012CB" w:rsidRDefault="007B61B9" w:rsidP="001F100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How the problem would evolve:</w:t>
      </w:r>
      <w:r w:rsidRPr="008012CB">
        <w:rPr>
          <w:rFonts w:ascii="Times New Roman" w:eastAsia="Calibri" w:hAnsi="Times New Roman" w:cs="Times New Roman"/>
          <w:sz w:val="24"/>
          <w:szCs w:val="24"/>
        </w:rPr>
        <w:t xml:space="preserve"> </w:t>
      </w:r>
      <w:r w:rsidR="001F1005" w:rsidRPr="008012CB">
        <w:rPr>
          <w:rFonts w:ascii="Times New Roman" w:eastAsia="Calibri" w:hAnsi="Times New Roman" w:cs="Times New Roman"/>
          <w:sz w:val="24"/>
          <w:szCs w:val="24"/>
        </w:rPr>
        <w:t>All things being equal, this situation is not likely to improve to a sufficient extent, notably as there are no indications that the current bargaining positions will become more balanced. It is not clear either whether the information asymmetry would improve. In fact, as exploitation is getting more complex and more intermediaries join the value chain there is a risk of less transparency. On the other hand, the constantly improving information technology should allow providing for more efficient, more accurate and more economic reporting mechanisms.</w:t>
      </w:r>
      <w:r w:rsidR="001F1005" w:rsidRPr="008012CB">
        <w:rPr>
          <w:rFonts w:ascii="Times New Roman" w:eastAsia="Calibri" w:hAnsi="Times New Roman" w:cs="Times New Roman"/>
          <w:sz w:val="24"/>
          <w:szCs w:val="24"/>
          <w:vertAlign w:val="superscript"/>
        </w:rPr>
        <w:footnoteReference w:id="548"/>
      </w:r>
      <w:r w:rsidR="001F1005" w:rsidRPr="008012CB">
        <w:rPr>
          <w:rFonts w:ascii="Times New Roman" w:eastAsia="Calibri" w:hAnsi="Times New Roman" w:cs="Times New Roman"/>
          <w:sz w:val="24"/>
          <w:szCs w:val="24"/>
        </w:rPr>
        <w:t xml:space="preserve"> Without EU intervention, these technologies are not likely to be used to their full potential. Creators will not be able to force transparency on their contractual counterparties since they are in a weaker bargaining position and, in many instances, have few alternatives. Some MS may follow the example of recent initiatives to legislate to introduce transparency measures but such interventions are not likely to happen in all MS or sectors and could risk further fragmenting the Internal Market.</w:t>
      </w:r>
    </w:p>
    <w:p w:rsidR="007B61B9" w:rsidRPr="008012CB" w:rsidRDefault="001F1005" w:rsidP="001F100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Some stakeholders and studies</w:t>
      </w:r>
      <w:r w:rsidRPr="008012CB">
        <w:rPr>
          <w:rFonts w:ascii="Times New Roman" w:eastAsia="Calibri" w:hAnsi="Times New Roman" w:cs="Times New Roman"/>
          <w:sz w:val="24"/>
          <w:szCs w:val="24"/>
          <w:vertAlign w:val="superscript"/>
        </w:rPr>
        <w:footnoteReference w:id="549"/>
      </w:r>
      <w:r w:rsidRPr="008012CB">
        <w:rPr>
          <w:rFonts w:ascii="Times New Roman" w:eastAsia="Calibri" w:hAnsi="Times New Roman" w:cs="Times New Roman"/>
          <w:sz w:val="24"/>
          <w:szCs w:val="24"/>
        </w:rPr>
        <w:t xml:space="preserve"> argue that </w:t>
      </w:r>
      <w:r w:rsidRPr="008012CB">
        <w:rPr>
          <w:rFonts w:ascii="Times New Roman" w:eastAsia="Calibri" w:hAnsi="Times New Roman" w:cs="Times New Roman"/>
          <w:i/>
          <w:sz w:val="24"/>
          <w:szCs w:val="24"/>
        </w:rPr>
        <w:t>ex-ante intervention</w:t>
      </w:r>
      <w:r w:rsidRPr="008012CB">
        <w:rPr>
          <w:rFonts w:ascii="Times New Roman" w:eastAsia="Calibri" w:hAnsi="Times New Roman" w:cs="Times New Roman"/>
          <w:sz w:val="24"/>
          <w:szCs w:val="24"/>
        </w:rPr>
        <w:t xml:space="preserve"> (i.e. at the stage when a contract is being defined) via options such as prohibition of certain contractual clauses, would be more effective. However, EU intervention on copyright contract law concerning fair and unfair clauses raises questions at this stage in terms not only of proportionality and contractual freedom but also of its articulation with the very different approaches in MS and differences between the creative sectors. Therefore, the scope of this </w:t>
      </w:r>
      <w:r w:rsidR="0060401B">
        <w:rPr>
          <w:rFonts w:ascii="Times New Roman" w:eastAsia="Calibri" w:hAnsi="Times New Roman" w:cs="Times New Roman"/>
          <w:sz w:val="24"/>
          <w:szCs w:val="24"/>
        </w:rPr>
        <w:t>IA</w:t>
      </w:r>
      <w:r w:rsidRPr="008012CB">
        <w:rPr>
          <w:rFonts w:ascii="Times New Roman" w:eastAsia="Calibri" w:hAnsi="Times New Roman" w:cs="Times New Roman"/>
          <w:sz w:val="24"/>
          <w:szCs w:val="24"/>
        </w:rPr>
        <w:t xml:space="preserve"> covers ex-post aspects linked with lack of transparency and unbalanced bargaining positions.</w:t>
      </w:r>
    </w:p>
    <w:p w:rsidR="007B61B9" w:rsidRPr="008012CB" w:rsidRDefault="007B61B9" w:rsidP="00CF38F1">
      <w:pPr>
        <w:pStyle w:val="Heading3"/>
      </w:pPr>
      <w:bookmarkStart w:id="186" w:name="_Toc461114758"/>
      <w:r w:rsidRPr="008012CB">
        <w:t>What are the various options to achieve the objectives?</w:t>
      </w:r>
      <w:bookmarkEnd w:id="186"/>
    </w:p>
    <w:p w:rsidR="004834A2" w:rsidRPr="004834A2" w:rsidRDefault="004834A2" w:rsidP="00367A3A">
      <w:pPr>
        <w:spacing w:after="120" w:line="240" w:lineRule="auto"/>
        <w:jc w:val="both"/>
        <w:rPr>
          <w:rFonts w:ascii="Times New Roman" w:eastAsia="Calibri" w:hAnsi="Times New Roman" w:cs="Times New Roman"/>
          <w:sz w:val="24"/>
          <w:szCs w:val="24"/>
        </w:rPr>
      </w:pPr>
      <w:r w:rsidRPr="004834A2">
        <w:rPr>
          <w:rFonts w:ascii="Times New Roman" w:eastAsia="Calibri" w:hAnsi="Times New Roman" w:cs="Times New Roman"/>
          <w:sz w:val="24"/>
          <w:szCs w:val="24"/>
        </w:rPr>
        <w:t>The general and specific objectives are described in section 5.1.3.</w:t>
      </w:r>
    </w:p>
    <w:p w:rsidR="007B61B9" w:rsidRPr="008012CB" w:rsidRDefault="007B61B9" w:rsidP="00367A3A">
      <w:pPr>
        <w:spacing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Baseline</w:t>
      </w:r>
    </w:p>
    <w:p w:rsidR="007B61B9" w:rsidRPr="008012CB" w:rsidRDefault="001F1005" w:rsidP="00661830">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No policy intervention. This option would rely on MS or self-regulation by industries at national level to impose transparency obligations on the contractual counterparties, or on industry specific agreements (resulting from collective bargaining for example) and other market developments to improve transparency.</w:t>
      </w:r>
    </w:p>
    <w:tbl>
      <w:tblPr>
        <w:tblStyle w:val="TableGrid13"/>
        <w:tblW w:w="0" w:type="auto"/>
        <w:tblInd w:w="0" w:type="dxa"/>
        <w:tblLook w:val="04A0" w:firstRow="1" w:lastRow="0" w:firstColumn="1" w:lastColumn="0" w:noHBand="0" w:noVBand="1"/>
      </w:tblPr>
      <w:tblGrid>
        <w:gridCol w:w="9288"/>
      </w:tblGrid>
      <w:tr w:rsidR="007B61B9" w:rsidRPr="008012CB" w:rsidTr="007B61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09F" w:rsidRPr="008012CB" w:rsidRDefault="00EC509F" w:rsidP="00EC509F">
            <w:pPr>
              <w:jc w:val="both"/>
              <w:rPr>
                <w:rFonts w:ascii="Times New Roman" w:eastAsia="Arial Unicode MS" w:hAnsi="Times New Roman"/>
                <w:i/>
                <w:sz w:val="20"/>
                <w:szCs w:val="20"/>
                <w:bdr w:val="none" w:sz="0" w:space="0" w:color="auto" w:frame="1"/>
              </w:rPr>
            </w:pPr>
            <w:r w:rsidRPr="008012CB">
              <w:rPr>
                <w:rFonts w:ascii="Times New Roman" w:eastAsia="Arial Unicode MS" w:hAnsi="Times New Roman"/>
                <w:i/>
                <w:sz w:val="20"/>
                <w:szCs w:val="20"/>
                <w:bdr w:val="none" w:sz="0" w:space="0" w:color="auto" w:frame="1"/>
              </w:rPr>
              <w:t>Stakeholders' views</w:t>
            </w:r>
          </w:p>
          <w:p w:rsidR="007B61B9" w:rsidRPr="008012CB" w:rsidRDefault="00EC509F" w:rsidP="00367A3A">
            <w:pPr>
              <w:jc w:val="both"/>
              <w:rPr>
                <w:rFonts w:eastAsia="Times New Roman"/>
                <w:szCs w:val="24"/>
              </w:rPr>
            </w:pPr>
            <w:r w:rsidRPr="008012CB">
              <w:rPr>
                <w:rFonts w:ascii="Times New Roman" w:eastAsia="Times New Roman" w:hAnsi="Times New Roman"/>
                <w:sz w:val="20"/>
                <w:szCs w:val="20"/>
              </w:rPr>
              <w:t>Creators would consider that this option cannot solve the identified problems as they believe that, for a large number of them, due to the natural imbalance between the parties, problems with lack of transparency</w:t>
            </w:r>
            <w:r>
              <w:rPr>
                <w:rFonts w:ascii="Times New Roman" w:eastAsia="Times New Roman" w:hAnsi="Times New Roman"/>
                <w:sz w:val="20"/>
                <w:szCs w:val="20"/>
              </w:rPr>
              <w:t xml:space="preserve"> in the internal market</w:t>
            </w:r>
            <w:r w:rsidRPr="008012CB">
              <w:rPr>
                <w:rFonts w:ascii="Times New Roman" w:eastAsia="Times New Roman" w:hAnsi="Times New Roman"/>
                <w:sz w:val="20"/>
                <w:szCs w:val="20"/>
              </w:rPr>
              <w:t xml:space="preserve"> can only be remedied by </w:t>
            </w:r>
            <w:r w:rsidRPr="0096688A">
              <w:rPr>
                <w:rFonts w:ascii="Times New Roman" w:eastAsia="Times New Roman" w:hAnsi="Times New Roman"/>
                <w:sz w:val="20"/>
                <w:szCs w:val="20"/>
              </w:rPr>
              <w:t xml:space="preserve">imposing transparency obligations </w:t>
            </w:r>
            <w:r>
              <w:rPr>
                <w:rFonts w:ascii="Times New Roman" w:eastAsia="Times New Roman" w:hAnsi="Times New Roman"/>
                <w:sz w:val="20"/>
                <w:szCs w:val="20"/>
              </w:rPr>
              <w:t xml:space="preserve">through </w:t>
            </w:r>
            <w:r w:rsidRPr="008012CB">
              <w:rPr>
                <w:rFonts w:ascii="Times New Roman" w:eastAsia="Times New Roman" w:hAnsi="Times New Roman"/>
                <w:sz w:val="20"/>
                <w:szCs w:val="20"/>
              </w:rPr>
              <w:t xml:space="preserve">EU legislative intervention. </w:t>
            </w:r>
            <w:r w:rsidRPr="00593AE7">
              <w:rPr>
                <w:rFonts w:ascii="Times New Roman" w:eastAsia="Times New Roman" w:hAnsi="Times New Roman"/>
                <w:sz w:val="20"/>
                <w:szCs w:val="20"/>
              </w:rPr>
              <w:t xml:space="preserve">Contractual counterparties are of the opinion that creators are appropriately remunerated thanks to existing law and practice in </w:t>
            </w:r>
            <w:r>
              <w:rPr>
                <w:rFonts w:ascii="Times New Roman" w:eastAsia="Times New Roman" w:hAnsi="Times New Roman"/>
                <w:sz w:val="20"/>
                <w:szCs w:val="20"/>
              </w:rPr>
              <w:t>different</w:t>
            </w:r>
            <w:r w:rsidRPr="00593AE7">
              <w:rPr>
                <w:rFonts w:ascii="Times New Roman" w:eastAsia="Times New Roman" w:hAnsi="Times New Roman"/>
                <w:sz w:val="20"/>
                <w:szCs w:val="20"/>
              </w:rPr>
              <w:t xml:space="preserve"> sectors of the creative industries.</w:t>
            </w:r>
            <w:r>
              <w:rPr>
                <w:rFonts w:ascii="Times New Roman" w:eastAsia="Times New Roman" w:hAnsi="Times New Roman"/>
                <w:sz w:val="20"/>
                <w:szCs w:val="20"/>
              </w:rPr>
              <w:t xml:space="preserve"> They</w:t>
            </w:r>
            <w:r w:rsidRPr="008012CB">
              <w:rPr>
                <w:rFonts w:ascii="Times New Roman" w:eastAsia="Times New Roman" w:hAnsi="Times New Roman"/>
                <w:sz w:val="20"/>
                <w:szCs w:val="20"/>
              </w:rPr>
              <w:t xml:space="preserve"> would support the baseline option and consider that the existing competition and market developments/industry practices are the best way to address transparency problems if they exist. They </w:t>
            </w:r>
            <w:r>
              <w:rPr>
                <w:rFonts w:ascii="Times New Roman" w:eastAsia="Times New Roman" w:hAnsi="Times New Roman"/>
                <w:sz w:val="20"/>
                <w:szCs w:val="20"/>
              </w:rPr>
              <w:t xml:space="preserve">would </w:t>
            </w:r>
            <w:r w:rsidRPr="008012CB">
              <w:rPr>
                <w:rFonts w:ascii="Times New Roman" w:eastAsia="Times New Roman" w:hAnsi="Times New Roman"/>
                <w:sz w:val="20"/>
                <w:szCs w:val="20"/>
              </w:rPr>
              <w:t>also argue that an intervention in this area would affect their contractual freedom. Consumers would deem that this option is not satisfactory since they consider that there is a need for EU intervention in this area in order to ensure adequate remuneration for creators.</w:t>
            </w:r>
            <w:r>
              <w:rPr>
                <w:rFonts w:ascii="Times New Roman" w:eastAsia="Times New Roman" w:hAnsi="Times New Roman"/>
                <w:sz w:val="20"/>
                <w:szCs w:val="20"/>
              </w:rPr>
              <w:t xml:space="preserve"> </w:t>
            </w:r>
          </w:p>
        </w:tc>
      </w:tr>
    </w:tbl>
    <w:p w:rsidR="007B61B9" w:rsidRPr="008012CB" w:rsidRDefault="007B61B9" w:rsidP="00661830">
      <w:pPr>
        <w:spacing w:before="24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 xml:space="preserve">Option 1 </w:t>
      </w:r>
      <w:r w:rsidR="001F1005" w:rsidRPr="008012CB">
        <w:rPr>
          <w:rFonts w:ascii="Times New Roman" w:eastAsia="Arial Unicode MS" w:hAnsi="Times New Roman" w:cs="Times New Roman"/>
          <w:b/>
          <w:sz w:val="24"/>
          <w:szCs w:val="24"/>
          <w:bdr w:val="none" w:sz="0" w:space="0" w:color="auto" w:frame="1"/>
          <w:lang w:val="en-AU"/>
        </w:rPr>
        <w:t>–</w:t>
      </w:r>
      <w:r w:rsidRPr="008012CB">
        <w:rPr>
          <w:rFonts w:ascii="Times New Roman" w:eastAsia="Arial Unicode MS" w:hAnsi="Times New Roman" w:cs="Times New Roman"/>
          <w:b/>
          <w:sz w:val="24"/>
          <w:szCs w:val="24"/>
          <w:bdr w:val="none" w:sz="0" w:space="0" w:color="auto" w:frame="1"/>
          <w:lang w:val="en-AU"/>
        </w:rPr>
        <w:t xml:space="preserve"> </w:t>
      </w:r>
      <w:r w:rsidR="001F1005" w:rsidRPr="008012CB">
        <w:rPr>
          <w:rFonts w:ascii="Times New Roman" w:eastAsia="Arial Unicode MS" w:hAnsi="Times New Roman" w:cs="Times New Roman"/>
          <w:b/>
          <w:sz w:val="24"/>
          <w:szCs w:val="24"/>
          <w:bdr w:val="none" w:sz="0" w:space="0" w:color="auto" w:frame="1"/>
          <w:lang w:val="en-AU"/>
        </w:rPr>
        <w:t xml:space="preserve">Recommendation </w:t>
      </w:r>
      <w:r w:rsidRPr="008012CB">
        <w:rPr>
          <w:rFonts w:ascii="Times New Roman" w:eastAsia="Arial Unicode MS" w:hAnsi="Times New Roman" w:cs="Times New Roman"/>
          <w:b/>
          <w:sz w:val="24"/>
          <w:szCs w:val="24"/>
          <w:bdr w:val="none" w:sz="0" w:space="0" w:color="auto" w:frame="1"/>
          <w:lang w:val="en-AU"/>
        </w:rPr>
        <w:t>to MS and stakeholders' dialogue on improving transparency in the contractual relationships of creators</w:t>
      </w:r>
    </w:p>
    <w:p w:rsidR="00EC509F" w:rsidRPr="008012CB" w:rsidRDefault="00EC509F" w:rsidP="00EC509F">
      <w:pPr>
        <w:pStyle w:val="Text1"/>
        <w:numPr>
          <w:ilvl w:val="0"/>
          <w:numId w:val="37"/>
        </w:numPr>
        <w:ind w:left="426" w:hanging="426"/>
        <w:rPr>
          <w:rFonts w:eastAsia="Times New Roman"/>
          <w:szCs w:val="24"/>
        </w:rPr>
      </w:pPr>
      <w:r w:rsidRPr="008012CB">
        <w:rPr>
          <w:rFonts w:eastAsia="Times New Roman"/>
          <w:szCs w:val="24"/>
        </w:rPr>
        <w:t xml:space="preserve">Under this option, the Commission would issue a recommendation to MS to adapt their national laws to </w:t>
      </w:r>
      <w:r>
        <w:rPr>
          <w:rFonts w:eastAsia="Times New Roman"/>
          <w:szCs w:val="24"/>
        </w:rPr>
        <w:t>ensure greater</w:t>
      </w:r>
      <w:r w:rsidRPr="008012CB">
        <w:rPr>
          <w:rFonts w:eastAsia="Times New Roman"/>
          <w:szCs w:val="24"/>
        </w:rPr>
        <w:t xml:space="preserve"> transparency</w:t>
      </w:r>
      <w:r>
        <w:rPr>
          <w:rFonts w:eastAsia="Times New Roman"/>
          <w:szCs w:val="24"/>
        </w:rPr>
        <w:t xml:space="preserve"> in contracts between authors and performers on the one hand and those to which they transfer or assign rights on the other.</w:t>
      </w:r>
      <w:r w:rsidRPr="008012CB">
        <w:rPr>
          <w:rFonts w:eastAsia="Times New Roman"/>
          <w:szCs w:val="24"/>
        </w:rPr>
        <w:t xml:space="preserve"> </w:t>
      </w:r>
    </w:p>
    <w:p w:rsidR="007B61B9" w:rsidRPr="008012CB" w:rsidRDefault="001F1005" w:rsidP="001F1005">
      <w:pPr>
        <w:pStyle w:val="Text1"/>
        <w:numPr>
          <w:ilvl w:val="0"/>
          <w:numId w:val="37"/>
        </w:numPr>
        <w:ind w:left="426" w:hanging="426"/>
        <w:rPr>
          <w:rFonts w:eastAsia="Times New Roman"/>
          <w:szCs w:val="24"/>
        </w:rPr>
      </w:pPr>
      <w:r w:rsidRPr="008012CB">
        <w:rPr>
          <w:rFonts w:eastAsia="Times New Roman"/>
          <w:szCs w:val="24"/>
        </w:rPr>
        <w:t>In addition, the Commission would recommend to MS to put in place stakeholder dialogues between representatives of authors and performers on the one hand, and producers, publishers, distributors on the other, to explore ways of improving transparency and develop collective or model agreements and best practices for reporting. These dialogues would have to be sector specific due to the different dynamics of different content sectors.</w:t>
      </w:r>
      <w:r w:rsidRPr="008012CB">
        <w:rPr>
          <w:rFonts w:eastAsia="Times New Roman"/>
          <w:szCs w:val="24"/>
          <w:vertAlign w:val="superscript"/>
        </w:rPr>
        <w:footnoteReference w:id="550"/>
      </w:r>
    </w:p>
    <w:tbl>
      <w:tblPr>
        <w:tblStyle w:val="TableGrid13"/>
        <w:tblW w:w="0" w:type="auto"/>
        <w:tblInd w:w="0" w:type="dxa"/>
        <w:tblLook w:val="04A0" w:firstRow="1" w:lastRow="0" w:firstColumn="1" w:lastColumn="0" w:noHBand="0" w:noVBand="1"/>
      </w:tblPr>
      <w:tblGrid>
        <w:gridCol w:w="9288"/>
      </w:tblGrid>
      <w:tr w:rsidR="007B61B9" w:rsidRPr="008012CB" w:rsidTr="007B61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61B9" w:rsidRPr="008012CB" w:rsidRDefault="007B61B9" w:rsidP="00367A3A">
            <w:pPr>
              <w:jc w:val="both"/>
              <w:rPr>
                <w:rFonts w:ascii="Times New Roman" w:eastAsia="Arial Unicode MS" w:hAnsi="Times New Roman"/>
                <w:i/>
                <w:sz w:val="20"/>
                <w:szCs w:val="20"/>
                <w:bdr w:val="none" w:sz="0" w:space="0" w:color="auto" w:frame="1"/>
              </w:rPr>
            </w:pPr>
            <w:r w:rsidRPr="008012CB">
              <w:rPr>
                <w:rFonts w:ascii="Times New Roman" w:eastAsia="Arial Unicode MS" w:hAnsi="Times New Roman"/>
                <w:i/>
                <w:sz w:val="20"/>
                <w:szCs w:val="20"/>
                <w:bdr w:val="none" w:sz="0" w:space="0" w:color="auto" w:frame="1"/>
              </w:rPr>
              <w:t>Stakeholders' views</w:t>
            </w:r>
          </w:p>
          <w:p w:rsidR="007B61B9" w:rsidRPr="008012CB" w:rsidRDefault="001F1005" w:rsidP="00EC509F">
            <w:pPr>
              <w:jc w:val="both"/>
              <w:rPr>
                <w:rFonts w:eastAsia="Times New Roman"/>
                <w:szCs w:val="24"/>
              </w:rPr>
            </w:pPr>
            <w:r w:rsidRPr="008012CB">
              <w:rPr>
                <w:rFonts w:ascii="Times New Roman" w:eastAsia="Times New Roman" w:hAnsi="Times New Roman"/>
                <w:sz w:val="20"/>
                <w:szCs w:val="20"/>
              </w:rPr>
              <w:t xml:space="preserve">Views are different among creators as to whether a recommendation can address the identified problems but most </w:t>
            </w:r>
            <w:r w:rsidR="00EC509F">
              <w:rPr>
                <w:rFonts w:ascii="Times New Roman" w:eastAsia="Times New Roman" w:hAnsi="Times New Roman"/>
                <w:sz w:val="20"/>
                <w:szCs w:val="20"/>
              </w:rPr>
              <w:t>creators</w:t>
            </w:r>
            <w:r w:rsidR="00EC509F" w:rsidRPr="008012CB">
              <w:rPr>
                <w:rFonts w:ascii="Times New Roman" w:eastAsia="Times New Roman" w:hAnsi="Times New Roman"/>
                <w:sz w:val="20"/>
                <w:szCs w:val="20"/>
              </w:rPr>
              <w:t xml:space="preserve"> </w:t>
            </w:r>
            <w:r w:rsidRPr="008012CB">
              <w:rPr>
                <w:rFonts w:ascii="Times New Roman" w:eastAsia="Times New Roman" w:hAnsi="Times New Roman"/>
                <w:sz w:val="20"/>
                <w:szCs w:val="20"/>
              </w:rPr>
              <w:t xml:space="preserve">are likely to consider that this option is still insufficient to solve them because the recommendation would be followed by MS to a different extent and may be disregarded. Equally, creators will consider that stakeholders' dialogues are not likely to produce concrete results (notably if not linked to legislation). Contractual counterparties would favour this option over a legislative intervention but would still oppose it, notably if it is seen as likely to lead to legislative intervention at national level. Consumers who underlined the need for EU intervention would consider this option to be insufficient. </w:t>
            </w:r>
          </w:p>
        </w:tc>
      </w:tr>
    </w:tbl>
    <w:p w:rsidR="007B61B9" w:rsidRPr="008012CB" w:rsidRDefault="007B61B9" w:rsidP="00661830">
      <w:pPr>
        <w:spacing w:before="24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 xml:space="preserve">Option 2 </w:t>
      </w:r>
      <w:r w:rsidR="001F1005" w:rsidRPr="008012CB">
        <w:rPr>
          <w:rFonts w:ascii="Times New Roman" w:eastAsia="Arial Unicode MS" w:hAnsi="Times New Roman" w:cs="Times New Roman"/>
          <w:b/>
          <w:sz w:val="24"/>
          <w:szCs w:val="24"/>
          <w:bdr w:val="none" w:sz="0" w:space="0" w:color="auto" w:frame="1"/>
          <w:lang w:val="en-AU"/>
        </w:rPr>
        <w:t xml:space="preserve">– Imposing </w:t>
      </w:r>
      <w:r w:rsidRPr="008012CB">
        <w:rPr>
          <w:rFonts w:ascii="Times New Roman" w:eastAsia="Arial Unicode MS" w:hAnsi="Times New Roman" w:cs="Times New Roman"/>
          <w:b/>
          <w:sz w:val="24"/>
          <w:szCs w:val="24"/>
          <w:bdr w:val="none" w:sz="0" w:space="0" w:color="auto" w:frame="1"/>
          <w:lang w:val="en-AU"/>
        </w:rPr>
        <w:t>transparency obligations on the contractual counterparties of creators</w:t>
      </w:r>
    </w:p>
    <w:p w:rsidR="00420DDB" w:rsidRPr="008012CB" w:rsidRDefault="00EC509F" w:rsidP="00420DDB">
      <w:p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 xml:space="preserve">This option would oblige MS to </w:t>
      </w:r>
      <w:r>
        <w:rPr>
          <w:rFonts w:ascii="Times New Roman" w:eastAsia="Times New Roman" w:hAnsi="Times New Roman" w:cs="Times New Roman"/>
          <w:sz w:val="24"/>
          <w:szCs w:val="24"/>
          <w:lang w:eastAsia="en-GB"/>
        </w:rPr>
        <w:t xml:space="preserve">lay down some basic obligations to improve transparency. Thus, MS should establish a minimum </w:t>
      </w:r>
      <w:r w:rsidR="00420DDB" w:rsidRPr="008012CB">
        <w:rPr>
          <w:rFonts w:ascii="Times New Roman" w:eastAsia="Times New Roman" w:hAnsi="Times New Roman" w:cs="Times New Roman"/>
          <w:sz w:val="24"/>
          <w:szCs w:val="24"/>
          <w:lang w:eastAsia="en-GB"/>
        </w:rPr>
        <w:t>reporting obligation</w:t>
      </w:r>
      <w:r w:rsidR="00420DDB" w:rsidRPr="008012CB">
        <w:rPr>
          <w:rFonts w:ascii="Times New Roman" w:eastAsia="Times New Roman" w:hAnsi="Times New Roman" w:cs="Times New Roman"/>
          <w:sz w:val="24"/>
          <w:szCs w:val="24"/>
          <w:vertAlign w:val="superscript"/>
          <w:lang w:eastAsia="en-GB"/>
        </w:rPr>
        <w:footnoteReference w:id="551"/>
      </w:r>
      <w:r w:rsidR="00420DDB" w:rsidRPr="008012CB">
        <w:rPr>
          <w:rFonts w:ascii="Times New Roman" w:eastAsia="Times New Roman" w:hAnsi="Times New Roman" w:cs="Times New Roman"/>
          <w:sz w:val="24"/>
          <w:szCs w:val="24"/>
          <w:lang w:eastAsia="en-GB"/>
        </w:rPr>
        <w:t xml:space="preserve"> on the contractual counterparty of a creator, with the following elements:</w:t>
      </w:r>
    </w:p>
    <w:p w:rsidR="00420DDB" w:rsidRPr="008012CB" w:rsidRDefault="00420DDB" w:rsidP="00510415">
      <w:pPr>
        <w:numPr>
          <w:ilvl w:val="0"/>
          <w:numId w:val="44"/>
        </w:num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The obligation would lie with the first licensee/transferee. In case the contractual counterparty is replaced entirely (by way of legal succession or right transfer, for example), the obligation shall lie with the new right holder.</w:t>
      </w:r>
    </w:p>
    <w:p w:rsidR="00420DDB" w:rsidRPr="008012CB" w:rsidRDefault="00420DDB" w:rsidP="00510415">
      <w:pPr>
        <w:numPr>
          <w:ilvl w:val="0"/>
          <w:numId w:val="44"/>
        </w:num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The reporting would be done on a regular basis without having to be requested by the creator.</w:t>
      </w:r>
      <w:r w:rsidRPr="008012CB">
        <w:rPr>
          <w:rFonts w:ascii="Times New Roman" w:eastAsia="Times New Roman" w:hAnsi="Times New Roman" w:cs="Times New Roman"/>
          <w:sz w:val="24"/>
          <w:szCs w:val="24"/>
          <w:vertAlign w:val="superscript"/>
          <w:lang w:eastAsia="en-GB"/>
        </w:rPr>
        <w:footnoteReference w:id="552"/>
      </w:r>
      <w:r w:rsidRPr="008012CB">
        <w:rPr>
          <w:rFonts w:ascii="Times New Roman" w:eastAsia="Times New Roman" w:hAnsi="Times New Roman" w:cs="Times New Roman"/>
          <w:sz w:val="24"/>
          <w:szCs w:val="24"/>
          <w:lang w:eastAsia="en-GB"/>
        </w:rPr>
        <w:t xml:space="preserve"> The reporting should occur with reasonable periodicity.</w:t>
      </w:r>
      <w:r w:rsidRPr="008012CB">
        <w:rPr>
          <w:rFonts w:ascii="Times New Roman" w:eastAsia="Times New Roman" w:hAnsi="Times New Roman" w:cs="Times New Roman"/>
          <w:sz w:val="24"/>
          <w:szCs w:val="24"/>
          <w:vertAlign w:val="superscript"/>
          <w:lang w:eastAsia="en-GB"/>
        </w:rPr>
        <w:footnoteReference w:id="553"/>
      </w:r>
    </w:p>
    <w:p w:rsidR="00EC509F" w:rsidRPr="008012CB" w:rsidRDefault="00EC509F" w:rsidP="00510415">
      <w:pPr>
        <w:numPr>
          <w:ilvl w:val="0"/>
          <w:numId w:val="44"/>
        </w:num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The minimum content of reporting - including information about the modes of exploitation and corresponding revenues - would be set out by EU legislation</w:t>
      </w:r>
      <w:r>
        <w:rPr>
          <w:rFonts w:ascii="Times New Roman" w:eastAsia="Times New Roman" w:hAnsi="Times New Roman" w:cs="Times New Roman"/>
          <w:sz w:val="24"/>
          <w:szCs w:val="24"/>
          <w:lang w:eastAsia="en-GB"/>
        </w:rPr>
        <w:t xml:space="preserve"> in a general manner</w:t>
      </w:r>
      <w:r w:rsidRPr="008012CB">
        <w:rPr>
          <w:rFonts w:ascii="Times New Roman" w:eastAsia="Times New Roman" w:hAnsi="Times New Roman" w:cs="Times New Roman"/>
          <w:sz w:val="24"/>
          <w:szCs w:val="24"/>
          <w:lang w:eastAsia="en-GB"/>
        </w:rPr>
        <w:t xml:space="preserve"> while sector specific details should be defined for different sectors</w:t>
      </w:r>
      <w:r w:rsidRPr="008012CB">
        <w:rPr>
          <w:rFonts w:ascii="Times New Roman" w:eastAsia="Times New Roman" w:hAnsi="Times New Roman" w:cs="Times New Roman"/>
          <w:sz w:val="24"/>
          <w:szCs w:val="24"/>
          <w:vertAlign w:val="superscript"/>
          <w:lang w:eastAsia="en-GB"/>
        </w:rPr>
        <w:footnoteReference w:id="554"/>
      </w:r>
      <w:r w:rsidRPr="008012CB">
        <w:rPr>
          <w:rFonts w:ascii="Times New Roman" w:eastAsia="Times New Roman" w:hAnsi="Times New Roman" w:cs="Times New Roman"/>
          <w:sz w:val="24"/>
          <w:szCs w:val="24"/>
          <w:lang w:eastAsia="en-GB"/>
        </w:rPr>
        <w:t xml:space="preserve"> at MS level in consultation with the relevant stakeholders. This is necessary in order to reflect the large variety of contracts and remuneration arrangements across sectors as well as the differences between the relevant information required for transparency. </w:t>
      </w:r>
    </w:p>
    <w:p w:rsidR="00EC509F" w:rsidRPr="008012CB" w:rsidRDefault="00EC509F" w:rsidP="00510415">
      <w:pPr>
        <w:numPr>
          <w:ilvl w:val="0"/>
          <w:numId w:val="44"/>
        </w:num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Proportionality test: In order to make the obligation proportionate, in cases where the contribution of the creator is not significant to the overall work, reporting obligation would not be mandatory. Subject to the proportionality test (i.e. provided that the contribution of the creator is significant), lump-sum remuneration arrangements would also be covered by the reporting obligation.</w:t>
      </w:r>
      <w:r w:rsidRPr="008012CB">
        <w:rPr>
          <w:rFonts w:ascii="Times New Roman" w:eastAsia="Times New Roman" w:hAnsi="Times New Roman" w:cs="Times New Roman"/>
          <w:sz w:val="24"/>
          <w:szCs w:val="24"/>
          <w:vertAlign w:val="superscript"/>
          <w:lang w:eastAsia="en-GB"/>
        </w:rPr>
        <w:footnoteReference w:id="555"/>
      </w:r>
      <w:r w:rsidRPr="008012CB">
        <w:rPr>
          <w:rFonts w:ascii="Times New Roman" w:eastAsia="Times New Roman" w:hAnsi="Times New Roman" w:cs="Times New Roman"/>
          <w:sz w:val="24"/>
          <w:szCs w:val="24"/>
          <w:lang w:eastAsia="en-GB"/>
        </w:rPr>
        <w:t xml:space="preserve"> In the cases where the administrative burden of reporting would be disproportionate to the generated revenues, the obligations on contractual counterparties could be limited.</w:t>
      </w:r>
      <w:r w:rsidRPr="008012CB">
        <w:rPr>
          <w:rFonts w:ascii="Times New Roman" w:eastAsia="Times New Roman" w:hAnsi="Times New Roman" w:cs="Times New Roman"/>
          <w:sz w:val="24"/>
          <w:szCs w:val="24"/>
          <w:vertAlign w:val="superscript"/>
          <w:lang w:eastAsia="en-GB"/>
        </w:rPr>
        <w:footnoteReference w:id="556"/>
      </w:r>
      <w:r w:rsidRPr="008012CB">
        <w:rPr>
          <w:rFonts w:ascii="Times New Roman" w:eastAsia="Times New Roman" w:hAnsi="Times New Roman" w:cs="Times New Roman"/>
          <w:sz w:val="24"/>
          <w:szCs w:val="24"/>
          <w:lang w:eastAsia="en-GB"/>
        </w:rPr>
        <w:t xml:space="preserve"> Agreements concluded with collective management organisations would be exempted as these are covered by the CRM Directive's reporting obligations.</w:t>
      </w:r>
      <w:r w:rsidRPr="008012CB">
        <w:rPr>
          <w:rFonts w:ascii="Times New Roman" w:eastAsia="Times New Roman" w:hAnsi="Times New Roman" w:cs="Times New Roman"/>
          <w:sz w:val="24"/>
          <w:szCs w:val="24"/>
          <w:vertAlign w:val="superscript"/>
          <w:lang w:eastAsia="en-GB"/>
        </w:rPr>
        <w:footnoteReference w:id="557"/>
      </w:r>
    </w:p>
    <w:p w:rsidR="00EC509F" w:rsidRPr="008012CB" w:rsidRDefault="00EC509F" w:rsidP="00510415">
      <w:pPr>
        <w:numPr>
          <w:ilvl w:val="0"/>
          <w:numId w:val="44"/>
        </w:num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The reporting obligation would only have an ex-post effect on contracts which means that parties would still be free to negotiate the commercial terms.</w:t>
      </w:r>
      <w:r>
        <w:rPr>
          <w:rFonts w:ascii="Times New Roman" w:eastAsia="Times New Roman" w:hAnsi="Times New Roman" w:cs="Times New Roman"/>
          <w:sz w:val="24"/>
          <w:szCs w:val="24"/>
          <w:lang w:eastAsia="en-GB"/>
        </w:rPr>
        <w:t xml:space="preserve"> Transparency would not mean redistribution of revenues or change in remuneration on its own: it would be a tool to increase bargaining and enforcement power of creators and to reveal whether their remuneration is appropriate or not.</w:t>
      </w:r>
    </w:p>
    <w:tbl>
      <w:tblPr>
        <w:tblStyle w:val="TableGrid13"/>
        <w:tblW w:w="0" w:type="auto"/>
        <w:tblInd w:w="0" w:type="dxa"/>
        <w:tblLook w:val="04A0" w:firstRow="1" w:lastRow="0" w:firstColumn="1" w:lastColumn="0" w:noHBand="0" w:noVBand="1"/>
      </w:tblPr>
      <w:tblGrid>
        <w:gridCol w:w="9288"/>
      </w:tblGrid>
      <w:tr w:rsidR="007B61B9" w:rsidRPr="008012CB" w:rsidTr="007B61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61B9" w:rsidRPr="008012CB" w:rsidRDefault="007B61B9" w:rsidP="00661830">
            <w:pPr>
              <w:jc w:val="both"/>
              <w:rPr>
                <w:rFonts w:ascii="Times New Roman" w:eastAsia="Arial Unicode MS" w:hAnsi="Times New Roman"/>
                <w:i/>
                <w:sz w:val="20"/>
                <w:szCs w:val="20"/>
                <w:bdr w:val="none" w:sz="0" w:space="0" w:color="auto" w:frame="1"/>
              </w:rPr>
            </w:pPr>
            <w:r w:rsidRPr="008012CB">
              <w:rPr>
                <w:rFonts w:ascii="Times New Roman" w:eastAsia="Arial Unicode MS" w:hAnsi="Times New Roman"/>
                <w:i/>
                <w:sz w:val="20"/>
                <w:szCs w:val="20"/>
                <w:bdr w:val="none" w:sz="0" w:space="0" w:color="auto" w:frame="1"/>
              </w:rPr>
              <w:t>Stakeholders' views</w:t>
            </w:r>
          </w:p>
          <w:p w:rsidR="007B61B9" w:rsidRPr="008012CB" w:rsidRDefault="00420DDB" w:rsidP="00420DDB">
            <w:pPr>
              <w:jc w:val="both"/>
              <w:rPr>
                <w:rFonts w:eastAsia="Times New Roman"/>
                <w:szCs w:val="24"/>
              </w:rPr>
            </w:pPr>
            <w:r w:rsidRPr="008012CB">
              <w:rPr>
                <w:rFonts w:ascii="Times New Roman" w:eastAsia="Times New Roman" w:hAnsi="Times New Roman"/>
                <w:sz w:val="20"/>
                <w:szCs w:val="20"/>
              </w:rPr>
              <w:t>Creators would strongly support such transparency obligations leading to appropriate solutions per sector. Some would however claim that transparency obligations on their own are not sufficient and would call for further intervention on unfair contracts or the introduction of an unwaivable remuneration right.</w:t>
            </w:r>
            <w:r w:rsidRPr="008012CB">
              <w:rPr>
                <w:rFonts w:ascii="Times New Roman" w:eastAsia="Times New Roman" w:hAnsi="Times New Roman"/>
                <w:sz w:val="20"/>
                <w:szCs w:val="20"/>
                <w:vertAlign w:val="superscript"/>
              </w:rPr>
              <w:footnoteReference w:id="558"/>
            </w:r>
            <w:r w:rsidRPr="008012CB">
              <w:rPr>
                <w:rFonts w:ascii="Times New Roman" w:eastAsia="Times New Roman" w:hAnsi="Times New Roman"/>
                <w:sz w:val="20"/>
                <w:szCs w:val="20"/>
              </w:rPr>
              <w:t xml:space="preserve"> Contractual counterparties would object to this option. They would argue that compliance would be too burdensome and the intervention would limit their contractual freedom.</w:t>
            </w:r>
            <w:r w:rsidRPr="008012CB">
              <w:rPr>
                <w:rFonts w:ascii="Times New Roman" w:eastAsia="Times New Roman" w:hAnsi="Times New Roman"/>
                <w:sz w:val="20"/>
                <w:szCs w:val="20"/>
                <w:vertAlign w:val="superscript"/>
              </w:rPr>
              <w:footnoteReference w:id="559"/>
            </w:r>
            <w:r w:rsidRPr="008012CB">
              <w:rPr>
                <w:rFonts w:ascii="Times New Roman" w:eastAsia="Times New Roman" w:hAnsi="Times New Roman"/>
                <w:sz w:val="20"/>
                <w:szCs w:val="20"/>
              </w:rPr>
              <w:t xml:space="preserve"> </w:t>
            </w:r>
            <w:r w:rsidR="00EC509F" w:rsidRPr="008012CB">
              <w:rPr>
                <w:rFonts w:ascii="Times New Roman" w:eastAsia="Times New Roman" w:hAnsi="Times New Roman"/>
                <w:sz w:val="20"/>
                <w:szCs w:val="20"/>
              </w:rPr>
              <w:t xml:space="preserve">Consumers would be </w:t>
            </w:r>
            <w:r w:rsidR="00EC509F">
              <w:rPr>
                <w:rFonts w:ascii="Times New Roman" w:eastAsia="Times New Roman" w:hAnsi="Times New Roman"/>
                <w:sz w:val="20"/>
                <w:szCs w:val="20"/>
              </w:rPr>
              <w:t>supportive of this option</w:t>
            </w:r>
            <w:r w:rsidR="00EC509F" w:rsidRPr="008012CB">
              <w:rPr>
                <w:rFonts w:ascii="Times New Roman" w:eastAsia="Times New Roman" w:hAnsi="Times New Roman"/>
                <w:sz w:val="20"/>
                <w:szCs w:val="20"/>
              </w:rPr>
              <w:t>.</w:t>
            </w:r>
            <w:r w:rsidR="00EC509F">
              <w:rPr>
                <w:rFonts w:ascii="Times New Roman" w:eastAsia="Times New Roman" w:hAnsi="Times New Roman"/>
                <w:sz w:val="20"/>
                <w:szCs w:val="20"/>
              </w:rPr>
              <w:t xml:space="preserve"> In the Public Consultation, they expressed their concerns</w:t>
            </w:r>
            <w:r w:rsidR="00EC509F" w:rsidRPr="00593AE7">
              <w:rPr>
                <w:rFonts w:ascii="Times New Roman" w:eastAsia="Times New Roman" w:hAnsi="Times New Roman"/>
                <w:sz w:val="20"/>
                <w:szCs w:val="20"/>
              </w:rPr>
              <w:t xml:space="preserve"> about the remuneration of creators and claim</w:t>
            </w:r>
            <w:r w:rsidR="00EC509F">
              <w:rPr>
                <w:rFonts w:ascii="Times New Roman" w:eastAsia="Times New Roman" w:hAnsi="Times New Roman"/>
                <w:sz w:val="20"/>
                <w:szCs w:val="20"/>
              </w:rPr>
              <w:t>ed</w:t>
            </w:r>
            <w:r w:rsidR="00EC509F" w:rsidRPr="00593AE7">
              <w:rPr>
                <w:rFonts w:ascii="Times New Roman" w:eastAsia="Times New Roman" w:hAnsi="Times New Roman"/>
                <w:sz w:val="20"/>
                <w:szCs w:val="20"/>
              </w:rPr>
              <w:t xml:space="preserve"> that they would be more willing to pay for protected content if </w:t>
            </w:r>
            <w:r w:rsidR="00EC509F">
              <w:rPr>
                <w:rFonts w:ascii="Times New Roman" w:eastAsia="Times New Roman" w:hAnsi="Times New Roman"/>
                <w:sz w:val="20"/>
                <w:szCs w:val="20"/>
              </w:rPr>
              <w:t xml:space="preserve">the </w:t>
            </w:r>
            <w:r w:rsidR="00EC509F" w:rsidRPr="00593AE7">
              <w:rPr>
                <w:rFonts w:ascii="Times New Roman" w:eastAsia="Times New Roman" w:hAnsi="Times New Roman"/>
                <w:sz w:val="20"/>
                <w:szCs w:val="20"/>
              </w:rPr>
              <w:t xml:space="preserve">appropriate remuneration </w:t>
            </w:r>
            <w:r w:rsidR="00EC509F">
              <w:rPr>
                <w:rFonts w:ascii="Times New Roman" w:eastAsia="Times New Roman" w:hAnsi="Times New Roman"/>
                <w:sz w:val="20"/>
                <w:szCs w:val="20"/>
              </w:rPr>
              <w:t>was ensured</w:t>
            </w:r>
            <w:r w:rsidR="00EC509F" w:rsidRPr="00593AE7">
              <w:rPr>
                <w:rFonts w:ascii="Times New Roman" w:eastAsia="Times New Roman" w:hAnsi="Times New Roman"/>
                <w:sz w:val="20"/>
                <w:szCs w:val="20"/>
              </w:rPr>
              <w:t>.</w:t>
            </w:r>
            <w:r w:rsidR="00EC509F">
              <w:rPr>
                <w:rFonts w:ascii="Times New Roman" w:eastAsia="Times New Roman" w:hAnsi="Times New Roman"/>
                <w:sz w:val="20"/>
                <w:szCs w:val="20"/>
              </w:rPr>
              <w:t xml:space="preserve"> </w:t>
            </w:r>
          </w:p>
        </w:tc>
      </w:tr>
    </w:tbl>
    <w:p w:rsidR="007B61B9" w:rsidRPr="008012CB" w:rsidRDefault="007B61B9" w:rsidP="00661830">
      <w:pPr>
        <w:spacing w:before="240" w:after="120" w:line="240" w:lineRule="auto"/>
        <w:jc w:val="both"/>
        <w:rPr>
          <w:rFonts w:ascii="Times New Roman" w:eastAsia="Arial Unicode MS" w:hAnsi="Times New Roman" w:cs="Times New Roman"/>
          <w:b/>
          <w:sz w:val="24"/>
          <w:szCs w:val="24"/>
          <w:bdr w:val="none" w:sz="0" w:space="0" w:color="auto" w:frame="1"/>
          <w:lang w:val="en-AU"/>
        </w:rPr>
      </w:pPr>
      <w:r w:rsidRPr="008012CB">
        <w:rPr>
          <w:rFonts w:ascii="Times New Roman" w:eastAsia="Arial Unicode MS" w:hAnsi="Times New Roman" w:cs="Times New Roman"/>
          <w:b/>
          <w:sz w:val="24"/>
          <w:szCs w:val="24"/>
          <w:bdr w:val="none" w:sz="0" w:space="0" w:color="auto" w:frame="1"/>
          <w:lang w:val="en-AU"/>
        </w:rPr>
        <w:t xml:space="preserve">Option 3 </w:t>
      </w:r>
      <w:r w:rsidR="00420DDB" w:rsidRPr="008012CB">
        <w:rPr>
          <w:rFonts w:ascii="Times New Roman" w:eastAsia="Arial Unicode MS" w:hAnsi="Times New Roman" w:cs="Times New Roman"/>
          <w:b/>
          <w:sz w:val="24"/>
          <w:szCs w:val="24"/>
          <w:bdr w:val="none" w:sz="0" w:space="0" w:color="auto" w:frame="1"/>
          <w:lang w:val="en-AU"/>
        </w:rPr>
        <w:t xml:space="preserve">– Imposing </w:t>
      </w:r>
      <w:r w:rsidRPr="008012CB">
        <w:rPr>
          <w:rFonts w:ascii="Times New Roman" w:eastAsia="Arial Unicode MS" w:hAnsi="Times New Roman" w:cs="Times New Roman"/>
          <w:b/>
          <w:sz w:val="24"/>
          <w:szCs w:val="24"/>
          <w:bdr w:val="none" w:sz="0" w:space="0" w:color="auto" w:frame="1"/>
          <w:lang w:val="en-AU"/>
        </w:rPr>
        <w:t xml:space="preserve">transparency obligations on the contractual counterparty of creators supported by a contract adjustment right and a dispute resolution mechanism </w:t>
      </w:r>
    </w:p>
    <w:p w:rsidR="007B61B9" w:rsidRPr="008012CB" w:rsidRDefault="007B61B9" w:rsidP="00661830">
      <w:p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This option would oblige MS to introduce the reporting obligation as described under Option 2, with the following additional elements:</w:t>
      </w:r>
    </w:p>
    <w:p w:rsidR="007B61B9" w:rsidRPr="008012CB" w:rsidRDefault="007B61B9" w:rsidP="007D6CF3">
      <w:pPr>
        <w:pStyle w:val="Text1"/>
        <w:numPr>
          <w:ilvl w:val="0"/>
          <w:numId w:val="37"/>
        </w:numPr>
        <w:ind w:left="426" w:hanging="426"/>
        <w:rPr>
          <w:rFonts w:eastAsia="Times New Roman"/>
          <w:szCs w:val="24"/>
        </w:rPr>
      </w:pPr>
      <w:r w:rsidRPr="008012CB">
        <w:rPr>
          <w:rFonts w:eastAsia="Times New Roman"/>
          <w:szCs w:val="24"/>
        </w:rPr>
        <w:t>A contract adjustment mechanism</w:t>
      </w:r>
    </w:p>
    <w:p w:rsidR="007B61B9" w:rsidRPr="008012CB" w:rsidRDefault="00420DDB" w:rsidP="00661830">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mechanism would ensure a right to request the adjustment of the contract, ultimately by a court or other competent authority, in case the remuneration </w:t>
      </w:r>
      <w:r w:rsidR="00C55649">
        <w:rPr>
          <w:rFonts w:ascii="Times New Roman" w:eastAsia="Calibri" w:hAnsi="Times New Roman" w:cs="Times New Roman"/>
          <w:sz w:val="24"/>
          <w:szCs w:val="24"/>
        </w:rPr>
        <w:t xml:space="preserve">originally agreed </w:t>
      </w:r>
      <w:r w:rsidRPr="008012CB">
        <w:rPr>
          <w:rFonts w:ascii="Times New Roman" w:eastAsia="Calibri" w:hAnsi="Times New Roman" w:cs="Times New Roman"/>
          <w:sz w:val="24"/>
          <w:szCs w:val="24"/>
        </w:rPr>
        <w:t xml:space="preserve">is disproportionate to the </w:t>
      </w:r>
      <w:r w:rsidR="00C55649">
        <w:rPr>
          <w:rFonts w:ascii="Times New Roman" w:eastAsia="Calibri" w:hAnsi="Times New Roman" w:cs="Times New Roman"/>
          <w:sz w:val="24"/>
          <w:szCs w:val="24"/>
        </w:rPr>
        <w:t xml:space="preserve">relevant </w:t>
      </w:r>
      <w:r w:rsidRPr="008012CB">
        <w:rPr>
          <w:rFonts w:ascii="Times New Roman" w:eastAsia="Calibri" w:hAnsi="Times New Roman" w:cs="Times New Roman"/>
          <w:sz w:val="24"/>
          <w:szCs w:val="24"/>
        </w:rPr>
        <w:t>revenues and benefits derived from the exploitation of the work.</w:t>
      </w:r>
      <w:r w:rsidRPr="008012CB">
        <w:rPr>
          <w:rFonts w:ascii="Times New Roman" w:eastAsia="Calibri" w:hAnsi="Times New Roman" w:cs="Times New Roman"/>
          <w:sz w:val="24"/>
          <w:szCs w:val="24"/>
          <w:vertAlign w:val="superscript"/>
        </w:rPr>
        <w:footnoteReference w:id="560"/>
      </w:r>
      <w:r w:rsidRPr="008012CB">
        <w:rPr>
          <w:rFonts w:ascii="Times New Roman" w:eastAsia="Calibri" w:hAnsi="Times New Roman" w:cs="Times New Roman"/>
          <w:sz w:val="24"/>
          <w:szCs w:val="24"/>
        </w:rPr>
        <w:t xml:space="preserve"> This option would help restoring the relation between the remuneration and the success of the work and would ensure appropriate remuneration when the agreement of the parties is unbalanced.</w:t>
      </w:r>
    </w:p>
    <w:p w:rsidR="007B61B9" w:rsidRPr="008012CB" w:rsidRDefault="007B61B9" w:rsidP="007D6CF3">
      <w:pPr>
        <w:pStyle w:val="Text1"/>
        <w:numPr>
          <w:ilvl w:val="0"/>
          <w:numId w:val="37"/>
        </w:numPr>
        <w:ind w:left="426" w:hanging="426"/>
        <w:rPr>
          <w:rFonts w:eastAsia="Times New Roman"/>
          <w:szCs w:val="24"/>
        </w:rPr>
      </w:pPr>
      <w:r w:rsidRPr="008012CB">
        <w:rPr>
          <w:rFonts w:eastAsia="Times New Roman"/>
          <w:szCs w:val="24"/>
        </w:rPr>
        <w:t>A dispute resolution mechanism</w:t>
      </w:r>
    </w:p>
    <w:p w:rsidR="00420DDB" w:rsidRPr="008012CB" w:rsidRDefault="00420DDB" w:rsidP="00420DDB">
      <w:p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The dispute resolution mechanism would help ensuring effective enforcement of the reporting obligation and the contract adjustment mechanism. This will be a voluntary dispute resolution mechanism</w:t>
      </w:r>
      <w:r w:rsidRPr="008012CB">
        <w:rPr>
          <w:rFonts w:ascii="Times New Roman" w:eastAsia="Times New Roman" w:hAnsi="Times New Roman" w:cs="Times New Roman"/>
          <w:sz w:val="24"/>
          <w:szCs w:val="24"/>
          <w:vertAlign w:val="superscript"/>
          <w:lang w:eastAsia="en-GB"/>
        </w:rPr>
        <w:footnoteReference w:id="561"/>
      </w:r>
      <w:r w:rsidRPr="008012CB">
        <w:rPr>
          <w:rFonts w:ascii="Times New Roman" w:eastAsia="Times New Roman" w:hAnsi="Times New Roman" w:cs="Times New Roman"/>
          <w:sz w:val="24"/>
          <w:szCs w:val="24"/>
          <w:lang w:eastAsia="en-GB"/>
        </w:rPr>
        <w:t xml:space="preserve"> competent for (i) adjusting disproportionate remuneration arrangements deriving from unfair agreements or changed circumstances (e.g. unexpected success, new modes of exploitation), and (ii) settling contractual disputes about transparency.</w:t>
      </w:r>
    </w:p>
    <w:p w:rsidR="00420DDB" w:rsidRPr="008012CB" w:rsidRDefault="00420DDB" w:rsidP="00420DDB">
      <w:pPr>
        <w:spacing w:after="120" w:line="240" w:lineRule="auto"/>
        <w:jc w:val="both"/>
        <w:rPr>
          <w:rFonts w:ascii="Times New Roman" w:eastAsia="Times New Roman" w:hAnsi="Times New Roman" w:cs="Times New Roman"/>
          <w:sz w:val="24"/>
          <w:szCs w:val="24"/>
          <w:lang w:eastAsia="en-GB"/>
        </w:rPr>
      </w:pPr>
      <w:r w:rsidRPr="008012CB">
        <w:rPr>
          <w:rFonts w:ascii="Times New Roman" w:eastAsia="Times New Roman" w:hAnsi="Times New Roman" w:cs="Times New Roman"/>
          <w:sz w:val="24"/>
          <w:szCs w:val="24"/>
          <w:lang w:eastAsia="en-GB"/>
        </w:rPr>
        <w:t>It would address the problems identified since disputes that may arise in relation with new transparency obligations may be resolved faster and with adequate expertise. It should help creators, who are usually reluctant to go to court against their contractual counterparties, to enforce their rights to transparency or contract adjustment. This option would of course not deprive creators of the possible use of other existing means notably a court or other competent authority to seek to adjust the remuneration.</w:t>
      </w:r>
      <w:r w:rsidRPr="008012CB">
        <w:rPr>
          <w:rFonts w:ascii="Times New Roman" w:eastAsia="Times New Roman" w:hAnsi="Times New Roman" w:cs="Times New Roman"/>
          <w:sz w:val="24"/>
          <w:szCs w:val="24"/>
          <w:vertAlign w:val="superscript"/>
          <w:lang w:eastAsia="en-GB"/>
        </w:rPr>
        <w:footnoteReference w:id="562"/>
      </w:r>
    </w:p>
    <w:tbl>
      <w:tblPr>
        <w:tblStyle w:val="TableGrid13"/>
        <w:tblW w:w="0" w:type="auto"/>
        <w:tblInd w:w="0" w:type="dxa"/>
        <w:tblLook w:val="04A0" w:firstRow="1" w:lastRow="0" w:firstColumn="1" w:lastColumn="0" w:noHBand="0" w:noVBand="1"/>
      </w:tblPr>
      <w:tblGrid>
        <w:gridCol w:w="9288"/>
      </w:tblGrid>
      <w:tr w:rsidR="00420DDB" w:rsidRPr="008012CB" w:rsidTr="00D10065">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20DDB" w:rsidRPr="008012CB" w:rsidRDefault="00420DDB" w:rsidP="00D10065">
            <w:pPr>
              <w:jc w:val="both"/>
              <w:rPr>
                <w:rFonts w:ascii="Times New Roman" w:eastAsia="Arial Unicode MS" w:hAnsi="Times New Roman"/>
                <w:i/>
                <w:sz w:val="20"/>
                <w:szCs w:val="20"/>
                <w:bdr w:val="none" w:sz="0" w:space="0" w:color="auto" w:frame="1"/>
              </w:rPr>
            </w:pPr>
            <w:r w:rsidRPr="008012CB">
              <w:rPr>
                <w:rFonts w:ascii="Times New Roman" w:eastAsia="Arial Unicode MS" w:hAnsi="Times New Roman"/>
                <w:i/>
                <w:sz w:val="20"/>
                <w:szCs w:val="20"/>
                <w:bdr w:val="none" w:sz="0" w:space="0" w:color="auto" w:frame="1"/>
              </w:rPr>
              <w:t>Stakeholders' views</w:t>
            </w:r>
          </w:p>
          <w:p w:rsidR="00420DDB" w:rsidRPr="008012CB" w:rsidRDefault="00420DDB" w:rsidP="00EC509F">
            <w:pPr>
              <w:jc w:val="both"/>
              <w:rPr>
                <w:rFonts w:eastAsia="Times New Roman"/>
                <w:szCs w:val="24"/>
              </w:rPr>
            </w:pPr>
            <w:r w:rsidRPr="008012CB">
              <w:rPr>
                <w:rFonts w:ascii="Times New Roman" w:eastAsia="Times New Roman" w:hAnsi="Times New Roman"/>
                <w:sz w:val="20"/>
                <w:szCs w:val="20"/>
              </w:rPr>
              <w:t>Creators would clearly support a contract adjustment mechanism.</w:t>
            </w:r>
            <w:r w:rsidRPr="008012CB">
              <w:rPr>
                <w:rFonts w:ascii="Times New Roman" w:eastAsia="Times New Roman" w:hAnsi="Times New Roman"/>
                <w:sz w:val="20"/>
                <w:szCs w:val="20"/>
                <w:vertAlign w:val="superscript"/>
              </w:rPr>
              <w:footnoteReference w:id="563"/>
            </w:r>
            <w:r w:rsidRPr="008012CB">
              <w:rPr>
                <w:rFonts w:ascii="Times New Roman" w:eastAsia="Times New Roman" w:hAnsi="Times New Roman"/>
                <w:sz w:val="20"/>
                <w:szCs w:val="20"/>
              </w:rPr>
              <w:t xml:space="preserve"> They would also welcome an alternative dispute resolution mechanism because they are usually reluctant to bring their contractual counterparty to court. As with Option 2, some of these stakeholders would consider that these mechanisms would only partially addresses their concerns about remuneration. Contractual counterparties would oppose these </w:t>
            </w:r>
            <w:r w:rsidR="00EC509F">
              <w:rPr>
                <w:rFonts w:ascii="Times New Roman" w:eastAsia="Times New Roman" w:hAnsi="Times New Roman"/>
                <w:sz w:val="20"/>
                <w:szCs w:val="20"/>
              </w:rPr>
              <w:t>additional mechanisms</w:t>
            </w:r>
            <w:r w:rsidRPr="008012CB">
              <w:rPr>
                <w:rFonts w:ascii="Times New Roman" w:eastAsia="Times New Roman" w:hAnsi="Times New Roman"/>
                <w:sz w:val="20"/>
                <w:szCs w:val="20"/>
              </w:rPr>
              <w:t xml:space="preserve"> on the basis of contractual freedom and the re-negotiation cost of contract adjustment. Consumers would welcome transparency obligations supported by these mechanisms. </w:t>
            </w:r>
          </w:p>
        </w:tc>
      </w:tr>
    </w:tbl>
    <w:p w:rsidR="007B61B9" w:rsidRPr="008012CB" w:rsidRDefault="007B61B9" w:rsidP="00CF38F1">
      <w:pPr>
        <w:pStyle w:val="Heading3"/>
      </w:pPr>
      <w:bookmarkStart w:id="187" w:name="_Toc461114759"/>
      <w:r w:rsidRPr="008012CB">
        <w:t>What are the impacts of the different policy options and who will be affected?</w:t>
      </w:r>
      <w:bookmarkEnd w:id="187"/>
    </w:p>
    <w:tbl>
      <w:tblPr>
        <w:tblStyle w:val="TableGrid14"/>
        <w:tblW w:w="0" w:type="auto"/>
        <w:tblInd w:w="0" w:type="dxa"/>
        <w:tblLook w:val="04A0" w:firstRow="1" w:lastRow="0" w:firstColumn="1" w:lastColumn="0" w:noHBand="0" w:noVBand="1"/>
      </w:tblPr>
      <w:tblGrid>
        <w:gridCol w:w="9288"/>
      </w:tblGrid>
      <w:tr w:rsidR="007B61B9" w:rsidRPr="008012CB" w:rsidTr="007B61B9">
        <w:tc>
          <w:tcPr>
            <w:tcW w:w="9288" w:type="dxa"/>
            <w:tcBorders>
              <w:top w:val="single" w:sz="4" w:space="0" w:color="auto"/>
              <w:left w:val="single" w:sz="4" w:space="0" w:color="auto"/>
              <w:bottom w:val="single" w:sz="4" w:space="0" w:color="auto"/>
              <w:right w:val="single" w:sz="4" w:space="0" w:color="auto"/>
            </w:tcBorders>
            <w:hideMark/>
          </w:tcPr>
          <w:p w:rsidR="00420DDB" w:rsidRPr="008012CB" w:rsidRDefault="00420DDB" w:rsidP="00420DDB">
            <w:pPr>
              <w:jc w:val="both"/>
              <w:rPr>
                <w:rFonts w:ascii="Times New Roman" w:hAnsi="Times New Roman"/>
                <w:b/>
                <w:i/>
                <w:sz w:val="20"/>
                <w:szCs w:val="20"/>
              </w:rPr>
            </w:pPr>
            <w:r w:rsidRPr="008012CB">
              <w:rPr>
                <w:rFonts w:ascii="Times New Roman" w:hAnsi="Times New Roman"/>
                <w:b/>
                <w:i/>
                <w:sz w:val="20"/>
                <w:szCs w:val="20"/>
              </w:rPr>
              <w:t>Approach</w:t>
            </w:r>
          </w:p>
          <w:p w:rsidR="00420DDB" w:rsidRPr="008012CB" w:rsidRDefault="00420DDB" w:rsidP="00420DDB">
            <w:pPr>
              <w:jc w:val="both"/>
              <w:rPr>
                <w:rFonts w:ascii="Times New Roman" w:hAnsi="Times New Roman"/>
                <w:sz w:val="20"/>
                <w:szCs w:val="20"/>
              </w:rPr>
            </w:pPr>
            <w:r w:rsidRPr="008012CB">
              <w:rPr>
                <w:rFonts w:ascii="Times New Roman" w:hAnsi="Times New Roman"/>
                <w:sz w:val="20"/>
                <w:szCs w:val="20"/>
              </w:rPr>
              <w:t>The options presented above would mainly affect the two parties of a licence or right transfer agreement: creators on the one hand, and their direct contractual counterparties</w:t>
            </w:r>
            <w:r w:rsidRPr="008012CB">
              <w:rPr>
                <w:rFonts w:ascii="Times New Roman" w:hAnsi="Times New Roman"/>
                <w:sz w:val="20"/>
                <w:szCs w:val="20"/>
                <w:vertAlign w:val="superscript"/>
              </w:rPr>
              <w:footnoteReference w:id="564"/>
            </w:r>
            <w:r w:rsidRPr="008012CB">
              <w:rPr>
                <w:rFonts w:ascii="Times New Roman" w:hAnsi="Times New Roman"/>
                <w:sz w:val="20"/>
                <w:szCs w:val="20"/>
              </w:rPr>
              <w:t xml:space="preserve"> on the other. Following some general impacts under each option, the impacts affecting these two groups are presented separately. Only the most significant and likely impacts are reported in this IA.</w:t>
            </w:r>
          </w:p>
          <w:p w:rsidR="00420DDB" w:rsidRPr="008012CB" w:rsidRDefault="00420DDB" w:rsidP="00420DDB">
            <w:pPr>
              <w:numPr>
                <w:ilvl w:val="0"/>
                <w:numId w:val="27"/>
              </w:numPr>
              <w:jc w:val="both"/>
              <w:rPr>
                <w:rFonts w:ascii="Times New Roman" w:hAnsi="Times New Roman"/>
                <w:sz w:val="20"/>
                <w:szCs w:val="20"/>
              </w:rPr>
            </w:pPr>
            <w:r w:rsidRPr="008012CB">
              <w:rPr>
                <w:rFonts w:ascii="Times New Roman" w:hAnsi="Times New Roman"/>
                <w:sz w:val="20"/>
                <w:szCs w:val="20"/>
              </w:rPr>
              <w:t xml:space="preserve">For </w:t>
            </w:r>
            <w:r w:rsidRPr="008012CB">
              <w:rPr>
                <w:rFonts w:ascii="Times New Roman" w:hAnsi="Times New Roman"/>
                <w:sz w:val="20"/>
                <w:szCs w:val="20"/>
                <w:u w:val="single"/>
              </w:rPr>
              <w:t>creators</w:t>
            </w:r>
            <w:r w:rsidRPr="008012CB">
              <w:rPr>
                <w:rFonts w:ascii="Times New Roman" w:hAnsi="Times New Roman"/>
                <w:sz w:val="20"/>
                <w:szCs w:val="20"/>
              </w:rPr>
              <w:t>, the following impacts have been considered: (i) impacts on transparency of contracts; and (ii) impacts on the capability to receive appropriate remuneration (even retroactively).</w:t>
            </w:r>
          </w:p>
          <w:p w:rsidR="00420DDB" w:rsidRDefault="00420DDB" w:rsidP="00420DDB">
            <w:pPr>
              <w:numPr>
                <w:ilvl w:val="0"/>
                <w:numId w:val="27"/>
              </w:numPr>
              <w:jc w:val="both"/>
              <w:rPr>
                <w:rFonts w:ascii="Times New Roman" w:hAnsi="Times New Roman"/>
                <w:sz w:val="20"/>
                <w:szCs w:val="20"/>
              </w:rPr>
            </w:pPr>
            <w:r w:rsidRPr="008012CB">
              <w:rPr>
                <w:rFonts w:ascii="Times New Roman" w:hAnsi="Times New Roman"/>
                <w:sz w:val="20"/>
                <w:szCs w:val="20"/>
              </w:rPr>
              <w:t xml:space="preserve">For the </w:t>
            </w:r>
            <w:r w:rsidRPr="008012CB">
              <w:rPr>
                <w:rFonts w:ascii="Times New Roman" w:hAnsi="Times New Roman"/>
                <w:sz w:val="20"/>
                <w:szCs w:val="20"/>
                <w:u w:val="single"/>
              </w:rPr>
              <w:t>contractual counterparties</w:t>
            </w:r>
            <w:r w:rsidRPr="008012CB">
              <w:rPr>
                <w:rFonts w:ascii="Times New Roman" w:hAnsi="Times New Roman"/>
                <w:sz w:val="20"/>
                <w:szCs w:val="20"/>
              </w:rPr>
              <w:t>, the main impacts are economic and are related to (i) compliance costs and (ii) competition. As most of the European companies active in the creative sectors are SMEs, all impacts are examined in this context.</w:t>
            </w:r>
          </w:p>
          <w:p w:rsidR="00EC509F" w:rsidRPr="00EC509F" w:rsidRDefault="00EC509F" w:rsidP="00EC509F">
            <w:pPr>
              <w:numPr>
                <w:ilvl w:val="0"/>
                <w:numId w:val="27"/>
              </w:numPr>
              <w:jc w:val="both"/>
              <w:rPr>
                <w:rFonts w:ascii="Times New Roman" w:hAnsi="Times New Roman"/>
                <w:sz w:val="20"/>
                <w:szCs w:val="20"/>
              </w:rPr>
            </w:pPr>
            <w:r>
              <w:rPr>
                <w:rFonts w:ascii="Times New Roman" w:hAnsi="Times New Roman"/>
                <w:sz w:val="20"/>
                <w:szCs w:val="20"/>
              </w:rPr>
              <w:t xml:space="preserve">The assessment of Option 3 also includes an analysis of the impacts on </w:t>
            </w:r>
            <w:r w:rsidRPr="00396C50">
              <w:rPr>
                <w:rFonts w:ascii="Times New Roman" w:hAnsi="Times New Roman"/>
                <w:sz w:val="20"/>
                <w:szCs w:val="20"/>
                <w:u w:val="single"/>
              </w:rPr>
              <w:t>Member States</w:t>
            </w:r>
            <w:r>
              <w:rPr>
                <w:rFonts w:ascii="Times New Roman" w:hAnsi="Times New Roman"/>
                <w:sz w:val="20"/>
                <w:szCs w:val="20"/>
              </w:rPr>
              <w:t xml:space="preserve">, in terms of implementation costs. </w:t>
            </w:r>
          </w:p>
          <w:p w:rsidR="007B61B9" w:rsidRPr="008012CB" w:rsidRDefault="00420DDB" w:rsidP="00420DDB">
            <w:pPr>
              <w:tabs>
                <w:tab w:val="left" w:pos="0"/>
              </w:tabs>
              <w:jc w:val="both"/>
              <w:rPr>
                <w:sz w:val="24"/>
                <w:szCs w:val="24"/>
              </w:rPr>
            </w:pPr>
            <w:r w:rsidRPr="008012CB">
              <w:rPr>
                <w:rFonts w:ascii="Times New Roman" w:hAnsi="Times New Roman"/>
                <w:sz w:val="20"/>
                <w:szCs w:val="20"/>
              </w:rPr>
              <w:t xml:space="preserve">The assessment below is mainly qualitative, with some limited quantitative evidence, as the data publicly available or that could be obtained from stakeholders on the </w:t>
            </w:r>
            <w:r w:rsidRPr="008012CB">
              <w:rPr>
                <w:rFonts w:ascii="Times New Roman" w:hAnsi="Times New Roman"/>
                <w:i/>
                <w:sz w:val="20"/>
                <w:szCs w:val="20"/>
              </w:rPr>
              <w:t>lack</w:t>
            </w:r>
            <w:r w:rsidRPr="008012CB">
              <w:rPr>
                <w:rFonts w:ascii="Times New Roman" w:hAnsi="Times New Roman"/>
                <w:sz w:val="20"/>
                <w:szCs w:val="20"/>
              </w:rPr>
              <w:t xml:space="preserve"> of transparency is limited.</w:t>
            </w:r>
          </w:p>
        </w:tc>
      </w:tr>
    </w:tbl>
    <w:p w:rsidR="007B61B9" w:rsidRPr="0009405A" w:rsidRDefault="007B61B9" w:rsidP="00B80393">
      <w:pPr>
        <w:spacing w:before="240" w:after="120" w:line="240" w:lineRule="auto"/>
        <w:rPr>
          <w:rFonts w:ascii="Times New Roman" w:eastAsia="Calibri" w:hAnsi="Times New Roman" w:cs="Times New Roman"/>
          <w:b/>
          <w:sz w:val="24"/>
          <w:szCs w:val="24"/>
          <w:u w:val="single"/>
        </w:rPr>
      </w:pPr>
      <w:r w:rsidRPr="0009405A">
        <w:rPr>
          <w:rFonts w:ascii="Times New Roman" w:eastAsia="Calibri" w:hAnsi="Times New Roman" w:cs="Times New Roman"/>
          <w:b/>
          <w:sz w:val="24"/>
          <w:szCs w:val="24"/>
          <w:u w:val="single"/>
        </w:rPr>
        <w:t>Baseline</w:t>
      </w:r>
    </w:p>
    <w:p w:rsidR="00B80393" w:rsidRPr="008012CB" w:rsidRDefault="00B80393" w:rsidP="00B80393">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7B61B9" w:rsidRPr="008012CB" w:rsidRDefault="007B61B9" w:rsidP="00B80393">
      <w:pPr>
        <w:spacing w:after="120" w:line="240" w:lineRule="auto"/>
        <w:rPr>
          <w:rFonts w:ascii="Times New Roman" w:eastAsia="Calibri" w:hAnsi="Times New Roman" w:cs="Times New Roman"/>
          <w:b/>
          <w:sz w:val="24"/>
          <w:szCs w:val="24"/>
          <w:lang w:eastAsia="en-GB"/>
        </w:rPr>
      </w:pPr>
      <w:r w:rsidRPr="008012CB">
        <w:rPr>
          <w:rFonts w:ascii="Times New Roman" w:eastAsia="Calibri" w:hAnsi="Times New Roman" w:cs="Times New Roman"/>
          <w:b/>
          <w:sz w:val="24"/>
          <w:szCs w:val="24"/>
          <w:lang w:eastAsia="en-GB"/>
        </w:rPr>
        <w:t>Creators</w:t>
      </w:r>
    </w:p>
    <w:p w:rsidR="00EC509F" w:rsidRPr="008012CB" w:rsidRDefault="00EC509F" w:rsidP="00EC509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transparency of contracts</w:t>
      </w:r>
      <w:r w:rsidRPr="008012CB">
        <w:rPr>
          <w:rFonts w:ascii="Times New Roman" w:eastAsia="Calibri" w:hAnsi="Times New Roman" w:cs="Times New Roman"/>
          <w:sz w:val="24"/>
          <w:szCs w:val="24"/>
        </w:rPr>
        <w:t>: Considering recent and upcoming initiatives some development may be expected</w:t>
      </w:r>
      <w:r w:rsidRPr="008012CB">
        <w:rPr>
          <w:rFonts w:ascii="Times New Roman" w:eastAsia="Calibri" w:hAnsi="Times New Roman" w:cs="Times New Roman"/>
          <w:sz w:val="24"/>
          <w:szCs w:val="24"/>
          <w:vertAlign w:val="superscript"/>
        </w:rPr>
        <w:footnoteReference w:id="565"/>
      </w:r>
      <w:r w:rsidRPr="008012CB">
        <w:rPr>
          <w:rFonts w:ascii="Times New Roman" w:eastAsia="Calibri" w:hAnsi="Times New Roman" w:cs="Times New Roman"/>
          <w:sz w:val="24"/>
          <w:szCs w:val="24"/>
        </w:rPr>
        <w:t xml:space="preserve"> but the problem of information asymmetry is not likely to be resolved by market developments, including self-regulation, or MS legislation. Problems for creators as regards lack of information on the exploitation and revenues generated by their works will continue</w:t>
      </w:r>
      <w:r>
        <w:rPr>
          <w:rFonts w:ascii="Times New Roman" w:eastAsia="Calibri" w:hAnsi="Times New Roman" w:cs="Times New Roman"/>
          <w:sz w:val="24"/>
          <w:szCs w:val="24"/>
        </w:rPr>
        <w:t xml:space="preserve"> in a number of MS and the cross-border aspects of the problem will not be addressed</w:t>
      </w:r>
      <w:r w:rsidRPr="008012CB">
        <w:rPr>
          <w:rFonts w:ascii="Times New Roman" w:eastAsia="Calibri" w:hAnsi="Times New Roman" w:cs="Times New Roman"/>
          <w:sz w:val="24"/>
          <w:szCs w:val="24"/>
        </w:rPr>
        <w:t>. At the same time exploitation – particularly online exploitation – is expected to become more complex and varied, involving new intermediaries and forms of use.</w:t>
      </w:r>
      <w:r w:rsidRPr="008012CB">
        <w:rPr>
          <w:rFonts w:ascii="Times New Roman" w:eastAsia="Calibri" w:hAnsi="Times New Roman" w:cs="Times New Roman"/>
          <w:sz w:val="24"/>
          <w:szCs w:val="24"/>
          <w:vertAlign w:val="superscript"/>
        </w:rPr>
        <w:footnoteReference w:id="566"/>
      </w:r>
      <w:r w:rsidRPr="008012CB">
        <w:rPr>
          <w:rFonts w:ascii="Times New Roman" w:eastAsia="Calibri" w:hAnsi="Times New Roman" w:cs="Times New Roman"/>
          <w:sz w:val="24"/>
          <w:szCs w:val="24"/>
        </w:rPr>
        <w:t xml:space="preserve"> This risks making it even more difficult for creators to understand and monitor the exploitation and the revenue flow, resulting in an increased information asymmetry.</w:t>
      </w:r>
    </w:p>
    <w:p w:rsidR="007B61B9" w:rsidRPr="008012CB" w:rsidRDefault="007B61B9" w:rsidP="00B80393">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the capability to receive appropriate remuneration</w:t>
      </w:r>
      <w:r w:rsidR="0009405A">
        <w:rPr>
          <w:rFonts w:ascii="Times New Roman" w:eastAsia="Calibri" w:hAnsi="Times New Roman" w:cs="Times New Roman"/>
          <w:sz w:val="24"/>
          <w:szCs w:val="24"/>
          <w:u w:val="single"/>
        </w:rPr>
        <w:t>:</w:t>
      </w:r>
      <w:r w:rsidR="00420DDB" w:rsidRPr="008012CB">
        <w:rPr>
          <w:rFonts w:ascii="Times New Roman" w:hAnsi="Times New Roman" w:cs="Times New Roman"/>
          <w:sz w:val="24"/>
          <w:szCs w:val="24"/>
        </w:rPr>
        <w:t xml:space="preserve"> </w:t>
      </w:r>
      <w:r w:rsidR="00420DDB" w:rsidRPr="008012CB">
        <w:rPr>
          <w:rFonts w:ascii="Times New Roman" w:eastAsia="Calibri" w:hAnsi="Times New Roman" w:cs="Times New Roman"/>
          <w:sz w:val="24"/>
          <w:szCs w:val="24"/>
        </w:rPr>
        <w:t>Under the baseline scenario the weaker bargaining position of authors and performers is not likely to improve overall which entails a risk of non-appropriate remuneration.</w:t>
      </w:r>
    </w:p>
    <w:p w:rsidR="007B61B9" w:rsidRPr="008012CB" w:rsidRDefault="007B61B9" w:rsidP="00B80393">
      <w:pPr>
        <w:spacing w:after="120" w:line="240" w:lineRule="auto"/>
        <w:rPr>
          <w:rFonts w:ascii="Times New Roman" w:eastAsia="Calibri" w:hAnsi="Times New Roman" w:cs="Times New Roman"/>
          <w:b/>
          <w:sz w:val="24"/>
          <w:szCs w:val="24"/>
          <w:lang w:eastAsia="en-GB"/>
        </w:rPr>
      </w:pPr>
      <w:r w:rsidRPr="008012CB">
        <w:rPr>
          <w:rFonts w:ascii="Times New Roman" w:eastAsia="Calibri" w:hAnsi="Times New Roman" w:cs="Times New Roman"/>
          <w:b/>
          <w:sz w:val="24"/>
          <w:szCs w:val="24"/>
          <w:lang w:eastAsia="en-GB"/>
        </w:rPr>
        <w:t>Contractual counterparties</w:t>
      </w:r>
    </w:p>
    <w:p w:rsidR="00EC509F" w:rsidRPr="008012CB" w:rsidRDefault="00EC509F" w:rsidP="00EC509F">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u w:val="single"/>
          <w:lang w:eastAsia="en-GB"/>
        </w:rPr>
        <w:t>Impacts on compliance cost</w:t>
      </w:r>
      <w:r w:rsidRPr="008012CB">
        <w:rPr>
          <w:rFonts w:ascii="Times New Roman" w:eastAsia="Calibri" w:hAnsi="Times New Roman" w:cs="Times New Roman"/>
          <w:sz w:val="24"/>
          <w:szCs w:val="24"/>
          <w:lang w:eastAsia="en-GB"/>
        </w:rPr>
        <w:t xml:space="preserve">: This option would not </w:t>
      </w:r>
      <w:r>
        <w:rPr>
          <w:rFonts w:ascii="Times New Roman" w:eastAsia="Calibri" w:hAnsi="Times New Roman" w:cs="Times New Roman"/>
          <w:sz w:val="24"/>
          <w:szCs w:val="24"/>
          <w:lang w:eastAsia="en-GB"/>
        </w:rPr>
        <w:t>generate any direct</w:t>
      </w:r>
      <w:r w:rsidRPr="008012CB">
        <w:rPr>
          <w:rFonts w:ascii="Times New Roman" w:eastAsia="Calibri" w:hAnsi="Times New Roman" w:cs="Times New Roman"/>
          <w:sz w:val="24"/>
          <w:szCs w:val="24"/>
          <w:lang w:eastAsia="en-GB"/>
        </w:rPr>
        <w:t xml:space="preserve"> compliance costs for contractual counterparties, unless </w:t>
      </w:r>
      <w:r>
        <w:rPr>
          <w:rFonts w:ascii="Times New Roman" w:eastAsia="Calibri" w:hAnsi="Times New Roman" w:cs="Times New Roman"/>
          <w:sz w:val="24"/>
          <w:szCs w:val="24"/>
          <w:lang w:eastAsia="en-GB"/>
        </w:rPr>
        <w:t>such</w:t>
      </w:r>
      <w:r w:rsidRPr="008012CB">
        <w:rPr>
          <w:rFonts w:ascii="Times New Roman" w:eastAsia="Calibri" w:hAnsi="Times New Roman" w:cs="Times New Roman"/>
          <w:sz w:val="24"/>
          <w:szCs w:val="24"/>
          <w:lang w:eastAsia="en-GB"/>
        </w:rPr>
        <w:t xml:space="preserve"> cost</w:t>
      </w:r>
      <w:r>
        <w:rPr>
          <w:rFonts w:ascii="Times New Roman" w:eastAsia="Calibri" w:hAnsi="Times New Roman" w:cs="Times New Roman"/>
          <w:sz w:val="24"/>
          <w:szCs w:val="24"/>
          <w:lang w:eastAsia="en-GB"/>
        </w:rPr>
        <w:t>s</w:t>
      </w:r>
      <w:r w:rsidRPr="008012CB">
        <w:rPr>
          <w:rFonts w:ascii="Times New Roman" w:eastAsia="Calibri" w:hAnsi="Times New Roman" w:cs="Times New Roman"/>
          <w:sz w:val="24"/>
          <w:szCs w:val="24"/>
          <w:lang w:eastAsia="en-GB"/>
        </w:rPr>
        <w:t xml:space="preserve"> arise from self-regulation or individual MS intervention. </w:t>
      </w:r>
      <w:r>
        <w:rPr>
          <w:rFonts w:ascii="Times New Roman" w:eastAsia="Calibri" w:hAnsi="Times New Roman" w:cs="Times New Roman"/>
          <w:sz w:val="24"/>
          <w:szCs w:val="24"/>
          <w:lang w:eastAsia="en-GB"/>
        </w:rPr>
        <w:t>T</w:t>
      </w:r>
      <w:r w:rsidRPr="008012CB">
        <w:rPr>
          <w:rFonts w:ascii="Times New Roman" w:eastAsia="Calibri" w:hAnsi="Times New Roman" w:cs="Times New Roman"/>
          <w:sz w:val="24"/>
          <w:szCs w:val="24"/>
          <w:lang w:eastAsia="en-GB"/>
        </w:rPr>
        <w:t>he costs linked to the differences between transparency requirements in MS relevant for those parties active in several MS will remain.</w:t>
      </w:r>
    </w:p>
    <w:p w:rsidR="007B61B9" w:rsidRPr="008012CB" w:rsidRDefault="007B61B9"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u w:val="single"/>
          <w:lang w:eastAsia="en-GB"/>
        </w:rPr>
        <w:t>Impacts on competition:</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lang w:eastAsia="en-GB"/>
        </w:rPr>
        <w:t>Without any EU intervention, the contractual counterparties of creators would benefit from the information asymmetry, especially in MS and sectors where there are no transparency obligations at all. The fragmentation of the internal market would continue.</w:t>
      </w:r>
      <w:r w:rsidR="002C6E3F" w:rsidRPr="008012CB">
        <w:rPr>
          <w:rFonts w:ascii="Times New Roman" w:eastAsia="Calibri" w:hAnsi="Times New Roman" w:cs="Times New Roman"/>
          <w:sz w:val="24"/>
          <w:szCs w:val="24"/>
          <w:vertAlign w:val="superscript"/>
          <w:lang w:eastAsia="en-GB"/>
        </w:rPr>
        <w:footnoteReference w:id="567"/>
      </w:r>
      <w:r w:rsidRPr="008012CB">
        <w:rPr>
          <w:rFonts w:ascii="Times New Roman" w:eastAsia="Calibri" w:hAnsi="Times New Roman" w:cs="Times New Roman"/>
          <w:sz w:val="24"/>
          <w:szCs w:val="24"/>
          <w:lang w:eastAsia="en-GB"/>
        </w:rPr>
        <w:t xml:space="preserve"> </w:t>
      </w:r>
    </w:p>
    <w:p w:rsidR="00B80393" w:rsidRPr="008012CB" w:rsidRDefault="00B80393" w:rsidP="00B80393">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7B61B9" w:rsidRPr="008012CB" w:rsidRDefault="002C6E3F"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lang w:eastAsia="en-GB"/>
        </w:rPr>
        <w:t>In a market where conditions for fair remuneration are not optimal, creators may dedicate less time to content creation and creative professions would become altogether less attractive which is detrimental to cultural diversity.</w:t>
      </w:r>
      <w:r w:rsidRPr="008012CB">
        <w:rPr>
          <w:rFonts w:ascii="Times New Roman" w:eastAsia="Calibri" w:hAnsi="Times New Roman" w:cs="Times New Roman"/>
          <w:sz w:val="24"/>
          <w:szCs w:val="24"/>
          <w:vertAlign w:val="superscript"/>
          <w:lang w:eastAsia="en-GB"/>
        </w:rPr>
        <w:footnoteReference w:id="568"/>
      </w:r>
    </w:p>
    <w:p w:rsidR="00B80393" w:rsidRPr="008012CB" w:rsidRDefault="00B80393" w:rsidP="00B80393">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7B61B9" w:rsidRPr="008012CB" w:rsidRDefault="002C6E3F"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lang w:eastAsia="en-GB"/>
        </w:rPr>
        <w:t>This option will not have a direct impact on copyright as a property right (although problems for the effective exercise of this right by creators will continue and therefore there would be an indirect impact on the medium to long term). Weak bargaining position of creators may also prejudice their freedom of expression through artistic creation. This option would have no impact on the freedom to conduct a business of contractual counterparties.</w:t>
      </w:r>
    </w:p>
    <w:p w:rsidR="007B61B9" w:rsidRPr="008012CB" w:rsidRDefault="007B61B9" w:rsidP="002C6E3F">
      <w:pPr>
        <w:spacing w:before="240"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b/>
          <w:sz w:val="24"/>
          <w:szCs w:val="24"/>
          <w:u w:val="single"/>
        </w:rPr>
        <w:t xml:space="preserve">Option 1 </w:t>
      </w:r>
      <w:r w:rsidR="002C6E3F" w:rsidRPr="008012CB">
        <w:rPr>
          <w:rFonts w:ascii="Times New Roman" w:eastAsia="Calibri" w:hAnsi="Times New Roman" w:cs="Times New Roman"/>
          <w:b/>
          <w:sz w:val="24"/>
          <w:szCs w:val="24"/>
          <w:u w:val="single"/>
        </w:rPr>
        <w:t xml:space="preserve">– Recommendation </w:t>
      </w:r>
      <w:r w:rsidRPr="008012CB">
        <w:rPr>
          <w:rFonts w:ascii="Times New Roman" w:eastAsia="Calibri" w:hAnsi="Times New Roman" w:cs="Times New Roman"/>
          <w:b/>
          <w:sz w:val="24"/>
          <w:szCs w:val="24"/>
          <w:u w:val="single"/>
        </w:rPr>
        <w:t>for MS and stakeholders' dialogue on improving transparency in the contractual relationships of creators</w:t>
      </w:r>
    </w:p>
    <w:p w:rsidR="00B80393" w:rsidRPr="008012CB" w:rsidRDefault="00B80393" w:rsidP="00B80393">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7B61B9" w:rsidRPr="008012CB" w:rsidRDefault="002C6E3F"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lang w:eastAsia="en-GB"/>
        </w:rPr>
        <w:t>A recommendation would act as guidance to those MS which plan to take steps towards ensuring more transparency. This option could result in positive developments, even though it would not ensure a similar level of transparency in all MS and in all sectors. Those MS that take action are not likely to do so consistently, but this option could provide more flexibility to MS to adapt their legislation.</w:t>
      </w:r>
    </w:p>
    <w:p w:rsidR="007B61B9" w:rsidRPr="008012CB" w:rsidRDefault="007B61B9" w:rsidP="00B80393">
      <w:pPr>
        <w:spacing w:after="120" w:line="240" w:lineRule="auto"/>
        <w:rPr>
          <w:rFonts w:ascii="Times New Roman" w:eastAsia="Calibri" w:hAnsi="Times New Roman" w:cs="Times New Roman"/>
          <w:b/>
          <w:sz w:val="24"/>
          <w:szCs w:val="24"/>
          <w:lang w:eastAsia="en-GB"/>
        </w:rPr>
      </w:pPr>
      <w:r w:rsidRPr="008012CB">
        <w:rPr>
          <w:rFonts w:ascii="Times New Roman" w:eastAsia="Calibri" w:hAnsi="Times New Roman" w:cs="Times New Roman"/>
          <w:b/>
          <w:sz w:val="24"/>
          <w:szCs w:val="24"/>
          <w:lang w:eastAsia="en-GB"/>
        </w:rPr>
        <w:t>Creators</w:t>
      </w:r>
    </w:p>
    <w:p w:rsidR="007B61B9" w:rsidRPr="008012CB" w:rsidRDefault="007B61B9"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u w:val="single"/>
          <w:lang w:eastAsia="en-GB"/>
        </w:rPr>
        <w:t>Impacts on transparency of contracts</w:t>
      </w:r>
      <w:r w:rsidRPr="008012CB">
        <w:rPr>
          <w:rFonts w:ascii="Times New Roman" w:eastAsia="Calibri" w:hAnsi="Times New Roman" w:cs="Times New Roman"/>
          <w:sz w:val="24"/>
          <w:szCs w:val="24"/>
          <w:u w:val="single"/>
        </w:rPr>
        <w:t xml:space="preserve"> and on the capability to receive appropriate remuneration:</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lang w:eastAsia="en-GB"/>
        </w:rPr>
        <w:t>The effects of a recommendation will depend on the extent to which it is followed by MS. It will also provide an opportunity for creators to push for changes at national level through the stakeholder dialogue. In fact, according to the available information, a sector specific dialogue seems to be an essential element in implementing transparency efficiently, as evidenced by examples in different MS and sectors (see Annex 14A). Thus, a recommendation may have positive impacts on transparency in certain MS.</w:t>
      </w:r>
    </w:p>
    <w:p w:rsidR="007B61B9" w:rsidRPr="008012CB" w:rsidRDefault="007B61B9" w:rsidP="00B80393">
      <w:pPr>
        <w:spacing w:after="120" w:line="240" w:lineRule="auto"/>
        <w:rPr>
          <w:rFonts w:ascii="Times New Roman" w:eastAsia="Calibri" w:hAnsi="Times New Roman" w:cs="Times New Roman"/>
          <w:b/>
          <w:sz w:val="24"/>
          <w:szCs w:val="24"/>
          <w:lang w:eastAsia="en-GB"/>
        </w:rPr>
      </w:pPr>
      <w:r w:rsidRPr="008012CB">
        <w:rPr>
          <w:rFonts w:ascii="Times New Roman" w:eastAsia="Calibri" w:hAnsi="Times New Roman" w:cs="Times New Roman"/>
          <w:b/>
          <w:sz w:val="24"/>
          <w:szCs w:val="24"/>
          <w:lang w:eastAsia="en-GB"/>
        </w:rPr>
        <w:t>Contractual counterparties</w:t>
      </w:r>
    </w:p>
    <w:p w:rsidR="007B61B9" w:rsidRPr="008012CB" w:rsidRDefault="002C6E3F" w:rsidP="00B80393">
      <w:pPr>
        <w:spacing w:after="120" w:line="240" w:lineRule="auto"/>
        <w:jc w:val="both"/>
        <w:rPr>
          <w:rFonts w:ascii="Times New Roman" w:eastAsia="Calibri" w:hAnsi="Times New Roman" w:cs="Times New Roman"/>
          <w:sz w:val="24"/>
          <w:szCs w:val="24"/>
          <w:lang w:eastAsia="en-GB"/>
        </w:rPr>
      </w:pPr>
      <w:r w:rsidRPr="008012CB">
        <w:rPr>
          <w:rFonts w:ascii="Times New Roman" w:eastAsia="Calibri" w:hAnsi="Times New Roman" w:cs="Times New Roman"/>
          <w:sz w:val="24"/>
          <w:szCs w:val="24"/>
          <w:u w:val="single"/>
          <w:lang w:eastAsia="en-GB"/>
        </w:rPr>
        <w:t>Impacts on compliance costs:</w:t>
      </w:r>
      <w:r w:rsidRPr="008012CB">
        <w:rPr>
          <w:rFonts w:ascii="Times New Roman" w:eastAsia="Calibri" w:hAnsi="Times New Roman" w:cs="Times New Roman"/>
          <w:sz w:val="24"/>
          <w:szCs w:val="24"/>
          <w:lang w:eastAsia="en-GB"/>
        </w:rPr>
        <w:t xml:space="preserve"> The effects on compliance costs will depend on the extent to which the recommendation is followed in MS. Contractual counterparties are likely to face different costs in different MS.</w:t>
      </w:r>
    </w:p>
    <w:p w:rsidR="007B61B9" w:rsidRPr="008012CB" w:rsidRDefault="007B61B9" w:rsidP="00B80393">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lang w:eastAsia="en-GB"/>
        </w:rPr>
        <w:t>Impacts on competition:</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lang w:eastAsia="en-GB"/>
        </w:rPr>
        <w:t>A recommendation may reduce the fragmentation between different national legislations to some extent but still would not create a level playing field for businesses in the EU.</w:t>
      </w:r>
    </w:p>
    <w:p w:rsidR="00B80393" w:rsidRPr="008012CB" w:rsidRDefault="00B80393" w:rsidP="00B80393">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Depending on the MS, there might be positive social impacts (compared to the baseline option) but not across the whole EU.</w:t>
      </w:r>
    </w:p>
    <w:p w:rsidR="00B80393" w:rsidRPr="008012CB" w:rsidRDefault="00B80393" w:rsidP="00B80393">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FE5D6C" w:rsidRPr="008012CB" w:rsidRDefault="00FE5D6C" w:rsidP="00FE5D6C">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The impact of this option on</w:t>
      </w:r>
      <w:r>
        <w:rPr>
          <w:rFonts w:ascii="Times New Roman" w:eastAsia="Calibri" w:hAnsi="Times New Roman" w:cs="Times New Roman"/>
          <w:sz w:val="24"/>
          <w:szCs w:val="24"/>
        </w:rPr>
        <w:t xml:space="preserve"> fundamental rights</w:t>
      </w:r>
      <w:r w:rsidRPr="008012CB">
        <w:rPr>
          <w:rFonts w:ascii="Times New Roman" w:eastAsia="Calibri" w:hAnsi="Times New Roman" w:cs="Times New Roman"/>
          <w:sz w:val="24"/>
          <w:szCs w:val="24"/>
        </w:rPr>
        <w:t xml:space="preserve"> would depend on the take-up of the recommendation by the MS</w:t>
      </w:r>
      <w:r>
        <w:rPr>
          <w:rFonts w:ascii="Times New Roman" w:eastAsia="Calibri" w:hAnsi="Times New Roman" w:cs="Times New Roman"/>
          <w:sz w:val="24"/>
          <w:szCs w:val="24"/>
        </w:rPr>
        <w:t>. Impacts on copyright as a property right and on the freedom of expression may range from neutral to positive (e.g. if MS action result in a better</w:t>
      </w:r>
      <w:r w:rsidRPr="008012CB">
        <w:rPr>
          <w:rFonts w:ascii="Times New Roman" w:eastAsia="Calibri" w:hAnsi="Times New Roman" w:cs="Times New Roman"/>
          <w:sz w:val="24"/>
          <w:szCs w:val="24"/>
        </w:rPr>
        <w:t xml:space="preserve"> bargaining position of creators and </w:t>
      </w:r>
      <w:r>
        <w:rPr>
          <w:rFonts w:ascii="Times New Roman" w:eastAsia="Calibri" w:hAnsi="Times New Roman" w:cs="Times New Roman"/>
          <w:sz w:val="24"/>
          <w:szCs w:val="24"/>
        </w:rPr>
        <w:t>an more efficient</w:t>
      </w:r>
      <w:r w:rsidRPr="008012CB">
        <w:rPr>
          <w:rFonts w:ascii="Times New Roman" w:eastAsia="Calibri" w:hAnsi="Times New Roman" w:cs="Times New Roman"/>
          <w:sz w:val="24"/>
          <w:szCs w:val="24"/>
        </w:rPr>
        <w:t xml:space="preserve"> enforcement of their rights</w:t>
      </w:r>
      <w:r>
        <w:rPr>
          <w:rFonts w:ascii="Times New Roman" w:eastAsia="Calibri" w:hAnsi="Times New Roman" w:cs="Times New Roman"/>
          <w:sz w:val="24"/>
          <w:szCs w:val="24"/>
        </w:rPr>
        <w:t>)</w:t>
      </w:r>
      <w:r w:rsidRPr="008012CB">
        <w:rPr>
          <w:rFonts w:ascii="Times New Roman" w:eastAsia="Calibri" w:hAnsi="Times New Roman" w:cs="Times New Roman"/>
          <w:sz w:val="24"/>
          <w:szCs w:val="24"/>
        </w:rPr>
        <w:t>.</w:t>
      </w:r>
      <w:r>
        <w:rPr>
          <w:rFonts w:ascii="Times New Roman" w:eastAsia="Calibri" w:hAnsi="Times New Roman" w:cs="Times New Roman"/>
          <w:sz w:val="24"/>
          <w:szCs w:val="24"/>
        </w:rPr>
        <w:t xml:space="preserve"> At the same time, there may be some limited negative impacts on the </w:t>
      </w:r>
      <w:r w:rsidRPr="008012CB">
        <w:rPr>
          <w:rFonts w:ascii="Times New Roman" w:eastAsia="Calibri" w:hAnsi="Times New Roman" w:cs="Times New Roman"/>
          <w:sz w:val="24"/>
          <w:szCs w:val="24"/>
        </w:rPr>
        <w:t>freedom to conduct a business</w:t>
      </w:r>
      <w:r>
        <w:rPr>
          <w:rFonts w:ascii="Times New Roman" w:eastAsia="Calibri" w:hAnsi="Times New Roman" w:cs="Times New Roman"/>
          <w:sz w:val="24"/>
          <w:szCs w:val="24"/>
        </w:rPr>
        <w:t>, depending on the obligations imposed at national level</w:t>
      </w:r>
      <w:r w:rsidRPr="008012CB">
        <w:rPr>
          <w:rFonts w:ascii="Times New Roman" w:eastAsia="Calibri" w:hAnsi="Times New Roman" w:cs="Times New Roman"/>
          <w:sz w:val="24"/>
          <w:szCs w:val="24"/>
        </w:rPr>
        <w:t xml:space="preserve">. </w:t>
      </w:r>
    </w:p>
    <w:p w:rsidR="00B80393" w:rsidRPr="008012CB" w:rsidRDefault="007B61B9" w:rsidP="00B30762">
      <w:pPr>
        <w:spacing w:before="240"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b/>
          <w:sz w:val="24"/>
          <w:szCs w:val="24"/>
          <w:u w:val="single"/>
        </w:rPr>
        <w:t xml:space="preserve">Option 2 </w:t>
      </w:r>
      <w:r w:rsidR="002C6E3F" w:rsidRPr="008012CB">
        <w:rPr>
          <w:rFonts w:ascii="Times New Roman" w:eastAsia="Calibri" w:hAnsi="Times New Roman" w:cs="Times New Roman"/>
          <w:b/>
          <w:sz w:val="24"/>
          <w:szCs w:val="24"/>
          <w:u w:val="single"/>
        </w:rPr>
        <w:t xml:space="preserve">– Imposing </w:t>
      </w:r>
      <w:r w:rsidRPr="008012CB">
        <w:rPr>
          <w:rFonts w:ascii="Times New Roman" w:eastAsia="Calibri" w:hAnsi="Times New Roman" w:cs="Times New Roman"/>
          <w:b/>
          <w:sz w:val="24"/>
          <w:szCs w:val="24"/>
          <w:u w:val="single"/>
        </w:rPr>
        <w:t>transparency obligations on the contractual counterparty of creators</w:t>
      </w:r>
      <w:r w:rsidR="00B80393" w:rsidRPr="008012CB">
        <w:rPr>
          <w:rFonts w:ascii="Times New Roman" w:eastAsia="Calibri" w:hAnsi="Times New Roman" w:cs="Times New Roman"/>
          <w:b/>
          <w:sz w:val="24"/>
          <w:szCs w:val="24"/>
          <w:u w:val="single"/>
        </w:rPr>
        <w:t xml:space="preserve"> </w:t>
      </w:r>
    </w:p>
    <w:p w:rsidR="00B80393" w:rsidRPr="008012CB" w:rsidRDefault="00B80393" w:rsidP="00B80393">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7B61B9" w:rsidRPr="008012CB" w:rsidRDefault="007B61B9" w:rsidP="00B80393">
      <w:pPr>
        <w:spacing w:after="120" w:line="240" w:lineRule="auto"/>
        <w:rPr>
          <w:rFonts w:ascii="Times New Roman" w:eastAsia="Calibri" w:hAnsi="Times New Roman" w:cs="Times New Roman"/>
          <w:b/>
          <w:sz w:val="24"/>
          <w:szCs w:val="24"/>
        </w:rPr>
      </w:pPr>
      <w:r w:rsidRPr="008012CB">
        <w:rPr>
          <w:rFonts w:ascii="Times New Roman" w:eastAsia="Calibri" w:hAnsi="Times New Roman" w:cs="Times New Roman"/>
          <w:b/>
          <w:sz w:val="24"/>
          <w:szCs w:val="24"/>
        </w:rPr>
        <w:t>Creators</w:t>
      </w:r>
    </w:p>
    <w:p w:rsidR="002C6E3F" w:rsidRPr="008012CB" w:rsidRDefault="007B61B9" w:rsidP="002C6E3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lang w:eastAsia="en-GB"/>
        </w:rPr>
        <w:t>Impacts on transparency of contracts:</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rPr>
        <w:t>The reporting obligation would greatly decrease the information asymmetry as creators would receive the relevant information on the uses of their works and the corresponding revenues. As a direct impact, the enforcement of contracts would become much easier and effective, particularly in the case of royalty-based remuneration arrangements because the correct payment of remuneration could be verified. Having information on the specific modes of use would ultimately bring transparency to the scope of the contracts and would highlight the difference between different rights and modes of exploitation which may be taken into account by creators for future negotiations.</w:t>
      </w:r>
      <w:r w:rsidR="002C6E3F" w:rsidRPr="008012CB">
        <w:rPr>
          <w:rFonts w:ascii="Times New Roman" w:eastAsia="Calibri" w:hAnsi="Times New Roman" w:cs="Times New Roman"/>
          <w:sz w:val="24"/>
          <w:szCs w:val="24"/>
          <w:vertAlign w:val="superscript"/>
        </w:rPr>
        <w:footnoteReference w:id="569"/>
      </w:r>
      <w:r w:rsidR="002C6E3F" w:rsidRPr="008012CB">
        <w:rPr>
          <w:rFonts w:ascii="Times New Roman" w:eastAsia="Calibri" w:hAnsi="Times New Roman" w:cs="Times New Roman"/>
          <w:sz w:val="24"/>
          <w:szCs w:val="24"/>
        </w:rPr>
        <w:t xml:space="preserve"> This option would therefore have a significant indirect impact without a disproportionate intervention in the contractual freedom of the parties. It is important to note that the implementation of the reporting obligation may lead to disagreements between the parties as to the revenues and remuneration. In view of this the possibility to resort to a dispute settlement mechanism such as the one described under </w:t>
      </w:r>
      <w:r w:rsidR="00F1385D">
        <w:rPr>
          <w:rFonts w:ascii="Times New Roman" w:eastAsia="Calibri" w:hAnsi="Times New Roman" w:cs="Times New Roman"/>
          <w:sz w:val="24"/>
          <w:szCs w:val="24"/>
        </w:rPr>
        <w:t>O</w:t>
      </w:r>
      <w:r w:rsidR="002C6E3F" w:rsidRPr="008012CB">
        <w:rPr>
          <w:rFonts w:ascii="Times New Roman" w:eastAsia="Calibri" w:hAnsi="Times New Roman" w:cs="Times New Roman"/>
          <w:sz w:val="24"/>
          <w:szCs w:val="24"/>
        </w:rPr>
        <w:t>ption 3 could be important.</w:t>
      </w:r>
    </w:p>
    <w:p w:rsidR="007B61B9" w:rsidRPr="008012CB" w:rsidRDefault="007B61B9" w:rsidP="00B80393">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lang w:eastAsia="en-GB"/>
        </w:rPr>
        <w:t>Impacts on the capability to receive appropriate remuneration:</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rPr>
        <w:t>As a major impact, creators would be able to effectively assess the commercial value of their works which would greatly improve their bargaining position in future deals.</w:t>
      </w:r>
    </w:p>
    <w:p w:rsidR="007B61B9" w:rsidRPr="008012CB" w:rsidRDefault="007B61B9" w:rsidP="00B80393">
      <w:pPr>
        <w:spacing w:after="120" w:line="240" w:lineRule="auto"/>
        <w:jc w:val="both"/>
        <w:rPr>
          <w:rFonts w:ascii="Times New Roman" w:eastAsia="Calibri" w:hAnsi="Times New Roman" w:cs="Times New Roman"/>
          <w:b/>
          <w:sz w:val="24"/>
          <w:szCs w:val="24"/>
        </w:rPr>
      </w:pPr>
      <w:r w:rsidRPr="008012CB">
        <w:rPr>
          <w:rFonts w:ascii="Times New Roman" w:eastAsia="Calibri" w:hAnsi="Times New Roman" w:cs="Times New Roman"/>
          <w:b/>
          <w:sz w:val="24"/>
          <w:szCs w:val="24"/>
        </w:rPr>
        <w:t>Contractual counterparties</w:t>
      </w:r>
    </w:p>
    <w:p w:rsidR="00FE5D6C" w:rsidRDefault="007B61B9" w:rsidP="002C6E3F">
      <w:pPr>
        <w:spacing w:after="120" w:line="240" w:lineRule="auto"/>
        <w:jc w:val="both"/>
        <w:rPr>
          <w:rFonts w:ascii="Times New Roman" w:hAnsi="Times New Roman"/>
          <w:sz w:val="24"/>
          <w:szCs w:val="24"/>
        </w:rPr>
      </w:pPr>
      <w:r w:rsidRPr="008012CB">
        <w:rPr>
          <w:rFonts w:ascii="Times New Roman" w:eastAsia="Calibri" w:hAnsi="Times New Roman" w:cs="Times New Roman"/>
          <w:sz w:val="24"/>
          <w:szCs w:val="24"/>
          <w:u w:val="single"/>
          <w:lang w:eastAsia="en-GB"/>
        </w:rPr>
        <w:t>Impacts on compliance cost:</w:t>
      </w:r>
      <w:r w:rsidRPr="008012CB">
        <w:rPr>
          <w:rFonts w:ascii="Times New Roman" w:eastAsia="Calibri" w:hAnsi="Times New Roman" w:cs="Times New Roman"/>
          <w:sz w:val="24"/>
          <w:szCs w:val="24"/>
          <w:lang w:eastAsia="en-GB"/>
        </w:rPr>
        <w:t xml:space="preserve"> </w:t>
      </w:r>
      <w:r w:rsidR="002C6E3F" w:rsidRPr="008012CB">
        <w:rPr>
          <w:rFonts w:ascii="Times New Roman" w:eastAsia="Calibri" w:hAnsi="Times New Roman" w:cs="Times New Roman"/>
          <w:sz w:val="24"/>
          <w:szCs w:val="24"/>
        </w:rPr>
        <w:t>The main impact would be the administrative burden of compliance.</w:t>
      </w:r>
      <w:r w:rsidR="002C6E3F" w:rsidRPr="008012CB">
        <w:rPr>
          <w:rFonts w:ascii="Times New Roman" w:eastAsia="Calibri" w:hAnsi="Times New Roman" w:cs="Times New Roman"/>
          <w:sz w:val="24"/>
          <w:szCs w:val="24"/>
          <w:vertAlign w:val="superscript"/>
        </w:rPr>
        <w:footnoteReference w:id="570"/>
      </w:r>
      <w:r w:rsidR="00FA4F47">
        <w:rPr>
          <w:rFonts w:ascii="Times New Roman" w:eastAsia="Calibri" w:hAnsi="Times New Roman" w:cs="Times New Roman"/>
          <w:sz w:val="24"/>
          <w:szCs w:val="24"/>
        </w:rPr>
        <w:t xml:space="preserve"> </w:t>
      </w:r>
      <w:r w:rsidR="00FE5D6C" w:rsidRPr="002F4BFB">
        <w:rPr>
          <w:rFonts w:ascii="Times New Roman" w:hAnsi="Times New Roman"/>
          <w:sz w:val="24"/>
          <w:szCs w:val="24"/>
        </w:rPr>
        <w:t>The stakeholder dialogue included in this option is intended to establish feasible and proportionate transparency obligations tailored to the needs and practices of different sectors.</w:t>
      </w:r>
      <w:r w:rsidR="00FE5D6C" w:rsidRPr="008012CB">
        <w:rPr>
          <w:rFonts w:ascii="Times New Roman" w:eastAsia="Calibri" w:hAnsi="Times New Roman" w:cs="Times New Roman"/>
          <w:sz w:val="24"/>
          <w:szCs w:val="24"/>
        </w:rPr>
        <w:t xml:space="preserve"> </w:t>
      </w:r>
      <w:r w:rsidR="00FE5D6C" w:rsidRPr="002F4BFB">
        <w:rPr>
          <w:rFonts w:ascii="Times New Roman" w:hAnsi="Times New Roman"/>
          <w:sz w:val="24"/>
          <w:szCs w:val="24"/>
        </w:rPr>
        <w:t>It is also to note that transparency requirements have already been imposed on other important players in the value chain such as CMOs.</w:t>
      </w:r>
      <w:r w:rsidR="00FE5D6C" w:rsidRPr="00AD57F7">
        <w:rPr>
          <w:rFonts w:ascii="Times New Roman" w:hAnsi="Times New Roman" w:cs="Times New Roman"/>
          <w:sz w:val="24"/>
          <w:szCs w:val="24"/>
          <w:vertAlign w:val="superscript"/>
        </w:rPr>
        <w:footnoteReference w:id="571"/>
      </w:r>
      <w:r w:rsidR="00FE5D6C" w:rsidRPr="00FA4F47">
        <w:rPr>
          <w:rFonts w:ascii="Times New Roman" w:hAnsi="Times New Roman" w:cs="Times New Roman"/>
          <w:sz w:val="24"/>
          <w:szCs w:val="24"/>
        </w:rPr>
        <w:t xml:space="preserve"> </w:t>
      </w:r>
    </w:p>
    <w:p w:rsidR="00FE5D6C" w:rsidRDefault="00FE5D6C" w:rsidP="002C6E3F">
      <w:pPr>
        <w:spacing w:after="120" w:line="240" w:lineRule="auto"/>
        <w:jc w:val="both"/>
        <w:rPr>
          <w:rFonts w:ascii="Times New Roman" w:eastAsia="Calibri" w:hAnsi="Times New Roman" w:cs="Times New Roman"/>
          <w:sz w:val="24"/>
          <w:szCs w:val="24"/>
        </w:rPr>
      </w:pPr>
      <w:r w:rsidRPr="00650180">
        <w:rPr>
          <w:rFonts w:ascii="Times New Roman" w:eastAsia="Calibri" w:hAnsi="Times New Roman" w:cs="Times New Roman"/>
          <w:sz w:val="24"/>
          <w:szCs w:val="24"/>
        </w:rPr>
        <w:t xml:space="preserve">Annex 14C </w:t>
      </w:r>
      <w:r>
        <w:rPr>
          <w:rFonts w:ascii="Times New Roman" w:eastAsia="Calibri" w:hAnsi="Times New Roman" w:cs="Times New Roman"/>
          <w:sz w:val="24"/>
          <w:szCs w:val="24"/>
        </w:rPr>
        <w:t xml:space="preserve">provides </w:t>
      </w:r>
      <w:r w:rsidRPr="00650180">
        <w:rPr>
          <w:rFonts w:ascii="Times New Roman" w:eastAsia="Calibri" w:hAnsi="Times New Roman" w:cs="Times New Roman"/>
          <w:sz w:val="24"/>
          <w:szCs w:val="24"/>
        </w:rPr>
        <w:t xml:space="preserve">for an economic assessment of </w:t>
      </w:r>
      <w:r>
        <w:rPr>
          <w:rFonts w:ascii="Times New Roman" w:eastAsia="Calibri" w:hAnsi="Times New Roman" w:cs="Times New Roman"/>
          <w:sz w:val="24"/>
          <w:szCs w:val="24"/>
        </w:rPr>
        <w:t>the possible</w:t>
      </w:r>
      <w:r w:rsidRPr="00650180">
        <w:rPr>
          <w:rFonts w:ascii="Times New Roman" w:eastAsia="Calibri" w:hAnsi="Times New Roman" w:cs="Times New Roman"/>
          <w:sz w:val="24"/>
          <w:szCs w:val="24"/>
        </w:rPr>
        <w:t xml:space="preserve"> specific impacts</w:t>
      </w:r>
      <w:r>
        <w:rPr>
          <w:rFonts w:ascii="Times New Roman" w:eastAsia="Calibri" w:hAnsi="Times New Roman" w:cs="Times New Roman"/>
          <w:sz w:val="24"/>
          <w:szCs w:val="24"/>
        </w:rPr>
        <w:t xml:space="preserve"> by sector</w:t>
      </w:r>
      <w:r w:rsidRPr="006501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C6E3F" w:rsidRPr="008012CB">
        <w:rPr>
          <w:rFonts w:ascii="Times New Roman" w:eastAsia="Calibri" w:hAnsi="Times New Roman" w:cs="Times New Roman"/>
          <w:sz w:val="24"/>
          <w:szCs w:val="24"/>
        </w:rPr>
        <w:t>Costs would depend on a large number of factors, such as the number of creators and works, the complexity of exploitation, the quality of the data received from intermediaries, the frequency of reporting and, perhaps most importantly, the already existing reporting practices</w:t>
      </w:r>
      <w:r>
        <w:rPr>
          <w:rFonts w:ascii="Times New Roman" w:eastAsia="Calibri" w:hAnsi="Times New Roman" w:cs="Times New Roman"/>
          <w:sz w:val="24"/>
          <w:szCs w:val="24"/>
        </w:rPr>
        <w:t>:</w:t>
      </w:r>
      <w:r w:rsidR="002C6E3F" w:rsidRPr="008012CB">
        <w:rPr>
          <w:rFonts w:ascii="Times New Roman" w:eastAsia="Calibri" w:hAnsi="Times New Roman" w:cs="Times New Roman"/>
          <w:sz w:val="24"/>
          <w:szCs w:val="24"/>
        </w:rPr>
        <w:t xml:space="preserve"> </w:t>
      </w:r>
    </w:p>
    <w:p w:rsidR="00FE5D6C" w:rsidRPr="00AD57F7" w:rsidRDefault="002C6E3F" w:rsidP="00510415">
      <w:pPr>
        <w:pStyle w:val="ListParagraph"/>
        <w:numPr>
          <w:ilvl w:val="0"/>
          <w:numId w:val="49"/>
        </w:numPr>
        <w:spacing w:after="120" w:line="240" w:lineRule="auto"/>
        <w:jc w:val="both"/>
        <w:rPr>
          <w:rFonts w:ascii="Times New Roman" w:hAnsi="Times New Roman"/>
          <w:sz w:val="24"/>
          <w:szCs w:val="24"/>
          <w:lang w:val="en-GB"/>
        </w:rPr>
      </w:pPr>
      <w:r w:rsidRPr="00D1507D">
        <w:rPr>
          <w:rFonts w:ascii="Times New Roman" w:hAnsi="Times New Roman"/>
          <w:sz w:val="24"/>
          <w:lang w:val="en-GB"/>
        </w:rPr>
        <w:t>Some contractual counterparties already report to creators on the basis of contractual clauses, royalty-deals or statutory provisions.</w:t>
      </w:r>
      <w:r w:rsidRPr="00AD57F7">
        <w:rPr>
          <w:rFonts w:ascii="Times New Roman" w:hAnsi="Times New Roman"/>
          <w:sz w:val="24"/>
          <w:szCs w:val="24"/>
          <w:vertAlign w:val="superscript"/>
        </w:rPr>
        <w:footnoteReference w:id="572"/>
      </w:r>
      <w:r w:rsidRPr="00D1507D">
        <w:rPr>
          <w:rFonts w:ascii="Times New Roman" w:hAnsi="Times New Roman"/>
          <w:sz w:val="24"/>
          <w:lang w:val="en-GB"/>
        </w:rPr>
        <w:t xml:space="preserve"> In such cases the intervention would have practically no impact or only a limited impact in adapting  reporting to the new requirements</w:t>
      </w:r>
      <w:r w:rsidR="00FE5D6C" w:rsidRPr="00AD57F7">
        <w:rPr>
          <w:rFonts w:ascii="Times New Roman" w:hAnsi="Times New Roman"/>
          <w:sz w:val="24"/>
          <w:szCs w:val="24"/>
          <w:lang w:val="en-GB"/>
        </w:rPr>
        <w:t>, for example, by broadening the scope of reporting or providing more regular information to creators</w:t>
      </w:r>
      <w:r w:rsidRPr="00AD57F7">
        <w:rPr>
          <w:rFonts w:ascii="Times New Roman" w:hAnsi="Times New Roman"/>
          <w:sz w:val="24"/>
          <w:szCs w:val="24"/>
          <w:lang w:val="en-GB"/>
        </w:rPr>
        <w:t xml:space="preserve">. </w:t>
      </w:r>
    </w:p>
    <w:p w:rsidR="00FE5D6C" w:rsidRPr="00AD57F7" w:rsidRDefault="00FE5D6C" w:rsidP="00AD57F7">
      <w:pPr>
        <w:pStyle w:val="ListParagraph"/>
        <w:spacing w:after="120" w:line="240" w:lineRule="auto"/>
        <w:jc w:val="both"/>
        <w:rPr>
          <w:rFonts w:ascii="Times New Roman" w:hAnsi="Times New Roman"/>
          <w:sz w:val="24"/>
          <w:szCs w:val="24"/>
          <w:lang w:val="en-GB"/>
        </w:rPr>
      </w:pPr>
    </w:p>
    <w:p w:rsidR="002C6E3F" w:rsidRPr="00657C48" w:rsidRDefault="002C6E3F" w:rsidP="00D1507D">
      <w:pPr>
        <w:pStyle w:val="ListParagraph"/>
        <w:numPr>
          <w:ilvl w:val="0"/>
          <w:numId w:val="49"/>
        </w:numPr>
        <w:spacing w:after="120" w:line="240" w:lineRule="auto"/>
        <w:jc w:val="both"/>
        <w:rPr>
          <w:rFonts w:ascii="Times New Roman" w:hAnsi="Times New Roman"/>
          <w:sz w:val="24"/>
          <w:lang w:val="en-GB"/>
        </w:rPr>
      </w:pPr>
      <w:r w:rsidRPr="00D1507D">
        <w:rPr>
          <w:rFonts w:ascii="Times New Roman" w:hAnsi="Times New Roman"/>
          <w:sz w:val="24"/>
          <w:lang w:val="en-GB"/>
        </w:rPr>
        <w:t xml:space="preserve">For those who do not report to creators yet, the incurred expenses would include the one-off cost of developing reporting processes and the recurring cost of actual reporting. However, even in these cases contractual counterparties would have to report on information that is already available as it </w:t>
      </w:r>
      <w:r w:rsidR="00FE5D6C" w:rsidRPr="00AD57F7">
        <w:rPr>
          <w:rFonts w:ascii="Times New Roman" w:hAnsi="Times New Roman"/>
          <w:sz w:val="24"/>
          <w:szCs w:val="24"/>
          <w:lang w:val="en-GB"/>
        </w:rPr>
        <w:t>should</w:t>
      </w:r>
      <w:r w:rsidR="00FE5D6C" w:rsidRPr="00D1507D">
        <w:rPr>
          <w:rFonts w:ascii="Times New Roman" w:hAnsi="Times New Roman"/>
          <w:sz w:val="24"/>
          <w:lang w:val="en-GB"/>
        </w:rPr>
        <w:t xml:space="preserve"> </w:t>
      </w:r>
      <w:r w:rsidRPr="00D1507D">
        <w:rPr>
          <w:rFonts w:ascii="Times New Roman" w:hAnsi="Times New Roman"/>
          <w:sz w:val="24"/>
          <w:lang w:val="en-GB"/>
        </w:rPr>
        <w:t>have been previously gathered and processed for intellectual property management and accounting purposes.</w:t>
      </w:r>
      <w:r w:rsidRPr="00AD57F7">
        <w:rPr>
          <w:rFonts w:ascii="Times New Roman" w:hAnsi="Times New Roman"/>
          <w:sz w:val="24"/>
          <w:szCs w:val="24"/>
          <w:vertAlign w:val="superscript"/>
        </w:rPr>
        <w:footnoteReference w:id="573"/>
      </w:r>
      <w:r w:rsidRPr="00D1507D">
        <w:rPr>
          <w:rFonts w:ascii="Times New Roman" w:hAnsi="Times New Roman"/>
          <w:sz w:val="24"/>
          <w:lang w:val="en-GB"/>
        </w:rPr>
        <w:t xml:space="preserve"> Therefore, following the one-off investment, complying with the reporting obligation would mainly consist of taking the effort to extract the relevant information and to share it with the creator in a structured, comprehensible way. It is also to note that transparency requirements have also been imposed on other important players in the value chain such as CMOs.</w:t>
      </w:r>
      <w:r w:rsidRPr="00AD57F7">
        <w:rPr>
          <w:rFonts w:ascii="Times New Roman" w:hAnsi="Times New Roman"/>
          <w:sz w:val="24"/>
          <w:szCs w:val="24"/>
          <w:vertAlign w:val="superscript"/>
        </w:rPr>
        <w:footnoteReference w:id="574"/>
      </w:r>
    </w:p>
    <w:p w:rsidR="002C6E3F" w:rsidRPr="008012CB" w:rsidRDefault="002C6E3F" w:rsidP="002C6E3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In order to produce reporting statements, contractual counterparties would use different types of electronic tools going from widely available spreadsheets to complex reporting software specifically designed for companies' reporting needs.</w:t>
      </w:r>
      <w:r w:rsidR="00FE5D6C">
        <w:rPr>
          <w:rStyle w:val="FootnoteReference"/>
          <w:rFonts w:ascii="Times New Roman" w:eastAsia="Calibri" w:hAnsi="Times New Roman" w:cs="Times New Roman"/>
          <w:sz w:val="24"/>
          <w:szCs w:val="24"/>
        </w:rPr>
        <w:footnoteReference w:id="575"/>
      </w:r>
      <w:r w:rsidRPr="008012CB">
        <w:rPr>
          <w:rFonts w:ascii="Times New Roman" w:eastAsia="Calibri" w:hAnsi="Times New Roman" w:cs="Times New Roman"/>
          <w:sz w:val="24"/>
          <w:szCs w:val="24"/>
        </w:rPr>
        <w:t xml:space="preserve"> Limited information allowing only anecdotal estimation of the potential costs related to these reporting tools is available. The extent of costs would depend on whether and what reporting tools are already used by affected companies and which type of use. The costs would further vary depending on the type of information required for each creative sector. However, costs linked to the utilisation of a reporting electronic tool are not expected to be significant for a large majority of SMEs since they would likely use commonly deployed spreadsheets. In most cases, costs could be absorbed in the routine software maintenance costs of those companies.</w:t>
      </w:r>
    </w:p>
    <w:p w:rsidR="007B61B9" w:rsidRPr="008012CB" w:rsidRDefault="002C6E3F" w:rsidP="002C6E3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Furthermore, labour-related costs linked to reporting are very difficult to estimate as they would, among other things, depend on the type and the number of works, the complexity of the authorship and on the number of actors from which the information has to be gathered. As an example, book publishing stakeholders informed us that reporting can be dealt with on simpler cases within 2-3 minutes while the more difficult ones require 10 to 15 minutes. Audiovisual stakeholders stated that time allocated to reporting to all creators of a movie could range between one or two hours for simpler cases to ten hours for the most intricate ones. On the basis of the limited information on reporting mechanisms we received from contractual counterparties, the following examples of cost estimations could be made for different sectors as guidance to illustrate the potential impacts, assuming that there is currently no reporting in place at all by a given contractual counterparty (see more information on these examples and calculations in Annex 14C).</w:t>
      </w:r>
    </w:p>
    <w:p w:rsidR="009D59CB" w:rsidRDefault="009D59CB">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2C6E3F" w:rsidRPr="008012CB" w:rsidRDefault="002C6E3F" w:rsidP="002C6E3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8012CB">
        <w:rPr>
          <w:rFonts w:ascii="Times New Roman" w:eastAsia="Calibri" w:hAnsi="Times New Roman" w:cs="Times New Roman"/>
          <w:sz w:val="20"/>
          <w:szCs w:val="20"/>
        </w:rPr>
        <w:t>Examples</w:t>
      </w:r>
    </w:p>
    <w:p w:rsidR="002C6E3F" w:rsidRPr="008012CB" w:rsidRDefault="002C6E3F" w:rsidP="002C6E3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8012CB">
        <w:rPr>
          <w:rFonts w:ascii="Times New Roman" w:eastAsia="Calibri" w:hAnsi="Times New Roman" w:cs="Times New Roman"/>
          <w:sz w:val="20"/>
          <w:szCs w:val="20"/>
        </w:rPr>
        <w:t>A) According to a medium-sized book publisher, reporting on 600 titles on the basis of spreadsheets takes 80 man-hours per year, and the average time required for compiling and sending a report on a title is 8 minutes (simpler cases can be dealt with in 2-3 minutes while the more difficult ones can take 10-15 minutes). To make reporting even more efficient, they are now investing in an accounting and reporting software, the one-off cost of which is approximately €10,000.</w:t>
      </w:r>
    </w:p>
    <w:p w:rsidR="002C6E3F" w:rsidRPr="008012CB" w:rsidRDefault="002C6E3F" w:rsidP="002C6E3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8012CB">
        <w:rPr>
          <w:rFonts w:ascii="Times New Roman" w:eastAsia="Calibri" w:hAnsi="Times New Roman" w:cs="Times New Roman"/>
          <w:sz w:val="20"/>
          <w:szCs w:val="20"/>
        </w:rPr>
        <w:t>B) In the music sector, where regular reporting is well established, the information received from independent record labels shows how the cost of reporting differs according to, amongst others, the size of the catalogue, the number of titles released per year and the staff involved in the reporting activities (frequency of reporting being twice a year in all cases for which the information has been shared). In one medium-sized label (105 employees in the EU), which holds a total catalogue of over 3000 titles and releases 50 titles per year, 3 employees deal with reporting full time, which costs the label €198'000 per year. Together with the software maintenance it amounts to €103 per title. A small label employing 36 staff of which 2 full time equivalent work on</w:t>
      </w:r>
      <w:r w:rsidR="0016036A">
        <w:rPr>
          <w:rFonts w:ascii="Times New Roman" w:eastAsia="Calibri" w:hAnsi="Times New Roman" w:cs="Times New Roman"/>
          <w:sz w:val="20"/>
          <w:szCs w:val="20"/>
        </w:rPr>
        <w:t xml:space="preserve"> reporting (total catalogue: 50,</w:t>
      </w:r>
      <w:r w:rsidRPr="008012CB">
        <w:rPr>
          <w:rFonts w:ascii="Times New Roman" w:eastAsia="Calibri" w:hAnsi="Times New Roman" w:cs="Times New Roman"/>
          <w:sz w:val="20"/>
          <w:szCs w:val="20"/>
        </w:rPr>
        <w:t>000 tracks) incur similar total cost of reporting annually €2</w:t>
      </w:r>
      <w:r w:rsidR="0016036A">
        <w:rPr>
          <w:rFonts w:ascii="Times New Roman" w:eastAsia="Calibri" w:hAnsi="Times New Roman" w:cs="Times New Roman"/>
          <w:sz w:val="20"/>
          <w:szCs w:val="20"/>
        </w:rPr>
        <w:t>00,</w:t>
      </w:r>
      <w:r w:rsidRPr="008012CB">
        <w:rPr>
          <w:rFonts w:ascii="Times New Roman" w:eastAsia="Calibri" w:hAnsi="Times New Roman" w:cs="Times New Roman"/>
          <w:sz w:val="20"/>
          <w:szCs w:val="20"/>
        </w:rPr>
        <w:t>000, or €64 per title. According to the information received on nine micro labels, the cost per title of reporting done by three of them (holding 60, 62 and 250 title catalogues) is comparable to the one incurred by small and medium but in several other cases, where catalogues range from 150 to 400 titles, it is much lower per title (between €7 and €12). This may stem from the fact that, having smaller catalogues to deal with, micro labels can do without specialised accounting software and/ or employ free-lance staff or external bookkeepers to deal with the reporting twice per year when it is due.</w:t>
      </w:r>
    </w:p>
    <w:p w:rsidR="007B61B9" w:rsidRPr="008012CB" w:rsidRDefault="002C6E3F" w:rsidP="002C6E3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8012CB">
        <w:rPr>
          <w:rFonts w:ascii="Times New Roman" w:eastAsia="Calibri" w:hAnsi="Times New Roman" w:cs="Times New Roman"/>
          <w:sz w:val="20"/>
          <w:szCs w:val="20"/>
        </w:rPr>
        <w:t xml:space="preserve">C) On the basis of the collected information from the </w:t>
      </w:r>
      <w:r w:rsidR="00EC2C05">
        <w:rPr>
          <w:rFonts w:ascii="Times New Roman" w:eastAsia="Calibri" w:hAnsi="Times New Roman" w:cs="Times New Roman"/>
          <w:sz w:val="20"/>
          <w:szCs w:val="20"/>
        </w:rPr>
        <w:t xml:space="preserve">AV </w:t>
      </w:r>
      <w:r w:rsidRPr="008012CB">
        <w:rPr>
          <w:rFonts w:ascii="Times New Roman" w:eastAsia="Calibri" w:hAnsi="Times New Roman" w:cs="Times New Roman"/>
          <w:sz w:val="20"/>
          <w:szCs w:val="20"/>
        </w:rPr>
        <w:t>sector, assuming that a producer wants to report on a film that has 8 creators entitled to reporting and reporting occurs annually; reporting would take 4-6 hours in the first year and 2-3 hours in subsequent years. As for external service providers, prices would be expected to be in the range of €1,000 per movie per year and would not surpass the cost of €4,000 + 0.5-1</w:t>
      </w:r>
      <w:r w:rsidR="000B17FD">
        <w:rPr>
          <w:rFonts w:ascii="Times New Roman" w:eastAsia="Calibri" w:hAnsi="Times New Roman" w:cs="Times New Roman"/>
          <w:sz w:val="20"/>
          <w:szCs w:val="20"/>
        </w:rPr>
        <w:t xml:space="preserve"> </w:t>
      </w:r>
      <w:r w:rsidRPr="008012CB">
        <w:rPr>
          <w:rFonts w:ascii="Times New Roman" w:eastAsia="Calibri" w:hAnsi="Times New Roman" w:cs="Times New Roman"/>
          <w:sz w:val="20"/>
          <w:szCs w:val="20"/>
        </w:rPr>
        <w:t>% of revenues in total.</w:t>
      </w:r>
      <w:r w:rsidRPr="008012CB">
        <w:rPr>
          <w:rFonts w:ascii="Times New Roman" w:eastAsia="Calibri" w:hAnsi="Times New Roman" w:cs="Times New Roman"/>
          <w:sz w:val="20"/>
          <w:szCs w:val="20"/>
          <w:vertAlign w:val="superscript"/>
        </w:rPr>
        <w:footnoteReference w:id="576"/>
      </w:r>
    </w:p>
    <w:p w:rsidR="00BC53CF" w:rsidRPr="008012CB" w:rsidRDefault="00FE5D6C" w:rsidP="00BC53CF">
      <w:pPr>
        <w:spacing w:before="24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According to the estimations presented</w:t>
      </w:r>
      <w:r w:rsidR="00BC53CF" w:rsidRPr="008012CB">
        <w:rPr>
          <w:rFonts w:ascii="Times New Roman" w:eastAsia="Calibri" w:hAnsi="Times New Roman" w:cs="Times New Roman"/>
          <w:sz w:val="24"/>
          <w:szCs w:val="24"/>
        </w:rPr>
        <w:t xml:space="preserve"> in Annex 14C, the costs of reporting in the book publishing sector range from 0.02% of the turnover for large and medium-sized companies to 0.39% for micro companies. In the </w:t>
      </w:r>
      <w:r w:rsidR="00EC2C05">
        <w:rPr>
          <w:rFonts w:ascii="Times New Roman" w:eastAsia="Calibri" w:hAnsi="Times New Roman" w:cs="Times New Roman"/>
          <w:sz w:val="24"/>
          <w:szCs w:val="24"/>
        </w:rPr>
        <w:t>AV</w:t>
      </w:r>
      <w:r w:rsidR="00BC53CF" w:rsidRPr="008012CB">
        <w:rPr>
          <w:rFonts w:ascii="Times New Roman" w:eastAsia="Calibri" w:hAnsi="Times New Roman" w:cs="Times New Roman"/>
          <w:sz w:val="24"/>
          <w:szCs w:val="24"/>
        </w:rPr>
        <w:t xml:space="preserve"> sector, depending on a scenario assumed (reporting done internally or involving a collection agency or other external provider) the share of these costs in the turnover situates between 0.1</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and 2.3</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for micro companies, 0.01</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and 0.2</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for small and are around 0.1</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for medium and large. Time spent on reporting annually accounts on average for around 1</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of the total working time for micro book publishers and between 0.1</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and 0.2</w:t>
      </w:r>
      <w:r w:rsidR="000B17FD">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for the other size categories.</w:t>
      </w:r>
    </w:p>
    <w:p w:rsidR="00BC53CF" w:rsidRDefault="00BC53CF" w:rsidP="00BC53C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 xml:space="preserve">The administrative burden would decrease with time as it would become part of the "business as usual" process. </w:t>
      </w:r>
      <w:r w:rsidR="00FE5D6C" w:rsidRPr="008B29CE">
        <w:rPr>
          <w:rFonts w:ascii="Times New Roman" w:eastAsia="Calibri" w:hAnsi="Times New Roman" w:cs="Times New Roman"/>
          <w:sz w:val="24"/>
          <w:szCs w:val="24"/>
        </w:rPr>
        <w:t>From MS where similar transparency obligations</w:t>
      </w:r>
      <w:r w:rsidR="00FE5D6C" w:rsidRPr="006C6D16">
        <w:rPr>
          <w:rFonts w:ascii="Times New Roman" w:eastAsia="Calibri" w:hAnsi="Times New Roman" w:cs="Times New Roman"/>
          <w:sz w:val="24"/>
          <w:szCs w:val="24"/>
        </w:rPr>
        <w:t xml:space="preserve"> are already in place, no disruptive effect </w:t>
      </w:r>
      <w:r w:rsidR="00FE5D6C" w:rsidRPr="008B29CE">
        <w:rPr>
          <w:rFonts w:ascii="Times New Roman" w:eastAsia="Calibri" w:hAnsi="Times New Roman" w:cs="Times New Roman"/>
          <w:sz w:val="24"/>
          <w:szCs w:val="24"/>
        </w:rPr>
        <w:t xml:space="preserve">of such measures has been reported. </w:t>
      </w:r>
      <w:r w:rsidRPr="008012CB">
        <w:rPr>
          <w:rFonts w:ascii="Times New Roman" w:eastAsia="Calibri" w:hAnsi="Times New Roman" w:cs="Times New Roman"/>
          <w:sz w:val="24"/>
          <w:szCs w:val="24"/>
        </w:rPr>
        <w:t xml:space="preserve">In addition, evolving technologies will continue to reduce the costs of collecting and processing the relevant data and therefore reduce the administrative burden. </w:t>
      </w:r>
    </w:p>
    <w:p w:rsidR="00CA4144" w:rsidRDefault="00FE5D6C" w:rsidP="00CA4144">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Thanks to the proportionality provisions built in Option 2, contractual counterparties may not be obliged to provide information to minor contributors to a work, thus reducing the number of reports. In addition, in the case of works generating little to no revenues, the proportionality provision would allow MS to adjust the obligation in a manner that ensures a proportionate burden for contractual counterparties.</w:t>
      </w:r>
    </w:p>
    <w:p w:rsidR="00CA4144" w:rsidRPr="008012CB" w:rsidRDefault="00CA4144" w:rsidP="00D1507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396C50">
        <w:rPr>
          <w:rFonts w:ascii="Times New Roman" w:eastAsia="Calibri" w:hAnsi="Times New Roman" w:cs="Times New Roman"/>
          <w:sz w:val="24"/>
          <w:szCs w:val="24"/>
          <w:u w:val="single"/>
        </w:rPr>
        <w:t xml:space="preserve">Impacts on SMEs </w:t>
      </w:r>
      <w:r>
        <w:rPr>
          <w:rFonts w:ascii="Times New Roman" w:eastAsia="Calibri" w:hAnsi="Times New Roman" w:cs="Times New Roman"/>
          <w:sz w:val="24"/>
          <w:szCs w:val="24"/>
          <w:u w:val="single"/>
        </w:rPr>
        <w:t>including</w:t>
      </w:r>
      <w:r w:rsidRPr="00396C50">
        <w:rPr>
          <w:rFonts w:ascii="Times New Roman" w:eastAsia="Calibri" w:hAnsi="Times New Roman" w:cs="Times New Roman"/>
          <w:sz w:val="24"/>
          <w:szCs w:val="24"/>
          <w:u w:val="single"/>
        </w:rPr>
        <w:t xml:space="preserve"> micro enterprises:</w:t>
      </w:r>
      <w:r>
        <w:rPr>
          <w:rFonts w:ascii="Times New Roman" w:eastAsia="Calibri" w:hAnsi="Times New Roman" w:cs="Times New Roman"/>
          <w:sz w:val="24"/>
          <w:szCs w:val="24"/>
        </w:rPr>
        <w:t xml:space="preserve"> </w:t>
      </w:r>
      <w:r w:rsidRPr="008012CB">
        <w:rPr>
          <w:rFonts w:ascii="Times New Roman" w:eastAsia="Calibri" w:hAnsi="Times New Roman" w:cs="Times New Roman"/>
          <w:sz w:val="24"/>
          <w:szCs w:val="24"/>
        </w:rPr>
        <w:t>The reporting obligation could be more burdensome for smaller companies (e.g. a small publisher or record label) as they have fewer resources</w:t>
      </w:r>
      <w:r>
        <w:rPr>
          <w:rFonts w:ascii="Times New Roman" w:eastAsia="Calibri" w:hAnsi="Times New Roman" w:cs="Times New Roman"/>
          <w:sz w:val="24"/>
          <w:szCs w:val="24"/>
        </w:rPr>
        <w:t>. At the same time, they also</w:t>
      </w:r>
      <w:r w:rsidRPr="008012CB">
        <w:rPr>
          <w:rFonts w:ascii="Times New Roman" w:eastAsia="Calibri" w:hAnsi="Times New Roman" w:cs="Times New Roman"/>
          <w:sz w:val="24"/>
          <w:szCs w:val="24"/>
        </w:rPr>
        <w:t xml:space="preserve"> manage less works and they would need to provide a smaller number of reports to fewer creators. </w:t>
      </w:r>
      <w:r>
        <w:rPr>
          <w:rFonts w:ascii="Times New Roman" w:eastAsia="Calibri" w:hAnsi="Times New Roman" w:cs="Times New Roman"/>
          <w:sz w:val="24"/>
          <w:szCs w:val="24"/>
        </w:rPr>
        <w:t>In addition, s</w:t>
      </w:r>
      <w:r w:rsidRPr="008012CB">
        <w:rPr>
          <w:rFonts w:ascii="Times New Roman" w:eastAsia="Calibri" w:hAnsi="Times New Roman" w:cs="Times New Roman"/>
          <w:sz w:val="24"/>
          <w:szCs w:val="24"/>
        </w:rPr>
        <w:t>pecifications of obligations per sector and stakeholders' dialogues at MS level would help ensur</w:t>
      </w:r>
      <w:r>
        <w:rPr>
          <w:rFonts w:ascii="Times New Roman" w:eastAsia="Calibri" w:hAnsi="Times New Roman" w:cs="Times New Roman"/>
          <w:sz w:val="24"/>
          <w:szCs w:val="24"/>
        </w:rPr>
        <w:t>ing</w:t>
      </w:r>
      <w:r w:rsidRPr="008012CB">
        <w:rPr>
          <w:rFonts w:ascii="Times New Roman" w:eastAsia="Calibri" w:hAnsi="Times New Roman" w:cs="Times New Roman"/>
          <w:sz w:val="24"/>
          <w:szCs w:val="24"/>
        </w:rPr>
        <w:t xml:space="preserve"> that reporting obligations and their related compliance costs are proportionate</w:t>
      </w:r>
      <w:r>
        <w:rPr>
          <w:rFonts w:ascii="Times New Roman" w:eastAsia="Calibri" w:hAnsi="Times New Roman" w:cs="Times New Roman"/>
          <w:sz w:val="24"/>
          <w:szCs w:val="24"/>
        </w:rPr>
        <w:t xml:space="preserve"> for SMEs as they represent the vast majority of contractual counterparties. </w:t>
      </w:r>
      <w:r w:rsidRPr="008012CB">
        <w:rPr>
          <w:rFonts w:ascii="Times New Roman" w:eastAsia="Calibri" w:hAnsi="Times New Roman" w:cs="Times New Roman"/>
          <w:sz w:val="24"/>
          <w:szCs w:val="24"/>
        </w:rPr>
        <w:t xml:space="preserve">Transparency remains </w:t>
      </w:r>
      <w:r>
        <w:rPr>
          <w:rFonts w:ascii="Times New Roman" w:eastAsia="Calibri" w:hAnsi="Times New Roman" w:cs="Times New Roman"/>
          <w:sz w:val="24"/>
          <w:szCs w:val="24"/>
        </w:rPr>
        <w:t xml:space="preserve">however </w:t>
      </w:r>
      <w:r w:rsidRPr="008012CB">
        <w:rPr>
          <w:rFonts w:ascii="Times New Roman" w:eastAsia="Calibri" w:hAnsi="Times New Roman" w:cs="Times New Roman"/>
          <w:sz w:val="24"/>
          <w:szCs w:val="24"/>
        </w:rPr>
        <w:t>essential</w:t>
      </w:r>
      <w:r>
        <w:rPr>
          <w:rFonts w:ascii="Times New Roman" w:eastAsia="Calibri" w:hAnsi="Times New Roman" w:cs="Times New Roman"/>
          <w:sz w:val="24"/>
          <w:szCs w:val="24"/>
        </w:rPr>
        <w:t xml:space="preserve"> for creators who assign their rights to SMEs.</w:t>
      </w:r>
      <w:r w:rsidRPr="008012C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8012CB">
        <w:rPr>
          <w:rFonts w:ascii="Times New Roman" w:eastAsia="Calibri" w:hAnsi="Times New Roman" w:cs="Times New Roman"/>
          <w:sz w:val="24"/>
          <w:szCs w:val="24"/>
        </w:rPr>
        <w:t>he possible administrative costs are justified in view of the fact that the business of these companies is based on the exploitation of the copyright of the individual creators. The possibility of providing an exemption for micro enterprises was considered, however, taking into account the predominance of micro enterprises in the creative industries (above 90</w:t>
      </w:r>
      <w:r w:rsidR="00E07E16">
        <w:rPr>
          <w:rFonts w:ascii="Times New Roman" w:eastAsia="Calibri" w:hAnsi="Times New Roman" w:cs="Times New Roman"/>
          <w:sz w:val="24"/>
          <w:szCs w:val="24"/>
        </w:rPr>
        <w:t xml:space="preserve"> </w:t>
      </w:r>
      <w:r w:rsidRPr="008012CB">
        <w:rPr>
          <w:rFonts w:ascii="Times New Roman" w:eastAsia="Calibri" w:hAnsi="Times New Roman" w:cs="Times New Roman"/>
          <w:sz w:val="24"/>
          <w:szCs w:val="24"/>
        </w:rPr>
        <w:t>% in some sectors), establishing such an exemption would result in the transparency obligation applying to a very limited number of contractual counterparties</w:t>
      </w:r>
      <w:r>
        <w:rPr>
          <w:rFonts w:ascii="Times New Roman" w:eastAsia="Calibri" w:hAnsi="Times New Roman" w:cs="Times New Roman"/>
          <w:sz w:val="24"/>
          <w:szCs w:val="24"/>
        </w:rPr>
        <w:t xml:space="preserve"> which</w:t>
      </w:r>
      <w:r w:rsidRPr="008012CB">
        <w:rPr>
          <w:rFonts w:ascii="Times New Roman" w:eastAsia="Calibri" w:hAnsi="Times New Roman" w:cs="Times New Roman"/>
          <w:sz w:val="24"/>
          <w:szCs w:val="24"/>
        </w:rPr>
        <w:t xml:space="preserve"> would defeat the purpose of the intervention.</w:t>
      </w:r>
      <w:r w:rsidRPr="008012CB">
        <w:rPr>
          <w:rFonts w:ascii="Times New Roman" w:eastAsia="Calibri" w:hAnsi="Times New Roman" w:cs="Times New Roman"/>
          <w:sz w:val="24"/>
          <w:szCs w:val="24"/>
          <w:vertAlign w:val="superscript"/>
        </w:rPr>
        <w:footnoteReference w:id="577"/>
      </w:r>
      <w:r>
        <w:rPr>
          <w:rFonts w:ascii="Times New Roman" w:eastAsia="Calibri" w:hAnsi="Times New Roman" w:cs="Times New Roman"/>
          <w:sz w:val="24"/>
          <w:szCs w:val="24"/>
        </w:rPr>
        <w:t xml:space="preserve"> It is to note that the majority of existing national provisions on transparency do not provide for an exemption or a lighter regime for SMEs. </w:t>
      </w:r>
    </w:p>
    <w:p w:rsidR="007B61B9" w:rsidRPr="008012CB" w:rsidRDefault="00BC53CF" w:rsidP="00BC53CF">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competition:</w:t>
      </w:r>
      <w:r w:rsidRPr="008012CB">
        <w:rPr>
          <w:rFonts w:ascii="Times New Roman" w:eastAsia="Calibri" w:hAnsi="Times New Roman" w:cs="Times New Roman"/>
          <w:sz w:val="24"/>
          <w:szCs w:val="24"/>
        </w:rPr>
        <w:t xml:space="preserve"> A general, mandatory reporting obligation with a set of common minimum content requirements would reduce fragmentation of the single market and would create a level playing field for businesses across Europe by eliminating the commercial disadvantage of players </w:t>
      </w:r>
      <w:r w:rsidR="00CA4144">
        <w:rPr>
          <w:rFonts w:ascii="Times New Roman" w:eastAsia="Calibri" w:hAnsi="Times New Roman" w:cs="Times New Roman"/>
          <w:sz w:val="24"/>
          <w:szCs w:val="24"/>
        </w:rPr>
        <w:t xml:space="preserve">located </w:t>
      </w:r>
      <w:r w:rsidRPr="008012CB">
        <w:rPr>
          <w:rFonts w:ascii="Times New Roman" w:eastAsia="Calibri" w:hAnsi="Times New Roman" w:cs="Times New Roman"/>
          <w:sz w:val="24"/>
          <w:szCs w:val="24"/>
        </w:rPr>
        <w:t>in MS that already have transparency obligations.</w:t>
      </w:r>
      <w:r w:rsidRPr="008012CB">
        <w:rPr>
          <w:rFonts w:ascii="Times New Roman" w:eastAsia="Calibri" w:hAnsi="Times New Roman" w:cs="Times New Roman"/>
          <w:sz w:val="24"/>
          <w:szCs w:val="24"/>
          <w:vertAlign w:val="superscript"/>
        </w:rPr>
        <w:footnoteReference w:id="578"/>
      </w:r>
      <w:r w:rsidRPr="008012CB">
        <w:rPr>
          <w:rFonts w:ascii="Times New Roman" w:eastAsia="Calibri" w:hAnsi="Times New Roman" w:cs="Times New Roman"/>
          <w:sz w:val="24"/>
          <w:szCs w:val="24"/>
        </w:rPr>
        <w:t xml:space="preserve"> The use of effective reporting as a tool to compete for creators is already becoming clear in some sectors, particularly in the music industry.</w:t>
      </w:r>
      <w:r w:rsidRPr="008012CB">
        <w:rPr>
          <w:rFonts w:ascii="Times New Roman" w:eastAsia="Calibri" w:hAnsi="Times New Roman" w:cs="Times New Roman"/>
          <w:sz w:val="24"/>
          <w:szCs w:val="24"/>
          <w:vertAlign w:val="superscript"/>
        </w:rPr>
        <w:footnoteReference w:id="579"/>
      </w:r>
      <w:r w:rsidR="007B61B9" w:rsidRPr="008012CB">
        <w:rPr>
          <w:rFonts w:ascii="Times New Roman" w:eastAsia="Calibri" w:hAnsi="Times New Roman" w:cs="Times New Roman"/>
          <w:sz w:val="24"/>
          <w:szCs w:val="24"/>
        </w:rPr>
        <w:t xml:space="preserve"> </w:t>
      </w:r>
      <w:r w:rsidR="00CA4144">
        <w:rPr>
          <w:rFonts w:ascii="Times New Roman" w:eastAsia="Calibri" w:hAnsi="Times New Roman" w:cs="Times New Roman"/>
          <w:sz w:val="24"/>
          <w:szCs w:val="24"/>
        </w:rPr>
        <w:t>Due to the fact that the proportionality of the reporting obligation would be ensured, this option is not expected to have a disruptive effect on existing business models.</w:t>
      </w:r>
    </w:p>
    <w:p w:rsidR="00B30762" w:rsidRPr="008012CB" w:rsidRDefault="00B30762" w:rsidP="00B30762">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7B61B9" w:rsidRPr="008012CB" w:rsidRDefault="00BC53CF"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Better transparency and bargaining position for creators would help  reaching the goal of appropriate remuneration thereby making creative careers more attractive, which would result in a greater number of professional creators and more creative output altogether. Transparency would give a powerful message to consumers as they indicate to be more willing to pay for copyright protected works if they know that a fair remuneration would reach the original creators.</w:t>
      </w:r>
      <w:r w:rsidRPr="008012CB">
        <w:rPr>
          <w:rFonts w:ascii="Times New Roman" w:eastAsia="Calibri" w:hAnsi="Times New Roman" w:cs="Times New Roman"/>
          <w:sz w:val="24"/>
          <w:szCs w:val="24"/>
          <w:vertAlign w:val="superscript"/>
        </w:rPr>
        <w:footnoteReference w:id="580"/>
      </w:r>
      <w:r w:rsidRPr="008012CB">
        <w:rPr>
          <w:rFonts w:ascii="Times New Roman" w:eastAsia="Calibri" w:hAnsi="Times New Roman" w:cs="Times New Roman"/>
          <w:sz w:val="24"/>
          <w:szCs w:val="24"/>
        </w:rPr>
        <w:t xml:space="preserve"> </w:t>
      </w:r>
      <w:r w:rsidR="00CA4144">
        <w:rPr>
          <w:rFonts w:ascii="Times New Roman" w:eastAsia="Calibri" w:hAnsi="Times New Roman" w:cs="Times New Roman"/>
          <w:sz w:val="24"/>
          <w:szCs w:val="24"/>
        </w:rPr>
        <w:t>N</w:t>
      </w:r>
      <w:r w:rsidRPr="008012CB">
        <w:rPr>
          <w:rFonts w:ascii="Times New Roman" w:eastAsia="Calibri" w:hAnsi="Times New Roman" w:cs="Times New Roman"/>
          <w:sz w:val="24"/>
          <w:szCs w:val="24"/>
        </w:rPr>
        <w:t xml:space="preserve">o negative indirect impacts on consumers </w:t>
      </w:r>
      <w:r w:rsidR="00CA4144">
        <w:rPr>
          <w:rFonts w:ascii="Times New Roman" w:eastAsia="Calibri" w:hAnsi="Times New Roman" w:cs="Times New Roman"/>
          <w:sz w:val="24"/>
          <w:szCs w:val="24"/>
        </w:rPr>
        <w:t>are</w:t>
      </w:r>
      <w:r w:rsidRPr="008012CB">
        <w:rPr>
          <w:rFonts w:ascii="Times New Roman" w:eastAsia="Calibri" w:hAnsi="Times New Roman" w:cs="Times New Roman"/>
          <w:sz w:val="24"/>
          <w:szCs w:val="24"/>
        </w:rPr>
        <w:t xml:space="preserve"> expected, for example due to compliance costs passed on to them.</w:t>
      </w:r>
    </w:p>
    <w:p w:rsidR="00B30762" w:rsidRPr="008012CB" w:rsidRDefault="00B30762" w:rsidP="00B30762">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CA4144" w:rsidRPr="008012CB" w:rsidRDefault="00CA4144" w:rsidP="00CA4144">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This option would positively affect</w:t>
      </w:r>
      <w:r>
        <w:rPr>
          <w:rFonts w:ascii="Times New Roman" w:eastAsia="Calibri" w:hAnsi="Times New Roman" w:cs="Times New Roman"/>
          <w:sz w:val="24"/>
          <w:szCs w:val="24"/>
        </w:rPr>
        <w:t xml:space="preserve"> copyright as a</w:t>
      </w:r>
      <w:r w:rsidRPr="008012CB">
        <w:rPr>
          <w:rFonts w:ascii="Times New Roman" w:eastAsia="Calibri" w:hAnsi="Times New Roman" w:cs="Times New Roman"/>
          <w:sz w:val="24"/>
          <w:szCs w:val="24"/>
        </w:rPr>
        <w:t xml:space="preserve"> property</w:t>
      </w:r>
      <w:r>
        <w:rPr>
          <w:rFonts w:ascii="Times New Roman" w:eastAsia="Calibri" w:hAnsi="Times New Roman" w:cs="Times New Roman"/>
          <w:sz w:val="24"/>
          <w:szCs w:val="24"/>
        </w:rPr>
        <w:t xml:space="preserve"> right</w:t>
      </w:r>
      <w:r w:rsidRPr="008012CB">
        <w:rPr>
          <w:rFonts w:ascii="Times New Roman" w:eastAsia="Calibri" w:hAnsi="Times New Roman" w:cs="Times New Roman"/>
          <w:sz w:val="24"/>
          <w:szCs w:val="24"/>
        </w:rPr>
        <w:t xml:space="preserve"> by improving the</w:t>
      </w:r>
      <w:r>
        <w:rPr>
          <w:rFonts w:ascii="Times New Roman" w:eastAsia="Calibri" w:hAnsi="Times New Roman" w:cs="Times New Roman"/>
          <w:sz w:val="24"/>
          <w:szCs w:val="24"/>
        </w:rPr>
        <w:t xml:space="preserve"> creators'</w:t>
      </w:r>
      <w:r w:rsidRPr="008012CB">
        <w:rPr>
          <w:rFonts w:ascii="Times New Roman" w:eastAsia="Calibri" w:hAnsi="Times New Roman" w:cs="Times New Roman"/>
          <w:sz w:val="24"/>
          <w:szCs w:val="24"/>
        </w:rPr>
        <w:t xml:space="preserve"> bargaining position and contributing to </w:t>
      </w:r>
      <w:r>
        <w:rPr>
          <w:rFonts w:ascii="Times New Roman" w:eastAsia="Calibri" w:hAnsi="Times New Roman" w:cs="Times New Roman"/>
          <w:sz w:val="24"/>
          <w:szCs w:val="24"/>
        </w:rPr>
        <w:t>a better</w:t>
      </w:r>
      <w:r w:rsidRPr="008012CB">
        <w:rPr>
          <w:rFonts w:ascii="Times New Roman" w:eastAsia="Calibri" w:hAnsi="Times New Roman" w:cs="Times New Roman"/>
          <w:sz w:val="24"/>
          <w:szCs w:val="24"/>
        </w:rPr>
        <w:t xml:space="preserve"> enforcement of their rights. This in turn would </w:t>
      </w:r>
      <w:r>
        <w:rPr>
          <w:rFonts w:ascii="Times New Roman" w:eastAsia="Calibri" w:hAnsi="Times New Roman" w:cs="Times New Roman"/>
          <w:sz w:val="24"/>
          <w:szCs w:val="24"/>
        </w:rPr>
        <w:t xml:space="preserve">support </w:t>
      </w:r>
      <w:r w:rsidRPr="008012CB">
        <w:rPr>
          <w:rFonts w:ascii="Times New Roman" w:eastAsia="Calibri" w:hAnsi="Times New Roman" w:cs="Times New Roman"/>
          <w:sz w:val="24"/>
          <w:szCs w:val="24"/>
        </w:rPr>
        <w:t xml:space="preserve">their freedom of expression through artistic creation. Transparency would make any offers within and between MS comparable and creators would exercise their freedom of movement between MS more easily. On the other hand, </w:t>
      </w:r>
      <w:r>
        <w:rPr>
          <w:rFonts w:ascii="Times New Roman" w:eastAsia="Calibri" w:hAnsi="Times New Roman" w:cs="Times New Roman"/>
          <w:sz w:val="24"/>
          <w:szCs w:val="24"/>
        </w:rPr>
        <w:t>O</w:t>
      </w:r>
      <w:r w:rsidRPr="008012CB">
        <w:rPr>
          <w:rFonts w:ascii="Times New Roman" w:eastAsia="Calibri" w:hAnsi="Times New Roman" w:cs="Times New Roman"/>
          <w:sz w:val="24"/>
          <w:szCs w:val="24"/>
        </w:rPr>
        <w:t xml:space="preserve">ption 2 would introduce constraints on the right to conduct a business of contractual counterparties insofar as the production of reporting statements would constitute an additional administrative burden. The reporting obligation introduced by </w:t>
      </w:r>
      <w:r>
        <w:rPr>
          <w:rFonts w:ascii="Times New Roman" w:eastAsia="Calibri" w:hAnsi="Times New Roman" w:cs="Times New Roman"/>
          <w:sz w:val="24"/>
          <w:szCs w:val="24"/>
        </w:rPr>
        <w:t>O</w:t>
      </w:r>
      <w:r w:rsidRPr="008012CB">
        <w:rPr>
          <w:rFonts w:ascii="Times New Roman" w:eastAsia="Calibri" w:hAnsi="Times New Roman" w:cs="Times New Roman"/>
          <w:sz w:val="24"/>
          <w:szCs w:val="24"/>
        </w:rPr>
        <w:t>ption 2 would only have a limited and proportionate impact on contractual freedom as this ex-post instrument would not affect formulation of the terms of the contracts.</w:t>
      </w:r>
    </w:p>
    <w:p w:rsidR="007B61B9" w:rsidRPr="008012CB" w:rsidRDefault="007B61B9" w:rsidP="007B61B9">
      <w:pPr>
        <w:spacing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b/>
          <w:sz w:val="24"/>
          <w:szCs w:val="24"/>
          <w:u w:val="single"/>
        </w:rPr>
        <w:t xml:space="preserve">Option 3 </w:t>
      </w:r>
      <w:r w:rsidR="00BC53CF" w:rsidRPr="008012CB">
        <w:rPr>
          <w:rFonts w:ascii="Times New Roman" w:eastAsia="Calibri" w:hAnsi="Times New Roman" w:cs="Times New Roman"/>
          <w:b/>
          <w:sz w:val="24"/>
          <w:szCs w:val="24"/>
          <w:u w:val="single"/>
        </w:rPr>
        <w:t xml:space="preserve">– Imposing </w:t>
      </w:r>
      <w:r w:rsidRPr="008012CB">
        <w:rPr>
          <w:rFonts w:ascii="Times New Roman" w:eastAsia="Calibri" w:hAnsi="Times New Roman" w:cs="Times New Roman"/>
          <w:b/>
          <w:sz w:val="24"/>
          <w:szCs w:val="24"/>
          <w:u w:val="single"/>
        </w:rPr>
        <w:t xml:space="preserve">transparency obligations on the contractual counterparty of creators supported by a contract adjustment right and a dispute resolution mechanism </w:t>
      </w:r>
    </w:p>
    <w:p w:rsidR="00BC53CF" w:rsidRPr="008012CB" w:rsidRDefault="00BC53CF" w:rsidP="00B30762">
      <w:pPr>
        <w:spacing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sz w:val="24"/>
          <w:szCs w:val="24"/>
        </w:rPr>
        <w:t>In addition to the impacts of the reporting obligation as presented above, the mechanisms under this option would have the following impacts</w:t>
      </w:r>
      <w:r w:rsidR="00713F3F">
        <w:rPr>
          <w:rFonts w:ascii="Times New Roman" w:eastAsia="Calibri" w:hAnsi="Times New Roman" w:cs="Times New Roman"/>
          <w:sz w:val="24"/>
          <w:szCs w:val="24"/>
        </w:rPr>
        <w:t>:</w:t>
      </w:r>
    </w:p>
    <w:p w:rsidR="007B61B9" w:rsidRPr="008012CB" w:rsidRDefault="007B61B9" w:rsidP="00B30762">
      <w:pPr>
        <w:spacing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b/>
          <w:sz w:val="24"/>
          <w:szCs w:val="24"/>
          <w:u w:val="single"/>
        </w:rPr>
        <w:t>I. Contract adjustment mechanism</w:t>
      </w:r>
    </w:p>
    <w:p w:rsidR="00B30762" w:rsidRPr="008012CB" w:rsidRDefault="00B30762" w:rsidP="00B30762">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7B61B9" w:rsidRPr="008012CB" w:rsidRDefault="007B61B9" w:rsidP="00B30762">
      <w:pPr>
        <w:spacing w:after="120" w:line="240" w:lineRule="auto"/>
        <w:jc w:val="both"/>
        <w:rPr>
          <w:rFonts w:ascii="Times New Roman" w:eastAsia="Calibri" w:hAnsi="Times New Roman" w:cs="Times New Roman"/>
          <w:b/>
          <w:sz w:val="24"/>
          <w:szCs w:val="24"/>
        </w:rPr>
      </w:pPr>
      <w:r w:rsidRPr="008012CB">
        <w:rPr>
          <w:rFonts w:ascii="Times New Roman" w:eastAsia="Calibri" w:hAnsi="Times New Roman" w:cs="Times New Roman"/>
          <w:b/>
          <w:sz w:val="24"/>
          <w:szCs w:val="24"/>
        </w:rPr>
        <w:t>Creators</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transparency of contracts</w:t>
      </w:r>
      <w:r w:rsidRPr="008012CB">
        <w:rPr>
          <w:rFonts w:ascii="Times New Roman" w:eastAsia="Calibri" w:hAnsi="Times New Roman" w:cs="Times New Roman"/>
          <w:sz w:val="24"/>
          <w:szCs w:val="24"/>
        </w:rPr>
        <w:t xml:space="preserve">: </w:t>
      </w:r>
      <w:r w:rsidR="00BC53CF" w:rsidRPr="008012CB">
        <w:rPr>
          <w:rFonts w:ascii="Times New Roman" w:eastAsia="Calibri" w:hAnsi="Times New Roman" w:cs="Times New Roman"/>
          <w:sz w:val="24"/>
          <w:szCs w:val="24"/>
        </w:rPr>
        <w:t xml:space="preserve">This mechanism would improve the effectiveness of the reporting obligation under </w:t>
      </w:r>
      <w:r w:rsidR="00FA4F47">
        <w:rPr>
          <w:rFonts w:ascii="Times New Roman" w:eastAsia="Calibri" w:hAnsi="Times New Roman" w:cs="Times New Roman"/>
          <w:sz w:val="24"/>
          <w:szCs w:val="24"/>
        </w:rPr>
        <w:t>O</w:t>
      </w:r>
      <w:r w:rsidR="00BC53CF" w:rsidRPr="008012CB">
        <w:rPr>
          <w:rFonts w:ascii="Times New Roman" w:eastAsia="Calibri" w:hAnsi="Times New Roman" w:cs="Times New Roman"/>
          <w:sz w:val="24"/>
          <w:szCs w:val="24"/>
        </w:rPr>
        <w:t>ption 2 since it would provide creators with legal means to request adjustment of the remuneration on the basis of the information received in reporting statements.</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lang w:eastAsia="en-GB"/>
        </w:rPr>
        <w:t>Impacts on the capability to receive appropriate remuneration:</w:t>
      </w:r>
      <w:r w:rsidRPr="008012CB">
        <w:rPr>
          <w:rFonts w:ascii="Times New Roman" w:eastAsia="Calibri" w:hAnsi="Times New Roman" w:cs="Times New Roman"/>
          <w:sz w:val="24"/>
          <w:szCs w:val="24"/>
          <w:lang w:eastAsia="en-GB"/>
        </w:rPr>
        <w:t xml:space="preserve"> </w:t>
      </w:r>
      <w:r w:rsidR="00BC53CF" w:rsidRPr="008012CB">
        <w:rPr>
          <w:rFonts w:ascii="Times New Roman" w:eastAsia="Calibri" w:hAnsi="Times New Roman" w:cs="Times New Roman"/>
          <w:sz w:val="24"/>
          <w:szCs w:val="24"/>
          <w:lang w:eastAsia="en-GB"/>
        </w:rPr>
        <w:t>This option would have a positive impact on the capability of creators to renegotiate contracts, particularly in extraordinary circumstances.</w:t>
      </w:r>
      <w:r w:rsidR="00BC53CF" w:rsidRPr="008012CB">
        <w:rPr>
          <w:rFonts w:ascii="Times New Roman" w:eastAsia="Calibri" w:hAnsi="Times New Roman" w:cs="Times New Roman"/>
          <w:sz w:val="24"/>
          <w:szCs w:val="24"/>
          <w:vertAlign w:val="superscript"/>
          <w:lang w:eastAsia="en-GB"/>
        </w:rPr>
        <w:footnoteReference w:id="581"/>
      </w:r>
      <w:r w:rsidR="00BC53CF" w:rsidRPr="008012CB">
        <w:rPr>
          <w:rFonts w:ascii="Times New Roman" w:eastAsia="Calibri" w:hAnsi="Times New Roman" w:cs="Times New Roman"/>
          <w:sz w:val="24"/>
          <w:szCs w:val="24"/>
          <w:lang w:eastAsia="en-GB"/>
        </w:rPr>
        <w:t xml:space="preserve"> The contract adjustment mechanism could remedy those cases in which a lump-sum/buy-out deal turns out to be unfair, and it also addresses outright unbalanced deals as well as changed circumstances.</w:t>
      </w:r>
      <w:r w:rsidR="00BC53CF" w:rsidRPr="008012CB">
        <w:rPr>
          <w:rFonts w:ascii="Times New Roman" w:eastAsia="Calibri" w:hAnsi="Times New Roman" w:cs="Times New Roman"/>
          <w:sz w:val="24"/>
          <w:szCs w:val="24"/>
          <w:vertAlign w:val="superscript"/>
          <w:lang w:eastAsia="en-GB"/>
        </w:rPr>
        <w:footnoteReference w:id="582"/>
      </w:r>
      <w:r w:rsidR="00BC53CF" w:rsidRPr="008012CB">
        <w:rPr>
          <w:rFonts w:ascii="Times New Roman" w:eastAsia="Calibri" w:hAnsi="Times New Roman" w:cs="Times New Roman"/>
          <w:sz w:val="24"/>
          <w:szCs w:val="24"/>
          <w:lang w:eastAsia="en-GB"/>
        </w:rPr>
        <w:t xml:space="preserve"> The mechanism would reinforce creators' bargaining position.</w:t>
      </w:r>
      <w:r w:rsidR="00CA4144">
        <w:rPr>
          <w:rFonts w:ascii="Times New Roman" w:eastAsia="Calibri" w:hAnsi="Times New Roman" w:cs="Times New Roman"/>
          <w:sz w:val="24"/>
          <w:szCs w:val="24"/>
          <w:lang w:eastAsia="en-GB"/>
        </w:rPr>
        <w:t xml:space="preserve"> In </w:t>
      </w:r>
      <w:r w:rsidR="00CA4144" w:rsidRPr="008012CB">
        <w:rPr>
          <w:rFonts w:ascii="Times New Roman" w:eastAsia="Calibri" w:hAnsi="Times New Roman" w:cs="Times New Roman"/>
          <w:sz w:val="24"/>
          <w:szCs w:val="24"/>
        </w:rPr>
        <w:t>MS</w:t>
      </w:r>
      <w:r w:rsidR="00CA4144">
        <w:rPr>
          <w:rFonts w:ascii="Times New Roman" w:eastAsia="Calibri" w:hAnsi="Times New Roman" w:cs="Times New Roman"/>
          <w:sz w:val="24"/>
          <w:szCs w:val="24"/>
        </w:rPr>
        <w:t xml:space="preserve"> where such a mechanism already exists (</w:t>
      </w:r>
      <w:r w:rsidR="00CA4144" w:rsidRPr="008012CB">
        <w:rPr>
          <w:rFonts w:ascii="Times New Roman" w:eastAsia="Calibri" w:hAnsi="Times New Roman" w:cs="Times New Roman"/>
          <w:sz w:val="24"/>
          <w:szCs w:val="24"/>
        </w:rPr>
        <w:t>including DE, FR or HU</w:t>
      </w:r>
      <w:r w:rsidR="00CA4144">
        <w:rPr>
          <w:rFonts w:ascii="Times New Roman" w:eastAsia="Calibri" w:hAnsi="Times New Roman" w:cs="Times New Roman"/>
          <w:sz w:val="24"/>
          <w:szCs w:val="24"/>
        </w:rPr>
        <w:t>)</w:t>
      </w:r>
      <w:r w:rsidR="00CA4144" w:rsidRPr="008012CB">
        <w:rPr>
          <w:rFonts w:ascii="Times New Roman" w:eastAsia="Calibri" w:hAnsi="Times New Roman" w:cs="Times New Roman"/>
          <w:sz w:val="24"/>
          <w:szCs w:val="24"/>
        </w:rPr>
        <w:t>, the related case-law</w:t>
      </w:r>
      <w:r w:rsidR="00CA4144" w:rsidRPr="008012CB">
        <w:rPr>
          <w:rFonts w:ascii="Times New Roman" w:eastAsia="Calibri" w:hAnsi="Times New Roman" w:cs="Times New Roman"/>
          <w:sz w:val="24"/>
          <w:szCs w:val="24"/>
          <w:vertAlign w:val="superscript"/>
        </w:rPr>
        <w:footnoteReference w:id="583"/>
      </w:r>
      <w:r w:rsidR="00CA4144" w:rsidRPr="008012CB">
        <w:rPr>
          <w:rFonts w:ascii="Times New Roman" w:eastAsia="Calibri" w:hAnsi="Times New Roman" w:cs="Times New Roman"/>
          <w:sz w:val="24"/>
          <w:szCs w:val="24"/>
        </w:rPr>
        <w:t xml:space="preserve"> and information received from stakeholders is extremely limited suggesting that contract adjustment rights are mainly used as leverage in negotiations</w:t>
      </w:r>
      <w:r w:rsidR="00CA4144">
        <w:rPr>
          <w:rFonts w:ascii="Times New Roman" w:eastAsia="Calibri" w:hAnsi="Times New Roman" w:cs="Times New Roman"/>
          <w:sz w:val="24"/>
          <w:szCs w:val="24"/>
        </w:rPr>
        <w:t xml:space="preserve"> </w:t>
      </w:r>
      <w:r w:rsidR="00CA4144" w:rsidRPr="008012CB">
        <w:rPr>
          <w:rFonts w:ascii="Times New Roman" w:eastAsia="Calibri" w:hAnsi="Times New Roman" w:cs="Times New Roman"/>
          <w:sz w:val="24"/>
          <w:szCs w:val="24"/>
          <w:lang w:eastAsia="en-GB"/>
        </w:rPr>
        <w:t>before and after signing the contract</w:t>
      </w:r>
      <w:r w:rsidR="00CA4144" w:rsidRPr="008012CB">
        <w:rPr>
          <w:rFonts w:ascii="Times New Roman" w:eastAsia="Calibri" w:hAnsi="Times New Roman" w:cs="Times New Roman"/>
          <w:sz w:val="24"/>
          <w:szCs w:val="24"/>
        </w:rPr>
        <w:t>. Nevertheless, creators would be more likely to invoke such a right if they received more information on revenues because of the reporting obligation.</w:t>
      </w:r>
    </w:p>
    <w:p w:rsidR="007B61B9" w:rsidRPr="008012CB" w:rsidRDefault="007B61B9" w:rsidP="00B30762">
      <w:pPr>
        <w:spacing w:after="120" w:line="240" w:lineRule="auto"/>
        <w:jc w:val="both"/>
        <w:rPr>
          <w:rFonts w:ascii="Times New Roman" w:eastAsia="Calibri" w:hAnsi="Times New Roman" w:cs="Times New Roman"/>
          <w:b/>
          <w:sz w:val="24"/>
          <w:szCs w:val="24"/>
          <w:lang w:eastAsia="en-GB"/>
        </w:rPr>
      </w:pPr>
      <w:r w:rsidRPr="008012CB">
        <w:rPr>
          <w:rFonts w:ascii="Times New Roman" w:eastAsia="Calibri" w:hAnsi="Times New Roman" w:cs="Times New Roman"/>
          <w:b/>
          <w:sz w:val="24"/>
          <w:szCs w:val="24"/>
          <w:lang w:eastAsia="en-GB"/>
        </w:rPr>
        <w:t>Contractual counterparties</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lang w:eastAsia="en-GB"/>
        </w:rPr>
        <w:t>Impacts on compliance cost:</w:t>
      </w:r>
      <w:r w:rsidRPr="008012CB">
        <w:rPr>
          <w:rFonts w:ascii="Times New Roman" w:eastAsia="Calibri" w:hAnsi="Times New Roman" w:cs="Times New Roman"/>
          <w:sz w:val="24"/>
          <w:szCs w:val="24"/>
          <w:lang w:eastAsia="en-GB"/>
        </w:rPr>
        <w:t xml:space="preserve"> </w:t>
      </w:r>
      <w:r w:rsidR="00CA4144">
        <w:rPr>
          <w:rFonts w:ascii="Times New Roman" w:eastAsia="Calibri" w:hAnsi="Times New Roman" w:cs="Times New Roman"/>
          <w:sz w:val="24"/>
          <w:szCs w:val="24"/>
          <w:lang w:eastAsia="en-GB"/>
        </w:rPr>
        <w:t>C</w:t>
      </w:r>
      <w:r w:rsidR="00BC53CF" w:rsidRPr="008012CB">
        <w:rPr>
          <w:rFonts w:ascii="Times New Roman" w:eastAsia="Calibri" w:hAnsi="Times New Roman" w:cs="Times New Roman"/>
          <w:sz w:val="24"/>
          <w:szCs w:val="24"/>
          <w:lang w:eastAsia="en-GB"/>
        </w:rPr>
        <w:t>ontractual counterparty would incur a renegotiation cost when adjusting the contract. Such cost includes the renegotiation cost itself and the cost related to the increase of the remuneration owed to the creator. Costs associated to the renegotiation of contracts are very difficult to estimate as they would depend on various factors as the number of relevant works, the scope of the assigned rights, the extent of changes that parties want to introduce and the current practices of remuneration negotiation. The Commission has not been able to obtain any estimation of such costs. However, in light of the bargaining position of the majority of creators, the long-term duration of many contracts and the unpredictability of the commercial success of works in many sectors, the possible cost of compliance with a contract adjustment right seems justified on fairness grounds and proportionate. In case of unsuccessful negotiations, if the contractual counterparties and creators choose to use the dispute resolution mechanism, they would face alternative dispute resolution costs, as the ones described below. Costs related to the increase of the remuneration owed cannot be considered as an additional financial impact since they would constitute an eventual rebalancing of the share of value between creators and their contractual counterparties.</w:t>
      </w:r>
      <w:r w:rsidRPr="008012CB">
        <w:rPr>
          <w:rFonts w:ascii="Times New Roman" w:eastAsia="Calibri" w:hAnsi="Times New Roman" w:cs="Times New Roman"/>
          <w:sz w:val="24"/>
          <w:szCs w:val="24"/>
        </w:rPr>
        <w:t xml:space="preserve"> </w:t>
      </w:r>
    </w:p>
    <w:p w:rsidR="007B61B9" w:rsidRPr="008012CB" w:rsidRDefault="00BC53CF"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Even though such measures would be very important for the affected individual creator, the direct impact on contractual counterparties would be limited since it would affect a limited number of contracts. Such cases will arise only when a significant disproportion between the agreed remuneration and the revenues yielded from the exploitation of the work occurs.</w:t>
      </w:r>
      <w:r w:rsidRPr="008012CB" w:rsidDel="00605CA5">
        <w:rPr>
          <w:rFonts w:ascii="Times New Roman" w:eastAsia="Calibri" w:hAnsi="Times New Roman" w:cs="Times New Roman"/>
          <w:sz w:val="24"/>
          <w:szCs w:val="24"/>
          <w:vertAlign w:val="superscript"/>
        </w:rPr>
        <w:t xml:space="preserve"> </w:t>
      </w:r>
      <w:r w:rsidRPr="008012CB">
        <w:rPr>
          <w:rFonts w:ascii="Times New Roman" w:eastAsia="Calibri" w:hAnsi="Times New Roman" w:cs="Times New Roman"/>
          <w:sz w:val="24"/>
          <w:szCs w:val="24"/>
        </w:rPr>
        <w:t>In addition, in countries where legislation already provides for an adjustment mechanism, it is recogni</w:t>
      </w:r>
      <w:r w:rsidR="0083659F">
        <w:rPr>
          <w:rFonts w:ascii="Times New Roman" w:eastAsia="Calibri" w:hAnsi="Times New Roman" w:cs="Times New Roman"/>
          <w:sz w:val="24"/>
          <w:szCs w:val="24"/>
        </w:rPr>
        <w:t>s</w:t>
      </w:r>
      <w:r w:rsidRPr="008012CB">
        <w:rPr>
          <w:rFonts w:ascii="Times New Roman" w:eastAsia="Calibri" w:hAnsi="Times New Roman" w:cs="Times New Roman"/>
          <w:sz w:val="24"/>
          <w:szCs w:val="24"/>
        </w:rPr>
        <w:t>ed that this clause is rarely enforced before the courts.</w:t>
      </w:r>
      <w:r w:rsidRPr="008012CB">
        <w:rPr>
          <w:rFonts w:ascii="Times New Roman" w:eastAsia="Calibri" w:hAnsi="Times New Roman" w:cs="Times New Roman"/>
          <w:sz w:val="24"/>
          <w:szCs w:val="24"/>
          <w:vertAlign w:val="superscript"/>
        </w:rPr>
        <w:footnoteReference w:id="584"/>
      </w:r>
    </w:p>
    <w:p w:rsidR="007B61B9" w:rsidRPr="008012CB" w:rsidRDefault="007B61B9" w:rsidP="00B30762">
      <w:pPr>
        <w:spacing w:after="120" w:line="240" w:lineRule="auto"/>
        <w:jc w:val="both"/>
        <w:rPr>
          <w:rFonts w:ascii="Times New Roman" w:eastAsia="Calibri" w:hAnsi="Times New Roman" w:cs="Times New Roman"/>
          <w:b/>
          <w:sz w:val="24"/>
          <w:szCs w:val="24"/>
          <w:u w:val="single"/>
        </w:rPr>
      </w:pPr>
      <w:r w:rsidRPr="008012CB">
        <w:rPr>
          <w:rFonts w:ascii="Times New Roman" w:eastAsia="Calibri" w:hAnsi="Times New Roman" w:cs="Times New Roman"/>
          <w:b/>
          <w:sz w:val="24"/>
          <w:szCs w:val="24"/>
          <w:u w:val="single"/>
        </w:rPr>
        <w:t>I</w:t>
      </w:r>
      <w:r w:rsidR="00B30762" w:rsidRPr="008012CB">
        <w:rPr>
          <w:rFonts w:ascii="Times New Roman" w:eastAsia="Calibri" w:hAnsi="Times New Roman" w:cs="Times New Roman"/>
          <w:b/>
          <w:sz w:val="24"/>
          <w:szCs w:val="24"/>
          <w:u w:val="single"/>
        </w:rPr>
        <w:t>I. Dispute resolution mechanism</w:t>
      </w:r>
    </w:p>
    <w:p w:rsidR="007B61B9" w:rsidRPr="008012CB" w:rsidRDefault="00BC53CF"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The implementation of dispute resolution mechanisms will have impacts both on MS which will have to set up such mechanisms and on creators and their contractual counterparties which will initiate dispute settlement proceedings.</w:t>
      </w:r>
    </w:p>
    <w:p w:rsidR="00B30762" w:rsidRPr="00D1507D" w:rsidRDefault="00B30762" w:rsidP="00D1507D">
      <w:pPr>
        <w:spacing w:after="120" w:line="240" w:lineRule="auto"/>
        <w:rPr>
          <w:rFonts w:ascii="Times New Roman" w:hAnsi="Times New Roman"/>
          <w:b/>
          <w:sz w:val="24"/>
          <w:lang w:val="en-AU"/>
        </w:rPr>
      </w:pPr>
      <w:r w:rsidRPr="008012CB">
        <w:rPr>
          <w:rFonts w:ascii="Times New Roman Bold" w:eastAsia="Arial Unicode MS" w:hAnsi="Times New Roman Bold" w:cs="Times New Roman"/>
          <w:b/>
          <w:smallCaps/>
          <w:sz w:val="24"/>
          <w:szCs w:val="24"/>
          <w:bdr w:val="none" w:sz="0" w:space="0" w:color="auto" w:frame="1"/>
        </w:rPr>
        <w:t xml:space="preserve">Impacts on </w:t>
      </w:r>
      <w:r w:rsidR="00181FF9" w:rsidRPr="00D1507D">
        <w:rPr>
          <w:rFonts w:ascii="Times New Roman Bold" w:hAnsi="Times New Roman Bold"/>
          <w:b/>
          <w:smallCaps/>
          <w:sz w:val="24"/>
          <w:bdr w:val="none" w:sz="0" w:space="0" w:color="auto" w:frame="1"/>
        </w:rPr>
        <w:t>Member States</w:t>
      </w:r>
    </w:p>
    <w:p w:rsidR="00CA4144" w:rsidRPr="008012CB" w:rsidDel="00CD59ED" w:rsidRDefault="00CA4144" w:rsidP="00CA4144">
      <w:pPr>
        <w:spacing w:after="120" w:line="240" w:lineRule="auto"/>
        <w:jc w:val="both"/>
        <w:rPr>
          <w:rFonts w:ascii="Times New Roman" w:eastAsia="Calibri" w:hAnsi="Times New Roman" w:cs="Times New Roman"/>
          <w:sz w:val="24"/>
          <w:szCs w:val="24"/>
          <w:lang w:eastAsia="en-GB"/>
        </w:rPr>
      </w:pPr>
      <w:r w:rsidRPr="008012CB" w:rsidDel="00CD59ED">
        <w:rPr>
          <w:rFonts w:ascii="Times New Roman" w:eastAsia="Calibri" w:hAnsi="Times New Roman" w:cs="Times New Roman"/>
          <w:sz w:val="24"/>
          <w:szCs w:val="24"/>
          <w:u w:val="single"/>
          <w:lang w:eastAsia="en-GB"/>
        </w:rPr>
        <w:t>Impacts on implementation costs</w:t>
      </w:r>
      <w:r w:rsidRPr="008012CB" w:rsidDel="00CD59ED">
        <w:rPr>
          <w:rFonts w:ascii="Times New Roman" w:eastAsia="Calibri" w:hAnsi="Times New Roman" w:cs="Times New Roman"/>
          <w:sz w:val="24"/>
          <w:szCs w:val="24"/>
          <w:lang w:eastAsia="en-GB"/>
        </w:rPr>
        <w:t xml:space="preserve">: </w:t>
      </w:r>
      <w:r w:rsidRPr="008012CB" w:rsidDel="00CD59ED">
        <w:rPr>
          <w:rFonts w:ascii="Times New Roman" w:eastAsia="Calibri" w:hAnsi="Times New Roman" w:cs="Times New Roman"/>
          <w:sz w:val="24"/>
          <w:szCs w:val="24"/>
        </w:rPr>
        <w:t xml:space="preserve">MS would incur some cost for setting up the dispute resolution mechanism. These costs would depend on the system of dispute resolution chosen by a MS. </w:t>
      </w:r>
      <w:r>
        <w:rPr>
          <w:rFonts w:ascii="Times New Roman" w:eastAsia="Calibri" w:hAnsi="Times New Roman" w:cs="Times New Roman"/>
          <w:sz w:val="24"/>
          <w:szCs w:val="24"/>
        </w:rPr>
        <w:t>They are expected to remain reasonable for the</w:t>
      </w:r>
      <w:r w:rsidRPr="008012CB" w:rsidDel="00CD59ED">
        <w:rPr>
          <w:rFonts w:ascii="Times New Roman" w:eastAsia="Calibri" w:hAnsi="Times New Roman" w:cs="Times New Roman"/>
          <w:sz w:val="24"/>
          <w:szCs w:val="24"/>
        </w:rPr>
        <w:t xml:space="preserve"> majority of MS </w:t>
      </w:r>
      <w:r>
        <w:rPr>
          <w:rFonts w:ascii="Times New Roman" w:eastAsia="Calibri" w:hAnsi="Times New Roman" w:cs="Times New Roman"/>
          <w:sz w:val="24"/>
          <w:szCs w:val="24"/>
        </w:rPr>
        <w:t xml:space="preserve">which </w:t>
      </w:r>
      <w:r w:rsidRPr="008012CB" w:rsidDel="00CD59ED">
        <w:rPr>
          <w:rFonts w:ascii="Times New Roman" w:eastAsia="Calibri" w:hAnsi="Times New Roman" w:cs="Times New Roman"/>
          <w:sz w:val="24"/>
          <w:szCs w:val="24"/>
        </w:rPr>
        <w:t>already have dispute resolution mechanisms for CMOs and commercial users in place and could therefore build on the existing structures. As a matter of comparison, when the implementation of dispute resolution mechanisms aimed at solving disputes arising between CMOs and their members was assessed, it was reported that the costs of establishing such mechanisms would be in the range of €35,000, and the operating costs in the range of €11,000 per year.</w:t>
      </w:r>
      <w:r w:rsidR="00181FF9" w:rsidRPr="008012CB">
        <w:rPr>
          <w:rFonts w:ascii="Times New Roman" w:eastAsia="Calibri" w:hAnsi="Times New Roman" w:cs="Times New Roman"/>
          <w:sz w:val="24"/>
          <w:szCs w:val="24"/>
          <w:vertAlign w:val="superscript"/>
        </w:rPr>
        <w:footnoteReference w:id="585"/>
      </w:r>
      <w:r w:rsidR="00181FF9">
        <w:rPr>
          <w:rFonts w:ascii="Times New Roman" w:eastAsia="Calibri" w:hAnsi="Times New Roman" w:cs="Times New Roman"/>
          <w:sz w:val="24"/>
          <w:szCs w:val="24"/>
        </w:rPr>
        <w:t xml:space="preserve"> </w:t>
      </w:r>
      <w:r w:rsidRPr="008012CB" w:rsidDel="00CD59ED">
        <w:rPr>
          <w:rFonts w:ascii="Times New Roman" w:eastAsia="Calibri" w:hAnsi="Times New Roman" w:cs="Times New Roman"/>
          <w:sz w:val="24"/>
          <w:szCs w:val="24"/>
        </w:rPr>
        <w:t>Given the similarities between the envisaged dispute mechanism and the one assessed for CMOs, MS will arguably bear similar costs to the ones reported above. Finally, as alternative dispute resolution mechanisms tend to be cheaper than judicial proceedings, in the long term the cost of setting-up such a mechanism could be offset by savings made due to a lower number of court cases.</w:t>
      </w:r>
    </w:p>
    <w:p w:rsidR="00181FF9" w:rsidRPr="008012CB" w:rsidRDefault="00181FF9" w:rsidP="00181FF9">
      <w:pPr>
        <w:spacing w:after="120" w:line="240" w:lineRule="auto"/>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Impacts on stakeholders</w:t>
      </w:r>
    </w:p>
    <w:p w:rsidR="007B61B9" w:rsidRPr="008012CB" w:rsidRDefault="007B61B9" w:rsidP="00B30762">
      <w:pPr>
        <w:spacing w:after="120" w:line="240" w:lineRule="auto"/>
        <w:jc w:val="both"/>
        <w:rPr>
          <w:rFonts w:ascii="Times New Roman" w:eastAsia="Calibri" w:hAnsi="Times New Roman" w:cs="Times New Roman"/>
          <w:b/>
          <w:sz w:val="24"/>
          <w:szCs w:val="24"/>
        </w:rPr>
      </w:pPr>
      <w:r w:rsidRPr="008012CB">
        <w:rPr>
          <w:rFonts w:ascii="Times New Roman" w:eastAsia="Calibri" w:hAnsi="Times New Roman" w:cs="Times New Roman"/>
          <w:b/>
          <w:sz w:val="24"/>
          <w:szCs w:val="24"/>
        </w:rPr>
        <w:t>Creators and contractual counterparties</w:t>
      </w:r>
    </w:p>
    <w:p w:rsidR="00D10065" w:rsidRPr="008012CB" w:rsidRDefault="007B61B9" w:rsidP="00D10065">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transparency of contracts</w:t>
      </w:r>
      <w:r w:rsidRPr="008012CB">
        <w:rPr>
          <w:rFonts w:ascii="Times New Roman" w:eastAsia="Calibri" w:hAnsi="Times New Roman" w:cs="Times New Roman"/>
          <w:sz w:val="24"/>
          <w:szCs w:val="24"/>
        </w:rPr>
        <w:t xml:space="preserve">: </w:t>
      </w:r>
      <w:r w:rsidR="00D10065" w:rsidRPr="008012CB">
        <w:rPr>
          <w:rFonts w:ascii="Times New Roman" w:eastAsia="Calibri" w:hAnsi="Times New Roman" w:cs="Times New Roman"/>
          <w:sz w:val="24"/>
          <w:szCs w:val="24"/>
        </w:rPr>
        <w:t>The dispute mechanism will enable creators to enforce more efficiently transparency obligations and the possibilities offered by the adjustment mechanism. Since dispute settlement proceedings will be less costly and faster that court proceedings, creators will be more incentivi</w:t>
      </w:r>
      <w:r w:rsidR="0083659F">
        <w:rPr>
          <w:rFonts w:ascii="Times New Roman" w:eastAsia="Calibri" w:hAnsi="Times New Roman" w:cs="Times New Roman"/>
          <w:sz w:val="24"/>
          <w:szCs w:val="24"/>
        </w:rPr>
        <w:t>s</w:t>
      </w:r>
      <w:r w:rsidR="00D10065" w:rsidRPr="008012CB">
        <w:rPr>
          <w:rFonts w:ascii="Times New Roman" w:eastAsia="Calibri" w:hAnsi="Times New Roman" w:cs="Times New Roman"/>
          <w:sz w:val="24"/>
          <w:szCs w:val="24"/>
        </w:rPr>
        <w:t>ed to seek enforcement of their rights.</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 xml:space="preserve">Impacts </w:t>
      </w:r>
      <w:r w:rsidRPr="008012CB">
        <w:rPr>
          <w:rFonts w:ascii="Times New Roman" w:eastAsia="Calibri" w:hAnsi="Times New Roman" w:cs="Times New Roman"/>
          <w:sz w:val="24"/>
          <w:szCs w:val="24"/>
          <w:u w:val="single"/>
          <w:lang w:eastAsia="en-GB"/>
        </w:rPr>
        <w:t>on the capability to receive appropriate remuneration</w:t>
      </w:r>
      <w:r w:rsidRPr="008012CB">
        <w:rPr>
          <w:rFonts w:ascii="Times New Roman" w:eastAsia="Calibri" w:hAnsi="Times New Roman" w:cs="Times New Roman"/>
          <w:sz w:val="24"/>
          <w:szCs w:val="24"/>
        </w:rPr>
        <w:t xml:space="preserve">: </w:t>
      </w:r>
      <w:r w:rsidR="00D10065" w:rsidRPr="008012CB">
        <w:rPr>
          <w:rFonts w:ascii="Times New Roman" w:eastAsia="Calibri" w:hAnsi="Times New Roman" w:cs="Times New Roman"/>
          <w:sz w:val="24"/>
          <w:szCs w:val="24"/>
        </w:rPr>
        <w:t>Thanks to a more effective implementation of transparency obligations and a better enforcement of the contract adjustment mechanism, creators will be able to seek more appropriate remuneration without risking their professional relationships as much as they would by going directly to court.</w:t>
      </w:r>
    </w:p>
    <w:p w:rsidR="007B61B9" w:rsidRPr="008012CB" w:rsidRDefault="007B61B9"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u w:val="single"/>
        </w:rPr>
        <w:t>Impacts on cost of proceedings</w:t>
      </w:r>
      <w:r w:rsidRPr="008012CB">
        <w:rPr>
          <w:rFonts w:ascii="Times New Roman" w:eastAsia="Calibri" w:hAnsi="Times New Roman" w:cs="Times New Roman"/>
          <w:sz w:val="24"/>
          <w:szCs w:val="24"/>
        </w:rPr>
        <w:t xml:space="preserve">: </w:t>
      </w:r>
      <w:r w:rsidR="00D10065" w:rsidRPr="008012CB">
        <w:rPr>
          <w:rFonts w:ascii="Times New Roman" w:eastAsia="Calibri" w:hAnsi="Times New Roman" w:cs="Times New Roman"/>
          <w:sz w:val="24"/>
          <w:szCs w:val="24"/>
        </w:rPr>
        <w:t>The operating costs would be borne by the creators and their contractual counterparties. Costs are expected to be relatively similar to the fees set for already existing alternative dispute resolution mechanisms. As an example, the British Publishers Association set up an Informal Dispute Settlements mechanism whose fees incurred by parties include the referee's fee (£400 for half-day hearing, £650 for full-day hearing), the referee's expenses (travel, telephone, copying), and the Association's fees (without charge for members of the Association, non-member publishers: £250, other parties: £100).</w:t>
      </w:r>
      <w:r w:rsidR="00D10065" w:rsidRPr="008012CB">
        <w:rPr>
          <w:rFonts w:ascii="Times New Roman" w:eastAsia="Calibri" w:hAnsi="Times New Roman" w:cs="Times New Roman"/>
          <w:sz w:val="24"/>
          <w:szCs w:val="24"/>
          <w:vertAlign w:val="superscript"/>
        </w:rPr>
        <w:footnoteReference w:id="586"/>
      </w:r>
      <w:r w:rsidR="00D10065" w:rsidRPr="008012CB">
        <w:rPr>
          <w:rFonts w:ascii="Times New Roman" w:eastAsia="Calibri" w:hAnsi="Times New Roman" w:cs="Times New Roman"/>
          <w:sz w:val="24"/>
          <w:szCs w:val="24"/>
        </w:rPr>
        <w:t xml:space="preserve"> WIPO estimates fees for a mediation proceeding at $250 (administration fee) + mediator's fees calculated on the basis on the amount in dispute (amount in dispute up to $250,000: $2,500. Amount in dispute over $250,000: $300-600 per hour / $1,500-3,500 per day).</w:t>
      </w:r>
      <w:r w:rsidR="00D10065" w:rsidRPr="008012CB">
        <w:rPr>
          <w:rFonts w:ascii="Times New Roman" w:eastAsia="Calibri" w:hAnsi="Times New Roman" w:cs="Times New Roman"/>
          <w:sz w:val="24"/>
          <w:szCs w:val="24"/>
          <w:vertAlign w:val="superscript"/>
        </w:rPr>
        <w:footnoteReference w:id="587"/>
      </w:r>
      <w:r w:rsidR="00D10065" w:rsidRPr="008012CB">
        <w:rPr>
          <w:rFonts w:ascii="Times New Roman" w:eastAsia="Calibri" w:hAnsi="Times New Roman" w:cs="Times New Roman"/>
          <w:sz w:val="24"/>
          <w:szCs w:val="24"/>
        </w:rPr>
        <w:t xml:space="preserve"> As this would be a completely voluntary procedure it would have no economic impact on stakeholders that do not participate, and those who agree to it would be doing so for their own benefit.</w:t>
      </w:r>
    </w:p>
    <w:p w:rsidR="00B30762" w:rsidRPr="008012CB" w:rsidRDefault="00B30762" w:rsidP="00B30762">
      <w:pPr>
        <w:spacing w:after="120" w:line="240" w:lineRule="auto"/>
        <w:jc w:val="both"/>
        <w:rPr>
          <w:rFonts w:ascii="Times New Roman" w:eastAsia="Calibri" w:hAnsi="Times New Roman" w:cs="Times New Roman"/>
          <w:b/>
          <w:sz w:val="24"/>
          <w:szCs w:val="24"/>
          <w:lang w:val="en-AU"/>
        </w:rPr>
      </w:pPr>
      <w:r w:rsidRPr="008012CB">
        <w:rPr>
          <w:rFonts w:ascii="Times New Roman Bold" w:eastAsia="Arial Unicode MS" w:hAnsi="Times New Roman Bold" w:cs="Times New Roman"/>
          <w:b/>
          <w:smallCaps/>
          <w:sz w:val="24"/>
          <w:szCs w:val="24"/>
          <w:bdr w:val="none" w:sz="0" w:space="0" w:color="auto" w:frame="1"/>
        </w:rPr>
        <w:t>Social impacts</w:t>
      </w:r>
      <w:r w:rsidRPr="008012CB">
        <w:rPr>
          <w:rFonts w:ascii="Times New Roman" w:eastAsia="Calibri" w:hAnsi="Times New Roman" w:cs="Times New Roman"/>
          <w:b/>
          <w:sz w:val="24"/>
          <w:szCs w:val="24"/>
          <w:lang w:val="en-AU"/>
        </w:rPr>
        <w:t xml:space="preserve"> </w:t>
      </w:r>
    </w:p>
    <w:p w:rsidR="007B61B9" w:rsidRPr="008012CB" w:rsidRDefault="00D10065" w:rsidP="00B30762">
      <w:pPr>
        <w:spacing w:after="120" w:line="240" w:lineRule="auto"/>
        <w:jc w:val="both"/>
        <w:rPr>
          <w:rFonts w:ascii="Times New Roman" w:eastAsia="Calibri" w:hAnsi="Times New Roman" w:cs="Times New Roman"/>
          <w:sz w:val="24"/>
          <w:szCs w:val="24"/>
        </w:rPr>
      </w:pPr>
      <w:r w:rsidRPr="008012CB">
        <w:rPr>
          <w:rFonts w:ascii="Times New Roman" w:eastAsia="Calibri" w:hAnsi="Times New Roman" w:cs="Times New Roman"/>
          <w:sz w:val="24"/>
          <w:szCs w:val="24"/>
        </w:rPr>
        <w:t>The contract adjustment mechanism and the dispute resolution mechanism would encourage contractual relationships between creators and contractual counterparties to become fairer and more balanced. This would improve collaboration between creative stakeholders and incentivi</w:t>
      </w:r>
      <w:r w:rsidR="0083659F">
        <w:rPr>
          <w:rFonts w:ascii="Times New Roman" w:eastAsia="Calibri" w:hAnsi="Times New Roman" w:cs="Times New Roman"/>
          <w:sz w:val="24"/>
          <w:szCs w:val="24"/>
        </w:rPr>
        <w:t>s</w:t>
      </w:r>
      <w:r w:rsidRPr="008012CB">
        <w:rPr>
          <w:rFonts w:ascii="Times New Roman" w:eastAsia="Calibri" w:hAnsi="Times New Roman" w:cs="Times New Roman"/>
          <w:sz w:val="24"/>
          <w:szCs w:val="24"/>
        </w:rPr>
        <w:t>e a more conductive environment for creation. These mechanisms would also highlight the protection of creators to everyone in the value chain, including consumers.</w:t>
      </w:r>
    </w:p>
    <w:p w:rsidR="00B30762" w:rsidRPr="008012CB" w:rsidRDefault="00B30762" w:rsidP="00B30762">
      <w:pPr>
        <w:spacing w:after="120" w:line="240" w:lineRule="auto"/>
        <w:jc w:val="both"/>
        <w:rPr>
          <w:rFonts w:ascii="Times New Roman Bold" w:eastAsia="Arial Unicode MS" w:hAnsi="Times New Roman Bold" w:cs="Times New Roman" w:hint="eastAsia"/>
          <w:b/>
          <w:smallCaps/>
          <w:sz w:val="24"/>
          <w:szCs w:val="24"/>
          <w:bdr w:val="none" w:sz="0" w:space="0" w:color="auto" w:frame="1"/>
        </w:rPr>
      </w:pPr>
      <w:r w:rsidRPr="008012CB">
        <w:rPr>
          <w:rFonts w:ascii="Times New Roman Bold" w:eastAsia="Arial Unicode MS" w:hAnsi="Times New Roman Bold" w:cs="Times New Roman"/>
          <w:b/>
          <w:smallCaps/>
          <w:sz w:val="24"/>
          <w:szCs w:val="24"/>
          <w:bdr w:val="none" w:sz="0" w:space="0" w:color="auto" w:frame="1"/>
        </w:rPr>
        <w:t>Impacts on fundamental rights</w:t>
      </w:r>
    </w:p>
    <w:p w:rsidR="00CA4144" w:rsidRPr="008012CB" w:rsidRDefault="00CA4144" w:rsidP="00CA4144">
      <w:pPr>
        <w:spacing w:after="240" w:line="240" w:lineRule="auto"/>
        <w:jc w:val="both"/>
        <w:rPr>
          <w:rFonts w:ascii="Times New Roman" w:eastAsia="Calibri" w:hAnsi="Times New Roman" w:cs="Times New Roman"/>
          <w:sz w:val="24"/>
          <w:szCs w:val="24"/>
        </w:rPr>
      </w:pPr>
      <w:r w:rsidRPr="00D95068">
        <w:rPr>
          <w:rFonts w:ascii="Times New Roman" w:eastAsia="Calibri" w:hAnsi="Times New Roman" w:cs="Times New Roman"/>
          <w:sz w:val="24"/>
          <w:szCs w:val="24"/>
        </w:rPr>
        <w:t xml:space="preserve">Option 3 would further strengthen copyright as a property right since it would provide creators with legal remedies to claim for additional remuneration in the case where the information </w:t>
      </w:r>
      <w:r>
        <w:rPr>
          <w:rFonts w:ascii="Times New Roman" w:eastAsia="Calibri" w:hAnsi="Times New Roman" w:cs="Times New Roman"/>
          <w:sz w:val="24"/>
          <w:szCs w:val="24"/>
        </w:rPr>
        <w:t>received</w:t>
      </w:r>
      <w:r w:rsidRPr="00D95068">
        <w:rPr>
          <w:rFonts w:ascii="Times New Roman" w:eastAsia="Calibri" w:hAnsi="Times New Roman" w:cs="Times New Roman"/>
          <w:sz w:val="24"/>
          <w:szCs w:val="24"/>
        </w:rPr>
        <w:t xml:space="preserve"> would reveal that the agreed remuneration </w:t>
      </w:r>
      <w:r>
        <w:rPr>
          <w:rFonts w:ascii="Times New Roman" w:eastAsia="Calibri" w:hAnsi="Times New Roman" w:cs="Times New Roman"/>
          <w:sz w:val="24"/>
          <w:szCs w:val="24"/>
        </w:rPr>
        <w:t xml:space="preserve">is disproportionally low compared to </w:t>
      </w:r>
      <w:r w:rsidRPr="00D95068">
        <w:rPr>
          <w:rFonts w:ascii="Times New Roman" w:eastAsia="Calibri" w:hAnsi="Times New Roman" w:cs="Times New Roman"/>
          <w:sz w:val="24"/>
          <w:szCs w:val="24"/>
        </w:rPr>
        <w:t>the revenues derived from</w:t>
      </w:r>
      <w:r>
        <w:rPr>
          <w:rFonts w:ascii="Times New Roman" w:eastAsia="Calibri" w:hAnsi="Times New Roman" w:cs="Times New Roman"/>
          <w:sz w:val="24"/>
          <w:szCs w:val="24"/>
        </w:rPr>
        <w:t xml:space="preserve"> the exploitation of the work. </w:t>
      </w:r>
      <w:r w:rsidRPr="00D95068">
        <w:rPr>
          <w:rFonts w:ascii="Times New Roman" w:eastAsia="Calibri" w:hAnsi="Times New Roman" w:cs="Times New Roman"/>
          <w:sz w:val="24"/>
          <w:szCs w:val="24"/>
        </w:rPr>
        <w:t>The negative impact of the contract adjustment mechanism on the right to conduct a business would be offset by the implementation of the dispute resolution mechanism which would provide a non-binding opportunity for contractual counterparties to find an agreement on the remuneration owed to the creators.</w:t>
      </w:r>
    </w:p>
    <w:p w:rsidR="007B61B9" w:rsidRPr="008012CB" w:rsidRDefault="007B61B9" w:rsidP="00CF38F1">
      <w:pPr>
        <w:pStyle w:val="Heading3"/>
      </w:pPr>
      <w:bookmarkStart w:id="188" w:name="_Toc461114760"/>
      <w:r w:rsidRPr="008012CB">
        <w:t>How do the options compare?</w:t>
      </w:r>
      <w:bookmarkEnd w:id="188"/>
    </w:p>
    <w:tbl>
      <w:tblPr>
        <w:tblStyle w:val="TableGrid21"/>
        <w:tblW w:w="9324" w:type="dxa"/>
        <w:tblInd w:w="0" w:type="dxa"/>
        <w:tblLayout w:type="fixed"/>
        <w:tblLook w:val="04A0" w:firstRow="1" w:lastRow="0" w:firstColumn="1" w:lastColumn="0" w:noHBand="0" w:noVBand="1"/>
      </w:tblPr>
      <w:tblGrid>
        <w:gridCol w:w="1527"/>
        <w:gridCol w:w="1986"/>
        <w:gridCol w:w="1843"/>
        <w:gridCol w:w="2268"/>
        <w:gridCol w:w="1700"/>
      </w:tblGrid>
      <w:tr w:rsidR="00D10065" w:rsidRPr="008012CB" w:rsidTr="00B30762">
        <w:tc>
          <w:tcPr>
            <w:tcW w:w="1527"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jc w:val="center"/>
              <w:rPr>
                <w:rFonts w:ascii="Times New Roman" w:hAnsi="Times New Roman"/>
                <w:b/>
                <w:sz w:val="20"/>
                <w:szCs w:val="20"/>
              </w:rPr>
            </w:pPr>
            <w:r w:rsidRPr="008012CB">
              <w:rPr>
                <w:rFonts w:ascii="Times New Roman" w:hAnsi="Times New Roman"/>
                <w:b/>
                <w:sz w:val="20"/>
                <w:szCs w:val="20"/>
              </w:rPr>
              <w:t>Option</w:t>
            </w:r>
          </w:p>
        </w:tc>
        <w:tc>
          <w:tcPr>
            <w:tcW w:w="1986"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jc w:val="center"/>
              <w:rPr>
                <w:rFonts w:ascii="Times New Roman" w:hAnsi="Times New Roman"/>
                <w:b/>
                <w:sz w:val="20"/>
                <w:szCs w:val="20"/>
              </w:rPr>
            </w:pPr>
            <w:r w:rsidRPr="008012CB">
              <w:rPr>
                <w:rFonts w:ascii="Times New Roman" w:hAnsi="Times New Roman"/>
                <w:b/>
                <w:sz w:val="20"/>
                <w:szCs w:val="20"/>
              </w:rPr>
              <w:t>Effectiveness</w:t>
            </w:r>
          </w:p>
        </w:tc>
        <w:tc>
          <w:tcPr>
            <w:tcW w:w="1843"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jc w:val="center"/>
              <w:rPr>
                <w:rFonts w:ascii="Times New Roman" w:hAnsi="Times New Roman"/>
                <w:b/>
                <w:sz w:val="20"/>
                <w:szCs w:val="20"/>
              </w:rPr>
            </w:pPr>
            <w:r w:rsidRPr="008012CB">
              <w:rPr>
                <w:rFonts w:ascii="Times New Roman" w:hAnsi="Times New Roman"/>
                <w:b/>
                <w:sz w:val="20"/>
                <w:szCs w:val="20"/>
              </w:rPr>
              <w:t>Efficiency</w:t>
            </w:r>
          </w:p>
        </w:tc>
        <w:tc>
          <w:tcPr>
            <w:tcW w:w="2268"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jc w:val="center"/>
              <w:rPr>
                <w:rFonts w:ascii="Times New Roman" w:hAnsi="Times New Roman"/>
                <w:b/>
                <w:sz w:val="20"/>
                <w:szCs w:val="20"/>
              </w:rPr>
            </w:pPr>
            <w:r w:rsidRPr="008012CB">
              <w:rPr>
                <w:rFonts w:ascii="Times New Roman" w:hAnsi="Times New Roman"/>
                <w:b/>
                <w:sz w:val="20"/>
                <w:szCs w:val="20"/>
              </w:rPr>
              <w:t>Impact on stakeholders</w:t>
            </w:r>
          </w:p>
        </w:tc>
        <w:tc>
          <w:tcPr>
            <w:tcW w:w="1700"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ind w:left="33"/>
              <w:jc w:val="center"/>
              <w:rPr>
                <w:rFonts w:ascii="Times New Roman" w:hAnsi="Times New Roman"/>
                <w:b/>
                <w:sz w:val="20"/>
                <w:szCs w:val="20"/>
              </w:rPr>
            </w:pPr>
            <w:r w:rsidRPr="008012CB">
              <w:rPr>
                <w:rFonts w:ascii="Times New Roman" w:hAnsi="Times New Roman"/>
                <w:b/>
                <w:sz w:val="20"/>
                <w:szCs w:val="20"/>
              </w:rPr>
              <w:t>Social impacts and fundamental rights</w:t>
            </w:r>
          </w:p>
        </w:tc>
      </w:tr>
      <w:tr w:rsidR="00D10065" w:rsidRPr="008012CB" w:rsidTr="00B30762">
        <w:tc>
          <w:tcPr>
            <w:tcW w:w="1527"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rPr>
                <w:rFonts w:ascii="Times New Roman" w:hAnsi="Times New Roman"/>
                <w:b/>
                <w:sz w:val="20"/>
                <w:szCs w:val="20"/>
              </w:rPr>
            </w:pPr>
            <w:r w:rsidRPr="008012CB">
              <w:rPr>
                <w:rFonts w:ascii="Times New Roman" w:hAnsi="Times New Roman"/>
                <w:b/>
                <w:sz w:val="20"/>
                <w:szCs w:val="20"/>
              </w:rPr>
              <w:t>Baseline</w:t>
            </w:r>
          </w:p>
        </w:tc>
        <w:tc>
          <w:tcPr>
            <w:tcW w:w="1986"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Lack of transparency in the contractual relationships between creators and their contractual counterparties would remain</w:t>
            </w:r>
          </w:p>
        </w:tc>
        <w:tc>
          <w:tcPr>
            <w:tcW w:w="1843" w:type="dxa"/>
            <w:tcBorders>
              <w:top w:val="single" w:sz="4" w:space="0" w:color="auto"/>
              <w:left w:val="single" w:sz="4" w:space="0" w:color="auto"/>
              <w:bottom w:val="single" w:sz="4" w:space="0" w:color="auto"/>
              <w:right w:val="single" w:sz="4" w:space="0" w:color="auto"/>
            </w:tcBorders>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No direct costs associated with the baseline option</w:t>
            </w:r>
          </w:p>
          <w:p w:rsidR="00D10065" w:rsidRPr="008012CB" w:rsidRDefault="00D10065" w:rsidP="00D10065">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Impacts on stakeholders in particular the difference in bargaining powers would depend on reforms at national level and/or on commitments taken by the industry</w:t>
            </w:r>
          </w:p>
        </w:tc>
        <w:tc>
          <w:tcPr>
            <w:tcW w:w="1700"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(0) No direct impact on cultural diversity and fundamental rights</w:t>
            </w:r>
          </w:p>
        </w:tc>
      </w:tr>
      <w:tr w:rsidR="00D10065" w:rsidRPr="008012CB" w:rsidTr="00B30762">
        <w:tc>
          <w:tcPr>
            <w:tcW w:w="1527"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rPr>
                <w:rFonts w:ascii="Times New Roman" w:hAnsi="Times New Roman"/>
                <w:b/>
                <w:sz w:val="20"/>
                <w:szCs w:val="20"/>
              </w:rPr>
            </w:pPr>
            <w:r w:rsidRPr="008012CB">
              <w:rPr>
                <w:rFonts w:ascii="Times New Roman" w:hAnsi="Times New Roman"/>
                <w:b/>
                <w:sz w:val="20"/>
                <w:szCs w:val="20"/>
              </w:rPr>
              <w:t>Option 1 – Recommendation and stakeholders' dialogue</w:t>
            </w:r>
          </w:p>
        </w:tc>
        <w:tc>
          <w:tcPr>
            <w:tcW w:w="1986"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Could result in some improvements in certain MS but would not allow to ensure increased transparency across the EU</w:t>
            </w:r>
          </w:p>
        </w:tc>
        <w:tc>
          <w:tcPr>
            <w:tcW w:w="1843"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Limited costs linked to the organisation of the stakeholders' dialogue</w:t>
            </w:r>
          </w:p>
          <w:p w:rsidR="00D10065" w:rsidRPr="008012CB" w:rsidRDefault="00D10065" w:rsidP="00D10065">
            <w:pPr>
              <w:autoSpaceDE w:val="0"/>
              <w:autoSpaceDN w:val="0"/>
              <w:adjustRightInd w:val="0"/>
              <w:rPr>
                <w:rFonts w:ascii="Times New Roman" w:hAnsi="Times New Roman"/>
                <w:color w:val="000000"/>
                <w:sz w:val="20"/>
                <w:szCs w:val="20"/>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CA4144"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Main impacts on stakeholders would depend on the possible changes introduced in MS legislation</w:t>
            </w:r>
          </w:p>
          <w:p w:rsidR="00D10065" w:rsidRPr="008012CB" w:rsidRDefault="00CA4144"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(0/-) Compliance costs depending on the outcome at MS level</w:t>
            </w:r>
          </w:p>
        </w:tc>
        <w:tc>
          <w:tcPr>
            <w:tcW w:w="1700"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(0/+) No direct impact on cultural diversity and fundamental rights but MS developments may have positive impacts</w:t>
            </w:r>
          </w:p>
        </w:tc>
      </w:tr>
      <w:tr w:rsidR="00D10065" w:rsidRPr="008012CB" w:rsidTr="00B30762">
        <w:trPr>
          <w:trHeight w:val="269"/>
        </w:trPr>
        <w:tc>
          <w:tcPr>
            <w:tcW w:w="1527"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rPr>
                <w:rFonts w:ascii="Times New Roman" w:hAnsi="Times New Roman"/>
                <w:b/>
                <w:sz w:val="20"/>
                <w:szCs w:val="20"/>
              </w:rPr>
            </w:pPr>
            <w:r w:rsidRPr="008012CB">
              <w:rPr>
                <w:rFonts w:ascii="Times New Roman" w:hAnsi="Times New Roman"/>
                <w:b/>
                <w:sz w:val="20"/>
                <w:szCs w:val="20"/>
              </w:rPr>
              <w:t>Option 2 – Imposing transparency obligations on the contractual counterparty of authors and performers</w:t>
            </w:r>
          </w:p>
        </w:tc>
        <w:tc>
          <w:tcPr>
            <w:tcW w:w="1986"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xml:space="preserve">(++) Would increase transparency in the contractual relationships between creators and their contractual counterparties </w:t>
            </w:r>
          </w:p>
        </w:tc>
        <w:tc>
          <w:tcPr>
            <w:tcW w:w="1843" w:type="dxa"/>
            <w:tcBorders>
              <w:top w:val="single" w:sz="4" w:space="0" w:color="auto"/>
              <w:left w:val="single" w:sz="4" w:space="0" w:color="auto"/>
              <w:bottom w:val="single" w:sz="4" w:space="0" w:color="auto"/>
              <w:right w:val="single" w:sz="4" w:space="0" w:color="auto"/>
            </w:tcBorders>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MS level costs linked to the organisation of the stakeholders' dialogue to determine reporting obligations</w:t>
            </w:r>
          </w:p>
        </w:tc>
        <w:tc>
          <w:tcPr>
            <w:tcW w:w="2268"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For authors and performers it would decrease information asymmetry, improve enforcement and bargaining position, and bring transparency to the scope of contracts</w:t>
            </w:r>
          </w:p>
          <w:p w:rsidR="00D10065" w:rsidRPr="008012CB" w:rsidRDefault="00D10065" w:rsidP="00CA4144">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xml:space="preserve">(-) </w:t>
            </w:r>
            <w:r w:rsidR="00CA4144">
              <w:rPr>
                <w:rFonts w:ascii="Times New Roman" w:hAnsi="Times New Roman"/>
                <w:color w:val="000000"/>
                <w:sz w:val="20"/>
                <w:szCs w:val="20"/>
                <w:lang w:eastAsia="en-GB"/>
              </w:rPr>
              <w:t>A</w:t>
            </w:r>
            <w:r w:rsidRPr="008012CB">
              <w:rPr>
                <w:rFonts w:ascii="Times New Roman" w:hAnsi="Times New Roman"/>
                <w:color w:val="000000"/>
                <w:sz w:val="20"/>
                <w:szCs w:val="20"/>
                <w:lang w:eastAsia="en-GB"/>
              </w:rPr>
              <w:t>dministrative burden and costs for the creators' contractual counterparties</w:t>
            </w:r>
          </w:p>
        </w:tc>
        <w:tc>
          <w:tcPr>
            <w:tcW w:w="1700"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Positive impact on creation and cultural diversity</w:t>
            </w:r>
          </w:p>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Positive impact on right to property, and freedom of movement and expression</w:t>
            </w:r>
          </w:p>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Negative impact on the freedom to conduct a business</w:t>
            </w:r>
          </w:p>
        </w:tc>
      </w:tr>
      <w:tr w:rsidR="00D10065" w:rsidRPr="008012CB" w:rsidTr="00B30762">
        <w:tc>
          <w:tcPr>
            <w:tcW w:w="1527"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rPr>
                <w:rFonts w:ascii="Times New Roman" w:hAnsi="Times New Roman"/>
                <w:b/>
                <w:sz w:val="20"/>
                <w:szCs w:val="20"/>
              </w:rPr>
            </w:pPr>
            <w:r w:rsidRPr="008012CB">
              <w:rPr>
                <w:rFonts w:ascii="Times New Roman" w:hAnsi="Times New Roman"/>
                <w:b/>
                <w:sz w:val="20"/>
                <w:szCs w:val="20"/>
              </w:rPr>
              <w:t>Option 3 – Imposing transparency obligations to contractual counterparty of authors and performers supported by a contract adjustment right and a dispute resolution mechanism</w:t>
            </w:r>
          </w:p>
        </w:tc>
        <w:tc>
          <w:tcPr>
            <w:tcW w:w="1986"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(++)Would increase transparency in the contractual relationships between creators and their contractual counterparties, improve contract</w:t>
            </w:r>
          </w:p>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improved enforcement and means for some creators to renegotiate agreements</w:t>
            </w:r>
          </w:p>
        </w:tc>
        <w:tc>
          <w:tcPr>
            <w:tcW w:w="1843" w:type="dxa"/>
            <w:tcBorders>
              <w:top w:val="single" w:sz="4" w:space="0" w:color="auto"/>
              <w:left w:val="single" w:sz="4" w:space="0" w:color="auto"/>
              <w:bottom w:val="single" w:sz="4" w:space="0" w:color="auto"/>
              <w:right w:val="single" w:sz="4" w:space="0" w:color="auto"/>
            </w:tcBorders>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MS level costs linked to the organisation of the stakeholders' dialogue to determine reporting obligations</w:t>
            </w:r>
          </w:p>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Costs of setting up and administering dispute resolution mechanisms within MS</w:t>
            </w:r>
          </w:p>
          <w:p w:rsidR="00D10065" w:rsidRPr="008012CB" w:rsidRDefault="00D10065" w:rsidP="00D10065">
            <w:pPr>
              <w:autoSpaceDE w:val="0"/>
              <w:autoSpaceDN w:val="0"/>
              <w:adjustRightInd w:val="0"/>
              <w:rPr>
                <w:rFonts w:ascii="Times New Roman" w:hAnsi="Times New Roman"/>
                <w:color w:val="000000"/>
                <w:sz w:val="20"/>
                <w:szCs w:val="20"/>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Increase of transparency and the certainty for creators to benefit from an appropriate remuneration</w:t>
            </w:r>
          </w:p>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Administrative burden and costs for the creators' contractual counterparties</w:t>
            </w:r>
          </w:p>
          <w:p w:rsidR="00D10065" w:rsidRPr="008012CB" w:rsidRDefault="00D10065" w:rsidP="00D10065">
            <w:pPr>
              <w:autoSpaceDE w:val="0"/>
              <w:autoSpaceDN w:val="0"/>
              <w:adjustRightInd w:val="0"/>
              <w:rPr>
                <w:rFonts w:ascii="Times New Roman" w:hAnsi="Times New Roman"/>
                <w:color w:val="000000"/>
                <w:sz w:val="20"/>
                <w:szCs w:val="20"/>
                <w:lang w:eastAsia="en-GB"/>
              </w:rPr>
            </w:pPr>
            <w:r w:rsidRPr="008012CB">
              <w:rPr>
                <w:rFonts w:ascii="Times New Roman" w:hAnsi="Times New Roman"/>
                <w:color w:val="000000"/>
                <w:sz w:val="20"/>
                <w:szCs w:val="20"/>
                <w:lang w:eastAsia="en-GB"/>
              </w:rPr>
              <w:t>(-) Renegotiation costs for creators and their contractual counterparties</w:t>
            </w:r>
          </w:p>
        </w:tc>
        <w:tc>
          <w:tcPr>
            <w:tcW w:w="1700" w:type="dxa"/>
            <w:tcBorders>
              <w:top w:val="single" w:sz="4" w:space="0" w:color="auto"/>
              <w:left w:val="single" w:sz="4" w:space="0" w:color="auto"/>
              <w:bottom w:val="single" w:sz="4" w:space="0" w:color="auto"/>
              <w:right w:val="single" w:sz="4" w:space="0" w:color="auto"/>
            </w:tcBorders>
            <w:hideMark/>
          </w:tcPr>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Positive impact on creation and cultural diversity</w:t>
            </w:r>
          </w:p>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Positive impact on right to property, and freedom of movement and expression</w:t>
            </w:r>
          </w:p>
          <w:p w:rsidR="00D10065" w:rsidRPr="008012CB" w:rsidRDefault="00D10065" w:rsidP="00D10065">
            <w:pPr>
              <w:autoSpaceDE w:val="0"/>
              <w:autoSpaceDN w:val="0"/>
              <w:adjustRightInd w:val="0"/>
              <w:ind w:left="33"/>
              <w:rPr>
                <w:rFonts w:ascii="Times New Roman" w:hAnsi="Times New Roman"/>
                <w:color w:val="000000"/>
                <w:sz w:val="20"/>
                <w:szCs w:val="20"/>
                <w:lang w:eastAsia="en-GB"/>
              </w:rPr>
            </w:pPr>
            <w:r w:rsidRPr="008012CB">
              <w:rPr>
                <w:rFonts w:ascii="Times New Roman" w:hAnsi="Times New Roman"/>
                <w:color w:val="000000"/>
                <w:sz w:val="20"/>
                <w:szCs w:val="20"/>
                <w:lang w:eastAsia="en-GB"/>
              </w:rPr>
              <w:t xml:space="preserve">(--) Negative impact on the freedom to conduct a business </w:t>
            </w:r>
          </w:p>
        </w:tc>
      </w:tr>
    </w:tbl>
    <w:p w:rsidR="00181FF9" w:rsidRDefault="00D10065" w:rsidP="00B30762">
      <w:pPr>
        <w:spacing w:before="240" w:after="0" w:line="240" w:lineRule="auto"/>
        <w:jc w:val="both"/>
        <w:rPr>
          <w:rFonts w:ascii="Times New Roman" w:eastAsia="Calibri" w:hAnsi="Times New Roman" w:cs="Times New Roman"/>
          <w:sz w:val="24"/>
          <w:szCs w:val="24"/>
        </w:rPr>
      </w:pPr>
      <w:r w:rsidRPr="00CA4144">
        <w:rPr>
          <w:rFonts w:ascii="Times New Roman" w:eastAsia="Calibri" w:hAnsi="Times New Roman" w:cs="Times New Roman"/>
          <w:b/>
          <w:sz w:val="24"/>
          <w:szCs w:val="24"/>
        </w:rPr>
        <w:t xml:space="preserve">Option 3 </w:t>
      </w:r>
      <w:r w:rsidR="00CA4144" w:rsidRPr="00CA4144">
        <w:rPr>
          <w:rFonts w:ascii="Times New Roman" w:eastAsia="Calibri" w:hAnsi="Times New Roman" w:cs="Times New Roman"/>
          <w:b/>
          <w:sz w:val="24"/>
          <w:szCs w:val="24"/>
        </w:rPr>
        <w:t>is</w:t>
      </w:r>
      <w:r w:rsidR="00CA4144" w:rsidRPr="00D1507D">
        <w:rPr>
          <w:rFonts w:ascii="Times New Roman" w:hAnsi="Times New Roman"/>
          <w:b/>
          <w:sz w:val="24"/>
        </w:rPr>
        <w:t xml:space="preserve"> </w:t>
      </w:r>
      <w:r w:rsidRPr="00D1507D">
        <w:rPr>
          <w:rFonts w:ascii="Times New Roman" w:hAnsi="Times New Roman"/>
          <w:b/>
          <w:sz w:val="24"/>
        </w:rPr>
        <w:t xml:space="preserve">the preferred option. Transparency measures would rebalance contractual relationships between creators and their contractual counterparties by providing the creators with the information necessary to assess whether their remuneration is appropriate in relation to the economic value of their works and if the remuneration is deemed inappropriate, a legal mechanism in order to seek out a renegotiation of their contracts. </w:t>
      </w:r>
      <w:r w:rsidRPr="008012CB">
        <w:rPr>
          <w:rFonts w:ascii="Times New Roman" w:eastAsia="Calibri" w:hAnsi="Times New Roman" w:cs="Times New Roman"/>
          <w:sz w:val="24"/>
          <w:szCs w:val="24"/>
        </w:rPr>
        <w:t xml:space="preserve">In contrast, </w:t>
      </w:r>
      <w:r w:rsidR="00FA4F47">
        <w:rPr>
          <w:rFonts w:ascii="Times New Roman" w:eastAsia="Calibri" w:hAnsi="Times New Roman" w:cs="Times New Roman"/>
          <w:sz w:val="24"/>
          <w:szCs w:val="24"/>
        </w:rPr>
        <w:t>O</w:t>
      </w:r>
      <w:r w:rsidRPr="008012CB">
        <w:rPr>
          <w:rFonts w:ascii="Times New Roman" w:eastAsia="Calibri" w:hAnsi="Times New Roman" w:cs="Times New Roman"/>
          <w:sz w:val="24"/>
          <w:szCs w:val="24"/>
        </w:rPr>
        <w:t xml:space="preserve">ption 1 may not be sufficiently effective and </w:t>
      </w:r>
      <w:r w:rsidR="00713F3F">
        <w:rPr>
          <w:rFonts w:ascii="Times New Roman" w:eastAsia="Calibri" w:hAnsi="Times New Roman" w:cs="Times New Roman"/>
          <w:sz w:val="24"/>
          <w:szCs w:val="24"/>
        </w:rPr>
        <w:t>O</w:t>
      </w:r>
      <w:r w:rsidRPr="008012CB">
        <w:rPr>
          <w:rFonts w:ascii="Times New Roman" w:eastAsia="Calibri" w:hAnsi="Times New Roman" w:cs="Times New Roman"/>
          <w:sz w:val="24"/>
          <w:szCs w:val="24"/>
        </w:rPr>
        <w:t xml:space="preserve">ption 2 would only provide transparency measures without instruments to counter the effects of lack of transparency. In comparison to </w:t>
      </w:r>
      <w:r w:rsidR="00713F3F">
        <w:rPr>
          <w:rFonts w:ascii="Times New Roman" w:eastAsia="Calibri" w:hAnsi="Times New Roman" w:cs="Times New Roman"/>
          <w:sz w:val="24"/>
          <w:szCs w:val="24"/>
        </w:rPr>
        <w:t>O</w:t>
      </w:r>
      <w:r w:rsidRPr="008012CB">
        <w:rPr>
          <w:rFonts w:ascii="Times New Roman" w:eastAsia="Calibri" w:hAnsi="Times New Roman" w:cs="Times New Roman"/>
          <w:sz w:val="24"/>
          <w:szCs w:val="24"/>
        </w:rPr>
        <w:t xml:space="preserve">ption 2, </w:t>
      </w:r>
      <w:r w:rsidR="00713F3F">
        <w:rPr>
          <w:rFonts w:ascii="Times New Roman" w:eastAsia="Calibri" w:hAnsi="Times New Roman" w:cs="Times New Roman"/>
          <w:sz w:val="24"/>
          <w:szCs w:val="24"/>
        </w:rPr>
        <w:t>O</w:t>
      </w:r>
      <w:r w:rsidRPr="008012CB">
        <w:rPr>
          <w:rFonts w:ascii="Times New Roman" w:eastAsia="Calibri" w:hAnsi="Times New Roman" w:cs="Times New Roman"/>
          <w:sz w:val="24"/>
          <w:szCs w:val="24"/>
        </w:rPr>
        <w:t>ption 3 has a more positive impact on creators who would have tools to take action for requesting a fairer share</w:t>
      </w:r>
      <w:r w:rsidR="00CA4144">
        <w:rPr>
          <w:rFonts w:ascii="Times New Roman" w:eastAsia="Calibri" w:hAnsi="Times New Roman" w:cs="Times New Roman"/>
          <w:sz w:val="24"/>
          <w:szCs w:val="24"/>
        </w:rPr>
        <w:t xml:space="preserve"> of</w:t>
      </w:r>
      <w:r w:rsidRPr="008012CB">
        <w:rPr>
          <w:rFonts w:ascii="Times New Roman" w:eastAsia="Calibri" w:hAnsi="Times New Roman" w:cs="Times New Roman"/>
          <w:sz w:val="24"/>
          <w:szCs w:val="24"/>
        </w:rPr>
        <w:t xml:space="preserve"> value on the basis on the information provided on reporting statements but would have a higher impact on the contractual freedom of the parties. The additional costs entailed by the dispute resolution mechanism would be justified by the need to provide remedies to the lack of transparency in the contractual relationships between creators and their contractual counterparties. </w:t>
      </w:r>
      <w:r w:rsidR="00713F3F">
        <w:rPr>
          <w:rFonts w:ascii="Times New Roman" w:eastAsia="Calibri" w:hAnsi="Times New Roman" w:cs="Times New Roman"/>
          <w:sz w:val="24"/>
          <w:szCs w:val="24"/>
        </w:rPr>
        <w:t>O</w:t>
      </w:r>
      <w:r w:rsidRPr="008012CB">
        <w:rPr>
          <w:rFonts w:ascii="Times New Roman" w:eastAsia="Calibri" w:hAnsi="Times New Roman" w:cs="Times New Roman"/>
          <w:sz w:val="24"/>
          <w:szCs w:val="24"/>
        </w:rPr>
        <w:t>ption 3 would help achieving a level playing field for creators and their contractual counterparties by providing incentives for an increased transparency and enhanced collaboration.</w:t>
      </w:r>
    </w:p>
    <w:p w:rsidR="00CA4144" w:rsidRDefault="00CA4144" w:rsidP="00CA4144">
      <w:pPr>
        <w:spacing w:before="240" w:after="120" w:line="240" w:lineRule="auto"/>
        <w:jc w:val="both"/>
        <w:rPr>
          <w:rFonts w:ascii="Times New Roman" w:eastAsia="Calibri" w:hAnsi="Times New Roman" w:cs="Times New Roman"/>
          <w:sz w:val="24"/>
          <w:szCs w:val="24"/>
        </w:rPr>
      </w:pPr>
      <w:r w:rsidRPr="00396C50">
        <w:rPr>
          <w:rFonts w:ascii="Times New Roman" w:eastAsia="Calibri" w:hAnsi="Times New Roman" w:cs="Times New Roman"/>
          <w:sz w:val="24"/>
          <w:szCs w:val="24"/>
          <w:u w:val="single"/>
        </w:rPr>
        <w:t>Proportionality and impacts on MS</w:t>
      </w:r>
      <w:r>
        <w:rPr>
          <w:rFonts w:ascii="Times New Roman" w:eastAsia="Calibri" w:hAnsi="Times New Roman" w:cs="Times New Roman"/>
          <w:sz w:val="24"/>
          <w:szCs w:val="24"/>
        </w:rPr>
        <w:t xml:space="preserve">: </w:t>
      </w:r>
      <w:r w:rsidRPr="00396C50">
        <w:rPr>
          <w:rFonts w:ascii="Times New Roman" w:eastAsia="Calibri" w:hAnsi="Times New Roman" w:cs="Times New Roman"/>
          <w:b/>
          <w:sz w:val="24"/>
          <w:szCs w:val="24"/>
        </w:rPr>
        <w:t>Option 3 is composed of a set of measures which are all necessary to achieve increased transparency and balance in the contractual relationships between creators and those to which they assign or transfer their rights.</w:t>
      </w:r>
      <w:r w:rsidRPr="00BD5719">
        <w:rPr>
          <w:rFonts w:ascii="Times New Roman" w:eastAsia="Calibri" w:hAnsi="Times New Roman" w:cs="Times New Roman"/>
          <w:sz w:val="24"/>
          <w:szCs w:val="24"/>
        </w:rPr>
        <w:t xml:space="preserve"> The combination of the different measures ensures the effectiveness of the intervention, by providing creators with practical tools allowing them to obtain information on the exploitation of their works, and</w:t>
      </w:r>
      <w:r w:rsidR="00471777">
        <w:rPr>
          <w:rFonts w:ascii="Times New Roman" w:eastAsia="Calibri" w:hAnsi="Times New Roman" w:cs="Times New Roman"/>
          <w:sz w:val="24"/>
          <w:szCs w:val="24"/>
        </w:rPr>
        <w:t>,</w:t>
      </w:r>
      <w:r w:rsidRPr="00BD5719">
        <w:rPr>
          <w:rFonts w:ascii="Times New Roman" w:eastAsia="Calibri" w:hAnsi="Times New Roman" w:cs="Times New Roman"/>
          <w:sz w:val="24"/>
          <w:szCs w:val="24"/>
        </w:rPr>
        <w:t xml:space="preserve"> when the agreed remuneration is disproportionate to the revenues generated by the exploitation of the work, to negotiate a further appropriate remuneration. Moreover, </w:t>
      </w:r>
      <w:r w:rsidRPr="005F4F6F">
        <w:rPr>
          <w:rFonts w:ascii="Times New Roman" w:eastAsia="Calibri" w:hAnsi="Times New Roman" w:cs="Times New Roman"/>
          <w:sz w:val="24"/>
          <w:szCs w:val="24"/>
        </w:rPr>
        <w:t xml:space="preserve">this Option includes provisions </w:t>
      </w:r>
      <w:r w:rsidRPr="00BD5719">
        <w:rPr>
          <w:rFonts w:ascii="Times New Roman" w:eastAsia="Calibri" w:hAnsi="Times New Roman" w:cs="Times New Roman"/>
          <w:sz w:val="24"/>
          <w:szCs w:val="24"/>
        </w:rPr>
        <w:t xml:space="preserve">to ensure that the transparency obligations do not become unnecessarily burdensome for contractual counterparties. Option 3 is therefore proportionate to the policy objective. </w:t>
      </w:r>
      <w:r w:rsidRPr="00396C50">
        <w:rPr>
          <w:rFonts w:ascii="Times New Roman" w:eastAsia="Calibri" w:hAnsi="Times New Roman" w:cs="Times New Roman"/>
          <w:b/>
          <w:sz w:val="24"/>
          <w:szCs w:val="24"/>
        </w:rPr>
        <w:t>It introduces a common approach of transparency requirements across the EU while allowing MS to take account of the specificities of each sector.</w:t>
      </w:r>
    </w:p>
    <w:p w:rsidR="00CA4144" w:rsidRPr="008012CB" w:rsidRDefault="00CA4144" w:rsidP="00CA4144">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Beyond the impacts on costs which are presented under Option 3 (costs related to the setting up of the dispute resolution mechanism), Option 3 would entail some changes in MS legislations. S</w:t>
      </w:r>
      <w:r w:rsidRPr="00433EE2">
        <w:rPr>
          <w:rFonts w:ascii="Times New Roman" w:eastAsia="Calibri" w:hAnsi="Times New Roman" w:cs="Times New Roman"/>
          <w:sz w:val="24"/>
          <w:szCs w:val="24"/>
        </w:rPr>
        <w:t>everal</w:t>
      </w:r>
      <w:r>
        <w:rPr>
          <w:rFonts w:ascii="Times New Roman" w:eastAsia="Calibri" w:hAnsi="Times New Roman" w:cs="Times New Roman"/>
          <w:sz w:val="24"/>
          <w:szCs w:val="24"/>
        </w:rPr>
        <w:t xml:space="preserve"> of them </w:t>
      </w:r>
      <w:r w:rsidRPr="00433EE2">
        <w:rPr>
          <w:rFonts w:ascii="Times New Roman" w:eastAsia="Calibri" w:hAnsi="Times New Roman" w:cs="Times New Roman"/>
          <w:sz w:val="24"/>
          <w:szCs w:val="24"/>
        </w:rPr>
        <w:t xml:space="preserve">already have legislative transparency obligations which are often sector specific (14 </w:t>
      </w:r>
      <w:r>
        <w:rPr>
          <w:rFonts w:ascii="Times New Roman" w:eastAsia="Calibri" w:hAnsi="Times New Roman" w:cs="Times New Roman"/>
          <w:sz w:val="24"/>
          <w:szCs w:val="24"/>
        </w:rPr>
        <w:t xml:space="preserve">MS </w:t>
      </w:r>
      <w:r w:rsidRPr="00433EE2">
        <w:rPr>
          <w:rFonts w:ascii="Times New Roman" w:eastAsia="Calibri" w:hAnsi="Times New Roman" w:cs="Times New Roman"/>
          <w:sz w:val="24"/>
          <w:szCs w:val="24"/>
        </w:rPr>
        <w:t xml:space="preserve">have them for the book sector, 6 for the music sector and 14 for the </w:t>
      </w:r>
      <w:r w:rsidR="00EC2C05">
        <w:rPr>
          <w:rFonts w:ascii="Times New Roman" w:eastAsia="Calibri" w:hAnsi="Times New Roman" w:cs="Times New Roman"/>
          <w:sz w:val="24"/>
          <w:szCs w:val="24"/>
        </w:rPr>
        <w:t>AV</w:t>
      </w:r>
      <w:r w:rsidRPr="00433EE2">
        <w:rPr>
          <w:rFonts w:ascii="Times New Roman" w:eastAsia="Calibri" w:hAnsi="Times New Roman" w:cs="Times New Roman"/>
          <w:sz w:val="24"/>
          <w:szCs w:val="24"/>
        </w:rPr>
        <w:t xml:space="preserve"> sector)</w:t>
      </w:r>
      <w:r>
        <w:rPr>
          <w:rFonts w:ascii="Times New Roman" w:eastAsia="Calibri" w:hAnsi="Times New Roman" w:cs="Times New Roman"/>
          <w:sz w:val="24"/>
          <w:szCs w:val="24"/>
        </w:rPr>
        <w:t xml:space="preserve"> and in these cases the proposed measures would only represent incremental policy changes</w:t>
      </w:r>
      <w:r w:rsidRPr="00433EE2">
        <w:rPr>
          <w:rFonts w:ascii="Times New Roman" w:eastAsia="Calibri" w:hAnsi="Times New Roman" w:cs="Times New Roman"/>
          <w:sz w:val="24"/>
          <w:szCs w:val="24"/>
        </w:rPr>
        <w:t xml:space="preserve">. The preferred option would require </w:t>
      </w:r>
      <w:r>
        <w:rPr>
          <w:rFonts w:ascii="Times New Roman" w:eastAsia="Calibri" w:hAnsi="Times New Roman" w:cs="Times New Roman"/>
          <w:sz w:val="24"/>
          <w:szCs w:val="24"/>
        </w:rPr>
        <w:t>MS</w:t>
      </w:r>
      <w:r w:rsidRPr="00433EE2">
        <w:rPr>
          <w:rFonts w:ascii="Times New Roman" w:eastAsia="Calibri" w:hAnsi="Times New Roman" w:cs="Times New Roman"/>
          <w:sz w:val="24"/>
          <w:szCs w:val="24"/>
        </w:rPr>
        <w:t xml:space="preserve"> to review these obligations in consultation with stakeholders to make sure that they comply with the minimum requirements set out by the </w:t>
      </w:r>
      <w:r>
        <w:rPr>
          <w:rFonts w:ascii="Times New Roman" w:eastAsia="Calibri" w:hAnsi="Times New Roman" w:cs="Times New Roman"/>
          <w:sz w:val="24"/>
          <w:szCs w:val="24"/>
        </w:rPr>
        <w:t>legal instrument</w:t>
      </w:r>
      <w:r w:rsidRPr="00433EE2">
        <w:rPr>
          <w:rFonts w:ascii="Times New Roman" w:eastAsia="Calibri" w:hAnsi="Times New Roman" w:cs="Times New Roman"/>
          <w:sz w:val="24"/>
          <w:szCs w:val="24"/>
        </w:rPr>
        <w:t xml:space="preserve">. In MS and sectors where contractual counterparties do not have to comply with transparency obligations </w:t>
      </w:r>
      <w:r w:rsidR="00471777">
        <w:rPr>
          <w:rFonts w:ascii="Times New Roman" w:eastAsia="Calibri" w:hAnsi="Times New Roman" w:cs="Times New Roman"/>
          <w:sz w:val="24"/>
          <w:szCs w:val="24"/>
        </w:rPr>
        <w:t>a</w:t>
      </w:r>
      <w:r w:rsidR="00471777" w:rsidRPr="00471777">
        <w:rPr>
          <w:rFonts w:ascii="Times New Roman" w:eastAsia="Calibri" w:hAnsi="Times New Roman" w:cs="Times New Roman"/>
          <w:sz w:val="24"/>
          <w:szCs w:val="24"/>
        </w:rPr>
        <w:t>nd that do not have contract adjustment and dispute resolution mechanism</w:t>
      </w:r>
      <w:r w:rsidR="00471777">
        <w:rPr>
          <w:rFonts w:ascii="Times New Roman" w:eastAsia="Calibri" w:hAnsi="Times New Roman" w:cs="Times New Roman"/>
          <w:sz w:val="24"/>
          <w:szCs w:val="24"/>
        </w:rPr>
        <w:t>s</w:t>
      </w:r>
      <w:r w:rsidR="00471777" w:rsidRPr="00471777">
        <w:rPr>
          <w:rFonts w:ascii="Times New Roman" w:eastAsia="Calibri" w:hAnsi="Times New Roman" w:cs="Times New Roman"/>
          <w:sz w:val="24"/>
          <w:szCs w:val="24"/>
        </w:rPr>
        <w:t xml:space="preserve"> </w:t>
      </w:r>
      <w:r w:rsidRPr="00433EE2">
        <w:rPr>
          <w:rFonts w:ascii="Times New Roman" w:eastAsia="Calibri" w:hAnsi="Times New Roman" w:cs="Times New Roman"/>
          <w:sz w:val="24"/>
          <w:szCs w:val="24"/>
        </w:rPr>
        <w:t>yet, th</w:t>
      </w:r>
      <w:r w:rsidR="00471777">
        <w:rPr>
          <w:rFonts w:ascii="Times New Roman" w:eastAsia="Calibri" w:hAnsi="Times New Roman" w:cs="Times New Roman"/>
          <w:sz w:val="24"/>
          <w:szCs w:val="24"/>
        </w:rPr>
        <w:t>ese</w:t>
      </w:r>
      <w:r w:rsidRPr="00433EE2">
        <w:rPr>
          <w:rFonts w:ascii="Times New Roman" w:eastAsia="Calibri" w:hAnsi="Times New Roman" w:cs="Times New Roman"/>
          <w:sz w:val="24"/>
          <w:szCs w:val="24"/>
        </w:rPr>
        <w:t xml:space="preserve"> would have to be introduced</w:t>
      </w:r>
      <w:r w:rsidR="00471777">
        <w:rPr>
          <w:rFonts w:ascii="Times New Roman" w:eastAsia="Calibri" w:hAnsi="Times New Roman" w:cs="Times New Roman"/>
          <w:sz w:val="24"/>
          <w:szCs w:val="24"/>
        </w:rPr>
        <w:t>.</w:t>
      </w:r>
    </w:p>
    <w:p w:rsidR="00B30762" w:rsidRPr="008012CB" w:rsidRDefault="00B30762">
      <w:pPr>
        <w:rPr>
          <w:rFonts w:ascii="Times New Roman" w:eastAsia="Calibri" w:hAnsi="Times New Roman" w:cs="Times New Roman"/>
          <w:sz w:val="24"/>
          <w:szCs w:val="24"/>
        </w:rPr>
      </w:pPr>
      <w:r w:rsidRPr="008012CB">
        <w:rPr>
          <w:rFonts w:ascii="Times New Roman" w:eastAsia="Calibri" w:hAnsi="Times New Roman" w:cs="Times New Roman"/>
          <w:sz w:val="24"/>
          <w:szCs w:val="24"/>
        </w:rPr>
        <w:br w:type="page"/>
      </w:r>
    </w:p>
    <w:p w:rsidR="001F7EDA" w:rsidRPr="008012CB" w:rsidRDefault="001F7EDA" w:rsidP="00D24157">
      <w:pPr>
        <w:pStyle w:val="Heading1"/>
        <w:numPr>
          <w:ilvl w:val="0"/>
          <w:numId w:val="1"/>
        </w:numPr>
        <w:spacing w:before="240" w:after="240"/>
      </w:pPr>
      <w:bookmarkStart w:id="189" w:name="_Toc461114761"/>
      <w:r w:rsidRPr="008012CB">
        <w:t>Overall conclusions</w:t>
      </w:r>
      <w:bookmarkStart w:id="190" w:name="_Toc454351347"/>
      <w:bookmarkEnd w:id="189"/>
      <w:bookmarkEnd w:id="190"/>
    </w:p>
    <w:p w:rsidR="001F7EDA" w:rsidRPr="008012CB" w:rsidRDefault="00C82122" w:rsidP="00D24157">
      <w:pPr>
        <w:pStyle w:val="Heading2"/>
        <w:numPr>
          <w:ilvl w:val="1"/>
          <w:numId w:val="1"/>
        </w:numPr>
        <w:spacing w:before="0" w:after="240"/>
        <w:rPr>
          <w:rFonts w:ascii="Times New Roman Bold" w:hAnsi="Times New Roman Bold"/>
          <w:smallCaps/>
        </w:rPr>
      </w:pPr>
      <w:bookmarkStart w:id="191" w:name="_Toc461114762"/>
      <w:r w:rsidRPr="008012CB">
        <w:rPr>
          <w:rFonts w:ascii="Times New Roman Bold" w:hAnsi="Times New Roman Bold"/>
          <w:smallCaps/>
        </w:rPr>
        <w:t>Summary of preferred options</w:t>
      </w:r>
      <w:bookmarkStart w:id="192" w:name="_Toc454351348"/>
      <w:bookmarkEnd w:id="191"/>
      <w:bookmarkEnd w:id="192"/>
    </w:p>
    <w:p w:rsidR="007D23B7" w:rsidRPr="008012CB" w:rsidRDefault="007D23B7" w:rsidP="007D23B7">
      <w:pPr>
        <w:spacing w:after="120" w:line="240" w:lineRule="auto"/>
        <w:jc w:val="both"/>
        <w:rPr>
          <w:rFonts w:ascii="TimesNewRoman" w:eastAsia="Calibri" w:hAnsi="TimesNewRoman" w:cs="TimesNewRoman"/>
          <w:sz w:val="24"/>
          <w:szCs w:val="24"/>
        </w:rPr>
      </w:pPr>
      <w:r w:rsidRPr="008012CB">
        <w:rPr>
          <w:rFonts w:ascii="TimesNewRoman" w:eastAsia="Calibri" w:hAnsi="TimesNewRoman" w:cs="TimesNewRoman"/>
          <w:sz w:val="24"/>
          <w:szCs w:val="24"/>
        </w:rPr>
        <w:t>The following table sets out the preferred options:</w:t>
      </w:r>
    </w:p>
    <w:tbl>
      <w:tblPr>
        <w:tblStyle w:val="TableGrid15"/>
        <w:tblW w:w="0" w:type="auto"/>
        <w:tblInd w:w="0" w:type="dxa"/>
        <w:shd w:val="clear" w:color="auto" w:fill="FFFFFF" w:themeFill="background1"/>
        <w:tblLayout w:type="fixed"/>
        <w:tblLook w:val="04A0" w:firstRow="1" w:lastRow="0" w:firstColumn="1" w:lastColumn="0" w:noHBand="0" w:noVBand="1"/>
      </w:tblPr>
      <w:tblGrid>
        <w:gridCol w:w="1526"/>
        <w:gridCol w:w="2054"/>
        <w:gridCol w:w="5708"/>
      </w:tblGrid>
      <w:tr w:rsidR="007D23B7" w:rsidRPr="008012CB" w:rsidTr="00C50596">
        <w:tc>
          <w:tcPr>
            <w:tcW w:w="358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b/>
                <w:sz w:val="20"/>
              </w:rPr>
            </w:pPr>
            <w:r w:rsidRPr="008012CB">
              <w:rPr>
                <w:rFonts w:ascii="Times New Roman" w:hAnsi="Times New Roman"/>
                <w:b/>
                <w:sz w:val="20"/>
              </w:rPr>
              <w:t>Area</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b/>
                <w:sz w:val="20"/>
              </w:rPr>
            </w:pPr>
            <w:r w:rsidRPr="008012CB">
              <w:rPr>
                <w:rFonts w:ascii="Times New Roman" w:hAnsi="Times New Roman"/>
                <w:b/>
                <w:sz w:val="20"/>
              </w:rPr>
              <w:t>Preferred policy option</w:t>
            </w:r>
          </w:p>
        </w:tc>
      </w:tr>
      <w:tr w:rsidR="007D23B7" w:rsidRPr="008012CB" w:rsidTr="00C50596">
        <w:tc>
          <w:tcPr>
            <w:tcW w:w="15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b/>
                <w:sz w:val="20"/>
              </w:rPr>
            </w:pPr>
            <w:r w:rsidRPr="008012CB">
              <w:rPr>
                <w:rFonts w:ascii="Times New Roman" w:hAnsi="Times New Roman"/>
                <w:b/>
                <w:sz w:val="20"/>
              </w:rPr>
              <w:t>Ensuring wider access to content</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Online transmissions of broadcasting organisations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 xml:space="preserve">Option 2 - Application of country of origin to the clearing of rights for broadcasters' online services ancillary to their initial broadcast </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b/>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Digital retransmissions of TV and radio programmes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Option 1 - Mandatory collective management of rights to retransmission of TV / radio broadcasts by means of IPTV and other retransmission services provided over "closed" electronic communications networks</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b/>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Access to and availability of EU audiovisual works on VoD platforms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 xml:space="preserve">Option 2 – Stakeholders' dialogue + Obligation for Member States to establish a negotiation mechanism to overcome obstacles to the availability of audiovisual works on VoD </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b/>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Out-of-commerce works in the collections of Cultural Heritage Institutions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5E03D8">
            <w:pPr>
              <w:spacing w:after="120"/>
              <w:jc w:val="both"/>
              <w:rPr>
                <w:rFonts w:ascii="Times New Roman" w:hAnsi="Times New Roman"/>
                <w:sz w:val="20"/>
              </w:rPr>
            </w:pPr>
            <w:r w:rsidRPr="008012CB">
              <w:rPr>
                <w:rFonts w:ascii="Times New Roman" w:hAnsi="Times New Roman"/>
                <w:sz w:val="20"/>
              </w:rPr>
              <w:t xml:space="preserve">Option 2 </w:t>
            </w:r>
            <w:r w:rsidR="005E03D8" w:rsidRPr="008012CB">
              <w:rPr>
                <w:rFonts w:ascii="Times New Roman" w:hAnsi="Times New Roman"/>
                <w:sz w:val="20"/>
              </w:rPr>
              <w:t>-</w:t>
            </w:r>
            <w:r w:rsidRPr="008012CB">
              <w:rPr>
                <w:rFonts w:ascii="Times New Roman" w:hAnsi="Times New Roman"/>
                <w:sz w:val="20"/>
              </w:rPr>
              <w:t xml:space="preserve"> EU legislative intervention (i) requiring MS to put in place legal mechanisms to facilitate collective licensin</w:t>
            </w:r>
            <w:r w:rsidR="00D15CCB">
              <w:rPr>
                <w:rFonts w:ascii="Times New Roman" w:hAnsi="Times New Roman"/>
                <w:sz w:val="20"/>
              </w:rPr>
              <w:t>g agreements for all types of Oo</w:t>
            </w:r>
            <w:r w:rsidRPr="008012CB">
              <w:rPr>
                <w:rFonts w:ascii="Times New Roman" w:hAnsi="Times New Roman"/>
                <w:sz w:val="20"/>
              </w:rPr>
              <w:t>C works and to foster national stakeholder frameworks, and (ii) giving cross-border effect to such legal mechanisms.</w:t>
            </w:r>
          </w:p>
        </w:tc>
      </w:tr>
      <w:tr w:rsidR="007D23B7" w:rsidRPr="008012CB" w:rsidTr="00C50596">
        <w:tc>
          <w:tcPr>
            <w:tcW w:w="15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b/>
                <w:sz w:val="20"/>
              </w:rPr>
              <w:t>Adapting exceptions to digital and cross-border environment</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Use of protected content in digital and cross-border teaching activities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3E4341">
            <w:pPr>
              <w:spacing w:after="120"/>
              <w:jc w:val="both"/>
              <w:rPr>
                <w:rFonts w:ascii="Times New Roman" w:hAnsi="Times New Roman"/>
                <w:sz w:val="20"/>
              </w:rPr>
            </w:pPr>
            <w:r w:rsidRPr="008012CB">
              <w:rPr>
                <w:rFonts w:ascii="Times New Roman" w:hAnsi="Times New Roman"/>
                <w:sz w:val="20"/>
              </w:rPr>
              <w:t xml:space="preserve">Option 3 - </w:t>
            </w:r>
            <w:r w:rsidRPr="008012CB">
              <w:rPr>
                <w:rFonts w:ascii="Times New Roman" w:eastAsia="Arial Unicode MS" w:hAnsi="Times New Roman"/>
                <w:sz w:val="20"/>
                <w:szCs w:val="24"/>
                <w:bdr w:val="none" w:sz="0" w:space="0" w:color="auto" w:frame="1"/>
              </w:rPr>
              <w:t>Mandatory exception with a cross-border effect covering digital uses in the context of illustration for teaching, with the option for MS to make it (partially or totally) subject to the availability of licences</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Text and data mining</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5E03D8">
            <w:pPr>
              <w:spacing w:after="120"/>
              <w:jc w:val="both"/>
              <w:rPr>
                <w:rFonts w:ascii="Times New Roman" w:eastAsia="Arial Unicode MS" w:hAnsi="Times New Roman"/>
                <w:sz w:val="20"/>
                <w:szCs w:val="24"/>
                <w:bdr w:val="none" w:sz="0" w:space="0" w:color="auto" w:frame="1"/>
                <w:lang w:val="en-US"/>
              </w:rPr>
            </w:pPr>
            <w:r w:rsidRPr="008012CB">
              <w:rPr>
                <w:rFonts w:ascii="Times New Roman" w:hAnsi="Times New Roman"/>
                <w:sz w:val="20"/>
              </w:rPr>
              <w:t xml:space="preserve">Option 3 </w:t>
            </w:r>
            <w:r w:rsidR="005E03D8" w:rsidRPr="008012CB">
              <w:rPr>
                <w:rFonts w:ascii="Times New Roman" w:hAnsi="Times New Roman"/>
                <w:sz w:val="20"/>
              </w:rPr>
              <w:t>-</w:t>
            </w:r>
            <w:r w:rsidRPr="008012CB">
              <w:rPr>
                <w:rFonts w:ascii="Times New Roman" w:hAnsi="Times New Roman"/>
                <w:sz w:val="20"/>
              </w:rPr>
              <w:t xml:space="preserve"> Mandatory exception applicable to public interest research organisations covering text and data mining for the purposes of both non-commercial and commercial scientific research</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Preservation of cultural heritage</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jc w:val="both"/>
              <w:rPr>
                <w:rFonts w:ascii="Times New Roman" w:hAnsi="Times New Roman"/>
                <w:sz w:val="20"/>
              </w:rPr>
            </w:pPr>
            <w:r w:rsidRPr="008012CB">
              <w:rPr>
                <w:rFonts w:ascii="Times New Roman" w:hAnsi="Times New Roman"/>
                <w:sz w:val="20"/>
              </w:rPr>
              <w:t>Option 2 - Mandatory harmonised exception for preservation purposes by cultural heritage institutions</w:t>
            </w:r>
          </w:p>
        </w:tc>
      </w:tr>
      <w:tr w:rsidR="007D23B7" w:rsidRPr="008012CB" w:rsidTr="00C50596">
        <w:tc>
          <w:tcPr>
            <w:tcW w:w="15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b/>
                <w:sz w:val="20"/>
              </w:rPr>
            </w:pPr>
            <w:r w:rsidRPr="008012CB">
              <w:rPr>
                <w:rFonts w:ascii="Times New Roman" w:hAnsi="Times New Roman"/>
                <w:b/>
                <w:sz w:val="20"/>
              </w:rPr>
              <w:t>Achieving a well-functioning market place for copyright</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Use of protected content by online services storing and giving access to user uploaded content</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D1507D">
            <w:pPr>
              <w:jc w:val="both"/>
              <w:rPr>
                <w:rFonts w:ascii="Times New Roman" w:hAnsi="Times New Roman"/>
                <w:sz w:val="20"/>
              </w:rPr>
            </w:pPr>
            <w:r w:rsidRPr="008012CB">
              <w:rPr>
                <w:rFonts w:ascii="Times New Roman" w:hAnsi="Times New Roman"/>
                <w:sz w:val="20"/>
              </w:rPr>
              <w:t>Option 2 -</w:t>
            </w:r>
            <w:r w:rsidR="000E201B">
              <w:rPr>
                <w:rFonts w:ascii="Times New Roman" w:hAnsi="Times New Roman"/>
                <w:sz w:val="20"/>
              </w:rPr>
              <w:t xml:space="preserve"> </w:t>
            </w:r>
            <w:r w:rsidR="000E201B" w:rsidRPr="00AD57F7">
              <w:rPr>
                <w:rFonts w:ascii="Times New Roman" w:hAnsi="Times New Roman"/>
                <w:sz w:val="20"/>
              </w:rPr>
              <w:t xml:space="preserve">An obligation on online services which store and give access to large amounts of content uploaded by their users to put in place appropriate </w:t>
            </w:r>
            <w:r w:rsidRPr="008012CB">
              <w:rPr>
                <w:rFonts w:ascii="Times New Roman" w:hAnsi="Times New Roman"/>
                <w:sz w:val="20"/>
              </w:rPr>
              <w:t xml:space="preserve">and proportionate </w:t>
            </w:r>
            <w:r w:rsidR="000E201B" w:rsidRPr="00AD57F7">
              <w:rPr>
                <w:rFonts w:ascii="Times New Roman" w:hAnsi="Times New Roman"/>
                <w:sz w:val="20"/>
              </w:rPr>
              <w:t>technologies and to increase transparency vis a vis rights holders</w:t>
            </w:r>
            <w:r w:rsidR="000E201B" w:rsidRPr="000E201B">
              <w:rPr>
                <w:rFonts w:ascii="Times New Roman" w:hAnsi="Times New Roman"/>
                <w:b/>
                <w:sz w:val="20"/>
                <w:u w:val="single"/>
              </w:rPr>
              <w:t xml:space="preserve"> </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b/>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Rights in publications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1467F6">
            <w:pPr>
              <w:spacing w:after="120"/>
              <w:jc w:val="both"/>
              <w:rPr>
                <w:rFonts w:ascii="Times New Roman" w:hAnsi="Times New Roman"/>
                <w:sz w:val="20"/>
              </w:rPr>
            </w:pPr>
            <w:r w:rsidRPr="008012CB">
              <w:rPr>
                <w:rFonts w:ascii="Times New Roman" w:hAnsi="Times New Roman"/>
                <w:sz w:val="20"/>
              </w:rPr>
              <w:t xml:space="preserve">Option 3 - Introduction in EU law of a related right covering </w:t>
            </w:r>
            <w:r w:rsidR="001467F6">
              <w:rPr>
                <w:rFonts w:ascii="Times New Roman" w:hAnsi="Times New Roman"/>
                <w:sz w:val="20"/>
              </w:rPr>
              <w:t>digital</w:t>
            </w:r>
            <w:r w:rsidRPr="008012CB">
              <w:rPr>
                <w:rFonts w:ascii="Times New Roman" w:hAnsi="Times New Roman"/>
                <w:sz w:val="20"/>
              </w:rPr>
              <w:t xml:space="preserve"> uses of news publications + introduction, in EU law, of the possibility for MS to provide that publishers may claim compensation for uses under an exception</w:t>
            </w:r>
          </w:p>
        </w:tc>
      </w:tr>
      <w:tr w:rsidR="007D23B7" w:rsidRPr="008012CB" w:rsidTr="00C50596">
        <w:tc>
          <w:tcPr>
            <w:tcW w:w="15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23B7" w:rsidRPr="008012CB" w:rsidRDefault="007D23B7" w:rsidP="007D23B7">
            <w:pPr>
              <w:rPr>
                <w:rFonts w:ascii="Times New Roman" w:hAnsi="Times New Roman"/>
                <w:b/>
                <w:sz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7D23B7">
            <w:pPr>
              <w:spacing w:after="120"/>
              <w:rPr>
                <w:rFonts w:ascii="Times New Roman" w:hAnsi="Times New Roman"/>
                <w:sz w:val="20"/>
              </w:rPr>
            </w:pPr>
            <w:r w:rsidRPr="008012CB">
              <w:rPr>
                <w:rFonts w:ascii="Times New Roman" w:hAnsi="Times New Roman"/>
                <w:sz w:val="20"/>
              </w:rPr>
              <w:t>Fair remuneration in contracts of authors and performers</w:t>
            </w:r>
          </w:p>
        </w:tc>
        <w:tc>
          <w:tcPr>
            <w:tcW w:w="5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23B7" w:rsidRPr="008012CB" w:rsidRDefault="007D23B7" w:rsidP="00064930">
            <w:pPr>
              <w:spacing w:after="120"/>
              <w:jc w:val="both"/>
              <w:rPr>
                <w:rFonts w:ascii="Times New Roman" w:hAnsi="Times New Roman"/>
                <w:sz w:val="20"/>
              </w:rPr>
            </w:pPr>
            <w:r w:rsidRPr="008012CB">
              <w:rPr>
                <w:rFonts w:ascii="Times New Roman" w:hAnsi="Times New Roman"/>
                <w:sz w:val="20"/>
              </w:rPr>
              <w:t>Option 3</w:t>
            </w:r>
            <w:r w:rsidR="000E201B">
              <w:rPr>
                <w:rFonts w:ascii="Times New Roman" w:hAnsi="Times New Roman"/>
                <w:sz w:val="20"/>
              </w:rPr>
              <w:t xml:space="preserve"> </w:t>
            </w:r>
            <w:r w:rsidR="00064930">
              <w:rPr>
                <w:rFonts w:ascii="Times New Roman" w:hAnsi="Times New Roman"/>
                <w:sz w:val="20"/>
              </w:rPr>
              <w:t>- T</w:t>
            </w:r>
            <w:r w:rsidRPr="008012CB">
              <w:rPr>
                <w:rFonts w:ascii="Times New Roman" w:hAnsi="Times New Roman"/>
                <w:sz w:val="20"/>
              </w:rPr>
              <w:t>ransparency obligations supported by a contract adjustment right and a dispute resolution mechanism</w:t>
            </w:r>
          </w:p>
        </w:tc>
      </w:tr>
    </w:tbl>
    <w:p w:rsidR="009D59CB" w:rsidRDefault="009D59CB" w:rsidP="007D23B7">
      <w:pPr>
        <w:spacing w:line="240" w:lineRule="auto"/>
        <w:jc w:val="both"/>
        <w:rPr>
          <w:lang w:eastAsia="en-GB"/>
        </w:rPr>
      </w:pPr>
    </w:p>
    <w:p w:rsidR="009D59CB" w:rsidRDefault="009D59CB" w:rsidP="009D59CB">
      <w:pPr>
        <w:rPr>
          <w:lang w:eastAsia="en-GB"/>
        </w:rPr>
      </w:pPr>
      <w:r>
        <w:rPr>
          <w:lang w:eastAsia="en-GB"/>
        </w:rPr>
        <w:br w:type="page"/>
      </w:r>
    </w:p>
    <w:p w:rsidR="005E03D8" w:rsidRPr="008012CB" w:rsidRDefault="005E03D8" w:rsidP="00D24157">
      <w:pPr>
        <w:pStyle w:val="Heading2"/>
        <w:numPr>
          <w:ilvl w:val="1"/>
          <w:numId w:val="1"/>
        </w:numPr>
        <w:spacing w:before="0" w:after="240"/>
        <w:rPr>
          <w:rFonts w:ascii="Times New Roman Bold" w:hAnsi="Times New Roman Bold"/>
          <w:smallCaps/>
        </w:rPr>
      </w:pPr>
      <w:bookmarkStart w:id="193" w:name="_Toc461114763"/>
      <w:r w:rsidRPr="008012CB">
        <w:rPr>
          <w:rFonts w:ascii="Times New Roman Bold" w:hAnsi="Times New Roman Bold"/>
          <w:smallCaps/>
        </w:rPr>
        <w:t>Analysis of the combined application of the preferred options</w:t>
      </w:r>
      <w:bookmarkEnd w:id="193"/>
    </w:p>
    <w:p w:rsidR="005E03D8" w:rsidRPr="008012CB" w:rsidRDefault="005E03D8" w:rsidP="00713F3F">
      <w:pPr>
        <w:pStyle w:val="Heading3"/>
      </w:pPr>
      <w:bookmarkStart w:id="194" w:name="_Toc461114764"/>
      <w:r w:rsidRPr="008012CB">
        <w:t>Impact on stakeholders</w:t>
      </w:r>
      <w:bookmarkEnd w:id="194"/>
    </w:p>
    <w:p w:rsidR="00992DDA" w:rsidRDefault="00992DDA" w:rsidP="006F1A06">
      <w:pPr>
        <w:spacing w:before="240" w:after="120" w:line="240" w:lineRule="auto"/>
        <w:jc w:val="both"/>
        <w:rPr>
          <w:rFonts w:ascii="TimesNewRoman" w:eastAsia="Calibri" w:hAnsi="TimesNewRoman" w:cs="TimesNewRoman"/>
          <w:sz w:val="24"/>
          <w:szCs w:val="24"/>
        </w:rPr>
      </w:pPr>
      <w:r w:rsidRPr="006F1A06">
        <w:rPr>
          <w:rFonts w:ascii="Times New Roman" w:eastAsia="Calibri" w:hAnsi="Times New Roman" w:cs="Times New Roman"/>
          <w:sz w:val="24"/>
          <w:szCs w:val="24"/>
        </w:rPr>
        <w:t>The</w:t>
      </w:r>
      <w:r w:rsidRPr="008012CB">
        <w:rPr>
          <w:rFonts w:ascii="TimesNewRoman" w:eastAsia="Calibri" w:hAnsi="TimesNewRoman" w:cs="TimesNewRoman"/>
          <w:sz w:val="24"/>
          <w:szCs w:val="24"/>
        </w:rPr>
        <w:t xml:space="preserve"> combined application of the preferred options would affect all types of stakeholders differently, but is not expected to result in any disproportionate impact on a specific category of stakeholders. All the options and their impacts have been analysed and compared in the preceding sections against a set of policy objectives originally outlined in the Communication from the Commission on "Towards a modern, more European copyright framework" from December 2015.</w:t>
      </w:r>
      <w:r>
        <w:rPr>
          <w:rStyle w:val="FootnoteReference"/>
          <w:rFonts w:ascii="TimesNewRoman" w:eastAsia="Calibri" w:hAnsi="TimesNewRoman" w:cs="TimesNewRoman"/>
          <w:sz w:val="24"/>
          <w:szCs w:val="24"/>
        </w:rPr>
        <w:footnoteReference w:id="588"/>
      </w:r>
      <w:r w:rsidR="006F1A06">
        <w:rPr>
          <w:rFonts w:ascii="TimesNewRoman" w:eastAsia="Calibri" w:hAnsi="TimesNewRoman" w:cs="TimesNewRoman"/>
          <w:sz w:val="24"/>
          <w:szCs w:val="24"/>
        </w:rPr>
        <w:t xml:space="preserve"> </w:t>
      </w:r>
      <w:r w:rsidRPr="008012CB">
        <w:rPr>
          <w:rFonts w:ascii="TimesNewRoman" w:eastAsia="Calibri" w:hAnsi="TimesNewRoman" w:cs="TimesNewRoman"/>
          <w:sz w:val="24"/>
          <w:szCs w:val="24"/>
        </w:rPr>
        <w:t>As a result of an in-depth analysis based on the existing evidence and stakeholder consultation, a package of options has been chosen.</w:t>
      </w:r>
      <w:r>
        <w:rPr>
          <w:rFonts w:ascii="TimesNewRoman" w:eastAsia="Calibri" w:hAnsi="TimesNewRoman" w:cs="TimesNewRoman"/>
          <w:sz w:val="24"/>
          <w:szCs w:val="24"/>
        </w:rPr>
        <w:t xml:space="preserve"> The wide scope of the package aims to provide clear benefits to </w:t>
      </w:r>
      <w:r w:rsidRPr="0053486C">
        <w:rPr>
          <w:rFonts w:ascii="TimesNewRoman" w:eastAsia="Calibri" w:hAnsi="TimesNewRoman" w:cs="TimesNewRoman"/>
          <w:sz w:val="24"/>
          <w:szCs w:val="24"/>
        </w:rPr>
        <w:t>consumers</w:t>
      </w:r>
      <w:r>
        <w:rPr>
          <w:rFonts w:ascii="TimesNewRoman" w:eastAsia="Calibri" w:hAnsi="TimesNewRoman" w:cs="TimesNewRoman"/>
          <w:sz w:val="24"/>
          <w:szCs w:val="24"/>
        </w:rPr>
        <w:t xml:space="preserve"> / users</w:t>
      </w:r>
      <w:r w:rsidRPr="0053486C">
        <w:rPr>
          <w:rFonts w:ascii="TimesNewRoman" w:eastAsia="Calibri" w:hAnsi="TimesNewRoman" w:cs="TimesNewRoman"/>
          <w:sz w:val="24"/>
          <w:szCs w:val="24"/>
        </w:rPr>
        <w:t xml:space="preserve"> (measures related to wider access to content</w:t>
      </w:r>
      <w:r>
        <w:rPr>
          <w:rFonts w:ascii="TimesNewRoman" w:eastAsia="Calibri" w:hAnsi="TimesNewRoman" w:cs="TimesNewRoman"/>
          <w:sz w:val="24"/>
          <w:szCs w:val="24"/>
        </w:rPr>
        <w:t xml:space="preserve"> and to exceptions</w:t>
      </w:r>
      <w:r w:rsidRPr="0053486C">
        <w:rPr>
          <w:rFonts w:ascii="TimesNewRoman" w:eastAsia="Calibri" w:hAnsi="TimesNewRoman" w:cs="TimesNewRoman"/>
          <w:sz w:val="24"/>
          <w:szCs w:val="24"/>
        </w:rPr>
        <w:t xml:space="preserve">) and </w:t>
      </w:r>
      <w:r>
        <w:rPr>
          <w:rFonts w:ascii="TimesNewRoman" w:eastAsia="Calibri" w:hAnsi="TimesNewRoman" w:cs="TimesNewRoman"/>
          <w:sz w:val="24"/>
          <w:szCs w:val="24"/>
        </w:rPr>
        <w:t>rightholders</w:t>
      </w:r>
      <w:r w:rsidRPr="0053486C">
        <w:rPr>
          <w:rFonts w:ascii="TimesNewRoman" w:eastAsia="Calibri" w:hAnsi="TimesNewRoman" w:cs="TimesNewRoman"/>
          <w:sz w:val="24"/>
          <w:szCs w:val="24"/>
        </w:rPr>
        <w:t xml:space="preserve"> (measures related to the better functioning of the online copyright marketplace)</w:t>
      </w:r>
      <w:r>
        <w:rPr>
          <w:rFonts w:ascii="TimesNewRoman" w:eastAsia="Calibri" w:hAnsi="TimesNewRoman" w:cs="TimesNewRoman"/>
          <w:sz w:val="24"/>
          <w:szCs w:val="24"/>
        </w:rPr>
        <w:t xml:space="preserve">; in addition the balance between the interests of consumers / users and rightholders has been taken into account in determining the preferred policy option for each topic. </w:t>
      </w:r>
    </w:p>
    <w:p w:rsidR="00992DDA" w:rsidRPr="008012CB" w:rsidRDefault="00992DDA" w:rsidP="00992DDA">
      <w:pPr>
        <w:spacing w:before="240" w:line="240" w:lineRule="auto"/>
        <w:jc w:val="both"/>
        <w:rPr>
          <w:rFonts w:ascii="TimesNewRoman" w:eastAsia="Calibri" w:hAnsi="TimesNewRoman" w:cs="TimesNewRoman"/>
          <w:sz w:val="24"/>
          <w:szCs w:val="24"/>
        </w:rPr>
      </w:pPr>
      <w:r w:rsidRPr="008012CB">
        <w:rPr>
          <w:rFonts w:ascii="TimesNewRoman" w:eastAsia="Calibri" w:hAnsi="TimesNewRoman" w:cs="TimesNewRoman"/>
          <w:sz w:val="24"/>
          <w:szCs w:val="24"/>
        </w:rPr>
        <w:t xml:space="preserve">The impacts on </w:t>
      </w:r>
      <w:r>
        <w:rPr>
          <w:rFonts w:ascii="TimesNewRoman" w:eastAsia="Calibri" w:hAnsi="TimesNewRoman" w:cs="TimesNewRoman"/>
          <w:sz w:val="24"/>
          <w:szCs w:val="24"/>
        </w:rPr>
        <w:t xml:space="preserve">the different types of </w:t>
      </w:r>
      <w:r w:rsidRPr="008012CB">
        <w:rPr>
          <w:rFonts w:ascii="TimesNewRoman" w:eastAsia="Calibri" w:hAnsi="TimesNewRoman" w:cs="TimesNewRoman"/>
          <w:sz w:val="24"/>
          <w:szCs w:val="24"/>
        </w:rPr>
        <w:t xml:space="preserve">stakeholders and possible synergies arising from the </w:t>
      </w:r>
      <w:r>
        <w:rPr>
          <w:rFonts w:ascii="TimesNewRoman" w:eastAsia="Calibri" w:hAnsi="TimesNewRoman" w:cs="TimesNewRoman"/>
          <w:sz w:val="24"/>
          <w:szCs w:val="24"/>
        </w:rPr>
        <w:t>set of preferred</w:t>
      </w:r>
      <w:r w:rsidRPr="008012CB">
        <w:rPr>
          <w:rFonts w:ascii="TimesNewRoman" w:eastAsia="Calibri" w:hAnsi="TimesNewRoman" w:cs="TimesNewRoman"/>
          <w:sz w:val="24"/>
          <w:szCs w:val="24"/>
        </w:rPr>
        <w:t xml:space="preserve"> options are presented below. </w:t>
      </w:r>
    </w:p>
    <w:p w:rsidR="00992DDA" w:rsidRPr="008012CB" w:rsidRDefault="00992DDA" w:rsidP="00992DDA">
      <w:pPr>
        <w:spacing w:line="240" w:lineRule="auto"/>
        <w:jc w:val="both"/>
        <w:rPr>
          <w:rFonts w:ascii="TimesNewRoman" w:hAnsi="TimesNewRoman" w:cs="TimesNewRoman"/>
          <w:sz w:val="24"/>
          <w:szCs w:val="24"/>
        </w:rPr>
      </w:pPr>
      <w:r>
        <w:rPr>
          <w:rFonts w:ascii="TimesNewRoman" w:hAnsi="TimesNewRoman" w:cs="TimesNewRoman"/>
          <w:b/>
          <w:sz w:val="24"/>
          <w:szCs w:val="24"/>
        </w:rPr>
        <w:t>Rightholders</w:t>
      </w:r>
      <w:r w:rsidRPr="008012CB">
        <w:rPr>
          <w:rFonts w:ascii="TimesNewRoman" w:hAnsi="TimesNewRoman" w:cs="TimesNewRoman"/>
          <w:sz w:val="24"/>
          <w:szCs w:val="24"/>
        </w:rPr>
        <w:t xml:space="preserve"> – As a result of the preferred options for</w:t>
      </w:r>
      <w:r w:rsidRPr="008012CB">
        <w:rPr>
          <w:rFonts w:ascii="TimesNewRoman" w:hAnsi="TimesNewRoman" w:cs="TimesNewRoman"/>
          <w:sz w:val="24"/>
          <w:szCs w:val="24"/>
          <w:u w:val="single"/>
        </w:rPr>
        <w:t xml:space="preserve"> "Ensuring wider access to content" </w:t>
      </w:r>
      <w:r w:rsidRPr="008012CB">
        <w:rPr>
          <w:rFonts w:ascii="TimesNewRoman" w:hAnsi="TimesNewRoman" w:cs="TimesNewRoman"/>
          <w:sz w:val="24"/>
          <w:szCs w:val="24"/>
        </w:rPr>
        <w:t xml:space="preserve">(section 3), </w:t>
      </w:r>
      <w:r>
        <w:rPr>
          <w:rFonts w:ascii="TimesNewRoman" w:hAnsi="TimesNewRoman" w:cs="TimesNewRoman"/>
          <w:sz w:val="24"/>
          <w:szCs w:val="24"/>
        </w:rPr>
        <w:t>rightholders</w:t>
      </w:r>
      <w:r w:rsidRPr="008012CB">
        <w:rPr>
          <w:rFonts w:ascii="TimesNewRoman" w:hAnsi="TimesNewRoman" w:cs="TimesNewRoman"/>
          <w:sz w:val="24"/>
          <w:szCs w:val="24"/>
        </w:rPr>
        <w:t xml:space="preserve"> would face new conditions for the licensing of rights to broadcasters for their ancillary online services (country of origin) and for the licensing of rights to certain retransmission services (mandatory collective management). The targeted nature of the measures proposed would mitigate potential negative impacts for </w:t>
      </w:r>
      <w:r>
        <w:rPr>
          <w:rFonts w:ascii="TimesNewRoman" w:hAnsi="TimesNewRoman" w:cs="TimesNewRoman"/>
          <w:sz w:val="24"/>
          <w:szCs w:val="24"/>
        </w:rPr>
        <w:t>rightholders</w:t>
      </w:r>
      <w:r w:rsidRPr="008012CB">
        <w:rPr>
          <w:rFonts w:ascii="TimesNewRoman" w:hAnsi="TimesNewRoman" w:cs="TimesNewRoman"/>
          <w:sz w:val="24"/>
          <w:szCs w:val="24"/>
        </w:rPr>
        <w:t xml:space="preserve">. </w:t>
      </w:r>
      <w:r>
        <w:rPr>
          <w:rFonts w:ascii="TimesNewRoman" w:hAnsi="TimesNewRoman" w:cs="TimesNewRoman"/>
          <w:sz w:val="24"/>
          <w:szCs w:val="24"/>
        </w:rPr>
        <w:t>Rightholders</w:t>
      </w:r>
      <w:r w:rsidRPr="008012CB">
        <w:rPr>
          <w:rFonts w:ascii="TimesNewRoman" w:hAnsi="TimesNewRoman" w:cs="TimesNewRoman"/>
          <w:sz w:val="24"/>
          <w:szCs w:val="24"/>
        </w:rPr>
        <w:t xml:space="preserve"> would benefit from the licensing mechanisms to facilitate the clearing of rights in EU AV works for use on VoD platforms and for the digitisation and dissemination of out-of-commerce works in cultural heritage collections for the purpose of better dissemination of their works and revenue opportunities. Following the intervention for </w:t>
      </w:r>
      <w:r w:rsidRPr="008012CB">
        <w:rPr>
          <w:rFonts w:ascii="TimesNewRoman" w:hAnsi="TimesNewRoman" w:cs="TimesNewRoman"/>
          <w:sz w:val="24"/>
          <w:szCs w:val="24"/>
          <w:u w:val="single"/>
        </w:rPr>
        <w:t>"Adapting exceptions to digital and cross-border environments"</w:t>
      </w:r>
      <w:r w:rsidRPr="008012CB">
        <w:rPr>
          <w:rFonts w:ascii="TimesNewRoman" w:hAnsi="TimesNewRoman" w:cs="TimesNewRoman"/>
          <w:sz w:val="24"/>
          <w:szCs w:val="24"/>
        </w:rPr>
        <w:t xml:space="preserve"> (section 4), </w:t>
      </w:r>
      <w:r>
        <w:rPr>
          <w:rFonts w:ascii="TimesNewRoman" w:hAnsi="TimesNewRoman" w:cs="TimesNewRoman"/>
          <w:sz w:val="24"/>
          <w:szCs w:val="24"/>
        </w:rPr>
        <w:t>rightholders</w:t>
      </w:r>
      <w:r w:rsidRPr="008012CB">
        <w:rPr>
          <w:rFonts w:ascii="TimesNewRoman" w:hAnsi="TimesNewRoman" w:cs="TimesNewRoman"/>
          <w:sz w:val="24"/>
          <w:szCs w:val="24"/>
        </w:rPr>
        <w:t xml:space="preserve"> would need to take account of the scope of the new exceptions on teaching, TDM and preservation when licensing their content to institutional users. Potential negative impacts would be mitigated by several relevant factors (e.g. the TDM option being based on the lawful access condition and allowing </w:t>
      </w:r>
      <w:r>
        <w:rPr>
          <w:rFonts w:ascii="TimesNewRoman" w:hAnsi="TimesNewRoman" w:cs="TimesNewRoman"/>
          <w:sz w:val="24"/>
          <w:szCs w:val="24"/>
        </w:rPr>
        <w:t>rightholders</w:t>
      </w:r>
      <w:r w:rsidRPr="008012CB">
        <w:rPr>
          <w:rFonts w:ascii="TimesNewRoman" w:hAnsi="TimesNewRoman" w:cs="TimesNewRoman"/>
          <w:sz w:val="24"/>
          <w:szCs w:val="24"/>
        </w:rPr>
        <w:t xml:space="preserve"> to take proportionate technical measures to ensure the security of their content, the teaching option allowing flexibility for </w:t>
      </w:r>
      <w:r>
        <w:rPr>
          <w:rFonts w:ascii="TimesNewRoman" w:hAnsi="TimesNewRoman" w:cs="TimesNewRoman"/>
          <w:sz w:val="24"/>
          <w:szCs w:val="24"/>
        </w:rPr>
        <w:t>MS</w:t>
      </w:r>
      <w:r w:rsidRPr="008012CB">
        <w:rPr>
          <w:rFonts w:ascii="TimesNewRoman" w:hAnsi="TimesNewRoman" w:cs="TimesNewRoman"/>
          <w:sz w:val="24"/>
          <w:szCs w:val="24"/>
        </w:rPr>
        <w:t xml:space="preserve"> to take account of the existing licensing arrangements, the preservation exception applying only to the works already in the collections of CHIs). The intervention for </w:t>
      </w:r>
      <w:r w:rsidRPr="008012CB">
        <w:rPr>
          <w:rFonts w:ascii="TimesNewRoman" w:hAnsi="TimesNewRoman" w:cs="TimesNewRoman"/>
          <w:sz w:val="24"/>
          <w:szCs w:val="24"/>
          <w:u w:val="single"/>
        </w:rPr>
        <w:t>"Achieving a well-functioning market place for copyright"</w:t>
      </w:r>
      <w:r w:rsidRPr="008012CB">
        <w:rPr>
          <w:rFonts w:ascii="TimesNewRoman" w:hAnsi="TimesNewRoman" w:cs="TimesNewRoman"/>
          <w:sz w:val="24"/>
          <w:szCs w:val="24"/>
        </w:rPr>
        <w:t xml:space="preserve"> (section 5) would have as a consequence the possibility for </w:t>
      </w:r>
      <w:r>
        <w:rPr>
          <w:rFonts w:ascii="TimesNewRoman" w:hAnsi="TimesNewRoman" w:cs="TimesNewRoman"/>
          <w:sz w:val="24"/>
          <w:szCs w:val="24"/>
        </w:rPr>
        <w:t>rightholders</w:t>
      </w:r>
      <w:r w:rsidRPr="008012CB">
        <w:rPr>
          <w:rFonts w:ascii="TimesNewRoman" w:hAnsi="TimesNewRoman" w:cs="TimesNewRoman"/>
          <w:sz w:val="24"/>
          <w:szCs w:val="24"/>
        </w:rPr>
        <w:t xml:space="preserve"> to</w:t>
      </w:r>
      <w:r w:rsidRPr="006448D3">
        <w:rPr>
          <w:rFonts w:ascii="TimesNewRoman" w:hAnsi="TimesNewRoman" w:cs="TimesNewRoman"/>
          <w:sz w:val="24"/>
          <w:szCs w:val="24"/>
        </w:rPr>
        <w:t xml:space="preserve"> better</w:t>
      </w:r>
      <w:r>
        <w:rPr>
          <w:rFonts w:ascii="TimesNewRoman" w:hAnsi="TimesNewRoman" w:cs="TimesNewRoman"/>
          <w:sz w:val="24"/>
          <w:szCs w:val="24"/>
        </w:rPr>
        <w:t xml:space="preserve"> </w:t>
      </w:r>
      <w:r w:rsidRPr="006448D3">
        <w:rPr>
          <w:rFonts w:ascii="TimesNewRoman" w:hAnsi="TimesNewRoman" w:cs="TimesNewRoman"/>
          <w:sz w:val="24"/>
          <w:szCs w:val="24"/>
        </w:rPr>
        <w:t>control the presence of their content on</w:t>
      </w:r>
      <w:r>
        <w:rPr>
          <w:rFonts w:ascii="TimesNewRoman" w:hAnsi="TimesNewRoman" w:cs="TimesNewRoman"/>
          <w:sz w:val="24"/>
          <w:szCs w:val="24"/>
        </w:rPr>
        <w:t xml:space="preserve"> user uploaded content services</w:t>
      </w:r>
      <w:r w:rsidRPr="008012CB">
        <w:rPr>
          <w:rFonts w:ascii="TimesNewRoman" w:hAnsi="TimesNewRoman" w:cs="TimesNewRoman"/>
          <w:sz w:val="24"/>
          <w:szCs w:val="24"/>
        </w:rPr>
        <w:t xml:space="preserve">. The solution envisaged for publishers would give </w:t>
      </w:r>
      <w:r w:rsidRPr="00AB1D72">
        <w:rPr>
          <w:rFonts w:ascii="TimesNewRoman" w:hAnsi="TimesNewRoman" w:cs="TimesNewRoman"/>
          <w:sz w:val="24"/>
          <w:szCs w:val="24"/>
        </w:rPr>
        <w:t xml:space="preserve">press </w:t>
      </w:r>
      <w:r w:rsidRPr="008012CB">
        <w:rPr>
          <w:rFonts w:ascii="TimesNewRoman" w:hAnsi="TimesNewRoman" w:cs="TimesNewRoman"/>
          <w:sz w:val="24"/>
          <w:szCs w:val="24"/>
        </w:rPr>
        <w:t xml:space="preserve">publishers legal certainty and additional bargaining power in relation to online services, and would enable </w:t>
      </w:r>
      <w:r>
        <w:rPr>
          <w:rFonts w:ascii="TimesNewRoman" w:hAnsi="TimesNewRoman" w:cs="TimesNewRoman"/>
          <w:sz w:val="24"/>
          <w:szCs w:val="24"/>
        </w:rPr>
        <w:t>MS</w:t>
      </w:r>
      <w:r w:rsidRPr="008012CB">
        <w:rPr>
          <w:rFonts w:ascii="TimesNewRoman" w:hAnsi="TimesNewRoman" w:cs="TimesNewRoman"/>
          <w:sz w:val="24"/>
          <w:szCs w:val="24"/>
        </w:rPr>
        <w:t xml:space="preserve"> to allow all publishers to claim compensation for uses under exceptions of rights transferred by authors. Authors and performers would benefit from increased transparency on the exploitation of their works and performances and from improved capability to receive appropriate remuneration, while their contractual counterparts (notably producers and publishers) would have to comply with the new reporting obligations. </w:t>
      </w:r>
      <w:r w:rsidRPr="0085707C">
        <w:rPr>
          <w:rFonts w:ascii="TimesNewRoman" w:hAnsi="TimesNewRoman" w:cs="TimesNewRoman"/>
          <w:sz w:val="24"/>
          <w:szCs w:val="24"/>
        </w:rPr>
        <w:t xml:space="preserve">Overall, the proposed measures are expected to </w:t>
      </w:r>
      <w:r w:rsidRPr="00B307FD">
        <w:rPr>
          <w:rFonts w:ascii="TimesNewRoman" w:hAnsi="TimesNewRoman" w:cs="TimesNewRoman"/>
          <w:sz w:val="24"/>
          <w:szCs w:val="24"/>
        </w:rPr>
        <w:t>strengthen</w:t>
      </w:r>
      <w:r w:rsidRPr="00DD78D1">
        <w:rPr>
          <w:rFonts w:ascii="TimesNewRoman" w:hAnsi="TimesNewRoman" w:cs="TimesNewRoman"/>
          <w:sz w:val="24"/>
          <w:szCs w:val="24"/>
        </w:rPr>
        <w:t xml:space="preserve"> the competitiveness of European creative industries, </w:t>
      </w:r>
      <w:r w:rsidRPr="0085707C">
        <w:rPr>
          <w:rFonts w:ascii="TimesNewRoman" w:hAnsi="TimesNewRoman" w:cs="TimesNewRoman"/>
          <w:sz w:val="24"/>
          <w:szCs w:val="24"/>
        </w:rPr>
        <w:t>notably in the online environment.</w:t>
      </w:r>
      <w:r>
        <w:rPr>
          <w:rFonts w:ascii="TimesNewRoman" w:hAnsi="TimesNewRoman" w:cs="TimesNewRoman"/>
          <w:sz w:val="24"/>
          <w:szCs w:val="24"/>
        </w:rPr>
        <w:t xml:space="preserve"> </w:t>
      </w:r>
      <w:r w:rsidRPr="008012CB">
        <w:rPr>
          <w:rFonts w:ascii="TimesNewRoman" w:hAnsi="TimesNewRoman" w:cs="TimesNewRoman"/>
          <w:sz w:val="24"/>
          <w:szCs w:val="24"/>
        </w:rPr>
        <w:t xml:space="preserve">   </w:t>
      </w:r>
    </w:p>
    <w:p w:rsidR="00992DDA" w:rsidRPr="008012CB" w:rsidRDefault="00992DDA" w:rsidP="00992DDA">
      <w:pPr>
        <w:spacing w:line="240" w:lineRule="auto"/>
        <w:jc w:val="both"/>
        <w:rPr>
          <w:rFonts w:ascii="TimesNewRoman" w:hAnsi="TimesNewRoman" w:cs="TimesNewRoman"/>
          <w:sz w:val="24"/>
          <w:szCs w:val="24"/>
        </w:rPr>
      </w:pPr>
      <w:r w:rsidRPr="008012CB">
        <w:rPr>
          <w:rFonts w:ascii="TimesNewRoman" w:hAnsi="TimesNewRoman" w:cs="TimesNewRoman"/>
          <w:b/>
          <w:sz w:val="24"/>
          <w:szCs w:val="24"/>
        </w:rPr>
        <w:t xml:space="preserve">Broadcasters and retransmission services </w:t>
      </w:r>
      <w:r w:rsidRPr="008012CB">
        <w:rPr>
          <w:rFonts w:ascii="TimesNewRoman" w:hAnsi="TimesNewRoman" w:cs="TimesNewRoman"/>
          <w:sz w:val="24"/>
          <w:szCs w:val="24"/>
        </w:rPr>
        <w:t xml:space="preserve">– Pursuant to the intervention on </w:t>
      </w:r>
      <w:r w:rsidRPr="008012CB">
        <w:rPr>
          <w:rFonts w:ascii="TimesNewRoman" w:hAnsi="TimesNewRoman" w:cs="TimesNewRoman"/>
          <w:sz w:val="24"/>
          <w:szCs w:val="24"/>
          <w:u w:val="single"/>
        </w:rPr>
        <w:t>"Ensuring wider access to content"</w:t>
      </w:r>
      <w:r w:rsidRPr="008012CB">
        <w:rPr>
          <w:rFonts w:ascii="TimesNewRoman" w:hAnsi="TimesNewRoman" w:cs="TimesNewRoman"/>
          <w:sz w:val="24"/>
          <w:szCs w:val="24"/>
        </w:rPr>
        <w:t xml:space="preserve"> (section 3), broadcasters (as far as their online transmissions ancillary to the initial broadcasts are concerned) - and retransmission services operating by certain means other than cable – would benefit from simpler and faster clearance of rights. </w:t>
      </w:r>
      <w:r w:rsidRPr="0085707C">
        <w:rPr>
          <w:rFonts w:ascii="TimesNewRoman" w:hAnsi="TimesNewRoman" w:cs="TimesNewRoman"/>
          <w:sz w:val="24"/>
          <w:szCs w:val="24"/>
        </w:rPr>
        <w:t>The reduction of transaction costs</w:t>
      </w:r>
      <w:r w:rsidRPr="00B307FD">
        <w:rPr>
          <w:rFonts w:ascii="TimesNewRoman" w:hAnsi="TimesNewRoman" w:cs="TimesNewRoman"/>
          <w:sz w:val="24"/>
          <w:szCs w:val="24"/>
        </w:rPr>
        <w:t xml:space="preserve"> resulting from the proposed intervention </w:t>
      </w:r>
      <w:r w:rsidRPr="00DD78D1">
        <w:rPr>
          <w:rFonts w:ascii="TimesNewRoman" w:hAnsi="TimesNewRoman" w:cs="TimesNewRoman"/>
          <w:sz w:val="24"/>
          <w:szCs w:val="24"/>
        </w:rPr>
        <w:t>would encourage broadcasters and retransmission services to better exploit the opportunities of the Digital Single Market.</w:t>
      </w:r>
      <w:r>
        <w:rPr>
          <w:rFonts w:ascii="TimesNewRoman" w:hAnsi="TimesNewRoman" w:cs="TimesNewRoman"/>
          <w:sz w:val="24"/>
          <w:szCs w:val="24"/>
        </w:rPr>
        <w:t xml:space="preserve"> </w:t>
      </w:r>
      <w:r w:rsidRPr="008012CB">
        <w:rPr>
          <w:rFonts w:ascii="TimesNewRoman" w:hAnsi="TimesNewRoman" w:cs="TimesNewRoman"/>
          <w:sz w:val="24"/>
          <w:szCs w:val="24"/>
        </w:rPr>
        <w:t xml:space="preserve">As </w:t>
      </w:r>
      <w:r>
        <w:rPr>
          <w:rFonts w:ascii="TimesNewRoman" w:hAnsi="TimesNewRoman" w:cs="TimesNewRoman"/>
          <w:sz w:val="24"/>
          <w:szCs w:val="24"/>
        </w:rPr>
        <w:t>rightholders</w:t>
      </w:r>
      <w:r w:rsidRPr="008012CB">
        <w:rPr>
          <w:rFonts w:ascii="TimesNewRoman" w:hAnsi="TimesNewRoman" w:cs="TimesNewRoman"/>
          <w:sz w:val="24"/>
          <w:szCs w:val="24"/>
        </w:rPr>
        <w:t xml:space="preserve"> themselves, broadcasters would be subject to the same impacts as other </w:t>
      </w:r>
      <w:r>
        <w:rPr>
          <w:rFonts w:ascii="TimesNewRoman" w:hAnsi="TimesNewRoman" w:cs="TimesNewRoman"/>
          <w:sz w:val="24"/>
          <w:szCs w:val="24"/>
        </w:rPr>
        <w:t>rightholders</w:t>
      </w:r>
      <w:r w:rsidRPr="008012CB">
        <w:rPr>
          <w:rFonts w:ascii="TimesNewRoman" w:hAnsi="TimesNewRoman" w:cs="TimesNewRoman"/>
          <w:sz w:val="24"/>
          <w:szCs w:val="24"/>
        </w:rPr>
        <w:t xml:space="preserve"> (see above). </w:t>
      </w:r>
    </w:p>
    <w:p w:rsidR="00992DDA" w:rsidRPr="008012CB" w:rsidRDefault="00992DDA" w:rsidP="00992DDA">
      <w:pPr>
        <w:spacing w:line="240" w:lineRule="auto"/>
        <w:jc w:val="both"/>
        <w:rPr>
          <w:rFonts w:ascii="TimesNewRoman" w:hAnsi="TimesNewRoman" w:cs="TimesNewRoman"/>
          <w:sz w:val="24"/>
          <w:szCs w:val="24"/>
        </w:rPr>
      </w:pPr>
      <w:r w:rsidRPr="008012CB">
        <w:rPr>
          <w:rFonts w:ascii="TimesNewRoman" w:hAnsi="TimesNewRoman" w:cs="TimesNewRoman"/>
          <w:b/>
          <w:sz w:val="24"/>
          <w:szCs w:val="24"/>
        </w:rPr>
        <w:t>Online service providers</w:t>
      </w:r>
      <w:r w:rsidRPr="008012CB">
        <w:rPr>
          <w:rFonts w:ascii="TimesNewRoman" w:hAnsi="TimesNewRoman" w:cs="TimesNewRoman"/>
          <w:sz w:val="24"/>
          <w:szCs w:val="24"/>
        </w:rPr>
        <w:t xml:space="preserve"> would be differently affected depending on their business models and on the type of content they distribute. VoD platforms would be able to submit contractual blockages for obtaining online rights to the negotiation forum proposed as part of the preferred options under </w:t>
      </w:r>
      <w:r w:rsidRPr="008012CB">
        <w:rPr>
          <w:rFonts w:ascii="TimesNewRoman" w:hAnsi="TimesNewRoman" w:cs="TimesNewRoman"/>
          <w:sz w:val="24"/>
          <w:szCs w:val="24"/>
          <w:u w:val="single"/>
        </w:rPr>
        <w:t>"Ensuring wider access to content"</w:t>
      </w:r>
      <w:r w:rsidRPr="008012CB">
        <w:rPr>
          <w:rFonts w:ascii="TimesNewRoman" w:hAnsi="TimesNewRoman" w:cs="TimesNewRoman"/>
          <w:sz w:val="24"/>
          <w:szCs w:val="24"/>
        </w:rPr>
        <w:t xml:space="preserve"> (section 3). As a result of the intervention for </w:t>
      </w:r>
      <w:r w:rsidRPr="008012CB">
        <w:rPr>
          <w:rFonts w:ascii="TimesNewRoman" w:hAnsi="TimesNewRoman" w:cs="TimesNewRoman"/>
          <w:sz w:val="24"/>
          <w:szCs w:val="24"/>
          <w:u w:val="single"/>
        </w:rPr>
        <w:t>"Achieving a well-functioning market place for copyright"</w:t>
      </w:r>
      <w:r w:rsidRPr="008012CB">
        <w:rPr>
          <w:rFonts w:ascii="TimesNewRoman" w:hAnsi="TimesNewRoman" w:cs="TimesNewRoman"/>
          <w:sz w:val="24"/>
          <w:szCs w:val="24"/>
        </w:rPr>
        <w:t xml:space="preserve"> (section 5), online services storing and giving access to</w:t>
      </w:r>
      <w:r>
        <w:rPr>
          <w:rFonts w:ascii="TimesNewRoman" w:hAnsi="TimesNewRoman" w:cs="TimesNewRoman"/>
          <w:sz w:val="24"/>
          <w:szCs w:val="24"/>
        </w:rPr>
        <w:t xml:space="preserve"> large amounts of</w:t>
      </w:r>
      <w:r w:rsidRPr="008012CB">
        <w:rPr>
          <w:rFonts w:ascii="TimesNewRoman" w:hAnsi="TimesNewRoman" w:cs="TimesNewRoman"/>
          <w:sz w:val="24"/>
          <w:szCs w:val="24"/>
        </w:rPr>
        <w:t xml:space="preserve"> content uploaded by users would have to </w:t>
      </w:r>
      <w:r>
        <w:rPr>
          <w:rFonts w:ascii="TimesNewRoman" w:hAnsi="TimesNewRoman" w:cs="TimesNewRoman"/>
          <w:sz w:val="24"/>
          <w:szCs w:val="24"/>
        </w:rPr>
        <w:t>use</w:t>
      </w:r>
      <w:r w:rsidRPr="00146CAD">
        <w:rPr>
          <w:rFonts w:ascii="TimesNewRoman" w:hAnsi="TimesNewRoman" w:cs="TimesNewRoman"/>
          <w:sz w:val="24"/>
          <w:szCs w:val="24"/>
        </w:rPr>
        <w:t xml:space="preserve"> the necessary</w:t>
      </w:r>
      <w:r>
        <w:rPr>
          <w:rFonts w:ascii="TimesNewRoman" w:hAnsi="TimesNewRoman" w:cs="TimesNewRoman"/>
          <w:sz w:val="24"/>
          <w:szCs w:val="24"/>
        </w:rPr>
        <w:t xml:space="preserve"> means to identify protected content and provide more transparency</w:t>
      </w:r>
      <w:r w:rsidRPr="008012CB">
        <w:rPr>
          <w:rFonts w:ascii="TimesNewRoman" w:hAnsi="TimesNewRoman" w:cs="TimesNewRoman"/>
          <w:sz w:val="24"/>
          <w:szCs w:val="24"/>
        </w:rPr>
        <w:t xml:space="preserve">. This would help creating a level-playing field with other online content service providers. Online services such as news aggregators or social media services would need to secure the agreement of </w:t>
      </w:r>
      <w:r w:rsidRPr="00AB1D72">
        <w:rPr>
          <w:rFonts w:ascii="TimesNewRoman" w:hAnsi="TimesNewRoman" w:cs="TimesNewRoman"/>
          <w:sz w:val="24"/>
          <w:szCs w:val="24"/>
        </w:rPr>
        <w:t xml:space="preserve">press </w:t>
      </w:r>
      <w:r w:rsidRPr="008012CB">
        <w:rPr>
          <w:rFonts w:ascii="TimesNewRoman" w:hAnsi="TimesNewRoman" w:cs="TimesNewRoman"/>
          <w:sz w:val="24"/>
          <w:szCs w:val="24"/>
        </w:rPr>
        <w:t xml:space="preserve">publishers to use their content. </w:t>
      </w:r>
    </w:p>
    <w:p w:rsidR="00992DDA" w:rsidRPr="008012CB" w:rsidRDefault="00992DDA" w:rsidP="00992DDA">
      <w:pPr>
        <w:spacing w:line="240" w:lineRule="auto"/>
        <w:jc w:val="both"/>
        <w:rPr>
          <w:rFonts w:ascii="TimesNewRoman" w:hAnsi="TimesNewRoman" w:cs="TimesNewRoman"/>
          <w:sz w:val="24"/>
          <w:szCs w:val="24"/>
        </w:rPr>
      </w:pPr>
      <w:r w:rsidRPr="008012CB">
        <w:rPr>
          <w:rFonts w:ascii="TimesNewRoman" w:hAnsi="TimesNewRoman" w:cs="TimesNewRoman"/>
          <w:b/>
          <w:sz w:val="24"/>
          <w:szCs w:val="24"/>
        </w:rPr>
        <w:t xml:space="preserve">Consumers </w:t>
      </w:r>
      <w:r w:rsidRPr="008012CB">
        <w:rPr>
          <w:rFonts w:ascii="TimesNewRoman" w:hAnsi="TimesNewRoman" w:cs="TimesNewRoman"/>
          <w:sz w:val="24"/>
          <w:szCs w:val="24"/>
        </w:rPr>
        <w:t xml:space="preserve">are expected to benefit from wider access to TV and radio programmes online, when broadcasters and retransmission services make use of the licensing arrangements as per the preferred options of the </w:t>
      </w:r>
      <w:r w:rsidRPr="008012CB">
        <w:rPr>
          <w:rFonts w:ascii="TimesNewRoman" w:hAnsi="TimesNewRoman" w:cs="TimesNewRoman"/>
          <w:sz w:val="24"/>
          <w:szCs w:val="24"/>
          <w:u w:val="single"/>
        </w:rPr>
        <w:t>"Ensuring wider access to content"</w:t>
      </w:r>
      <w:r w:rsidRPr="008012CB">
        <w:rPr>
          <w:rFonts w:ascii="TimesNewRoman" w:hAnsi="TimesNewRoman" w:cs="TimesNewRoman"/>
          <w:sz w:val="24"/>
          <w:szCs w:val="24"/>
        </w:rPr>
        <w:t xml:space="preserve"> part of this IA (section 3). Consumers are also expected to benefit from a greater availability of EU AV works on VoD platforms across MS, when the negotiating mechanisms proposed under the same section help rights' negotiations. Also as part of </w:t>
      </w:r>
      <w:r w:rsidRPr="008012CB">
        <w:rPr>
          <w:rFonts w:ascii="TimesNewRoman" w:hAnsi="TimesNewRoman" w:cs="TimesNewRoman"/>
          <w:sz w:val="24"/>
          <w:szCs w:val="24"/>
          <w:u w:val="single"/>
        </w:rPr>
        <w:t>"Ensuring wider access to content"</w:t>
      </w:r>
      <w:r w:rsidRPr="008012CB">
        <w:rPr>
          <w:rFonts w:ascii="TimesNewRoman" w:hAnsi="TimesNewRoman" w:cs="TimesNewRoman"/>
          <w:sz w:val="24"/>
          <w:szCs w:val="24"/>
        </w:rPr>
        <w:t xml:space="preserve"> (section 3), the measures to facilitate the dissemination of out-of-commerce works would provide consumers with access to content that would otherwise be unavailable to them, nationally and across borders. Consumers would also benefit, directly or indirectly, from the improved possibilities for use of content and increased legal certainty as regards notably education and preservation activities stemming from the preferred options under </w:t>
      </w:r>
      <w:r w:rsidRPr="008012CB">
        <w:rPr>
          <w:rFonts w:ascii="TimesNewRoman" w:hAnsi="TimesNewRoman" w:cs="TimesNewRoman"/>
          <w:sz w:val="24"/>
          <w:szCs w:val="24"/>
          <w:u w:val="single"/>
        </w:rPr>
        <w:t>"Adapting exceptions to digital and cross-border environment"</w:t>
      </w:r>
      <w:r w:rsidRPr="008012CB">
        <w:rPr>
          <w:rFonts w:ascii="TimesNewRoman" w:hAnsi="TimesNewRoman" w:cs="TimesNewRoman"/>
          <w:sz w:val="24"/>
          <w:szCs w:val="24"/>
        </w:rPr>
        <w:t xml:space="preserve"> (section 4). The measures proposed to </w:t>
      </w:r>
      <w:r w:rsidRPr="008012CB">
        <w:rPr>
          <w:rFonts w:ascii="TimesNewRoman" w:hAnsi="TimesNewRoman" w:cs="TimesNewRoman"/>
          <w:sz w:val="24"/>
          <w:szCs w:val="24"/>
          <w:u w:val="single"/>
        </w:rPr>
        <w:t>"Achieving a well-functioning market place for copyright"</w:t>
      </w:r>
      <w:r w:rsidRPr="008012CB">
        <w:rPr>
          <w:rFonts w:ascii="TimesNewRoman" w:hAnsi="TimesNewRoman" w:cs="TimesNewRoman"/>
          <w:sz w:val="24"/>
          <w:szCs w:val="24"/>
        </w:rPr>
        <w:t xml:space="preserve"> (section 5) are likely to have in the medium term a positive impact on the production and availability of culturally diverse content and on media pluralism, for the benefit of consumers. </w:t>
      </w:r>
    </w:p>
    <w:p w:rsidR="00992DDA" w:rsidRPr="00B758CC" w:rsidRDefault="00992DDA" w:rsidP="00992DDA">
      <w:pPr>
        <w:spacing w:line="240" w:lineRule="auto"/>
        <w:jc w:val="both"/>
        <w:rPr>
          <w:sz w:val="24"/>
          <w:szCs w:val="24"/>
        </w:rPr>
      </w:pPr>
      <w:r w:rsidRPr="00B758CC">
        <w:rPr>
          <w:rFonts w:ascii="TimesNewRoman" w:hAnsi="TimesNewRoman"/>
          <w:sz w:val="24"/>
          <w:szCs w:val="24"/>
        </w:rPr>
        <w:t xml:space="preserve">Institutional users (cultural heritage institutions, research institutions and educational establishments) would benefit from higher legal certainty when using protected content for specific purposes (respectively, preservation, TDM and illustration for teaching), as a result of intervention under </w:t>
      </w:r>
      <w:r w:rsidRPr="00B758CC">
        <w:rPr>
          <w:rFonts w:ascii="TimesNewRoman" w:hAnsi="TimesNewRoman"/>
          <w:sz w:val="24"/>
          <w:szCs w:val="24"/>
          <w:u w:val="single"/>
        </w:rPr>
        <w:t>"Adapting exceptions to digital and cross-border environment"</w:t>
      </w:r>
      <w:r w:rsidRPr="00B758CC">
        <w:rPr>
          <w:rFonts w:ascii="TimesNewRoman" w:hAnsi="TimesNewRoman"/>
          <w:sz w:val="24"/>
          <w:szCs w:val="24"/>
        </w:rPr>
        <w:t xml:space="preserve"> (section 4). Cultural heritage institutions would benefit from easier licensing solutions for the digitisation and dissemination of out-of-commerce works in their permanent collections, as outlined under </w:t>
      </w:r>
      <w:r w:rsidRPr="00B758CC">
        <w:rPr>
          <w:rFonts w:ascii="TimesNewRoman" w:hAnsi="TimesNewRoman"/>
          <w:sz w:val="24"/>
          <w:szCs w:val="24"/>
          <w:u w:val="single"/>
        </w:rPr>
        <w:t>"Ensuring wider access to content"</w:t>
      </w:r>
      <w:r w:rsidRPr="00B758CC">
        <w:rPr>
          <w:rFonts w:ascii="TimesNewRoman" w:hAnsi="TimesNewRoman"/>
          <w:sz w:val="24"/>
          <w:szCs w:val="24"/>
        </w:rPr>
        <w:t xml:space="preserve"> (section 3). This would reduce their rights clearance transaction costs and support them in making out-of-commerce works available across borders.</w:t>
      </w:r>
    </w:p>
    <w:p w:rsidR="00992DDA" w:rsidRPr="008012CB" w:rsidRDefault="00992DDA" w:rsidP="006F1A06">
      <w:pPr>
        <w:pStyle w:val="Heading3"/>
      </w:pPr>
      <w:bookmarkStart w:id="195" w:name="_Toc461114765"/>
      <w:r w:rsidRPr="008012CB">
        <w:t>Subsidiarity and proportionality</w:t>
      </w:r>
      <w:bookmarkEnd w:id="195"/>
    </w:p>
    <w:p w:rsidR="00992DDA" w:rsidRPr="00D1507D" w:rsidRDefault="00992DDA" w:rsidP="00992DDA">
      <w:pPr>
        <w:spacing w:line="240" w:lineRule="auto"/>
        <w:jc w:val="both"/>
        <w:rPr>
          <w:rFonts w:ascii="TimesNewRoman" w:hAnsi="TimesNewRoman"/>
          <w:sz w:val="24"/>
        </w:rPr>
      </w:pPr>
      <w:r w:rsidRPr="008012CB">
        <w:rPr>
          <w:rFonts w:ascii="TimesNewRoman" w:hAnsi="TimesNewRoman" w:cs="TimesNewRoman"/>
          <w:sz w:val="24"/>
          <w:szCs w:val="24"/>
        </w:rPr>
        <w:t>The problems identified in this IA have an important cross-border dimension stemming from the harmonisation which is already in place as a result of existing EU copyright rules (notably in terms of rights) and the cross-border nature inherent in the distribution of content online. The solutions designed to address these problems and selected as preferred policy options on the basis of their effectiveness and efficiency have all been scrutinised from the subsidiarity and proportionality angle in each thematic section. The results of this analysis show that the options chosen are proportionate to the objectives in that they address the underlying problems without generating unjustified costs. On the basis of this IA it also appears that a common approach should be provided at EU level as relying on national solutions for the problems identified would generate further fragmentation in the functioning of the Single Market. Finally, EU intervention is indispensable to achieve one of the key objectives of the copyright modernisation, which is to guarantee legal certainty in cross</w:t>
      </w:r>
      <w:r>
        <w:rPr>
          <w:rFonts w:ascii="TimesNewRoman" w:hAnsi="TimesNewRoman" w:cs="TimesNewRoman"/>
          <w:sz w:val="24"/>
          <w:szCs w:val="24"/>
        </w:rPr>
        <w:t>-</w:t>
      </w:r>
      <w:r w:rsidRPr="008012CB">
        <w:rPr>
          <w:rFonts w:ascii="TimesNewRoman" w:hAnsi="TimesNewRoman" w:cs="TimesNewRoman"/>
          <w:sz w:val="24"/>
          <w:szCs w:val="24"/>
        </w:rPr>
        <w:t>border situations.</w:t>
      </w:r>
    </w:p>
    <w:p w:rsidR="00992DDA" w:rsidRDefault="00992DDA" w:rsidP="006F1A06">
      <w:pPr>
        <w:pStyle w:val="Heading3"/>
      </w:pPr>
      <w:bookmarkStart w:id="196" w:name="_Toc461114766"/>
      <w:r>
        <w:t>Choice of instrument</w:t>
      </w:r>
      <w:bookmarkEnd w:id="196"/>
    </w:p>
    <w:p w:rsidR="00992DDA" w:rsidRDefault="00992DDA" w:rsidP="00992DDA">
      <w:pPr>
        <w:spacing w:line="240" w:lineRule="auto"/>
        <w:jc w:val="both"/>
        <w:rPr>
          <w:rFonts w:ascii="TimesNewRoman" w:hAnsi="TimesNewRoman" w:cs="TimesNewRoman"/>
          <w:sz w:val="24"/>
          <w:szCs w:val="24"/>
        </w:rPr>
      </w:pPr>
      <w:r w:rsidRPr="00C66501">
        <w:rPr>
          <w:rFonts w:ascii="TimesNewRoman" w:hAnsi="TimesNewRoman"/>
          <w:sz w:val="24"/>
        </w:rPr>
        <w:t>The preferred policy options identified in section 3.2 of this IA (online transmissions and retransmissions of TV and rad</w:t>
      </w:r>
      <w:r w:rsidRPr="00D1507D">
        <w:rPr>
          <w:rFonts w:ascii="TimesNewRoman" w:hAnsi="TimesNewRoman"/>
          <w:sz w:val="24"/>
        </w:rPr>
        <w:t xml:space="preserve">io programmes) would be best implemented through a regulation. This instrument would ensure that the new rules are applicable in all MS at the same time. </w:t>
      </w:r>
      <w:r>
        <w:rPr>
          <w:rFonts w:ascii="TimesNewRoman" w:hAnsi="TimesNewRoman" w:cs="TimesNewRoman"/>
          <w:sz w:val="24"/>
          <w:szCs w:val="24"/>
        </w:rPr>
        <w:t>It</w:t>
      </w:r>
      <w:r w:rsidRPr="00D1507D">
        <w:rPr>
          <w:rFonts w:ascii="TimesNewRoman" w:hAnsi="TimesNewRoman"/>
          <w:sz w:val="24"/>
        </w:rPr>
        <w:t xml:space="preserve"> would</w:t>
      </w:r>
      <w:r>
        <w:rPr>
          <w:rFonts w:ascii="TimesNewRoman" w:hAnsi="TimesNewRoman" w:cs="TimesNewRoman"/>
          <w:sz w:val="24"/>
          <w:szCs w:val="24"/>
        </w:rPr>
        <w:t xml:space="preserve"> also</w:t>
      </w:r>
      <w:r w:rsidRPr="00D1507D">
        <w:rPr>
          <w:rFonts w:ascii="TimesNewRoman" w:hAnsi="TimesNewRoman"/>
          <w:sz w:val="24"/>
        </w:rPr>
        <w:t xml:space="preserve"> allow a uniform application of the rules in the EU, which is particularly important to guarantee legal certainty to service providers operating in different territories. </w:t>
      </w:r>
      <w:r w:rsidRPr="00CC2F62">
        <w:rPr>
          <w:rFonts w:ascii="TimesNewRoman" w:hAnsi="TimesNewRoman" w:cs="TimesNewRoman"/>
          <w:sz w:val="24"/>
          <w:szCs w:val="24"/>
        </w:rPr>
        <w:t xml:space="preserve">The direct applicability of the provisions would </w:t>
      </w:r>
      <w:r>
        <w:rPr>
          <w:rFonts w:ascii="TimesNewRoman" w:hAnsi="TimesNewRoman" w:cs="TimesNewRoman"/>
          <w:sz w:val="24"/>
          <w:szCs w:val="24"/>
        </w:rPr>
        <w:t>prevent</w:t>
      </w:r>
      <w:r w:rsidRPr="00CC2F62">
        <w:rPr>
          <w:rFonts w:ascii="TimesNewRoman" w:hAnsi="TimesNewRoman" w:cs="TimesNewRoman"/>
          <w:sz w:val="24"/>
          <w:szCs w:val="24"/>
        </w:rPr>
        <w:t xml:space="preserve"> legal fragmentation and provide a harmonised set of rules </w:t>
      </w:r>
      <w:r>
        <w:rPr>
          <w:rFonts w:ascii="TimesNewRoman" w:hAnsi="TimesNewRoman" w:cs="TimesNewRoman"/>
          <w:sz w:val="24"/>
          <w:szCs w:val="24"/>
        </w:rPr>
        <w:t xml:space="preserve">to </w:t>
      </w:r>
      <w:r w:rsidRPr="006953A8">
        <w:rPr>
          <w:rFonts w:ascii="TimesNewRoman" w:hAnsi="TimesNewRoman" w:cs="TimesNewRoman"/>
          <w:sz w:val="24"/>
          <w:szCs w:val="24"/>
        </w:rPr>
        <w:t>facilitate online access to TV and radio programmes across borders or originating from other MS</w:t>
      </w:r>
      <w:r>
        <w:rPr>
          <w:rFonts w:ascii="TimesNewRoman" w:hAnsi="TimesNewRoman" w:cs="TimesNewRoman"/>
          <w:sz w:val="24"/>
          <w:szCs w:val="24"/>
        </w:rPr>
        <w:t>.</w:t>
      </w:r>
    </w:p>
    <w:p w:rsidR="00992DDA" w:rsidRPr="00AD57F7" w:rsidRDefault="00992DDA" w:rsidP="00992DDA">
      <w:pPr>
        <w:spacing w:line="240" w:lineRule="auto"/>
        <w:jc w:val="both"/>
        <w:rPr>
          <w:rFonts w:ascii="TimesNewRoman" w:hAnsi="TimesNewRoman" w:cs="TimesNewRoman"/>
          <w:sz w:val="24"/>
          <w:szCs w:val="24"/>
        </w:rPr>
      </w:pPr>
      <w:r w:rsidRPr="00D61942">
        <w:rPr>
          <w:rFonts w:ascii="TimesNewRoman" w:hAnsi="TimesNewRoman" w:cs="TimesNewRoman"/>
          <w:sz w:val="24"/>
          <w:szCs w:val="24"/>
        </w:rPr>
        <w:t>For the other topics covered by this IA, a directive is a more suitable instrument as it would allow MS to determine the technical or practical aspects complementing the EU harmonised rules and to take into account the existing national legislative framework</w:t>
      </w:r>
      <w:r>
        <w:rPr>
          <w:rFonts w:ascii="TimesNewRoman" w:hAnsi="TimesNewRoman" w:cs="TimesNewRoman"/>
          <w:sz w:val="24"/>
          <w:szCs w:val="24"/>
        </w:rPr>
        <w:t>s</w:t>
      </w:r>
      <w:r w:rsidRPr="00D61942">
        <w:rPr>
          <w:rFonts w:ascii="TimesNewRoman" w:hAnsi="TimesNewRoman" w:cs="TimesNewRoman"/>
          <w:sz w:val="24"/>
          <w:szCs w:val="24"/>
        </w:rPr>
        <w:t xml:space="preserve">. </w:t>
      </w:r>
    </w:p>
    <w:p w:rsidR="00992DDA" w:rsidRPr="008012CB" w:rsidRDefault="00992DDA" w:rsidP="00992DDA">
      <w:pPr>
        <w:pStyle w:val="Heading2"/>
        <w:numPr>
          <w:ilvl w:val="1"/>
          <w:numId w:val="1"/>
        </w:numPr>
        <w:spacing w:before="0" w:after="240"/>
        <w:rPr>
          <w:rFonts w:ascii="Times New Roman Bold" w:hAnsi="Times New Roman Bold"/>
          <w:smallCaps/>
        </w:rPr>
      </w:pPr>
      <w:bookmarkStart w:id="197" w:name="_Toc461114767"/>
      <w:r w:rsidRPr="008012CB">
        <w:rPr>
          <w:rFonts w:ascii="Times New Roman Bold" w:hAnsi="Times New Roman Bold"/>
          <w:smallCaps/>
        </w:rPr>
        <w:t>Monitoring and evaluation</w:t>
      </w:r>
      <w:bookmarkEnd w:id="197"/>
    </w:p>
    <w:p w:rsidR="00992DDA" w:rsidRPr="008012CB" w:rsidRDefault="00992DDA" w:rsidP="00992DDA">
      <w:pPr>
        <w:pStyle w:val="Heading3"/>
      </w:pPr>
      <w:bookmarkStart w:id="198" w:name="_Toc461114768"/>
      <w:r w:rsidRPr="008012CB">
        <w:t>Monitoring and evaluation plan</w:t>
      </w:r>
      <w:bookmarkEnd w:id="198"/>
    </w:p>
    <w:p w:rsidR="00992DDA" w:rsidRPr="008012CB" w:rsidRDefault="00992DDA" w:rsidP="00992DDA">
      <w:pPr>
        <w:spacing w:after="120" w:line="240" w:lineRule="auto"/>
        <w:jc w:val="both"/>
        <w:rPr>
          <w:rFonts w:ascii="TimesNewRoman" w:hAnsi="TimesNewRoman" w:cs="TimesNewRoman"/>
          <w:sz w:val="24"/>
          <w:szCs w:val="24"/>
        </w:rPr>
      </w:pPr>
      <w:bookmarkStart w:id="199" w:name="_Toc425327359"/>
      <w:bookmarkStart w:id="200" w:name="_Toc454351353"/>
      <w:bookmarkStart w:id="201" w:name="_Toc454561785"/>
      <w:r w:rsidRPr="008012CB">
        <w:rPr>
          <w:rFonts w:ascii="Times New Roman" w:eastAsia="Calibri" w:hAnsi="Times New Roman" w:cs="Times New Roman"/>
          <w:sz w:val="24"/>
          <w:szCs w:val="24"/>
        </w:rPr>
        <w:t>The</w:t>
      </w:r>
      <w:r w:rsidRPr="008012CB">
        <w:rPr>
          <w:rFonts w:ascii="TimesNewRoman" w:hAnsi="TimesNewRoman" w:cs="TimesNewRoman"/>
          <w:sz w:val="24"/>
          <w:szCs w:val="24"/>
        </w:rPr>
        <w:t xml:space="preserve"> Commission will ensure that the actions selected in the course of this IA contribute to the achievement of the policy objectives defined in sections 3.1.3, 4.1.3 and 5.1.3. </w:t>
      </w:r>
      <w:bookmarkEnd w:id="199"/>
      <w:r w:rsidRPr="008012CB">
        <w:rPr>
          <w:rFonts w:ascii="TimesNewRoman" w:hAnsi="TimesNewRoman" w:cs="TimesNewRoman"/>
          <w:sz w:val="24"/>
          <w:szCs w:val="24"/>
        </w:rPr>
        <w:t xml:space="preserve">The </w:t>
      </w:r>
      <w:r w:rsidRPr="008012CB">
        <w:rPr>
          <w:rFonts w:ascii="TimesNewRoman,Bold" w:hAnsi="TimesNewRoman,Bold" w:cs="TimesNewRoman,Bold"/>
          <w:bCs/>
          <w:sz w:val="24"/>
          <w:szCs w:val="24"/>
        </w:rPr>
        <w:t>monitoring</w:t>
      </w:r>
      <w:r w:rsidRPr="008012CB">
        <w:rPr>
          <w:rFonts w:ascii="TimesNewRoman,Bold" w:hAnsi="TimesNewRoman,Bold" w:cs="TimesNewRoman,Bold"/>
          <w:b/>
          <w:bCs/>
          <w:sz w:val="24"/>
          <w:szCs w:val="24"/>
        </w:rPr>
        <w:t xml:space="preserve"> </w:t>
      </w:r>
      <w:r w:rsidRPr="008012CB">
        <w:rPr>
          <w:rFonts w:ascii="TimesNewRoman" w:hAnsi="TimesNewRoman" w:cs="TimesNewRoman"/>
          <w:sz w:val="24"/>
          <w:szCs w:val="24"/>
        </w:rPr>
        <w:t>process would partly depend on the type of legal instrument that will be chosen to implement the preferred policy options.</w:t>
      </w:r>
      <w:bookmarkEnd w:id="200"/>
      <w:bookmarkEnd w:id="201"/>
      <w:r w:rsidRPr="008012CB">
        <w:rPr>
          <w:rFonts w:ascii="TimesNewRoman" w:hAnsi="TimesNewRoman" w:cs="TimesNewRoman"/>
          <w:sz w:val="24"/>
          <w:szCs w:val="24"/>
        </w:rPr>
        <w:t xml:space="preserve"> </w:t>
      </w:r>
    </w:p>
    <w:p w:rsidR="00992DDA" w:rsidRPr="008012CB" w:rsidRDefault="00992DDA" w:rsidP="00992DDA">
      <w:pPr>
        <w:pStyle w:val="Body"/>
        <w:spacing w:after="120"/>
        <w:rPr>
          <w:rFonts w:ascii="TimesNewRoman" w:hAnsi="TimesNewRoman" w:cs="TimesNewRoman"/>
        </w:rPr>
      </w:pPr>
      <w:r>
        <w:rPr>
          <w:lang w:val="en-US"/>
        </w:rPr>
        <w:t xml:space="preserve">For the topics covered by the regulation, </w:t>
      </w:r>
      <w:r>
        <w:rPr>
          <w:rFonts w:ascii="TimesNewRoman" w:hAnsi="TimesNewRoman" w:cs="TimesNewRoman"/>
        </w:rPr>
        <w:t>t</w:t>
      </w:r>
      <w:r w:rsidRPr="008012CB">
        <w:rPr>
          <w:rFonts w:ascii="TimesNewRoman" w:hAnsi="TimesNewRoman" w:cs="TimesNewRoman"/>
        </w:rPr>
        <w:t>he first data collection should take place when the regulation enters into force in order to establish the baseline for future evaluations. The monitoring process would then focus on progress made in relation to the cross-border availability of TV and radio programmes, with data collection taking place every 2-3 years</w:t>
      </w:r>
      <w:r w:rsidRPr="008012CB">
        <w:rPr>
          <w:lang w:val="en-US"/>
        </w:rPr>
        <w:t xml:space="preserve">. The main indicators are presented in the </w:t>
      </w:r>
      <w:r w:rsidRPr="008012CB">
        <w:rPr>
          <w:rFonts w:ascii="TimesNewRoman" w:hAnsi="TimesNewRoman" w:cs="TimesNewRoman"/>
        </w:rPr>
        <w:t>table in section 6.2.2.</w:t>
      </w:r>
      <w:r>
        <w:rPr>
          <w:rFonts w:ascii="TimesNewRoman" w:hAnsi="TimesNewRoman" w:cs="TimesNewRoman"/>
        </w:rPr>
        <w:t xml:space="preserve"> </w:t>
      </w:r>
    </w:p>
    <w:p w:rsidR="00992DDA" w:rsidRPr="008012CB" w:rsidRDefault="00992DDA" w:rsidP="00992DDA">
      <w:pPr>
        <w:pStyle w:val="Body"/>
        <w:spacing w:after="120"/>
      </w:pPr>
      <w:r>
        <w:t xml:space="preserve">For the directive, </w:t>
      </w:r>
      <w:r>
        <w:rPr>
          <w:rFonts w:ascii="TimesNewRoman" w:hAnsi="TimesNewRoman" w:cs="TimesNewRoman"/>
        </w:rPr>
        <w:t>t</w:t>
      </w:r>
      <w:r w:rsidRPr="008012CB">
        <w:rPr>
          <w:rFonts w:ascii="TimesNewRoman" w:hAnsi="TimesNewRoman" w:cs="TimesNewRoman"/>
        </w:rPr>
        <w:t xml:space="preserve">he </w:t>
      </w:r>
      <w:r w:rsidRPr="008012CB">
        <w:rPr>
          <w:rFonts w:ascii="TimesNewRoman,Bold" w:hAnsi="TimesNewRoman,Bold" w:cs="TimesNewRoman,Bold"/>
          <w:bCs/>
        </w:rPr>
        <w:t>monitoring</w:t>
      </w:r>
      <w:r w:rsidRPr="008012CB">
        <w:rPr>
          <w:rFonts w:ascii="TimesNewRoman,Bold" w:hAnsi="TimesNewRoman,Bold" w:cs="TimesNewRoman,Bold"/>
          <w:b/>
          <w:bCs/>
        </w:rPr>
        <w:t xml:space="preserve"> </w:t>
      </w:r>
      <w:r w:rsidRPr="008012CB">
        <w:rPr>
          <w:rFonts w:ascii="TimesNewRoman" w:hAnsi="TimesNewRoman" w:cs="TimesNewRoman"/>
        </w:rPr>
        <w:t>process could consist of two phases</w:t>
      </w:r>
      <w:r w:rsidRPr="008012CB">
        <w:t>:</w:t>
      </w:r>
    </w:p>
    <w:p w:rsidR="00992DDA" w:rsidRPr="008012CB" w:rsidRDefault="00992DDA" w:rsidP="00992DDA">
      <w:pPr>
        <w:pStyle w:val="Body"/>
        <w:numPr>
          <w:ilvl w:val="0"/>
          <w:numId w:val="36"/>
        </w:numPr>
        <w:spacing w:after="120"/>
        <w:ind w:left="426" w:hanging="426"/>
      </w:pPr>
      <w:r w:rsidRPr="008012CB">
        <w:t xml:space="preserve">The first phase would concentrate on the short-term, starting right after the adoption of the legislative proposal, and would focus on the correct transposition of the directive in MS. Before the transposition deadline, the Commission would organise transposition workshops and meetings with MS' representatives (e.g. group of experts) to assist them in the transposition process and to facilitate the mutual exchange of information. After the transposition deadline, the Commission would verify the timely adoption and correctness of the transposition measures. </w:t>
      </w:r>
    </w:p>
    <w:p w:rsidR="00992DDA" w:rsidRPr="008012CB" w:rsidRDefault="00992DDA" w:rsidP="00992DDA">
      <w:pPr>
        <w:pStyle w:val="Body"/>
        <w:numPr>
          <w:ilvl w:val="0"/>
          <w:numId w:val="36"/>
        </w:numPr>
        <w:spacing w:after="120"/>
        <w:ind w:left="426" w:hanging="426"/>
      </w:pPr>
      <w:r w:rsidRPr="008012CB">
        <w:t>The second phase would be mid to long-term and would focus on direct effects of the rules contained in the directive. The table in section 6.2.2 below presents the main indicators that will be used to monitor progress towards meeting the objectives pursued in the modernisation of EU copyright rules, as well as the possible sources of information. Depending on the data needs, information would be gathered from MS, creative industries or institutional users. Where needed, the Commission would send questionnaires to MS or stakeholders or organise specific surveys. The first data collection should take place before the end of the transposition period in order to establish the baseline. The information-gathering should then take place every 2-3 years after the transposition deadline in order to monitor progress in the achievement of the objectives.</w:t>
      </w:r>
    </w:p>
    <w:p w:rsidR="00992DDA" w:rsidRPr="008012CB" w:rsidRDefault="00992DDA" w:rsidP="00992DDA">
      <w:pPr>
        <w:autoSpaceDE w:val="0"/>
        <w:autoSpaceDN w:val="0"/>
        <w:adjustRightInd w:val="0"/>
        <w:spacing w:after="0" w:line="240" w:lineRule="auto"/>
        <w:jc w:val="both"/>
        <w:rPr>
          <w:rFonts w:ascii="TimesNewRoman" w:hAnsi="TimesNewRoman" w:cs="TimesNewRoman"/>
          <w:sz w:val="24"/>
          <w:szCs w:val="24"/>
        </w:rPr>
      </w:pPr>
      <w:r w:rsidRPr="008012CB">
        <w:rPr>
          <w:rFonts w:ascii="TimesNewRoman" w:hAnsi="TimesNewRoman" w:cs="TimesNewRoman"/>
          <w:sz w:val="24"/>
          <w:szCs w:val="24"/>
        </w:rPr>
        <w:t xml:space="preserve">A comprehensive </w:t>
      </w:r>
      <w:r w:rsidRPr="008012CB">
        <w:rPr>
          <w:rFonts w:ascii="TimesNewRoman,Bold" w:hAnsi="TimesNewRoman,Bold" w:cs="TimesNewRoman,Bold"/>
          <w:bCs/>
          <w:sz w:val="24"/>
          <w:szCs w:val="24"/>
        </w:rPr>
        <w:t>evaluation</w:t>
      </w:r>
      <w:r w:rsidRPr="008012CB">
        <w:rPr>
          <w:rFonts w:ascii="TimesNewRoman,Bold" w:hAnsi="TimesNewRoman,Bold" w:cs="TimesNewRoman,Bold"/>
          <w:b/>
          <w:bCs/>
          <w:sz w:val="24"/>
          <w:szCs w:val="24"/>
        </w:rPr>
        <w:t xml:space="preserve"> </w:t>
      </w:r>
      <w:r w:rsidRPr="008012CB">
        <w:rPr>
          <w:rFonts w:ascii="TimesNewRoman" w:hAnsi="TimesNewRoman" w:cs="TimesNewRoman"/>
          <w:sz w:val="24"/>
          <w:szCs w:val="24"/>
        </w:rPr>
        <w:t xml:space="preserve">could take place at the latest 10 years after the adoption of the directive and 5 years after the adoption of the regulation, in order to measure their effectiveness, efficiency, relevance, coherence and added value, in accordance with the Commission's Better Regulation principles. </w:t>
      </w:r>
    </w:p>
    <w:p w:rsidR="00794444" w:rsidRPr="008012CB" w:rsidRDefault="00190CFA" w:rsidP="00B30762">
      <w:pPr>
        <w:autoSpaceDE w:val="0"/>
        <w:autoSpaceDN w:val="0"/>
        <w:adjustRightInd w:val="0"/>
        <w:spacing w:after="0" w:line="240" w:lineRule="auto"/>
        <w:jc w:val="both"/>
        <w:rPr>
          <w:rFonts w:ascii="TimesNewRoman" w:hAnsi="TimesNewRoman" w:cs="TimesNewRoman"/>
          <w:sz w:val="24"/>
          <w:szCs w:val="24"/>
        </w:rPr>
      </w:pPr>
      <w:r w:rsidRPr="008012CB">
        <w:rPr>
          <w:rFonts w:ascii="TimesNewRoman" w:hAnsi="TimesNewRoman" w:cs="TimesNewRoman"/>
          <w:sz w:val="24"/>
          <w:szCs w:val="24"/>
        </w:rPr>
        <w:t xml:space="preserve"> </w:t>
      </w:r>
    </w:p>
    <w:p w:rsidR="00794444" w:rsidRPr="008012CB" w:rsidRDefault="00794444" w:rsidP="00794444">
      <w:r w:rsidRPr="008012CB">
        <w:br w:type="page"/>
      </w:r>
    </w:p>
    <w:p w:rsidR="00952EB0" w:rsidRPr="008012CB" w:rsidRDefault="001F7EDA" w:rsidP="00713F3F">
      <w:pPr>
        <w:pStyle w:val="Heading3"/>
      </w:pPr>
      <w:bookmarkStart w:id="202" w:name="_Toc461114769"/>
      <w:r w:rsidRPr="008012CB">
        <w:t>Operational objectives and monitoring indicators</w:t>
      </w:r>
      <w:bookmarkEnd w:id="202"/>
      <w:r w:rsidRPr="008012C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2376"/>
      </w:tblGrid>
      <w:tr w:rsidR="003B7A36" w:rsidRPr="008012CB" w:rsidTr="0023786E">
        <w:tc>
          <w:tcPr>
            <w:tcW w:w="2660" w:type="dxa"/>
            <w:shd w:val="clear" w:color="auto" w:fill="D9D9D9"/>
          </w:tcPr>
          <w:p w:rsidR="003B7A36" w:rsidRPr="008012CB" w:rsidRDefault="003B7A36" w:rsidP="0023786E">
            <w:pPr>
              <w:spacing w:line="240" w:lineRule="auto"/>
              <w:jc w:val="center"/>
              <w:rPr>
                <w:rFonts w:ascii="Times New Roman" w:eastAsia="Arial Unicode MS" w:hAnsi="Times New Roman"/>
                <w:b/>
              </w:rPr>
            </w:pPr>
            <w:r w:rsidRPr="008012CB">
              <w:rPr>
                <w:rFonts w:ascii="Times New Roman" w:eastAsia="Arial Unicode MS" w:hAnsi="Times New Roman"/>
                <w:b/>
              </w:rPr>
              <w:t>Objectives</w:t>
            </w:r>
          </w:p>
        </w:tc>
        <w:tc>
          <w:tcPr>
            <w:tcW w:w="4252" w:type="dxa"/>
            <w:shd w:val="clear" w:color="auto" w:fill="D9D9D9"/>
          </w:tcPr>
          <w:p w:rsidR="003B7A36" w:rsidRPr="008012CB" w:rsidRDefault="003B7A36" w:rsidP="0023786E">
            <w:pPr>
              <w:spacing w:line="240" w:lineRule="auto"/>
              <w:jc w:val="center"/>
              <w:rPr>
                <w:rFonts w:ascii="Times New Roman" w:eastAsia="Arial Unicode MS" w:hAnsi="Times New Roman"/>
                <w:b/>
              </w:rPr>
            </w:pPr>
            <w:r w:rsidRPr="008012CB">
              <w:rPr>
                <w:rFonts w:ascii="Times New Roman" w:eastAsia="Arial Unicode MS" w:hAnsi="Times New Roman"/>
                <w:b/>
              </w:rPr>
              <w:t>Indicators</w:t>
            </w:r>
          </w:p>
        </w:tc>
        <w:tc>
          <w:tcPr>
            <w:tcW w:w="2376" w:type="dxa"/>
            <w:shd w:val="clear" w:color="auto" w:fill="D9D9D9"/>
          </w:tcPr>
          <w:p w:rsidR="003B7A36" w:rsidRPr="008012CB" w:rsidRDefault="003B7A36" w:rsidP="0023786E">
            <w:pPr>
              <w:spacing w:line="240" w:lineRule="auto"/>
              <w:jc w:val="center"/>
              <w:rPr>
                <w:rFonts w:ascii="Times New Roman" w:eastAsia="Arial Unicode MS" w:hAnsi="Times New Roman"/>
                <w:b/>
              </w:rPr>
            </w:pPr>
            <w:r w:rsidRPr="008012CB">
              <w:rPr>
                <w:rFonts w:ascii="Times New Roman" w:eastAsia="Arial Unicode MS" w:hAnsi="Times New Roman"/>
                <w:b/>
              </w:rPr>
              <w:t>Source of information</w:t>
            </w:r>
          </w:p>
        </w:tc>
      </w:tr>
      <w:tr w:rsidR="003B7A36" w:rsidRPr="008012CB" w:rsidTr="003B7A36">
        <w:tc>
          <w:tcPr>
            <w:tcW w:w="9288" w:type="dxa"/>
            <w:gridSpan w:val="3"/>
            <w:shd w:val="clear" w:color="auto" w:fill="F2F2F2" w:themeFill="background1" w:themeFillShade="F2"/>
            <w:vAlign w:val="center"/>
          </w:tcPr>
          <w:p w:rsidR="003B7A36" w:rsidRPr="008012CB" w:rsidRDefault="003B7A36" w:rsidP="00DE22C2">
            <w:pPr>
              <w:spacing w:after="120" w:line="240" w:lineRule="auto"/>
              <w:rPr>
                <w:rFonts w:ascii="Times New Roman" w:eastAsia="Arial Unicode MS" w:hAnsi="Times New Roman"/>
                <w:b/>
              </w:rPr>
            </w:pPr>
            <w:r w:rsidRPr="008012CB">
              <w:rPr>
                <w:rFonts w:ascii="Times New Roman" w:eastAsia="Arial Unicode MS" w:hAnsi="Times New Roman"/>
                <w:b/>
              </w:rPr>
              <w:t>ENSURING WIDER ACCESS TO CONTENT</w:t>
            </w:r>
          </w:p>
        </w:tc>
      </w:tr>
      <w:tr w:rsidR="003B7A36" w:rsidRPr="008012CB" w:rsidTr="003B7A36">
        <w:tc>
          <w:tcPr>
            <w:tcW w:w="9288" w:type="dxa"/>
            <w:gridSpan w:val="3"/>
            <w:shd w:val="clear" w:color="auto" w:fill="auto"/>
            <w:vAlign w:val="center"/>
          </w:tcPr>
          <w:p w:rsidR="003B7A36" w:rsidRPr="008012CB" w:rsidRDefault="003B7A36" w:rsidP="00DE22C2">
            <w:pPr>
              <w:spacing w:after="0" w:line="240" w:lineRule="auto"/>
              <w:rPr>
                <w:rFonts w:ascii="Times New Roman" w:eastAsia="Arial Unicode MS" w:hAnsi="Times New Roman"/>
                <w:b/>
              </w:rPr>
            </w:pPr>
            <w:r w:rsidRPr="008012CB">
              <w:rPr>
                <w:rFonts w:ascii="Times New Roman" w:eastAsia="Arial Unicode MS" w:hAnsi="Times New Roman"/>
                <w:b/>
              </w:rPr>
              <w:t xml:space="preserve">Facilitate the clearance of rights for </w:t>
            </w:r>
            <w:r w:rsidR="00BF1EDC" w:rsidRPr="008012CB">
              <w:rPr>
                <w:rFonts w:ascii="Times New Roman" w:eastAsia="Arial Unicode MS" w:hAnsi="Times New Roman"/>
                <w:b/>
              </w:rPr>
              <w:t xml:space="preserve">transmissions of </w:t>
            </w:r>
            <w:r w:rsidRPr="008012CB">
              <w:rPr>
                <w:rFonts w:ascii="Times New Roman" w:eastAsia="Arial Unicode MS" w:hAnsi="Times New Roman"/>
                <w:b/>
              </w:rPr>
              <w:t>TV and radio programmes online</w:t>
            </w:r>
          </w:p>
        </w:tc>
      </w:tr>
      <w:tr w:rsidR="003B7A36" w:rsidRPr="008012CB" w:rsidTr="003B7A36">
        <w:tc>
          <w:tcPr>
            <w:tcW w:w="2660" w:type="dxa"/>
            <w:shd w:val="clear" w:color="auto" w:fill="auto"/>
          </w:tcPr>
          <w:p w:rsidR="003B7A36" w:rsidRPr="008012CB" w:rsidRDefault="003B7A36" w:rsidP="003B7A36">
            <w:pPr>
              <w:spacing w:line="240" w:lineRule="auto"/>
              <w:rPr>
                <w:rFonts w:ascii="Times New Roman" w:eastAsia="Arial Unicode MS" w:hAnsi="Times New Roman"/>
                <w:b/>
                <w:sz w:val="20"/>
              </w:rPr>
            </w:pPr>
            <w:r w:rsidRPr="008012CB">
              <w:rPr>
                <w:rFonts w:ascii="Times New Roman" w:eastAsia="Arial Unicode MS" w:hAnsi="Times New Roman"/>
                <w:i/>
                <w:sz w:val="20"/>
              </w:rPr>
              <w:t>Operational objective</w:t>
            </w:r>
            <w:r w:rsidRPr="008012CB">
              <w:rPr>
                <w:rFonts w:ascii="Times New Roman" w:eastAsia="Arial Unicode MS" w:hAnsi="Times New Roman"/>
                <w:sz w:val="20"/>
              </w:rPr>
              <w:t>: Increase the number of TV and radio programmes accessible online across borders</w:t>
            </w:r>
          </w:p>
        </w:tc>
        <w:tc>
          <w:tcPr>
            <w:tcW w:w="4252" w:type="dxa"/>
            <w:shd w:val="clear" w:color="auto" w:fill="auto"/>
          </w:tcPr>
          <w:p w:rsidR="003B7A36" w:rsidRDefault="003B7A36" w:rsidP="00D1507D">
            <w:pPr>
              <w:pStyle w:val="ListParagraph"/>
              <w:numPr>
                <w:ilvl w:val="0"/>
                <w:numId w:val="28"/>
              </w:numPr>
              <w:spacing w:after="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Number of simulcasting services available across borders in the EU and   percentage of geo-blocked content</w:t>
            </w:r>
          </w:p>
          <w:p w:rsidR="009E4614" w:rsidRPr="00AD57F7" w:rsidRDefault="009E4614" w:rsidP="00AD57F7">
            <w:pPr>
              <w:spacing w:after="0" w:line="240" w:lineRule="auto"/>
              <w:ind w:left="317"/>
              <w:jc w:val="both"/>
              <w:rPr>
                <w:rFonts w:ascii="Times New Roman" w:eastAsia="Arial Unicode MS" w:hAnsi="Times New Roman"/>
                <w:sz w:val="20"/>
              </w:rPr>
            </w:pPr>
            <w:r w:rsidRPr="00AD57F7">
              <w:rPr>
                <w:rFonts w:ascii="Times New Roman" w:eastAsia="Arial Unicode MS" w:hAnsi="Times New Roman"/>
                <w:i/>
                <w:sz w:val="20"/>
              </w:rPr>
              <w:t>[</w:t>
            </w:r>
            <w:r w:rsidRPr="00AD57F7">
              <w:rPr>
                <w:rFonts w:ascii="Times New Roman" w:eastAsia="Arial Unicode MS" w:hAnsi="Times New Roman"/>
                <w:i/>
                <w:sz w:val="20"/>
                <w:u w:val="single"/>
              </w:rPr>
              <w:t>Benchmark</w:t>
            </w:r>
            <w:r w:rsidRPr="00AD57F7">
              <w:rPr>
                <w:rFonts w:ascii="Times New Roman" w:eastAsia="Arial Unicode MS" w:hAnsi="Times New Roman"/>
                <w:i/>
                <w:sz w:val="20"/>
              </w:rPr>
              <w:t xml:space="preserve">: </w:t>
            </w:r>
            <w:r w:rsidR="003B3C0B">
              <w:rPr>
                <w:rFonts w:ascii="Times New Roman" w:eastAsia="Arial Unicode MS" w:hAnsi="Times New Roman"/>
                <w:i/>
                <w:sz w:val="20"/>
              </w:rPr>
              <w:t>see table 1.4 in Annex 6B covering a sample of broadcasters in 11 MS]</w:t>
            </w:r>
          </w:p>
          <w:p w:rsidR="003B7A36" w:rsidRDefault="003B7A36" w:rsidP="00D1507D">
            <w:pPr>
              <w:pStyle w:val="ListParagraph"/>
              <w:numPr>
                <w:ilvl w:val="0"/>
                <w:numId w:val="28"/>
              </w:numPr>
              <w:spacing w:after="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Number of catch-up services available across borders in the EU and percentage of geo-blocked content</w:t>
            </w:r>
          </w:p>
          <w:p w:rsidR="003B3C0B" w:rsidRPr="00AD57F7" w:rsidRDefault="003B3C0B" w:rsidP="00AD57F7">
            <w:pPr>
              <w:spacing w:after="0" w:line="240" w:lineRule="auto"/>
              <w:ind w:left="317"/>
              <w:jc w:val="both"/>
              <w:rPr>
                <w:rFonts w:ascii="Times New Roman" w:eastAsia="Arial Unicode MS" w:hAnsi="Times New Roman"/>
                <w:sz w:val="20"/>
              </w:rPr>
            </w:pPr>
            <w:r w:rsidRPr="00B14708">
              <w:rPr>
                <w:rFonts w:ascii="Times New Roman" w:eastAsia="Arial Unicode MS" w:hAnsi="Times New Roman"/>
                <w:i/>
                <w:sz w:val="20"/>
              </w:rPr>
              <w:t>[</w:t>
            </w:r>
            <w:r w:rsidRPr="00B14708">
              <w:rPr>
                <w:rFonts w:ascii="Times New Roman" w:eastAsia="Arial Unicode MS" w:hAnsi="Times New Roman"/>
                <w:i/>
                <w:sz w:val="20"/>
                <w:u w:val="single"/>
              </w:rPr>
              <w:t>Benchmark</w:t>
            </w:r>
            <w:r w:rsidRPr="00B14708">
              <w:rPr>
                <w:rFonts w:ascii="Times New Roman" w:eastAsia="Arial Unicode MS" w:hAnsi="Times New Roman"/>
                <w:i/>
                <w:sz w:val="20"/>
              </w:rPr>
              <w:t xml:space="preserve">: </w:t>
            </w:r>
            <w:r>
              <w:rPr>
                <w:rFonts w:ascii="Times New Roman" w:eastAsia="Arial Unicode MS" w:hAnsi="Times New Roman"/>
                <w:i/>
                <w:sz w:val="20"/>
              </w:rPr>
              <w:t>see table 1.5 in Annex 6B covering a sample of broadcasters in 11 MS]</w:t>
            </w:r>
          </w:p>
          <w:p w:rsidR="00DE22C2" w:rsidRPr="008012CB" w:rsidRDefault="00794444" w:rsidP="00D1507D">
            <w:pPr>
              <w:pStyle w:val="ListParagraph"/>
              <w:numPr>
                <w:ilvl w:val="0"/>
                <w:numId w:val="28"/>
              </w:numPr>
              <w:spacing w:after="12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O</w:t>
            </w:r>
            <w:r w:rsidR="003B7A36" w:rsidRPr="008012CB">
              <w:rPr>
                <w:rFonts w:ascii="Times New Roman" w:eastAsia="Arial Unicode MS" w:hAnsi="Times New Roman"/>
                <w:sz w:val="20"/>
                <w:szCs w:val="22"/>
                <w:lang w:val="en-GB"/>
              </w:rPr>
              <w:t>nline cross-border availability of radio and TV programmes, by type of content (news, shows, cultural programmes, films, series, etc)</w:t>
            </w:r>
          </w:p>
          <w:p w:rsidR="003B7A36" w:rsidRDefault="00794444" w:rsidP="00AD57F7">
            <w:pPr>
              <w:pStyle w:val="ListParagraph"/>
              <w:numPr>
                <w:ilvl w:val="0"/>
                <w:numId w:val="28"/>
              </w:numPr>
              <w:spacing w:before="120" w:after="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A</w:t>
            </w:r>
            <w:r w:rsidR="003B7A36" w:rsidRPr="008012CB">
              <w:rPr>
                <w:rFonts w:ascii="Times New Roman" w:eastAsia="Arial Unicode MS" w:hAnsi="Times New Roman"/>
                <w:sz w:val="20"/>
                <w:szCs w:val="22"/>
                <w:lang w:val="en-GB"/>
              </w:rPr>
              <w:t xml:space="preserve">udience of online radio and TV programmes </w:t>
            </w:r>
          </w:p>
          <w:p w:rsidR="009E4614" w:rsidRPr="00D1507D" w:rsidRDefault="009E4614" w:rsidP="00D1507D">
            <w:pPr>
              <w:spacing w:after="120" w:line="240" w:lineRule="auto"/>
              <w:ind w:left="317"/>
              <w:jc w:val="both"/>
              <w:rPr>
                <w:rFonts w:ascii="Times New Roman" w:hAnsi="Times New Roman"/>
                <w:i/>
                <w:sz w:val="20"/>
              </w:rPr>
            </w:pPr>
            <w:r w:rsidRPr="00C66501">
              <w:rPr>
                <w:rFonts w:ascii="Times New Roman" w:eastAsia="Arial Unicode MS" w:hAnsi="Times New Roman"/>
                <w:i/>
                <w:sz w:val="20"/>
              </w:rPr>
              <w:t>[</w:t>
            </w:r>
            <w:r w:rsidRPr="00645F5C">
              <w:rPr>
                <w:rFonts w:ascii="Times New Roman" w:eastAsia="Arial Unicode MS" w:hAnsi="Times New Roman"/>
                <w:i/>
                <w:sz w:val="20"/>
                <w:u w:val="single"/>
              </w:rPr>
              <w:t>Benchmark 2014 data</w:t>
            </w:r>
            <w:r w:rsidRPr="00D1507D">
              <w:rPr>
                <w:rFonts w:ascii="Times New Roman" w:eastAsia="Arial Unicode MS" w:hAnsi="Times New Roman"/>
                <w:i/>
                <w:sz w:val="20"/>
              </w:rPr>
              <w:t>: 20</w:t>
            </w:r>
            <w:r w:rsidR="00E07E16">
              <w:rPr>
                <w:rFonts w:ascii="Times New Roman" w:eastAsia="Arial Unicode MS" w:hAnsi="Times New Roman"/>
                <w:i/>
                <w:sz w:val="20"/>
              </w:rPr>
              <w:t xml:space="preserve"> </w:t>
            </w:r>
            <w:r w:rsidRPr="00D1507D">
              <w:rPr>
                <w:rFonts w:ascii="Times New Roman" w:eastAsia="Arial Unicode MS" w:hAnsi="Times New Roman"/>
                <w:i/>
                <w:sz w:val="20"/>
              </w:rPr>
              <w:t>% of Europeans watch television online at least once a week; 6 to 8</w:t>
            </w:r>
            <w:r w:rsidR="00E07E16">
              <w:rPr>
                <w:rFonts w:ascii="Times New Roman" w:eastAsia="Arial Unicode MS" w:hAnsi="Times New Roman"/>
                <w:i/>
                <w:sz w:val="20"/>
              </w:rPr>
              <w:t xml:space="preserve"> </w:t>
            </w:r>
            <w:r w:rsidRPr="00D1507D">
              <w:rPr>
                <w:rFonts w:ascii="Times New Roman" w:eastAsia="Arial Unicode MS" w:hAnsi="Times New Roman"/>
                <w:i/>
                <w:sz w:val="20"/>
              </w:rPr>
              <w:t>% of total listening of radio is done online in Europe.</w:t>
            </w:r>
            <w:r w:rsidR="00CC5E2E" w:rsidRPr="00760BBF">
              <w:rPr>
                <w:rStyle w:val="FootnoteReference"/>
                <w:rFonts w:ascii="Times New Roman" w:eastAsia="Arial Unicode MS" w:hAnsi="Times New Roman"/>
                <w:i/>
                <w:sz w:val="20"/>
              </w:rPr>
              <w:footnoteReference w:id="589"/>
            </w:r>
            <w:r w:rsidRPr="00C66501">
              <w:rPr>
                <w:rFonts w:ascii="Times New Roman" w:eastAsia="Arial Unicode MS" w:hAnsi="Times New Roman"/>
                <w:i/>
                <w:sz w:val="20"/>
              </w:rPr>
              <w:t>]</w:t>
            </w:r>
          </w:p>
        </w:tc>
        <w:tc>
          <w:tcPr>
            <w:tcW w:w="2376" w:type="dxa"/>
            <w:shd w:val="clear" w:color="auto" w:fill="auto"/>
          </w:tcPr>
          <w:p w:rsidR="003B7A36" w:rsidRPr="008012CB" w:rsidRDefault="003B7A36" w:rsidP="0023786E">
            <w:pPr>
              <w:spacing w:line="240" w:lineRule="auto"/>
              <w:rPr>
                <w:rFonts w:ascii="Times New Roman" w:eastAsia="Arial Unicode MS" w:hAnsi="Times New Roman"/>
                <w:sz w:val="20"/>
              </w:rPr>
            </w:pPr>
            <w:r w:rsidRPr="008012CB">
              <w:rPr>
                <w:rFonts w:ascii="Times New Roman" w:eastAsia="Arial Unicode MS" w:hAnsi="Times New Roman"/>
                <w:sz w:val="20"/>
              </w:rPr>
              <w:t xml:space="preserve">This information </w:t>
            </w:r>
            <w:r w:rsidR="00FD78BA" w:rsidRPr="008012CB">
              <w:rPr>
                <w:rFonts w:ascii="Times New Roman" w:eastAsia="Arial Unicode MS" w:hAnsi="Times New Roman"/>
                <w:sz w:val="20"/>
              </w:rPr>
              <w:t xml:space="preserve">would </w:t>
            </w:r>
            <w:r w:rsidRPr="008012CB">
              <w:rPr>
                <w:rFonts w:ascii="Times New Roman" w:eastAsia="Arial Unicode MS" w:hAnsi="Times New Roman"/>
                <w:sz w:val="20"/>
              </w:rPr>
              <w:t xml:space="preserve">be obtained from publicly available data sources (European Audiovisual Observatory) or directly from broadcasters (through bilateral contacts or questionnaires). </w:t>
            </w:r>
          </w:p>
          <w:p w:rsidR="003B7A36" w:rsidRPr="008012CB" w:rsidRDefault="003B7A36" w:rsidP="003B7A36">
            <w:pPr>
              <w:spacing w:line="240" w:lineRule="auto"/>
              <w:rPr>
                <w:rFonts w:ascii="Times New Roman" w:eastAsia="Arial Unicode MS" w:hAnsi="Times New Roman"/>
                <w:b/>
                <w:sz w:val="20"/>
              </w:rPr>
            </w:pPr>
          </w:p>
        </w:tc>
      </w:tr>
      <w:tr w:rsidR="003B7A36" w:rsidRPr="008012CB" w:rsidTr="003B7A36">
        <w:tc>
          <w:tcPr>
            <w:tcW w:w="9288" w:type="dxa"/>
            <w:gridSpan w:val="3"/>
            <w:shd w:val="clear" w:color="auto" w:fill="auto"/>
            <w:vAlign w:val="center"/>
          </w:tcPr>
          <w:p w:rsidR="003B7A36" w:rsidRPr="008012CB" w:rsidRDefault="003B7A36" w:rsidP="00DE22C2">
            <w:pPr>
              <w:spacing w:after="0" w:line="240" w:lineRule="auto"/>
              <w:rPr>
                <w:rFonts w:ascii="Times New Roman" w:eastAsia="Arial Unicode MS" w:hAnsi="Times New Roman"/>
                <w:b/>
              </w:rPr>
            </w:pPr>
            <w:r w:rsidRPr="008012CB">
              <w:rPr>
                <w:rFonts w:ascii="Times New Roman" w:eastAsia="Arial Unicode MS" w:hAnsi="Times New Roman"/>
                <w:b/>
              </w:rPr>
              <w:t>Facilitate the clearance of rights for retransmissions services by means other than cable</w:t>
            </w:r>
          </w:p>
        </w:tc>
      </w:tr>
      <w:tr w:rsidR="003B7A36" w:rsidRPr="00C20A45" w:rsidTr="003B7A36">
        <w:tc>
          <w:tcPr>
            <w:tcW w:w="2660" w:type="dxa"/>
            <w:shd w:val="clear" w:color="auto" w:fill="auto"/>
          </w:tcPr>
          <w:p w:rsidR="003B7A36" w:rsidRPr="008012CB" w:rsidRDefault="003B7A36" w:rsidP="003B7A36">
            <w:pPr>
              <w:spacing w:line="240" w:lineRule="auto"/>
              <w:rPr>
                <w:rFonts w:ascii="Times New Roman" w:eastAsia="Arial Unicode MS" w:hAnsi="Times New Roman"/>
                <w:b/>
                <w:sz w:val="20"/>
              </w:rPr>
            </w:pPr>
            <w:r w:rsidRPr="008012CB">
              <w:rPr>
                <w:rFonts w:ascii="Times New Roman" w:eastAsia="Arial Unicode MS" w:hAnsi="Times New Roman"/>
                <w:i/>
                <w:sz w:val="20"/>
              </w:rPr>
              <w:t>Operational objective</w:t>
            </w:r>
            <w:r w:rsidRPr="008012CB">
              <w:rPr>
                <w:rFonts w:ascii="Times New Roman" w:eastAsia="Arial Unicode MS" w:hAnsi="Times New Roman"/>
                <w:sz w:val="20"/>
              </w:rPr>
              <w:t>: Increase the number of TV/radio channels offered by retransmission services provided over closed electronic communications networks</w:t>
            </w:r>
          </w:p>
        </w:tc>
        <w:tc>
          <w:tcPr>
            <w:tcW w:w="4252" w:type="dxa"/>
            <w:shd w:val="clear" w:color="auto" w:fill="auto"/>
          </w:tcPr>
          <w:p w:rsidR="003B7A36" w:rsidRPr="008012CB" w:rsidRDefault="003B7A36" w:rsidP="007D6CF3">
            <w:pPr>
              <w:pStyle w:val="ListParagraph"/>
              <w:numPr>
                <w:ilvl w:val="0"/>
                <w:numId w:val="30"/>
              </w:numPr>
              <w:spacing w:after="12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Number of retransmission services provided over closed electronic communications networks</w:t>
            </w:r>
          </w:p>
          <w:p w:rsidR="003B7A36" w:rsidRDefault="003B7A36" w:rsidP="00D1507D">
            <w:pPr>
              <w:pStyle w:val="ListParagraph"/>
              <w:numPr>
                <w:ilvl w:val="0"/>
                <w:numId w:val="30"/>
              </w:numPr>
              <w:spacing w:before="120" w:after="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 xml:space="preserve">Number of foreign TV / radio channels available in each </w:t>
            </w:r>
            <w:r w:rsidR="00EA30E5" w:rsidRPr="008012CB">
              <w:rPr>
                <w:rFonts w:ascii="Times New Roman" w:eastAsia="Arial Unicode MS" w:hAnsi="Times New Roman"/>
                <w:sz w:val="20"/>
                <w:szCs w:val="22"/>
                <w:lang w:val="en-GB"/>
              </w:rPr>
              <w:t>MS</w:t>
            </w:r>
            <w:r w:rsidRPr="008012CB">
              <w:rPr>
                <w:rFonts w:ascii="Times New Roman" w:eastAsia="Arial Unicode MS" w:hAnsi="Times New Roman"/>
                <w:sz w:val="20"/>
                <w:szCs w:val="22"/>
                <w:lang w:val="en-GB"/>
              </w:rPr>
              <w:t xml:space="preserve"> through those retransmission services</w:t>
            </w:r>
          </w:p>
          <w:p w:rsidR="00992769" w:rsidRPr="00AD57F7" w:rsidRDefault="00992769" w:rsidP="00AD57F7">
            <w:pPr>
              <w:spacing w:after="0" w:line="240" w:lineRule="auto"/>
              <w:ind w:left="317"/>
              <w:jc w:val="both"/>
              <w:rPr>
                <w:rFonts w:ascii="Times New Roman" w:eastAsia="Arial Unicode MS" w:hAnsi="Times New Roman"/>
                <w:i/>
                <w:sz w:val="20"/>
              </w:rPr>
            </w:pPr>
            <w:r w:rsidRPr="00AD57F7">
              <w:rPr>
                <w:rFonts w:ascii="Times New Roman" w:eastAsia="Arial Unicode MS" w:hAnsi="Times New Roman"/>
                <w:i/>
                <w:sz w:val="20"/>
              </w:rPr>
              <w:t>[</w:t>
            </w:r>
            <w:r w:rsidRPr="00AD57F7">
              <w:rPr>
                <w:rFonts w:ascii="Times New Roman" w:eastAsia="Arial Unicode MS" w:hAnsi="Times New Roman"/>
                <w:i/>
                <w:sz w:val="20"/>
                <w:u w:val="single"/>
              </w:rPr>
              <w:t>Benchmark</w:t>
            </w:r>
            <w:r w:rsidRPr="00AD57F7">
              <w:rPr>
                <w:rFonts w:ascii="Times New Roman" w:eastAsia="Arial Unicode MS" w:hAnsi="Times New Roman"/>
                <w:i/>
                <w:sz w:val="20"/>
              </w:rPr>
              <w:t>: for IPTV services see table presented in Annex 7B covering a sample of 11 MS; 2015 data]</w:t>
            </w:r>
          </w:p>
          <w:p w:rsidR="003B7A36" w:rsidRDefault="003B7A36" w:rsidP="00AD57F7">
            <w:pPr>
              <w:pStyle w:val="ListParagraph"/>
              <w:numPr>
                <w:ilvl w:val="0"/>
                <w:numId w:val="30"/>
              </w:numPr>
              <w:spacing w:after="0" w:line="240" w:lineRule="auto"/>
              <w:jc w:val="both"/>
              <w:rPr>
                <w:rFonts w:ascii="Times New Roman" w:eastAsia="Arial Unicode MS" w:hAnsi="Times New Roman"/>
                <w:sz w:val="20"/>
                <w:szCs w:val="22"/>
                <w:lang w:val="en-GB"/>
              </w:rPr>
            </w:pPr>
            <w:r w:rsidRPr="008012CB">
              <w:rPr>
                <w:rFonts w:ascii="Times New Roman" w:eastAsia="Arial Unicode MS" w:hAnsi="Times New Roman"/>
                <w:sz w:val="20"/>
                <w:szCs w:val="22"/>
                <w:lang w:val="en-GB"/>
              </w:rPr>
              <w:t>Share of IPTV retransmission or retransmission over closed electronic communications networks in the EU television market (in comparison to cable and satellite)</w:t>
            </w:r>
          </w:p>
          <w:p w:rsidR="00992769" w:rsidRPr="00D1507D" w:rsidRDefault="00992769" w:rsidP="00D1507D">
            <w:pPr>
              <w:spacing w:after="120" w:line="240" w:lineRule="auto"/>
              <w:ind w:left="317"/>
              <w:jc w:val="both"/>
              <w:rPr>
                <w:rFonts w:ascii="Times New Roman" w:hAnsi="Times New Roman"/>
                <w:i/>
                <w:sz w:val="20"/>
              </w:rPr>
            </w:pPr>
            <w:r w:rsidRPr="00C66501">
              <w:rPr>
                <w:rFonts w:ascii="Times New Roman" w:eastAsia="Arial Unicode MS" w:hAnsi="Times New Roman"/>
                <w:i/>
                <w:sz w:val="20"/>
              </w:rPr>
              <w:t>[</w:t>
            </w:r>
            <w:r w:rsidRPr="00645F5C">
              <w:rPr>
                <w:rFonts w:ascii="Times New Roman" w:eastAsia="Arial Unicode MS" w:hAnsi="Times New Roman"/>
                <w:i/>
                <w:sz w:val="20"/>
                <w:u w:val="single"/>
              </w:rPr>
              <w:t>Benchmark 2015 data</w:t>
            </w:r>
            <w:r w:rsidRPr="00D1507D">
              <w:rPr>
                <w:rFonts w:ascii="Times New Roman" w:eastAsia="Arial Unicode MS" w:hAnsi="Times New Roman"/>
                <w:i/>
                <w:sz w:val="20"/>
              </w:rPr>
              <w:t>: IPTV service providers account for 14</w:t>
            </w:r>
            <w:r w:rsidR="00E07E16">
              <w:rPr>
                <w:rFonts w:ascii="Times New Roman" w:eastAsia="Arial Unicode MS" w:hAnsi="Times New Roman"/>
                <w:i/>
                <w:sz w:val="20"/>
              </w:rPr>
              <w:t xml:space="preserve"> </w:t>
            </w:r>
            <w:r w:rsidRPr="00D1507D">
              <w:rPr>
                <w:rFonts w:ascii="Times New Roman" w:eastAsia="Arial Unicode MS" w:hAnsi="Times New Roman"/>
                <w:i/>
                <w:sz w:val="20"/>
              </w:rPr>
              <w:t>% of EU28 subscription revenues; cable 36</w:t>
            </w:r>
            <w:r w:rsidR="00E07E16">
              <w:rPr>
                <w:rFonts w:ascii="Times New Roman" w:eastAsia="Arial Unicode MS" w:hAnsi="Times New Roman"/>
                <w:i/>
                <w:sz w:val="20"/>
              </w:rPr>
              <w:t xml:space="preserve"> </w:t>
            </w:r>
            <w:r w:rsidRPr="00D1507D">
              <w:rPr>
                <w:rFonts w:ascii="Times New Roman" w:eastAsia="Arial Unicode MS" w:hAnsi="Times New Roman"/>
                <w:i/>
                <w:sz w:val="20"/>
              </w:rPr>
              <w:t>% and satellite 50</w:t>
            </w:r>
            <w:r w:rsidR="00E07E16">
              <w:rPr>
                <w:rFonts w:ascii="Times New Roman" w:eastAsia="Arial Unicode MS" w:hAnsi="Times New Roman"/>
                <w:i/>
                <w:sz w:val="20"/>
              </w:rPr>
              <w:t xml:space="preserve"> </w:t>
            </w:r>
            <w:r w:rsidRPr="00D1507D">
              <w:rPr>
                <w:rFonts w:ascii="Times New Roman" w:eastAsia="Arial Unicode MS" w:hAnsi="Times New Roman"/>
                <w:i/>
                <w:sz w:val="20"/>
              </w:rPr>
              <w:t>%</w:t>
            </w:r>
            <w:r w:rsidR="00CC5E2E" w:rsidRPr="00D1507D">
              <w:rPr>
                <w:rFonts w:ascii="Times New Roman" w:eastAsia="Arial Unicode MS" w:hAnsi="Times New Roman"/>
                <w:i/>
                <w:sz w:val="20"/>
              </w:rPr>
              <w:t>.</w:t>
            </w:r>
            <w:r w:rsidR="00CC5E2E" w:rsidRPr="007021A8">
              <w:rPr>
                <w:rStyle w:val="FootnoteReference"/>
                <w:rFonts w:ascii="Times New Roman" w:eastAsia="Arial Unicode MS" w:hAnsi="Times New Roman"/>
                <w:i/>
                <w:sz w:val="20"/>
              </w:rPr>
              <w:footnoteReference w:id="590"/>
            </w:r>
            <w:r w:rsidRPr="00C66501">
              <w:rPr>
                <w:rFonts w:ascii="Times New Roman" w:eastAsia="Arial Unicode MS" w:hAnsi="Times New Roman"/>
                <w:i/>
                <w:sz w:val="20"/>
              </w:rPr>
              <w:t>]</w:t>
            </w:r>
          </w:p>
        </w:tc>
        <w:tc>
          <w:tcPr>
            <w:tcW w:w="2376" w:type="dxa"/>
            <w:shd w:val="clear" w:color="auto" w:fill="auto"/>
          </w:tcPr>
          <w:p w:rsidR="003B7A36" w:rsidRPr="00DE22C2" w:rsidRDefault="003B7A36" w:rsidP="0023786E">
            <w:pPr>
              <w:spacing w:line="240" w:lineRule="auto"/>
              <w:rPr>
                <w:rFonts w:ascii="Times New Roman" w:eastAsia="Arial Unicode MS" w:hAnsi="Times New Roman"/>
                <w:sz w:val="20"/>
              </w:rPr>
            </w:pPr>
            <w:r w:rsidRPr="008012CB">
              <w:rPr>
                <w:rFonts w:ascii="Times New Roman" w:eastAsia="Arial Unicode MS" w:hAnsi="Times New Roman"/>
                <w:sz w:val="20"/>
              </w:rPr>
              <w:t xml:space="preserve">This information </w:t>
            </w:r>
            <w:r w:rsidR="00FD78BA" w:rsidRPr="008012CB">
              <w:rPr>
                <w:rFonts w:ascii="Times New Roman" w:eastAsia="Arial Unicode MS" w:hAnsi="Times New Roman"/>
                <w:sz w:val="20"/>
              </w:rPr>
              <w:t xml:space="preserve">would </w:t>
            </w:r>
            <w:r w:rsidRPr="008012CB">
              <w:rPr>
                <w:rFonts w:ascii="Times New Roman" w:eastAsia="Arial Unicode MS" w:hAnsi="Times New Roman"/>
                <w:sz w:val="20"/>
              </w:rPr>
              <w:t>be obtained from publicly available data sources (European Audiovisual Observatory) or from business intelligence services (e.g. IHS, Digital TV research)</w:t>
            </w:r>
            <w:r w:rsidRPr="00DE22C2">
              <w:rPr>
                <w:rFonts w:ascii="Times New Roman" w:eastAsia="Arial Unicode MS" w:hAnsi="Times New Roman"/>
                <w:sz w:val="20"/>
              </w:rPr>
              <w:t xml:space="preserve"> </w:t>
            </w:r>
          </w:p>
          <w:p w:rsidR="003B7A36" w:rsidRPr="00DE22C2" w:rsidRDefault="003B7A36" w:rsidP="003B7A36">
            <w:pPr>
              <w:spacing w:line="240" w:lineRule="auto"/>
              <w:rPr>
                <w:rFonts w:ascii="Times New Roman" w:eastAsia="Arial Unicode MS" w:hAnsi="Times New Roman"/>
                <w:b/>
                <w:sz w:val="20"/>
              </w:rPr>
            </w:pPr>
          </w:p>
        </w:tc>
      </w:tr>
      <w:tr w:rsidR="003B7A36" w:rsidRPr="00C20A45" w:rsidTr="003B7A36">
        <w:tc>
          <w:tcPr>
            <w:tcW w:w="9288" w:type="dxa"/>
            <w:gridSpan w:val="3"/>
            <w:shd w:val="clear" w:color="auto" w:fill="auto"/>
            <w:vAlign w:val="center"/>
          </w:tcPr>
          <w:p w:rsidR="003B7A36" w:rsidRPr="00C20A45" w:rsidRDefault="003B7A36" w:rsidP="00DE22C2">
            <w:pPr>
              <w:spacing w:after="0" w:line="240" w:lineRule="auto"/>
              <w:rPr>
                <w:rFonts w:ascii="Times New Roman" w:eastAsia="Arial Unicode MS" w:hAnsi="Times New Roman"/>
                <w:b/>
              </w:rPr>
            </w:pPr>
            <w:r>
              <w:rPr>
                <w:rFonts w:ascii="Times New Roman" w:hAnsi="Times New Roman"/>
                <w:b/>
                <w:iCs/>
              </w:rPr>
              <w:t>Facilitate the negotiation and dialogue between relevant parties for the exploitation of European audiovisual works on VoD platforms</w:t>
            </w:r>
          </w:p>
        </w:tc>
      </w:tr>
      <w:tr w:rsidR="003B7A36" w:rsidRPr="00C20A45" w:rsidTr="003B7A36">
        <w:tc>
          <w:tcPr>
            <w:tcW w:w="2660" w:type="dxa"/>
            <w:shd w:val="clear" w:color="auto" w:fill="auto"/>
          </w:tcPr>
          <w:p w:rsidR="003B7A36" w:rsidRPr="00DE22C2" w:rsidRDefault="003B7A36" w:rsidP="00DE22C2">
            <w:pPr>
              <w:spacing w:after="0" w:line="240" w:lineRule="auto"/>
              <w:rPr>
                <w:rFonts w:ascii="Times New Roman" w:eastAsia="Arial Unicode MS" w:hAnsi="Times New Roman"/>
                <w:b/>
                <w:sz w:val="20"/>
              </w:rPr>
            </w:pPr>
            <w:r w:rsidRPr="00DE22C2">
              <w:rPr>
                <w:rFonts w:ascii="Times New Roman" w:eastAsia="Arial Unicode MS" w:hAnsi="Times New Roman"/>
                <w:i/>
                <w:sz w:val="20"/>
              </w:rPr>
              <w:t>Operational objective</w:t>
            </w:r>
            <w:r w:rsidRPr="00DE22C2">
              <w:rPr>
                <w:rFonts w:ascii="Times New Roman" w:eastAsia="Arial Unicode MS" w:hAnsi="Times New Roman"/>
                <w:sz w:val="20"/>
              </w:rPr>
              <w:t xml:space="preserve">: Increase the number of European audiovisual works available through VoD platforms </w:t>
            </w:r>
          </w:p>
        </w:tc>
        <w:tc>
          <w:tcPr>
            <w:tcW w:w="4252" w:type="dxa"/>
            <w:shd w:val="clear" w:color="auto" w:fill="auto"/>
          </w:tcPr>
          <w:p w:rsidR="003B7A36" w:rsidRPr="00DE22C2" w:rsidRDefault="003B7A36" w:rsidP="007D6CF3">
            <w:pPr>
              <w:pStyle w:val="ListParagraph"/>
              <w:numPr>
                <w:ilvl w:val="0"/>
                <w:numId w:val="29"/>
              </w:numPr>
              <w:spacing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and type of self-regulatory measures adopted following the stakeholders' dialogue</w:t>
            </w:r>
          </w:p>
          <w:p w:rsidR="003B7A36" w:rsidRPr="00DE22C2" w:rsidRDefault="003B7A36" w:rsidP="007D6CF3">
            <w:pPr>
              <w:pStyle w:val="ListParagraph"/>
              <w:numPr>
                <w:ilvl w:val="0"/>
                <w:numId w:val="29"/>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Number of cases submitted to the negotiation mechanism in each </w:t>
            </w:r>
            <w:r w:rsidR="00EA30E5">
              <w:rPr>
                <w:rFonts w:ascii="Times New Roman" w:eastAsia="Arial Unicode MS" w:hAnsi="Times New Roman"/>
                <w:sz w:val="20"/>
                <w:szCs w:val="22"/>
                <w:lang w:val="en-GB"/>
              </w:rPr>
              <w:t>MS</w:t>
            </w:r>
            <w:r w:rsidRPr="00DE22C2">
              <w:rPr>
                <w:rFonts w:ascii="Times New Roman" w:eastAsia="Arial Unicode MS" w:hAnsi="Times New Roman"/>
                <w:sz w:val="20"/>
                <w:szCs w:val="22"/>
                <w:lang w:val="en-GB"/>
              </w:rPr>
              <w:t xml:space="preserve"> and identification of the type of stakeholder resorting to this mechanism (VoD platforms, aggregators, </w:t>
            </w:r>
            <w:r w:rsidR="00F436E4">
              <w:rPr>
                <w:rFonts w:ascii="Times New Roman" w:eastAsia="Arial Unicode MS" w:hAnsi="Times New Roman"/>
                <w:sz w:val="20"/>
                <w:szCs w:val="22"/>
                <w:lang w:val="en-GB"/>
              </w:rPr>
              <w:t>r</w:t>
            </w:r>
            <w:r w:rsidR="00007677">
              <w:rPr>
                <w:rFonts w:ascii="Times New Roman" w:eastAsia="Arial Unicode MS" w:hAnsi="Times New Roman"/>
                <w:sz w:val="20"/>
                <w:szCs w:val="22"/>
                <w:lang w:val="en-GB"/>
              </w:rPr>
              <w:t>ightholders</w:t>
            </w:r>
            <w:r w:rsidRPr="00DE22C2">
              <w:rPr>
                <w:rFonts w:ascii="Times New Roman" w:eastAsia="Arial Unicode MS" w:hAnsi="Times New Roman"/>
                <w:sz w:val="20"/>
                <w:szCs w:val="22"/>
                <w:lang w:val="en-GB"/>
              </w:rPr>
              <w:t>)</w:t>
            </w:r>
          </w:p>
          <w:p w:rsidR="003B7A36" w:rsidRPr="00DE22C2" w:rsidRDefault="003B7A36" w:rsidP="007D6CF3">
            <w:pPr>
              <w:pStyle w:val="ListParagraph"/>
              <w:numPr>
                <w:ilvl w:val="0"/>
                <w:numId w:val="29"/>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Number of successful negotiations through the negotiation mechanism in each </w:t>
            </w:r>
            <w:r w:rsidR="00EA30E5">
              <w:rPr>
                <w:rFonts w:ascii="Times New Roman" w:eastAsia="Arial Unicode MS" w:hAnsi="Times New Roman"/>
                <w:sz w:val="20"/>
                <w:szCs w:val="22"/>
                <w:lang w:val="en-GB"/>
              </w:rPr>
              <w:t>MS</w:t>
            </w:r>
          </w:p>
          <w:p w:rsidR="003B7A36" w:rsidRPr="00DE22C2" w:rsidRDefault="003B7A36" w:rsidP="007D6CF3">
            <w:pPr>
              <w:pStyle w:val="ListParagraph"/>
              <w:numPr>
                <w:ilvl w:val="0"/>
                <w:numId w:val="29"/>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Costs related to the set-up and functioning of the negotiation mechanism in each </w:t>
            </w:r>
            <w:r w:rsidR="00EA30E5">
              <w:rPr>
                <w:rFonts w:ascii="Times New Roman" w:eastAsia="Arial Unicode MS" w:hAnsi="Times New Roman"/>
                <w:sz w:val="20"/>
                <w:szCs w:val="22"/>
                <w:lang w:val="en-GB"/>
              </w:rPr>
              <w:t>MS</w:t>
            </w:r>
          </w:p>
          <w:p w:rsidR="003B7A36" w:rsidRDefault="003B7A36" w:rsidP="007D6CF3">
            <w:pPr>
              <w:pStyle w:val="ListParagraph"/>
              <w:numPr>
                <w:ilvl w:val="0"/>
                <w:numId w:val="29"/>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Number of (or percentage of) European audiovisual works available on VoD / SVoD platforms </w:t>
            </w:r>
          </w:p>
          <w:p w:rsidR="00F15FC9" w:rsidRPr="00AD57F7" w:rsidRDefault="00F15FC9" w:rsidP="00AD57F7">
            <w:pPr>
              <w:pStyle w:val="ListParagraph"/>
              <w:spacing w:before="120" w:after="0" w:line="240" w:lineRule="auto"/>
              <w:ind w:left="360"/>
              <w:jc w:val="both"/>
              <w:rPr>
                <w:rFonts w:ascii="Times New Roman" w:eastAsia="Arial Unicode MS" w:hAnsi="Times New Roman"/>
                <w:i/>
                <w:sz w:val="20"/>
                <w:szCs w:val="22"/>
                <w:lang w:val="en-GB"/>
              </w:rPr>
            </w:pPr>
            <w:r w:rsidRPr="00AD57F7">
              <w:rPr>
                <w:rFonts w:ascii="Times New Roman" w:eastAsia="Arial Unicode MS" w:hAnsi="Times New Roman"/>
                <w:i/>
                <w:sz w:val="20"/>
                <w:szCs w:val="22"/>
                <w:lang w:val="en-GB"/>
              </w:rPr>
              <w:t>[</w:t>
            </w:r>
            <w:r w:rsidRPr="00AD57F7">
              <w:rPr>
                <w:rFonts w:ascii="Times New Roman" w:eastAsia="Arial Unicode MS" w:hAnsi="Times New Roman"/>
                <w:i/>
                <w:sz w:val="20"/>
                <w:szCs w:val="22"/>
                <w:u w:val="single"/>
                <w:lang w:val="en-GB"/>
              </w:rPr>
              <w:t>Benchmark 2015 data</w:t>
            </w:r>
            <w:r w:rsidRPr="00AD57F7">
              <w:rPr>
                <w:rFonts w:ascii="Times New Roman" w:eastAsia="Arial Unicode MS" w:hAnsi="Times New Roman"/>
                <w:i/>
                <w:sz w:val="20"/>
                <w:szCs w:val="22"/>
                <w:lang w:val="en-GB"/>
              </w:rPr>
              <w:t xml:space="preserve"> (sample analysis): European non-national films accounted for 14.7% of the films available in the VoD catalogues and 22.8% of the SVoD catalogues</w:t>
            </w:r>
            <w:r w:rsidR="00CC5E2E">
              <w:rPr>
                <w:rFonts w:ascii="Times New Roman" w:eastAsia="Arial Unicode MS" w:hAnsi="Times New Roman"/>
                <w:i/>
                <w:sz w:val="20"/>
                <w:szCs w:val="22"/>
                <w:lang w:val="en-GB"/>
              </w:rPr>
              <w:t>.</w:t>
            </w:r>
            <w:r w:rsidR="00CC5E2E">
              <w:rPr>
                <w:rStyle w:val="FootnoteReference"/>
                <w:rFonts w:ascii="Times New Roman" w:eastAsia="Arial Unicode MS" w:hAnsi="Times New Roman"/>
                <w:i/>
                <w:sz w:val="20"/>
                <w:szCs w:val="22"/>
                <w:lang w:val="en-GB"/>
              </w:rPr>
              <w:footnoteReference w:id="591"/>
            </w:r>
            <w:r w:rsidRPr="00AD57F7">
              <w:rPr>
                <w:rFonts w:ascii="Times New Roman" w:eastAsia="Arial Unicode MS" w:hAnsi="Times New Roman"/>
                <w:i/>
                <w:sz w:val="20"/>
                <w:szCs w:val="22"/>
                <w:lang w:val="en-GB"/>
              </w:rPr>
              <w:t>]</w:t>
            </w:r>
          </w:p>
          <w:p w:rsidR="003B7A36" w:rsidRDefault="003B7A36" w:rsidP="007D6CF3">
            <w:pPr>
              <w:pStyle w:val="ListParagraph"/>
              <w:numPr>
                <w:ilvl w:val="0"/>
                <w:numId w:val="29"/>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Share of VoD / SVoD revenues in total revenues</w:t>
            </w:r>
          </w:p>
          <w:p w:rsidR="00F15FC9" w:rsidRPr="00D1507D" w:rsidRDefault="00F15FC9" w:rsidP="00D1507D">
            <w:pPr>
              <w:spacing w:after="0" w:line="240" w:lineRule="auto"/>
              <w:ind w:left="317"/>
              <w:jc w:val="both"/>
              <w:rPr>
                <w:rFonts w:ascii="Times New Roman" w:hAnsi="Times New Roman"/>
                <w:sz w:val="20"/>
              </w:rPr>
            </w:pPr>
            <w:r w:rsidRPr="00D1507D">
              <w:rPr>
                <w:rFonts w:ascii="Times New Roman" w:eastAsia="Arial Unicode MS" w:hAnsi="Times New Roman" w:cs="Times New Roman"/>
                <w:i/>
                <w:sz w:val="20"/>
                <w:lang w:eastAsia="en-GB"/>
              </w:rPr>
              <w:t>[</w:t>
            </w:r>
            <w:r w:rsidRPr="00D1507D">
              <w:rPr>
                <w:rFonts w:ascii="Times New Roman" w:eastAsia="Arial Unicode MS" w:hAnsi="Times New Roman" w:cs="Times New Roman"/>
                <w:i/>
                <w:sz w:val="20"/>
                <w:u w:val="single"/>
                <w:lang w:eastAsia="en-GB"/>
              </w:rPr>
              <w:t>Benchmark 2013 data</w:t>
            </w:r>
            <w:r w:rsidRPr="00D1507D">
              <w:rPr>
                <w:rFonts w:ascii="Times New Roman" w:eastAsia="Arial Unicode MS" w:hAnsi="Times New Roman" w:cs="Times New Roman"/>
                <w:i/>
                <w:sz w:val="20"/>
                <w:lang w:eastAsia="en-GB"/>
              </w:rPr>
              <w:t>: VoD revenues amounted to €1,526 million, which represents approximatively 1/4 of cinema gross box-office over the same period</w:t>
            </w:r>
            <w:r w:rsidR="00CC5E2E" w:rsidRPr="00D1507D">
              <w:rPr>
                <w:rFonts w:ascii="Times New Roman" w:eastAsia="Arial Unicode MS" w:hAnsi="Times New Roman" w:cs="Times New Roman"/>
                <w:i/>
                <w:sz w:val="20"/>
                <w:lang w:eastAsia="en-GB"/>
              </w:rPr>
              <w:t>.</w:t>
            </w:r>
            <w:r w:rsidR="00CC5E2E" w:rsidRPr="003734E9">
              <w:rPr>
                <w:rFonts w:ascii="Times New Roman" w:eastAsia="Arial Unicode MS" w:hAnsi="Times New Roman" w:cs="Times New Roman"/>
                <w:i/>
                <w:sz w:val="20"/>
                <w:vertAlign w:val="superscript"/>
                <w:lang w:eastAsia="en-GB"/>
              </w:rPr>
              <w:footnoteReference w:id="592"/>
            </w:r>
            <w:r w:rsidRPr="00D1507D">
              <w:rPr>
                <w:rFonts w:ascii="Times New Roman" w:eastAsia="Arial Unicode MS" w:hAnsi="Times New Roman" w:cs="Times New Roman"/>
                <w:i/>
                <w:sz w:val="20"/>
                <w:lang w:eastAsia="en-GB"/>
              </w:rPr>
              <w:t>]</w:t>
            </w:r>
          </w:p>
        </w:tc>
        <w:tc>
          <w:tcPr>
            <w:tcW w:w="2376" w:type="dxa"/>
            <w:shd w:val="clear" w:color="auto" w:fill="auto"/>
          </w:tcPr>
          <w:p w:rsidR="003B7A36" w:rsidRPr="00DE22C2" w:rsidRDefault="003B7A36" w:rsidP="00DE22C2">
            <w:pPr>
              <w:spacing w:after="0" w:line="240" w:lineRule="auto"/>
              <w:rPr>
                <w:rFonts w:ascii="Times New Roman" w:eastAsia="Arial Unicode MS" w:hAnsi="Times New Roman"/>
                <w:sz w:val="20"/>
              </w:rPr>
            </w:pPr>
            <w:r w:rsidRPr="00DE22C2">
              <w:rPr>
                <w:rFonts w:ascii="Times New Roman" w:eastAsia="Arial Unicode MS" w:hAnsi="Times New Roman"/>
                <w:sz w:val="20"/>
              </w:rPr>
              <w:t xml:space="preserve">This information </w:t>
            </w:r>
            <w:r w:rsidR="00FD78BA">
              <w:rPr>
                <w:rFonts w:ascii="Times New Roman" w:eastAsia="Arial Unicode MS" w:hAnsi="Times New Roman"/>
                <w:sz w:val="20"/>
              </w:rPr>
              <w:t>w</w:t>
            </w:r>
            <w:r w:rsidR="00FD78BA" w:rsidRPr="00DE22C2">
              <w:rPr>
                <w:rFonts w:ascii="Times New Roman" w:eastAsia="Arial Unicode MS" w:hAnsi="Times New Roman"/>
                <w:sz w:val="20"/>
              </w:rPr>
              <w:t xml:space="preserve">ould </w:t>
            </w:r>
            <w:r w:rsidRPr="00DE22C2">
              <w:rPr>
                <w:rFonts w:ascii="Times New Roman" w:eastAsia="Arial Unicode MS" w:hAnsi="Times New Roman"/>
                <w:sz w:val="20"/>
              </w:rPr>
              <w:t xml:space="preserve">be gathered </w:t>
            </w:r>
            <w:r w:rsidR="00EA30E5">
              <w:rPr>
                <w:rFonts w:ascii="Times New Roman" w:eastAsia="Arial Unicode MS" w:hAnsi="Times New Roman"/>
                <w:sz w:val="20"/>
              </w:rPr>
              <w:t xml:space="preserve">directly </w:t>
            </w:r>
            <w:r w:rsidRPr="00DE22C2">
              <w:rPr>
                <w:rFonts w:ascii="Times New Roman" w:eastAsia="Arial Unicode MS" w:hAnsi="Times New Roman"/>
                <w:sz w:val="20"/>
              </w:rPr>
              <w:t xml:space="preserve">from </w:t>
            </w:r>
            <w:r w:rsidR="00EA30E5">
              <w:rPr>
                <w:rFonts w:ascii="Times New Roman" w:eastAsia="Arial Unicode MS" w:hAnsi="Times New Roman"/>
                <w:sz w:val="20"/>
              </w:rPr>
              <w:t xml:space="preserve">MS </w:t>
            </w:r>
            <w:r w:rsidRPr="00DE22C2">
              <w:rPr>
                <w:rFonts w:ascii="Times New Roman" w:eastAsia="Arial Unicode MS" w:hAnsi="Times New Roman"/>
                <w:sz w:val="20"/>
              </w:rPr>
              <w:t xml:space="preserve">(in particular for indicators </w:t>
            </w:r>
            <w:r w:rsidR="00EA30E5">
              <w:rPr>
                <w:rFonts w:ascii="Times New Roman" w:eastAsia="Arial Unicode MS" w:hAnsi="Times New Roman"/>
                <w:sz w:val="20"/>
              </w:rPr>
              <w:t>n°</w:t>
            </w:r>
            <w:r w:rsidRPr="00DE22C2">
              <w:rPr>
                <w:rFonts w:ascii="Times New Roman" w:eastAsia="Arial Unicode MS" w:hAnsi="Times New Roman"/>
                <w:sz w:val="20"/>
              </w:rPr>
              <w:t xml:space="preserve">2 to 4), from the European Audiovisual Observatory (for indicators </w:t>
            </w:r>
            <w:r w:rsidR="00EA30E5">
              <w:rPr>
                <w:rFonts w:ascii="Times New Roman" w:eastAsia="Arial Unicode MS" w:hAnsi="Times New Roman"/>
                <w:sz w:val="20"/>
              </w:rPr>
              <w:t>n°</w:t>
            </w:r>
            <w:r w:rsidRPr="00DE22C2">
              <w:rPr>
                <w:rFonts w:ascii="Times New Roman" w:eastAsia="Arial Unicode MS" w:hAnsi="Times New Roman"/>
                <w:sz w:val="20"/>
              </w:rPr>
              <w:t xml:space="preserve">5 and 6) or  from VoD platforms (through bilateral contacts or questionnaires). </w:t>
            </w:r>
          </w:p>
          <w:p w:rsidR="003B7A36" w:rsidRPr="00DE22C2" w:rsidRDefault="003B7A36" w:rsidP="00DE22C2">
            <w:pPr>
              <w:spacing w:after="0" w:line="240" w:lineRule="auto"/>
              <w:rPr>
                <w:rFonts w:ascii="Times New Roman" w:eastAsia="Arial Unicode MS" w:hAnsi="Times New Roman"/>
                <w:b/>
                <w:sz w:val="20"/>
              </w:rPr>
            </w:pPr>
            <w:r w:rsidRPr="00DE22C2">
              <w:rPr>
                <w:rFonts w:ascii="Times New Roman" w:eastAsia="Arial Unicode MS" w:hAnsi="Times New Roman"/>
                <w:sz w:val="20"/>
              </w:rPr>
              <w:t xml:space="preserve"> </w:t>
            </w:r>
          </w:p>
        </w:tc>
      </w:tr>
      <w:tr w:rsidR="003B7A36" w:rsidRPr="00C20A45" w:rsidTr="003B7A36">
        <w:tc>
          <w:tcPr>
            <w:tcW w:w="9288" w:type="dxa"/>
            <w:gridSpan w:val="3"/>
            <w:shd w:val="clear" w:color="auto" w:fill="auto"/>
            <w:vAlign w:val="center"/>
          </w:tcPr>
          <w:p w:rsidR="003B7A36" w:rsidRPr="00C20A45" w:rsidRDefault="003B7A36" w:rsidP="00DE22C2">
            <w:pPr>
              <w:spacing w:after="0" w:line="240" w:lineRule="auto"/>
              <w:rPr>
                <w:rFonts w:ascii="Times New Roman" w:eastAsia="Arial Unicode MS" w:hAnsi="Times New Roman"/>
                <w:b/>
              </w:rPr>
            </w:pPr>
            <w:r>
              <w:rPr>
                <w:rFonts w:ascii="Times New Roman" w:hAnsi="Times New Roman"/>
                <w:b/>
                <w:iCs/>
              </w:rPr>
              <w:t>Facilitate the clearance of rights for digitisation and making available of out-of-commerce works in the collections of CHIs</w:t>
            </w:r>
          </w:p>
        </w:tc>
      </w:tr>
      <w:tr w:rsidR="003B7A36" w:rsidRPr="00C20A45" w:rsidTr="003B7A36">
        <w:tc>
          <w:tcPr>
            <w:tcW w:w="2660" w:type="dxa"/>
            <w:shd w:val="clear" w:color="auto" w:fill="auto"/>
          </w:tcPr>
          <w:p w:rsidR="003B7A36" w:rsidRPr="00DE22C2" w:rsidRDefault="003B7A36" w:rsidP="003B7A36">
            <w:pPr>
              <w:spacing w:line="240" w:lineRule="auto"/>
              <w:rPr>
                <w:rFonts w:ascii="Times New Roman" w:eastAsia="Arial Unicode MS" w:hAnsi="Times New Roman"/>
                <w:b/>
                <w:sz w:val="20"/>
              </w:rPr>
            </w:pPr>
            <w:r w:rsidRPr="00DE22C2">
              <w:rPr>
                <w:rFonts w:ascii="Times New Roman" w:eastAsia="Arial Unicode MS" w:hAnsi="Times New Roman"/>
                <w:i/>
                <w:sz w:val="20"/>
              </w:rPr>
              <w:t>Operational objective</w:t>
            </w:r>
            <w:r w:rsidRPr="00DE22C2">
              <w:rPr>
                <w:rFonts w:ascii="Times New Roman" w:eastAsia="Arial Unicode MS" w:hAnsi="Times New Roman"/>
                <w:sz w:val="20"/>
              </w:rPr>
              <w:t xml:space="preserve">: Increase </w:t>
            </w:r>
            <w:r w:rsidR="00D15CCB">
              <w:rPr>
                <w:rFonts w:ascii="Times New Roman" w:eastAsia="Arial Unicode MS" w:hAnsi="Times New Roman"/>
                <w:sz w:val="20"/>
              </w:rPr>
              <w:t>the number of Oo</w:t>
            </w:r>
            <w:r w:rsidRPr="00DE22C2">
              <w:rPr>
                <w:rFonts w:ascii="Times New Roman" w:eastAsia="Arial Unicode MS" w:hAnsi="Times New Roman"/>
                <w:sz w:val="20"/>
              </w:rPr>
              <w:t>C works in the collections of CHIs made available to the public, incl. across borders</w:t>
            </w:r>
          </w:p>
        </w:tc>
        <w:tc>
          <w:tcPr>
            <w:tcW w:w="4252" w:type="dxa"/>
            <w:shd w:val="clear" w:color="auto" w:fill="auto"/>
          </w:tcPr>
          <w:p w:rsidR="003B7A36" w:rsidRPr="00DE22C2" w:rsidRDefault="003B7A36" w:rsidP="007D6CF3">
            <w:pPr>
              <w:pStyle w:val="ListParagraph"/>
              <w:numPr>
                <w:ilvl w:val="0"/>
                <w:numId w:val="31"/>
              </w:numPr>
              <w:spacing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Number of institutions engaging in digitisation </w:t>
            </w:r>
            <w:r w:rsidR="00D15CCB">
              <w:rPr>
                <w:rFonts w:ascii="Times New Roman" w:eastAsia="Arial Unicode MS" w:hAnsi="Times New Roman"/>
                <w:sz w:val="20"/>
                <w:szCs w:val="22"/>
                <w:lang w:val="en-GB"/>
              </w:rPr>
              <w:t>and dissemination projects of Oo</w:t>
            </w:r>
            <w:r w:rsidRPr="00DE22C2">
              <w:rPr>
                <w:rFonts w:ascii="Times New Roman" w:eastAsia="Arial Unicode MS" w:hAnsi="Times New Roman"/>
                <w:sz w:val="20"/>
                <w:szCs w:val="22"/>
                <w:lang w:val="en-GB"/>
              </w:rPr>
              <w:t>C works, by type of works</w:t>
            </w:r>
          </w:p>
          <w:p w:rsidR="003B7A36" w:rsidRPr="00DE22C2" w:rsidRDefault="00D15CCB" w:rsidP="007D6CF3">
            <w:pPr>
              <w:pStyle w:val="ListParagraph"/>
              <w:numPr>
                <w:ilvl w:val="0"/>
                <w:numId w:val="31"/>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Number of licences for Oo</w:t>
            </w:r>
            <w:r w:rsidR="003B7A36" w:rsidRPr="00DE22C2">
              <w:rPr>
                <w:rFonts w:ascii="Times New Roman" w:eastAsia="Arial Unicode MS" w:hAnsi="Times New Roman"/>
                <w:sz w:val="20"/>
                <w:szCs w:val="22"/>
                <w:lang w:val="en-GB"/>
              </w:rPr>
              <w:t>C works issued to cultural heritage institutions based on ECL, PoR or similar systems;</w:t>
            </w:r>
          </w:p>
          <w:p w:rsidR="003B7A36" w:rsidRPr="00DE22C2" w:rsidRDefault="00D15CCB" w:rsidP="007D6CF3">
            <w:pPr>
              <w:pStyle w:val="ListParagraph"/>
              <w:numPr>
                <w:ilvl w:val="0"/>
                <w:numId w:val="31"/>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Number of in-copyright Oo</w:t>
            </w:r>
            <w:r w:rsidR="003B7A36" w:rsidRPr="00DE22C2">
              <w:rPr>
                <w:rFonts w:ascii="Times New Roman" w:eastAsia="Arial Unicode MS" w:hAnsi="Times New Roman"/>
                <w:sz w:val="20"/>
                <w:szCs w:val="22"/>
                <w:lang w:val="en-GB"/>
              </w:rPr>
              <w:t xml:space="preserve">C works made available online by beneficiary institutions (by type of work); </w:t>
            </w:r>
          </w:p>
          <w:p w:rsidR="003B7A36" w:rsidRPr="00DE22C2" w:rsidRDefault="00D15CCB" w:rsidP="007D6CF3">
            <w:pPr>
              <w:pStyle w:val="ListParagraph"/>
              <w:numPr>
                <w:ilvl w:val="0"/>
                <w:numId w:val="31"/>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Number of in-copyright Oo</w:t>
            </w:r>
            <w:r w:rsidR="003B7A36" w:rsidRPr="00DE22C2">
              <w:rPr>
                <w:rFonts w:ascii="Times New Roman" w:eastAsia="Arial Unicode MS" w:hAnsi="Times New Roman"/>
                <w:sz w:val="20"/>
                <w:szCs w:val="22"/>
                <w:lang w:val="en-GB"/>
              </w:rPr>
              <w:t>C works made available online by beneficiary institutions (by type of work) – across borders;</w:t>
            </w:r>
          </w:p>
          <w:p w:rsidR="00DE22C2" w:rsidRPr="00DE22C2" w:rsidRDefault="003B7A36" w:rsidP="007D6CF3">
            <w:pPr>
              <w:pStyle w:val="ListParagraph"/>
              <w:numPr>
                <w:ilvl w:val="0"/>
                <w:numId w:val="32"/>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w:t>
            </w:r>
            <w:r w:rsidR="00D15CCB">
              <w:rPr>
                <w:rFonts w:ascii="Times New Roman" w:eastAsia="Arial Unicode MS" w:hAnsi="Times New Roman"/>
                <w:sz w:val="20"/>
                <w:szCs w:val="22"/>
                <w:lang w:val="en-GB"/>
              </w:rPr>
              <w:t xml:space="preserve"> of users accessing digitised Oo</w:t>
            </w:r>
            <w:r w:rsidRPr="00DE22C2">
              <w:rPr>
                <w:rFonts w:ascii="Times New Roman" w:eastAsia="Arial Unicode MS" w:hAnsi="Times New Roman"/>
                <w:sz w:val="20"/>
                <w:szCs w:val="22"/>
                <w:lang w:val="en-GB"/>
              </w:rPr>
              <w:t>C works online, including across borders</w:t>
            </w:r>
          </w:p>
          <w:p w:rsidR="003B7A36" w:rsidRPr="00DE22C2" w:rsidRDefault="00794444" w:rsidP="007D6CF3">
            <w:pPr>
              <w:pStyle w:val="ListParagraph"/>
              <w:numPr>
                <w:ilvl w:val="0"/>
                <w:numId w:val="32"/>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R</w:t>
            </w:r>
            <w:r w:rsidR="003B7A36" w:rsidRPr="00DE22C2">
              <w:rPr>
                <w:rFonts w:ascii="Times New Roman" w:eastAsia="Arial Unicode MS" w:hAnsi="Times New Roman"/>
                <w:sz w:val="20"/>
                <w:szCs w:val="22"/>
                <w:lang w:val="en-GB"/>
              </w:rPr>
              <w:t xml:space="preserve">evenues for </w:t>
            </w:r>
            <w:r w:rsidR="00F436E4">
              <w:rPr>
                <w:rFonts w:ascii="Times New Roman" w:eastAsia="Arial Unicode MS" w:hAnsi="Times New Roman"/>
                <w:sz w:val="20"/>
                <w:szCs w:val="22"/>
                <w:lang w:val="en-GB"/>
              </w:rPr>
              <w:t>r</w:t>
            </w:r>
            <w:r w:rsidR="00007677">
              <w:rPr>
                <w:rFonts w:ascii="Times New Roman" w:eastAsia="Arial Unicode MS" w:hAnsi="Times New Roman"/>
                <w:sz w:val="20"/>
                <w:szCs w:val="22"/>
                <w:lang w:val="en-GB"/>
              </w:rPr>
              <w:t>ightholders</w:t>
            </w:r>
            <w:r w:rsidR="003B7A36" w:rsidRPr="00DE22C2">
              <w:rPr>
                <w:rFonts w:ascii="Times New Roman" w:eastAsia="Arial Unicode MS" w:hAnsi="Times New Roman"/>
                <w:sz w:val="20"/>
                <w:szCs w:val="22"/>
                <w:lang w:val="en-GB"/>
              </w:rPr>
              <w:t xml:space="preserve"> stemming from collective licensing in this area.</w:t>
            </w:r>
          </w:p>
        </w:tc>
        <w:tc>
          <w:tcPr>
            <w:tcW w:w="2376" w:type="dxa"/>
            <w:shd w:val="clear" w:color="auto" w:fill="auto"/>
          </w:tcPr>
          <w:p w:rsidR="003B7A36" w:rsidRPr="00DE22C2" w:rsidRDefault="003B7A36" w:rsidP="0023786E">
            <w:pPr>
              <w:spacing w:line="240" w:lineRule="auto"/>
              <w:rPr>
                <w:rFonts w:ascii="Times New Roman" w:eastAsia="Arial Unicode MS" w:hAnsi="Times New Roman"/>
                <w:sz w:val="20"/>
              </w:rPr>
            </w:pPr>
            <w:r w:rsidRPr="00DE22C2">
              <w:rPr>
                <w:rFonts w:ascii="Times New Roman" w:eastAsia="Arial Unicode MS" w:hAnsi="Times New Roman"/>
                <w:sz w:val="20"/>
              </w:rPr>
              <w:t xml:space="preserve">This information </w:t>
            </w:r>
            <w:r w:rsidR="00FD78BA">
              <w:rPr>
                <w:rFonts w:ascii="Times New Roman" w:eastAsia="Arial Unicode MS" w:hAnsi="Times New Roman"/>
                <w:sz w:val="20"/>
              </w:rPr>
              <w:t>w</w:t>
            </w:r>
            <w:r w:rsidR="00FD78BA" w:rsidRPr="00DE22C2">
              <w:rPr>
                <w:rFonts w:ascii="Times New Roman" w:eastAsia="Arial Unicode MS" w:hAnsi="Times New Roman"/>
                <w:sz w:val="20"/>
              </w:rPr>
              <w:t xml:space="preserve">ould </w:t>
            </w:r>
            <w:r w:rsidRPr="00DE22C2">
              <w:rPr>
                <w:rFonts w:ascii="Times New Roman" w:eastAsia="Arial Unicode MS" w:hAnsi="Times New Roman"/>
                <w:sz w:val="20"/>
              </w:rPr>
              <w:t xml:space="preserve">be gathered from beneficiary institutions (for indicators n°1, 3, 4, 5) and collecting societies (for indicators n°2, 6), through bilateral contacts or questionnaires. </w:t>
            </w:r>
          </w:p>
          <w:p w:rsidR="003B7A36" w:rsidRPr="00DE22C2" w:rsidRDefault="003B7A36" w:rsidP="0023786E">
            <w:pPr>
              <w:spacing w:line="240" w:lineRule="auto"/>
              <w:rPr>
                <w:rFonts w:ascii="Times New Roman" w:eastAsia="Arial Unicode MS" w:hAnsi="Times New Roman"/>
                <w:sz w:val="20"/>
              </w:rPr>
            </w:pPr>
            <w:r w:rsidRPr="00DE22C2">
              <w:rPr>
                <w:rFonts w:ascii="Times New Roman" w:eastAsia="Arial Unicode MS" w:hAnsi="Times New Roman"/>
                <w:sz w:val="20"/>
              </w:rPr>
              <w:t>The European transparency web portal would a</w:t>
            </w:r>
            <w:r w:rsidR="00D15CCB">
              <w:rPr>
                <w:rFonts w:ascii="Times New Roman" w:eastAsia="Arial Unicode MS" w:hAnsi="Times New Roman"/>
                <w:sz w:val="20"/>
              </w:rPr>
              <w:t>llow to monitor the number of Oo</w:t>
            </w:r>
            <w:r w:rsidRPr="00DE22C2">
              <w:rPr>
                <w:rFonts w:ascii="Times New Roman" w:eastAsia="Arial Unicode MS" w:hAnsi="Times New Roman"/>
                <w:sz w:val="20"/>
              </w:rPr>
              <w:t xml:space="preserve">C works made available by CHIs. </w:t>
            </w:r>
          </w:p>
          <w:p w:rsidR="003B7A36" w:rsidRPr="00DE22C2" w:rsidRDefault="003B7A36" w:rsidP="003B7A36">
            <w:pPr>
              <w:spacing w:line="240" w:lineRule="auto"/>
              <w:rPr>
                <w:rFonts w:ascii="Times New Roman" w:eastAsia="Arial Unicode MS" w:hAnsi="Times New Roman"/>
                <w:b/>
                <w:sz w:val="20"/>
              </w:rPr>
            </w:pPr>
          </w:p>
        </w:tc>
      </w:tr>
      <w:tr w:rsidR="003B7A36" w:rsidRPr="00C20A45" w:rsidTr="003B7A36">
        <w:tc>
          <w:tcPr>
            <w:tcW w:w="9288" w:type="dxa"/>
            <w:gridSpan w:val="3"/>
            <w:shd w:val="clear" w:color="auto" w:fill="F2F2F2" w:themeFill="background1" w:themeFillShade="F2"/>
            <w:vAlign w:val="center"/>
          </w:tcPr>
          <w:p w:rsidR="003B7A36" w:rsidRPr="00110CFD" w:rsidRDefault="003B7A36" w:rsidP="00DE22C2">
            <w:pPr>
              <w:spacing w:after="120" w:line="240" w:lineRule="auto"/>
              <w:rPr>
                <w:rFonts w:ascii="Times New Roman" w:eastAsia="Arial Unicode MS" w:hAnsi="Times New Roman"/>
                <w:b/>
              </w:rPr>
            </w:pPr>
            <w:r w:rsidRPr="003B7A36">
              <w:rPr>
                <w:rFonts w:ascii="Times New Roman" w:eastAsia="Arial Unicode MS" w:hAnsi="Times New Roman"/>
                <w:b/>
              </w:rPr>
              <w:t>ADAPTING EXCEPTIONS TO DIGITAL AND CROSS-BORDER ENVIRONMENT</w:t>
            </w:r>
          </w:p>
        </w:tc>
      </w:tr>
      <w:tr w:rsidR="003B7A36" w:rsidRPr="00C20A45" w:rsidTr="003B7A36">
        <w:tc>
          <w:tcPr>
            <w:tcW w:w="9288" w:type="dxa"/>
            <w:gridSpan w:val="3"/>
            <w:shd w:val="clear" w:color="auto" w:fill="auto"/>
            <w:vAlign w:val="center"/>
          </w:tcPr>
          <w:p w:rsidR="003B7A36" w:rsidRDefault="003B7A36" w:rsidP="00DE22C2">
            <w:pPr>
              <w:spacing w:after="0" w:line="240" w:lineRule="auto"/>
              <w:rPr>
                <w:rFonts w:ascii="Times New Roman" w:hAnsi="Times New Roman"/>
                <w:b/>
                <w:iCs/>
              </w:rPr>
            </w:pPr>
            <w:r w:rsidRPr="00110CFD">
              <w:rPr>
                <w:rFonts w:ascii="Times New Roman" w:eastAsia="Arial Unicode MS" w:hAnsi="Times New Roman"/>
                <w:b/>
              </w:rPr>
              <w:t>Make sure that teachers/students can use protected content in full legal certainty in their digital teaching activities, including across borders</w:t>
            </w:r>
          </w:p>
        </w:tc>
      </w:tr>
      <w:tr w:rsidR="003B7A36" w:rsidRPr="00C20A45" w:rsidTr="0023786E">
        <w:tc>
          <w:tcPr>
            <w:tcW w:w="2660" w:type="dxa"/>
            <w:shd w:val="clear" w:color="auto" w:fill="auto"/>
          </w:tcPr>
          <w:p w:rsidR="003B7A36" w:rsidRPr="00DE22C2" w:rsidRDefault="003B7A36" w:rsidP="0023786E">
            <w:pPr>
              <w:spacing w:line="240" w:lineRule="auto"/>
              <w:rPr>
                <w:rFonts w:ascii="Times New Roman" w:eastAsia="Arial Unicode MS" w:hAnsi="Times New Roman"/>
                <w:sz w:val="20"/>
              </w:rPr>
            </w:pPr>
            <w:r w:rsidRPr="00DE22C2">
              <w:rPr>
                <w:rFonts w:ascii="Times New Roman" w:eastAsia="Arial Unicode MS" w:hAnsi="Times New Roman"/>
                <w:i/>
                <w:sz w:val="20"/>
              </w:rPr>
              <w:t>Operational objective</w:t>
            </w:r>
            <w:r w:rsidRPr="00DE22C2">
              <w:rPr>
                <w:rFonts w:ascii="Times New Roman" w:eastAsia="Arial Unicode MS" w:hAnsi="Times New Roman"/>
                <w:sz w:val="20"/>
              </w:rPr>
              <w:t>: Increase the use of protected content in digitally-supported teaching activities, including across border</w:t>
            </w:r>
          </w:p>
        </w:tc>
        <w:tc>
          <w:tcPr>
            <w:tcW w:w="4252" w:type="dxa"/>
            <w:shd w:val="clear" w:color="auto" w:fill="auto"/>
          </w:tcPr>
          <w:p w:rsidR="003B7A36" w:rsidRDefault="003B7A36" w:rsidP="007D6CF3">
            <w:pPr>
              <w:pStyle w:val="ListParagraph"/>
              <w:numPr>
                <w:ilvl w:val="0"/>
                <w:numId w:val="33"/>
              </w:numPr>
              <w:spacing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of educational establishments offering online courses / cross-border or distance education programmes</w:t>
            </w:r>
          </w:p>
          <w:p w:rsidR="00C85EC1" w:rsidRPr="00AD57F7" w:rsidRDefault="00C85EC1" w:rsidP="00AD57F7">
            <w:pPr>
              <w:pStyle w:val="ListParagraph"/>
              <w:spacing w:after="0" w:line="240" w:lineRule="auto"/>
              <w:ind w:left="360"/>
              <w:jc w:val="both"/>
              <w:rPr>
                <w:rFonts w:ascii="Times New Roman" w:eastAsia="Arial Unicode MS" w:hAnsi="Times New Roman"/>
                <w:i/>
                <w:sz w:val="20"/>
                <w:szCs w:val="22"/>
                <w:lang w:val="en-GB"/>
              </w:rPr>
            </w:pPr>
            <w:r w:rsidRPr="00AD57F7">
              <w:rPr>
                <w:rFonts w:ascii="Times New Roman" w:eastAsia="Arial Unicode MS" w:hAnsi="Times New Roman"/>
                <w:i/>
                <w:sz w:val="20"/>
                <w:szCs w:val="22"/>
                <w:lang w:val="en-GB"/>
              </w:rPr>
              <w:t>[</w:t>
            </w:r>
            <w:r w:rsidRPr="00AD57F7">
              <w:rPr>
                <w:rFonts w:ascii="Times New Roman" w:eastAsia="Arial Unicode MS" w:hAnsi="Times New Roman"/>
                <w:i/>
                <w:sz w:val="20"/>
                <w:szCs w:val="22"/>
                <w:u w:val="single"/>
                <w:lang w:val="en-GB"/>
              </w:rPr>
              <w:t xml:space="preserve">Benchmark 2013 data </w:t>
            </w:r>
            <w:r w:rsidRPr="00AD57F7">
              <w:rPr>
                <w:rFonts w:ascii="Times New Roman" w:eastAsia="Arial Unicode MS" w:hAnsi="Times New Roman"/>
                <w:i/>
                <w:sz w:val="20"/>
                <w:szCs w:val="22"/>
                <w:lang w:val="en-GB"/>
              </w:rPr>
              <w:t xml:space="preserve">for higher education (sample analysis): </w:t>
            </w:r>
            <w:r w:rsidR="00C300ED" w:rsidRPr="00AD57F7">
              <w:rPr>
                <w:rFonts w:ascii="Times New Roman" w:eastAsia="Arial Unicode MS" w:hAnsi="Times New Roman"/>
                <w:i/>
                <w:sz w:val="20"/>
                <w:szCs w:val="22"/>
                <w:lang w:val="en-GB"/>
              </w:rPr>
              <w:t>82</w:t>
            </w:r>
            <w:r w:rsidR="00E07E16">
              <w:rPr>
                <w:rFonts w:ascii="Times New Roman" w:eastAsia="Arial Unicode MS" w:hAnsi="Times New Roman"/>
                <w:i/>
                <w:sz w:val="20"/>
                <w:szCs w:val="22"/>
                <w:lang w:val="en-GB"/>
              </w:rPr>
              <w:t xml:space="preserve"> </w:t>
            </w:r>
            <w:r w:rsidR="00C300ED" w:rsidRPr="00AD57F7">
              <w:rPr>
                <w:rFonts w:ascii="Times New Roman" w:eastAsia="Arial Unicode MS" w:hAnsi="Times New Roman"/>
                <w:i/>
                <w:sz w:val="20"/>
                <w:szCs w:val="22"/>
                <w:lang w:val="en-GB"/>
              </w:rPr>
              <w:t>% of higher education institutions offered online courses</w:t>
            </w:r>
            <w:r w:rsidR="00CC5E2E">
              <w:rPr>
                <w:rFonts w:ascii="Times New Roman" w:eastAsia="Arial Unicode MS" w:hAnsi="Times New Roman"/>
                <w:i/>
                <w:sz w:val="20"/>
                <w:szCs w:val="22"/>
                <w:lang w:val="en-GB"/>
              </w:rPr>
              <w:t>.</w:t>
            </w:r>
            <w:r w:rsidR="00CC5E2E" w:rsidRPr="00AD57F7">
              <w:rPr>
                <w:rStyle w:val="FootnoteReference"/>
                <w:rFonts w:ascii="Times New Roman" w:eastAsia="Arial Unicode MS" w:hAnsi="Times New Roman"/>
                <w:i/>
                <w:sz w:val="20"/>
                <w:szCs w:val="22"/>
                <w:lang w:val="en-GB"/>
              </w:rPr>
              <w:footnoteReference w:id="593"/>
            </w:r>
            <w:r w:rsidR="00C300ED" w:rsidRPr="00AD57F7">
              <w:rPr>
                <w:rFonts w:ascii="Times New Roman" w:eastAsia="Arial Unicode MS" w:hAnsi="Times New Roman"/>
                <w:i/>
                <w:sz w:val="20"/>
                <w:szCs w:val="22"/>
                <w:lang w:val="en-GB"/>
              </w:rPr>
              <w:t>]</w:t>
            </w:r>
          </w:p>
          <w:p w:rsidR="003B7A36" w:rsidRPr="00DE22C2" w:rsidRDefault="003B7A36"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of students involved in cross-border or distance education programmes</w:t>
            </w:r>
          </w:p>
          <w:p w:rsidR="003B7A36" w:rsidRPr="00DE22C2" w:rsidRDefault="003B7A36"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Frequency of use of different types of protected content (print, images, films, etc) in digital / online and cross-border education;</w:t>
            </w:r>
          </w:p>
          <w:p w:rsidR="003B7A36" w:rsidRPr="00DE22C2" w:rsidRDefault="003B7A36"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of MS making the exception subject to the availability of licences and in these countries, number of collective licensing schemes for educational uses</w:t>
            </w:r>
          </w:p>
          <w:p w:rsidR="003B7A36" w:rsidRPr="00DE22C2" w:rsidRDefault="003B7A36"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Types of initiatives implemented to promote the availability and visibility of licences </w:t>
            </w:r>
          </w:p>
          <w:p w:rsidR="003B7A36" w:rsidRPr="00DE22C2" w:rsidRDefault="003B7A36"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of MS requiring compensation of the exception and amount of the compensation;</w:t>
            </w:r>
          </w:p>
          <w:p w:rsidR="00CC5E2E" w:rsidRPr="00AD57F7" w:rsidRDefault="00794444" w:rsidP="00CC5E2E">
            <w:pPr>
              <w:pStyle w:val="ListParagraph"/>
              <w:numPr>
                <w:ilvl w:val="0"/>
                <w:numId w:val="33"/>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L</w:t>
            </w:r>
            <w:r w:rsidR="003B7A36" w:rsidRPr="00DE22C2">
              <w:rPr>
                <w:rFonts w:ascii="Times New Roman" w:eastAsia="Arial Unicode MS" w:hAnsi="Times New Roman"/>
                <w:sz w:val="20"/>
                <w:szCs w:val="22"/>
                <w:lang w:val="en-GB"/>
              </w:rPr>
              <w:t xml:space="preserve">icensing costs for educational establishments; </w:t>
            </w:r>
          </w:p>
          <w:p w:rsidR="003B7A36" w:rsidRDefault="00007677" w:rsidP="007D6CF3">
            <w:pPr>
              <w:pStyle w:val="ListParagraph"/>
              <w:numPr>
                <w:ilvl w:val="0"/>
                <w:numId w:val="33"/>
              </w:numPr>
              <w:spacing w:before="120" w:after="0" w:line="240" w:lineRule="auto"/>
              <w:jc w:val="both"/>
              <w:rPr>
                <w:rFonts w:ascii="Times New Roman" w:eastAsia="Arial Unicode MS" w:hAnsi="Times New Roman"/>
                <w:sz w:val="20"/>
                <w:szCs w:val="22"/>
                <w:lang w:val="en-GB"/>
              </w:rPr>
            </w:pPr>
            <w:r>
              <w:rPr>
                <w:rFonts w:ascii="Times New Roman" w:eastAsia="Arial Unicode MS" w:hAnsi="Times New Roman"/>
                <w:sz w:val="20"/>
                <w:szCs w:val="22"/>
                <w:lang w:val="en-GB"/>
              </w:rPr>
              <w:t>Rightholders</w:t>
            </w:r>
            <w:r w:rsidR="003B7A36" w:rsidRPr="00DE22C2">
              <w:rPr>
                <w:rFonts w:ascii="Times New Roman" w:eastAsia="Arial Unicode MS" w:hAnsi="Times New Roman"/>
                <w:sz w:val="20"/>
                <w:szCs w:val="22"/>
                <w:lang w:val="en-GB"/>
              </w:rPr>
              <w:t>' revenues deriving from educational uses (through compensation and/or secondary licensing) and part of the revenues stemming from digital uses</w:t>
            </w:r>
          </w:p>
          <w:p w:rsidR="00CC5E2E" w:rsidRPr="00D1507D" w:rsidRDefault="00CC5E2E" w:rsidP="00D1507D">
            <w:pPr>
              <w:pStyle w:val="ListParagraph"/>
              <w:spacing w:before="120" w:after="0" w:line="240" w:lineRule="auto"/>
              <w:ind w:left="360"/>
              <w:jc w:val="both"/>
              <w:rPr>
                <w:rFonts w:ascii="Times New Roman" w:hAnsi="Times New Roman"/>
                <w:i/>
                <w:sz w:val="20"/>
                <w:lang w:val="en-GB"/>
              </w:rPr>
            </w:pPr>
            <w:r w:rsidRPr="00AD57F7">
              <w:rPr>
                <w:rFonts w:ascii="Times New Roman" w:eastAsia="Arial Unicode MS" w:hAnsi="Times New Roman"/>
                <w:i/>
                <w:sz w:val="20"/>
                <w:szCs w:val="22"/>
                <w:lang w:val="en-GB"/>
              </w:rPr>
              <w:t>[</w:t>
            </w:r>
            <w:r w:rsidRPr="00AD57F7">
              <w:rPr>
                <w:rFonts w:ascii="Times New Roman" w:eastAsia="Arial Unicode MS" w:hAnsi="Times New Roman"/>
                <w:i/>
                <w:sz w:val="20"/>
                <w:szCs w:val="22"/>
                <w:u w:val="single"/>
                <w:lang w:val="en-GB"/>
              </w:rPr>
              <w:t>Benchmark</w:t>
            </w:r>
            <w:r w:rsidRPr="00AD57F7">
              <w:rPr>
                <w:rFonts w:ascii="Times New Roman" w:eastAsia="Arial Unicode MS" w:hAnsi="Times New Roman"/>
                <w:i/>
                <w:sz w:val="20"/>
                <w:szCs w:val="22"/>
                <w:lang w:val="en-GB"/>
              </w:rPr>
              <w:t>: see data</w:t>
            </w:r>
            <w:r>
              <w:rPr>
                <w:rFonts w:ascii="Times New Roman" w:eastAsia="Arial Unicode MS" w:hAnsi="Times New Roman"/>
                <w:i/>
                <w:sz w:val="20"/>
                <w:szCs w:val="22"/>
                <w:lang w:val="en-GB"/>
              </w:rPr>
              <w:t xml:space="preserve"> on the revenues stemming from digital uses</w:t>
            </w:r>
            <w:r w:rsidRPr="00AD57F7">
              <w:rPr>
                <w:rFonts w:ascii="Times New Roman" w:eastAsia="Arial Unicode MS" w:hAnsi="Times New Roman"/>
                <w:i/>
                <w:sz w:val="20"/>
                <w:szCs w:val="22"/>
                <w:lang w:val="en-GB"/>
              </w:rPr>
              <w:t xml:space="preserve"> provided in Annex 10D for several MS.]</w:t>
            </w:r>
          </w:p>
        </w:tc>
        <w:tc>
          <w:tcPr>
            <w:tcW w:w="2376" w:type="dxa"/>
            <w:shd w:val="clear" w:color="auto" w:fill="auto"/>
          </w:tcPr>
          <w:p w:rsidR="003B7A36" w:rsidRPr="00DE22C2" w:rsidRDefault="003B7A36" w:rsidP="0023786E">
            <w:pPr>
              <w:spacing w:line="240" w:lineRule="auto"/>
              <w:rPr>
                <w:rFonts w:ascii="Times New Roman" w:eastAsia="Arial Unicode MS" w:hAnsi="Times New Roman"/>
                <w:sz w:val="20"/>
              </w:rPr>
            </w:pPr>
            <w:r w:rsidRPr="00DE22C2">
              <w:rPr>
                <w:rFonts w:ascii="Times New Roman" w:eastAsia="Arial Unicode MS" w:hAnsi="Times New Roman"/>
                <w:sz w:val="20"/>
              </w:rPr>
              <w:t xml:space="preserve">This information </w:t>
            </w:r>
            <w:r w:rsidR="00FD78BA">
              <w:rPr>
                <w:rFonts w:ascii="Times New Roman" w:eastAsia="Arial Unicode MS" w:hAnsi="Times New Roman"/>
                <w:sz w:val="20"/>
              </w:rPr>
              <w:t>w</w:t>
            </w:r>
            <w:r w:rsidR="00FD78BA" w:rsidRPr="00DE22C2">
              <w:rPr>
                <w:rFonts w:ascii="Times New Roman" w:eastAsia="Arial Unicode MS" w:hAnsi="Times New Roman"/>
                <w:sz w:val="20"/>
              </w:rPr>
              <w:t xml:space="preserve">ould </w:t>
            </w:r>
            <w:r w:rsidRPr="00DE22C2">
              <w:rPr>
                <w:rFonts w:ascii="Times New Roman" w:eastAsia="Arial Unicode MS" w:hAnsi="Times New Roman"/>
                <w:sz w:val="20"/>
              </w:rPr>
              <w:t xml:space="preserve">be gathered through educational authorities in each MS and through surveys among teachers and students. In addition, data could be obtained from publishers and collecting societies. </w:t>
            </w:r>
          </w:p>
          <w:p w:rsidR="003B7A36" w:rsidRPr="00DE22C2" w:rsidRDefault="003B7A36" w:rsidP="0023786E">
            <w:pPr>
              <w:spacing w:line="240" w:lineRule="auto"/>
              <w:rPr>
                <w:rFonts w:ascii="Times New Roman" w:hAnsi="Times New Roman"/>
                <w:sz w:val="20"/>
              </w:rPr>
            </w:pPr>
          </w:p>
        </w:tc>
      </w:tr>
      <w:tr w:rsidR="003B7A36" w:rsidRPr="00C20A45" w:rsidTr="003B7A36">
        <w:tc>
          <w:tcPr>
            <w:tcW w:w="9288" w:type="dxa"/>
            <w:gridSpan w:val="3"/>
            <w:shd w:val="clear" w:color="auto" w:fill="auto"/>
            <w:vAlign w:val="center"/>
          </w:tcPr>
          <w:p w:rsidR="003B7A36" w:rsidRPr="00FD6CE2" w:rsidRDefault="003B7A36" w:rsidP="00DE22C2">
            <w:pPr>
              <w:spacing w:after="0" w:line="240" w:lineRule="auto"/>
              <w:rPr>
                <w:rFonts w:ascii="Times New Roman" w:eastAsia="Arial Unicode MS" w:hAnsi="Times New Roman"/>
                <w:b/>
              </w:rPr>
            </w:pPr>
            <w:r>
              <w:rPr>
                <w:rFonts w:ascii="Times New Roman" w:eastAsia="Arial Unicode MS" w:hAnsi="Times New Roman"/>
                <w:b/>
              </w:rPr>
              <w:t>Make sure that researchers can carry out text and data mining of content they have lawful access to in full legal certainty, including across borders</w:t>
            </w:r>
          </w:p>
        </w:tc>
      </w:tr>
      <w:tr w:rsidR="003B7A36" w:rsidRPr="00C20A45" w:rsidTr="0023786E">
        <w:tc>
          <w:tcPr>
            <w:tcW w:w="2660" w:type="dxa"/>
            <w:shd w:val="clear" w:color="auto" w:fill="auto"/>
          </w:tcPr>
          <w:p w:rsidR="003B7A36" w:rsidRPr="00DE22C2" w:rsidRDefault="003B7A36" w:rsidP="0023786E">
            <w:pPr>
              <w:spacing w:line="240" w:lineRule="auto"/>
              <w:rPr>
                <w:rFonts w:ascii="Times New Roman" w:eastAsia="Arial Unicode MS" w:hAnsi="Times New Roman"/>
                <w:i/>
                <w:sz w:val="20"/>
              </w:rPr>
            </w:pPr>
            <w:r w:rsidRPr="00DE22C2">
              <w:rPr>
                <w:rFonts w:ascii="Times New Roman" w:eastAsia="Arial Unicode MS" w:hAnsi="Times New Roman"/>
                <w:i/>
                <w:sz w:val="20"/>
              </w:rPr>
              <w:t>Operational objective</w:t>
            </w:r>
            <w:r w:rsidRPr="00DE22C2">
              <w:rPr>
                <w:rFonts w:ascii="Times New Roman" w:eastAsia="Arial Unicode MS" w:hAnsi="Times New Roman"/>
                <w:sz w:val="20"/>
              </w:rPr>
              <w:t>: Make sure that researchers can text and data mine content they have lawful access to in full legal certainty</w:t>
            </w:r>
          </w:p>
        </w:tc>
        <w:tc>
          <w:tcPr>
            <w:tcW w:w="4252" w:type="dxa"/>
            <w:shd w:val="clear" w:color="auto" w:fill="auto"/>
          </w:tcPr>
          <w:p w:rsidR="003B7A36" w:rsidRPr="00DE22C2" w:rsidRDefault="003B7A36" w:rsidP="007D6CF3">
            <w:pPr>
              <w:pStyle w:val="ListParagraph"/>
              <w:numPr>
                <w:ilvl w:val="0"/>
                <w:numId w:val="34"/>
              </w:numPr>
              <w:spacing w:after="12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Number of (cross-border)  research and innovation projects using text and data mining;</w:t>
            </w:r>
          </w:p>
          <w:p w:rsidR="003B7A36" w:rsidRPr="00DE22C2" w:rsidRDefault="003B7A36" w:rsidP="007D6CF3">
            <w:pPr>
              <w:pStyle w:val="ListParagraph"/>
              <w:numPr>
                <w:ilvl w:val="0"/>
                <w:numId w:val="34"/>
              </w:numPr>
              <w:spacing w:before="120" w:after="120" w:line="240" w:lineRule="auto"/>
              <w:jc w:val="both"/>
              <w:rPr>
                <w:rFonts w:ascii="Times New Roman" w:eastAsia="Arial Unicode MS" w:hAnsi="Times New Roman"/>
                <w:sz w:val="20"/>
                <w:szCs w:val="22"/>
                <w:lang w:val="en-GB"/>
              </w:rPr>
            </w:pPr>
            <w:r w:rsidRPr="00DE22C2">
              <w:rPr>
                <w:rFonts w:ascii="Times New Roman" w:eastAsia="Arial Unicode MS" w:hAnsi="Times New Roman"/>
                <w:sz w:val="20"/>
                <w:szCs w:val="22"/>
                <w:lang w:val="en-GB"/>
              </w:rPr>
              <w:t xml:space="preserve">Number of text and data mining services; </w:t>
            </w:r>
          </w:p>
          <w:p w:rsidR="00BD0D38" w:rsidRPr="00AD57F7" w:rsidRDefault="003B7A36" w:rsidP="00AD57F7">
            <w:pPr>
              <w:pStyle w:val="ListParagraph"/>
              <w:numPr>
                <w:ilvl w:val="0"/>
                <w:numId w:val="34"/>
              </w:numPr>
              <w:spacing w:before="120" w:after="0" w:line="240" w:lineRule="auto"/>
              <w:jc w:val="both"/>
              <w:rPr>
                <w:rFonts w:ascii="Times New Roman" w:eastAsia="Arial Unicode MS" w:hAnsi="Times New Roman"/>
                <w:sz w:val="20"/>
                <w:szCs w:val="22"/>
                <w:lang w:val="en-GB"/>
              </w:rPr>
            </w:pPr>
            <w:r w:rsidRPr="00AD57F7">
              <w:rPr>
                <w:rFonts w:ascii="Times New Roman" w:eastAsia="Arial Unicode MS" w:hAnsi="Times New Roman"/>
                <w:sz w:val="20"/>
                <w:szCs w:val="22"/>
                <w:lang w:val="en-GB"/>
              </w:rPr>
              <w:t xml:space="preserve">Number of text and data mining related scientific publications. </w:t>
            </w:r>
          </w:p>
          <w:p w:rsidR="003B7A36" w:rsidRPr="00C66501" w:rsidRDefault="00BD0D38" w:rsidP="00D1507D">
            <w:pPr>
              <w:spacing w:after="0" w:line="240" w:lineRule="auto"/>
              <w:ind w:left="317"/>
              <w:jc w:val="both"/>
              <w:rPr>
                <w:rFonts w:ascii="Times New Roman" w:hAnsi="Times New Roman"/>
                <w:sz w:val="20"/>
              </w:rPr>
            </w:pPr>
            <w:r w:rsidRPr="00C66501">
              <w:rPr>
                <w:rFonts w:ascii="Times New Roman" w:eastAsia="Arial Unicode MS" w:hAnsi="Times New Roman"/>
                <w:i/>
                <w:sz w:val="20"/>
              </w:rPr>
              <w:t>[</w:t>
            </w:r>
            <w:r w:rsidRPr="00C66501">
              <w:rPr>
                <w:rFonts w:ascii="Times New Roman" w:eastAsia="Arial Unicode MS" w:hAnsi="Times New Roman"/>
                <w:i/>
                <w:sz w:val="20"/>
                <w:u w:val="single"/>
              </w:rPr>
              <w:t>Benchmark</w:t>
            </w:r>
            <w:r w:rsidRPr="00C66501">
              <w:rPr>
                <w:rFonts w:ascii="Times New Roman" w:eastAsia="Arial Unicode MS" w:hAnsi="Times New Roman"/>
                <w:i/>
                <w:sz w:val="20"/>
              </w:rPr>
              <w:t>: 303 articles published on T</w:t>
            </w:r>
            <w:r w:rsidR="00581F9F" w:rsidRPr="00645F5C">
              <w:rPr>
                <w:rFonts w:ascii="Times New Roman" w:eastAsia="Arial Unicode MS" w:hAnsi="Times New Roman"/>
                <w:i/>
                <w:sz w:val="20"/>
              </w:rPr>
              <w:t>DM in the EU from 2011 to 2016.</w:t>
            </w:r>
            <w:r w:rsidR="00581F9F">
              <w:rPr>
                <w:rStyle w:val="FootnoteReference"/>
                <w:rFonts w:ascii="Times New Roman" w:eastAsia="Arial Unicode MS" w:hAnsi="Times New Roman"/>
                <w:i/>
                <w:sz w:val="20"/>
              </w:rPr>
              <w:footnoteReference w:id="594"/>
            </w:r>
            <w:r w:rsidRPr="00C66501">
              <w:rPr>
                <w:rFonts w:ascii="Times New Roman" w:eastAsia="Arial Unicode MS" w:hAnsi="Times New Roman"/>
                <w:i/>
                <w:sz w:val="20"/>
              </w:rPr>
              <w:t>]</w:t>
            </w:r>
          </w:p>
        </w:tc>
        <w:tc>
          <w:tcPr>
            <w:tcW w:w="2376" w:type="dxa"/>
            <w:shd w:val="clear" w:color="auto" w:fill="auto"/>
          </w:tcPr>
          <w:p w:rsidR="003B7A36" w:rsidRPr="00DE22C2" w:rsidRDefault="003B7A36" w:rsidP="00FD78BA">
            <w:pPr>
              <w:spacing w:line="240" w:lineRule="auto"/>
              <w:rPr>
                <w:rFonts w:ascii="Times New Roman" w:eastAsia="Arial Unicode MS" w:hAnsi="Times New Roman"/>
                <w:sz w:val="20"/>
              </w:rPr>
            </w:pPr>
            <w:r w:rsidRPr="00DE22C2">
              <w:rPr>
                <w:rFonts w:ascii="Times New Roman" w:eastAsia="Arial Unicode MS" w:hAnsi="Times New Roman"/>
                <w:sz w:val="20"/>
              </w:rPr>
              <w:t xml:space="preserve">This information </w:t>
            </w:r>
            <w:r w:rsidR="00FD78BA">
              <w:rPr>
                <w:rFonts w:ascii="Times New Roman" w:eastAsia="Arial Unicode MS" w:hAnsi="Times New Roman"/>
                <w:sz w:val="20"/>
              </w:rPr>
              <w:t>w</w:t>
            </w:r>
            <w:r w:rsidR="00FD78BA" w:rsidRPr="00DE22C2">
              <w:rPr>
                <w:rFonts w:ascii="Times New Roman" w:eastAsia="Arial Unicode MS" w:hAnsi="Times New Roman"/>
                <w:sz w:val="20"/>
              </w:rPr>
              <w:t xml:space="preserve">ould </w:t>
            </w:r>
            <w:r w:rsidRPr="00DE22C2">
              <w:rPr>
                <w:rFonts w:ascii="Times New Roman" w:eastAsia="Arial Unicode MS" w:hAnsi="Times New Roman"/>
                <w:sz w:val="20"/>
              </w:rPr>
              <w:t xml:space="preserve">be gathered through the H2020 participants, the H2020 statistics Unit in the Commission, statistics from OpenAire Data Platform or data provided directly by stakeholders (publishers, institutional users, etc). </w:t>
            </w:r>
          </w:p>
        </w:tc>
      </w:tr>
      <w:tr w:rsidR="003B7A36" w:rsidRPr="00C20A45" w:rsidTr="003B7A36">
        <w:tc>
          <w:tcPr>
            <w:tcW w:w="9288" w:type="dxa"/>
            <w:gridSpan w:val="3"/>
            <w:shd w:val="clear" w:color="auto" w:fill="auto"/>
            <w:vAlign w:val="center"/>
          </w:tcPr>
          <w:p w:rsidR="003B7A36" w:rsidRPr="00C20A45" w:rsidRDefault="003B7A36" w:rsidP="00DE22C2">
            <w:pPr>
              <w:spacing w:after="0" w:line="240" w:lineRule="auto"/>
              <w:rPr>
                <w:rFonts w:ascii="Times New Roman" w:eastAsia="Arial Unicode MS" w:hAnsi="Times New Roman"/>
              </w:rPr>
            </w:pPr>
            <w:r w:rsidRPr="00186512">
              <w:rPr>
                <w:rFonts w:ascii="Times New Roman" w:hAnsi="Times New Roman"/>
                <w:b/>
                <w:iCs/>
              </w:rPr>
              <w:t>Make sure that cultural heritage institutions can make preservation copies of protected works in their permanent collections in full legal certainty, taking into account digital technology</w:t>
            </w:r>
          </w:p>
        </w:tc>
      </w:tr>
      <w:tr w:rsidR="003B7A36" w:rsidRPr="00C20A45" w:rsidTr="0023786E">
        <w:tc>
          <w:tcPr>
            <w:tcW w:w="2660" w:type="dxa"/>
            <w:shd w:val="clear" w:color="auto" w:fill="auto"/>
          </w:tcPr>
          <w:p w:rsidR="003B7A36" w:rsidRPr="00DB2C5F" w:rsidRDefault="003B7A36" w:rsidP="0023786E">
            <w:pPr>
              <w:spacing w:line="240" w:lineRule="auto"/>
              <w:rPr>
                <w:rFonts w:ascii="Times New Roman" w:eastAsia="Arial Unicode MS" w:hAnsi="Times New Roman"/>
                <w:i/>
                <w:sz w:val="20"/>
              </w:rPr>
            </w:pPr>
            <w:r w:rsidRPr="00DB2C5F">
              <w:rPr>
                <w:rFonts w:ascii="Times New Roman" w:eastAsia="Arial Unicode MS" w:hAnsi="Times New Roman"/>
                <w:i/>
                <w:sz w:val="20"/>
              </w:rPr>
              <w:t>Operational objective</w:t>
            </w:r>
            <w:r w:rsidRPr="00DB2C5F">
              <w:rPr>
                <w:rFonts w:ascii="Times New Roman" w:eastAsia="Arial Unicode MS" w:hAnsi="Times New Roman"/>
                <w:sz w:val="20"/>
              </w:rPr>
              <w:t xml:space="preserve">: Increase the number of CHIs engaged in digital preservation and of works that are preserved by CHIs </w:t>
            </w:r>
          </w:p>
        </w:tc>
        <w:tc>
          <w:tcPr>
            <w:tcW w:w="4252" w:type="dxa"/>
            <w:shd w:val="clear" w:color="auto" w:fill="auto"/>
          </w:tcPr>
          <w:p w:rsidR="003B7A36" w:rsidRPr="00DB2C5F" w:rsidRDefault="003B7A36" w:rsidP="007D6CF3">
            <w:pPr>
              <w:pStyle w:val="ListParagraph"/>
              <w:numPr>
                <w:ilvl w:val="0"/>
                <w:numId w:val="35"/>
              </w:numPr>
              <w:spacing w:after="0" w:line="240" w:lineRule="auto"/>
              <w:jc w:val="both"/>
              <w:rPr>
                <w:rFonts w:ascii="Times New Roman" w:eastAsia="Arial Unicode MS" w:hAnsi="Times New Roman"/>
                <w:sz w:val="20"/>
                <w:szCs w:val="22"/>
                <w:lang w:val="en-GB"/>
              </w:rPr>
            </w:pPr>
            <w:r w:rsidRPr="00DB2C5F">
              <w:rPr>
                <w:rFonts w:ascii="Times New Roman" w:eastAsia="Arial Unicode MS" w:hAnsi="Times New Roman"/>
                <w:sz w:val="20"/>
                <w:szCs w:val="22"/>
                <w:lang w:val="en-GB"/>
              </w:rPr>
              <w:t>Number of CHIs engaging in digital preservation</w:t>
            </w:r>
          </w:p>
          <w:p w:rsidR="003B7A36" w:rsidRPr="00DB2C5F" w:rsidRDefault="003B7A36" w:rsidP="007D6CF3">
            <w:pPr>
              <w:pStyle w:val="ListParagraph"/>
              <w:numPr>
                <w:ilvl w:val="0"/>
                <w:numId w:val="35"/>
              </w:numPr>
              <w:spacing w:before="120" w:after="0" w:line="240" w:lineRule="auto"/>
              <w:jc w:val="both"/>
              <w:rPr>
                <w:rFonts w:ascii="Times New Roman" w:eastAsia="Arial Unicode MS" w:hAnsi="Times New Roman"/>
                <w:sz w:val="20"/>
                <w:szCs w:val="22"/>
                <w:lang w:val="en-GB"/>
              </w:rPr>
            </w:pPr>
            <w:r w:rsidRPr="00DB2C5F">
              <w:rPr>
                <w:rFonts w:ascii="Times New Roman" w:eastAsia="Arial Unicode MS" w:hAnsi="Times New Roman"/>
                <w:sz w:val="20"/>
                <w:szCs w:val="22"/>
                <w:lang w:val="en-GB"/>
              </w:rPr>
              <w:t>Number of CHIs sharing digital preservation infrastructure</w:t>
            </w:r>
          </w:p>
          <w:p w:rsidR="003B7A36" w:rsidRPr="00DB2C5F" w:rsidRDefault="003B7A36" w:rsidP="007D6CF3">
            <w:pPr>
              <w:pStyle w:val="ListParagraph"/>
              <w:numPr>
                <w:ilvl w:val="0"/>
                <w:numId w:val="35"/>
              </w:numPr>
              <w:spacing w:before="120" w:after="0" w:line="240" w:lineRule="auto"/>
              <w:jc w:val="both"/>
              <w:rPr>
                <w:rFonts w:ascii="Times New Roman" w:eastAsia="Arial Unicode MS" w:hAnsi="Times New Roman"/>
                <w:sz w:val="20"/>
                <w:szCs w:val="22"/>
                <w:lang w:val="en-GB"/>
              </w:rPr>
            </w:pPr>
            <w:r w:rsidRPr="00DB2C5F">
              <w:rPr>
                <w:rFonts w:ascii="Times New Roman" w:eastAsia="Arial Unicode MS" w:hAnsi="Times New Roman"/>
                <w:sz w:val="20"/>
                <w:szCs w:val="22"/>
                <w:lang w:val="en-GB"/>
              </w:rPr>
              <w:t>Number of digital preservation projects</w:t>
            </w:r>
          </w:p>
          <w:p w:rsidR="003B7A36" w:rsidRPr="00DB2C5F" w:rsidRDefault="003B7A36" w:rsidP="007D6CF3">
            <w:pPr>
              <w:pStyle w:val="ListParagraph"/>
              <w:numPr>
                <w:ilvl w:val="0"/>
                <w:numId w:val="35"/>
              </w:numPr>
              <w:spacing w:before="120" w:after="0" w:line="240" w:lineRule="auto"/>
              <w:jc w:val="both"/>
              <w:rPr>
                <w:rFonts w:ascii="Times New Roman" w:eastAsia="Arial Unicode MS" w:hAnsi="Times New Roman"/>
                <w:sz w:val="20"/>
                <w:szCs w:val="22"/>
                <w:lang w:val="en-GB"/>
              </w:rPr>
            </w:pPr>
            <w:r w:rsidRPr="00DB2C5F">
              <w:rPr>
                <w:rFonts w:ascii="Times New Roman" w:eastAsia="Arial Unicode MS" w:hAnsi="Times New Roman"/>
                <w:sz w:val="20"/>
                <w:szCs w:val="22"/>
                <w:lang w:val="en-GB"/>
              </w:rPr>
              <w:t>Number of works undergoing digital preservation</w:t>
            </w:r>
          </w:p>
        </w:tc>
        <w:tc>
          <w:tcPr>
            <w:tcW w:w="2376" w:type="dxa"/>
            <w:shd w:val="clear" w:color="auto" w:fill="auto"/>
          </w:tcPr>
          <w:p w:rsidR="003B7A36" w:rsidRPr="00DE22C2" w:rsidRDefault="003B7A36" w:rsidP="0023786E">
            <w:pPr>
              <w:spacing w:line="240" w:lineRule="auto"/>
              <w:rPr>
                <w:rFonts w:ascii="Times New Roman" w:eastAsia="Arial Unicode MS" w:hAnsi="Times New Roman"/>
                <w:sz w:val="20"/>
              </w:rPr>
            </w:pPr>
            <w:r w:rsidRPr="00DE22C2">
              <w:rPr>
                <w:rFonts w:ascii="Times New Roman" w:eastAsia="Arial Unicode MS" w:hAnsi="Times New Roman"/>
                <w:sz w:val="20"/>
              </w:rPr>
              <w:t xml:space="preserve">This information </w:t>
            </w:r>
            <w:r w:rsidR="00FD78BA">
              <w:rPr>
                <w:rFonts w:ascii="Times New Roman" w:eastAsia="Arial Unicode MS" w:hAnsi="Times New Roman"/>
                <w:sz w:val="20"/>
              </w:rPr>
              <w:t>w</w:t>
            </w:r>
            <w:r w:rsidRPr="00DE22C2">
              <w:rPr>
                <w:rFonts w:ascii="Times New Roman" w:eastAsia="Arial Unicode MS" w:hAnsi="Times New Roman"/>
                <w:sz w:val="20"/>
              </w:rPr>
              <w:t>ould be gathered from beneficiary institutions and MS, mainly through surveys, including building on existing frameworks (e.g. the Enumerate project, reporting on EU Recommendations).</w:t>
            </w:r>
          </w:p>
        </w:tc>
      </w:tr>
      <w:tr w:rsidR="00DE22C2" w:rsidRPr="00C20A45" w:rsidTr="00DE22C2">
        <w:tc>
          <w:tcPr>
            <w:tcW w:w="9288" w:type="dxa"/>
            <w:gridSpan w:val="3"/>
            <w:shd w:val="clear" w:color="auto" w:fill="F2F2F2" w:themeFill="background1" w:themeFillShade="F2"/>
          </w:tcPr>
          <w:p w:rsidR="00DE22C2" w:rsidRPr="00DB2C5F" w:rsidRDefault="00DE22C2" w:rsidP="0023786E">
            <w:pPr>
              <w:spacing w:line="240" w:lineRule="auto"/>
              <w:rPr>
                <w:rFonts w:ascii="Times New Roman" w:eastAsia="Arial Unicode MS" w:hAnsi="Times New Roman"/>
              </w:rPr>
            </w:pPr>
            <w:r w:rsidRPr="00DB2C5F">
              <w:rPr>
                <w:rFonts w:ascii="Times New Roman" w:eastAsia="Arial Unicode MS" w:hAnsi="Times New Roman"/>
                <w:b/>
              </w:rPr>
              <w:t>ACHIEVING A WELL-FUNCTIONING MARKET PLACE FOR COPYRIGHT</w:t>
            </w:r>
          </w:p>
        </w:tc>
      </w:tr>
      <w:tr w:rsidR="0052199D" w:rsidRPr="00A11C1E" w:rsidTr="005151D5">
        <w:tc>
          <w:tcPr>
            <w:tcW w:w="9288" w:type="dxa"/>
            <w:gridSpan w:val="3"/>
            <w:shd w:val="clear" w:color="auto" w:fill="auto"/>
          </w:tcPr>
          <w:p w:rsidR="0052199D" w:rsidRPr="00A11C1E" w:rsidRDefault="0052199D" w:rsidP="00F436E4">
            <w:pPr>
              <w:spacing w:after="0" w:line="240" w:lineRule="auto"/>
              <w:rPr>
                <w:rFonts w:ascii="Times New Roman" w:eastAsia="Arial Unicode MS" w:hAnsi="Times New Roman" w:cs="Times New Roman"/>
              </w:rPr>
            </w:pPr>
            <w:r w:rsidRPr="00A11C1E">
              <w:rPr>
                <w:rFonts w:ascii="Times New Roman" w:hAnsi="Times New Roman" w:cs="Times New Roman"/>
                <w:b/>
                <w:iCs/>
              </w:rPr>
              <w:t xml:space="preserve">Ensure that </w:t>
            </w:r>
            <w:r w:rsidR="00F436E4">
              <w:rPr>
                <w:rFonts w:ascii="Times New Roman" w:hAnsi="Times New Roman" w:cs="Times New Roman"/>
                <w:b/>
                <w:iCs/>
              </w:rPr>
              <w:t>r</w:t>
            </w:r>
            <w:r w:rsidR="00007677">
              <w:rPr>
                <w:rFonts w:ascii="Times New Roman" w:hAnsi="Times New Roman" w:cs="Times New Roman"/>
                <w:b/>
                <w:iCs/>
              </w:rPr>
              <w:t>ightholders</w:t>
            </w:r>
            <w:r w:rsidRPr="00A11C1E">
              <w:rPr>
                <w:rFonts w:ascii="Times New Roman" w:hAnsi="Times New Roman" w:cs="Times New Roman"/>
                <w:b/>
                <w:iCs/>
              </w:rPr>
              <w:t xml:space="preserve"> benefit from a legal framework allowing them to better control and be remunerated for the use of their content vis-à-vis online services storing and giving access to large amounts of content uploaded by their users</w:t>
            </w:r>
          </w:p>
        </w:tc>
      </w:tr>
      <w:tr w:rsidR="0052199D" w:rsidRPr="00A11C1E" w:rsidTr="005151D5">
        <w:tc>
          <w:tcPr>
            <w:tcW w:w="2660" w:type="dxa"/>
            <w:shd w:val="clear" w:color="auto" w:fill="auto"/>
          </w:tcPr>
          <w:p w:rsidR="00A11C1E" w:rsidRPr="00A11C1E" w:rsidRDefault="0052199D">
            <w:pPr>
              <w:spacing w:line="240" w:lineRule="auto"/>
              <w:rPr>
                <w:rFonts w:ascii="Times New Roman" w:eastAsia="Arial Unicode MS" w:hAnsi="Times New Roman" w:cs="Times New Roman"/>
                <w:sz w:val="20"/>
              </w:rPr>
            </w:pPr>
            <w:r w:rsidRPr="00AD57F7">
              <w:rPr>
                <w:rFonts w:ascii="Times New Roman" w:hAnsi="Times New Roman" w:cs="Times New Roman"/>
                <w:i/>
                <w:sz w:val="20"/>
              </w:rPr>
              <w:t>Operational objective</w:t>
            </w:r>
            <w:r w:rsidRPr="00AD57F7">
              <w:rPr>
                <w:rFonts w:ascii="Times New Roman" w:hAnsi="Times New Roman" w:cs="Times New Roman"/>
                <w:sz w:val="20"/>
              </w:rPr>
              <w:t xml:space="preserve">: </w:t>
            </w:r>
            <w:r w:rsidR="00A11C1E">
              <w:rPr>
                <w:rFonts w:ascii="Times New Roman" w:hAnsi="Times New Roman"/>
                <w:iCs/>
                <w:sz w:val="20"/>
              </w:rPr>
              <w:t>Reduce unauthorised content on the services</w:t>
            </w:r>
            <w:r w:rsidR="00A11C1E">
              <w:rPr>
                <w:rFonts w:ascii="Times New Roman" w:hAnsi="Times New Roman"/>
                <w:sz w:val="20"/>
              </w:rPr>
              <w:t xml:space="preserve"> and </w:t>
            </w:r>
            <w:r w:rsidR="00A11C1E">
              <w:rPr>
                <w:rFonts w:ascii="Times New Roman" w:hAnsi="Times New Roman" w:cs="Times New Roman"/>
                <w:sz w:val="20"/>
              </w:rPr>
              <w:t>i</w:t>
            </w:r>
            <w:r w:rsidRPr="00AD57F7">
              <w:rPr>
                <w:rFonts w:ascii="Times New Roman" w:hAnsi="Times New Roman" w:cs="Times New Roman"/>
                <w:sz w:val="20"/>
              </w:rPr>
              <w:t xml:space="preserve">ncrease the number of agreements between </w:t>
            </w:r>
            <w:r w:rsidRPr="00AD57F7">
              <w:rPr>
                <w:rFonts w:ascii="Times New Roman" w:hAnsi="Times New Roman" w:cs="Times New Roman"/>
                <w:iCs/>
                <w:sz w:val="20"/>
              </w:rPr>
              <w:t xml:space="preserve">online services storing and giving access to large amounts of content uploaded by their users and </w:t>
            </w:r>
            <w:r w:rsidR="00F436E4">
              <w:rPr>
                <w:rFonts w:ascii="Times New Roman" w:hAnsi="Times New Roman" w:cs="Times New Roman"/>
                <w:iCs/>
                <w:sz w:val="20"/>
              </w:rPr>
              <w:t>r</w:t>
            </w:r>
            <w:r w:rsidR="00007677">
              <w:rPr>
                <w:rFonts w:ascii="Times New Roman" w:hAnsi="Times New Roman" w:cs="Times New Roman"/>
                <w:iCs/>
                <w:sz w:val="20"/>
              </w:rPr>
              <w:t>ightholders</w:t>
            </w:r>
            <w:r w:rsidRPr="00AD57F7">
              <w:rPr>
                <w:rFonts w:ascii="Times New Roman" w:hAnsi="Times New Roman" w:cs="Times New Roman"/>
                <w:iCs/>
                <w:sz w:val="20"/>
              </w:rPr>
              <w:t xml:space="preserve"> for the use of copyright protected content </w:t>
            </w:r>
            <w:r w:rsidR="00A11C1E">
              <w:rPr>
                <w:rFonts w:ascii="Times New Roman" w:hAnsi="Times New Roman"/>
                <w:sz w:val="20"/>
              </w:rPr>
              <w:t xml:space="preserve"> </w:t>
            </w:r>
          </w:p>
        </w:tc>
        <w:tc>
          <w:tcPr>
            <w:tcW w:w="4252" w:type="dxa"/>
            <w:shd w:val="clear" w:color="auto" w:fill="auto"/>
          </w:tcPr>
          <w:p w:rsidR="00A84433" w:rsidRDefault="00645F5C" w:rsidP="00A84433">
            <w:pPr>
              <w:numPr>
                <w:ilvl w:val="0"/>
                <w:numId w:val="38"/>
              </w:numPr>
              <w:spacing w:after="0" w:line="240" w:lineRule="auto"/>
              <w:rPr>
                <w:rFonts w:ascii="Times New Roman" w:hAnsi="Times New Roman" w:cs="Times New Roman"/>
                <w:sz w:val="20"/>
              </w:rPr>
            </w:pPr>
            <w:r>
              <w:rPr>
                <w:rFonts w:ascii="Times New Roman" w:hAnsi="Times New Roman" w:cs="Times New Roman"/>
                <w:sz w:val="20"/>
              </w:rPr>
              <w:t>Take-up of efficient content identification technologies</w:t>
            </w:r>
          </w:p>
          <w:p w:rsidR="0052199D" w:rsidRPr="00A11C1E" w:rsidRDefault="0052199D" w:rsidP="00A84433">
            <w:pPr>
              <w:numPr>
                <w:ilvl w:val="0"/>
                <w:numId w:val="38"/>
              </w:numPr>
              <w:spacing w:after="0" w:line="240" w:lineRule="auto"/>
              <w:rPr>
                <w:rFonts w:ascii="Times New Roman" w:hAnsi="Times New Roman" w:cs="Times New Roman"/>
                <w:sz w:val="20"/>
              </w:rPr>
            </w:pPr>
            <w:r w:rsidRPr="00A11C1E">
              <w:rPr>
                <w:rFonts w:ascii="Times New Roman" w:hAnsi="Times New Roman" w:cs="Times New Roman"/>
                <w:sz w:val="20"/>
              </w:rPr>
              <w:t xml:space="preserve">Number of agreements concluded between the user uploaded content services and </w:t>
            </w:r>
            <w:r w:rsidR="00F436E4">
              <w:rPr>
                <w:rFonts w:ascii="Times New Roman" w:hAnsi="Times New Roman" w:cs="Times New Roman"/>
                <w:sz w:val="20"/>
              </w:rPr>
              <w:t>r</w:t>
            </w:r>
            <w:r w:rsidR="00007677">
              <w:rPr>
                <w:rFonts w:ascii="Times New Roman" w:hAnsi="Times New Roman" w:cs="Times New Roman"/>
                <w:sz w:val="20"/>
              </w:rPr>
              <w:t>ightholders</w:t>
            </w:r>
            <w:r w:rsidRPr="00A11C1E">
              <w:rPr>
                <w:rFonts w:ascii="Times New Roman" w:hAnsi="Times New Roman" w:cs="Times New Roman"/>
                <w:sz w:val="20"/>
              </w:rPr>
              <w:t xml:space="preserve"> for the use of content</w:t>
            </w:r>
          </w:p>
          <w:p w:rsidR="0052199D" w:rsidRPr="00A11C1E" w:rsidRDefault="0052199D" w:rsidP="00D1507D">
            <w:pPr>
              <w:spacing w:after="0" w:line="240" w:lineRule="auto"/>
              <w:ind w:left="360"/>
              <w:rPr>
                <w:rFonts w:ascii="Times New Roman" w:hAnsi="Times New Roman" w:cs="Times New Roman"/>
                <w:sz w:val="20"/>
              </w:rPr>
            </w:pPr>
          </w:p>
        </w:tc>
        <w:tc>
          <w:tcPr>
            <w:tcW w:w="2376" w:type="dxa"/>
            <w:shd w:val="clear" w:color="auto" w:fill="auto"/>
          </w:tcPr>
          <w:p w:rsidR="0052199D" w:rsidRPr="00A11C1E" w:rsidRDefault="0052199D">
            <w:pPr>
              <w:spacing w:line="240" w:lineRule="auto"/>
              <w:rPr>
                <w:rFonts w:ascii="Times New Roman" w:eastAsia="Arial Unicode MS" w:hAnsi="Times New Roman" w:cs="Times New Roman"/>
                <w:sz w:val="20"/>
              </w:rPr>
            </w:pPr>
            <w:r w:rsidRPr="00A11C1E">
              <w:rPr>
                <w:rFonts w:ascii="Times New Roman" w:hAnsi="Times New Roman" w:cs="Times New Roman"/>
                <w:sz w:val="20"/>
              </w:rPr>
              <w:t xml:space="preserve">This information would be gathered from </w:t>
            </w:r>
            <w:r w:rsidR="00F436E4">
              <w:rPr>
                <w:rFonts w:ascii="Times New Roman" w:hAnsi="Times New Roman" w:cs="Times New Roman"/>
                <w:sz w:val="20"/>
              </w:rPr>
              <w:t>r</w:t>
            </w:r>
            <w:r w:rsidR="00007677">
              <w:rPr>
                <w:rFonts w:ascii="Times New Roman" w:hAnsi="Times New Roman" w:cs="Times New Roman"/>
                <w:sz w:val="20"/>
              </w:rPr>
              <w:t>ightholders</w:t>
            </w:r>
            <w:r w:rsidRPr="00A11C1E">
              <w:rPr>
                <w:rFonts w:ascii="Times New Roman" w:hAnsi="Times New Roman" w:cs="Times New Roman"/>
                <w:sz w:val="20"/>
              </w:rPr>
              <w:t xml:space="preserve"> and services covered by the intervention, mainly </w:t>
            </w:r>
            <w:r w:rsidR="00A11C1E">
              <w:rPr>
                <w:rFonts w:ascii="Times New Roman" w:hAnsi="Times New Roman" w:cs="Times New Roman"/>
                <w:sz w:val="20"/>
              </w:rPr>
              <w:t>by t</w:t>
            </w:r>
            <w:r w:rsidR="00A11C1E" w:rsidRPr="008345A0">
              <w:rPr>
                <w:rFonts w:ascii="Times New Roman" w:hAnsi="Times New Roman" w:cs="Times New Roman"/>
                <w:sz w:val="20"/>
              </w:rPr>
              <w:t xml:space="preserve">echnology providers </w:t>
            </w:r>
            <w:r w:rsidR="00A11C1E">
              <w:rPr>
                <w:rFonts w:ascii="Times New Roman" w:hAnsi="Times New Roman" w:cs="Times New Roman"/>
                <w:sz w:val="20"/>
              </w:rPr>
              <w:t xml:space="preserve">and </w:t>
            </w:r>
            <w:r w:rsidRPr="00A11C1E">
              <w:rPr>
                <w:rFonts w:ascii="Times New Roman" w:hAnsi="Times New Roman" w:cs="Times New Roman"/>
                <w:sz w:val="20"/>
              </w:rPr>
              <w:t>through surveys and reports</w:t>
            </w:r>
          </w:p>
        </w:tc>
      </w:tr>
      <w:tr w:rsidR="0052199D" w:rsidRPr="00C50596" w:rsidTr="005151D5">
        <w:tc>
          <w:tcPr>
            <w:tcW w:w="9288" w:type="dxa"/>
            <w:gridSpan w:val="3"/>
            <w:shd w:val="clear" w:color="auto" w:fill="auto"/>
          </w:tcPr>
          <w:p w:rsidR="0052199D" w:rsidRPr="00DB2C5F" w:rsidRDefault="0052199D" w:rsidP="005151D5">
            <w:pPr>
              <w:spacing w:after="0" w:line="240" w:lineRule="auto"/>
              <w:rPr>
                <w:rFonts w:ascii="Times New Roman" w:eastAsia="Arial Unicode MS" w:hAnsi="Times New Roman"/>
              </w:rPr>
            </w:pPr>
            <w:r w:rsidRPr="00DB2C5F">
              <w:rPr>
                <w:rFonts w:ascii="Times New Roman" w:hAnsi="Times New Roman"/>
                <w:b/>
                <w:iCs/>
              </w:rPr>
              <w:t>Ensure a fair share of revenues stemming from the use of publications among the different players of the publishing value chain</w:t>
            </w:r>
          </w:p>
        </w:tc>
      </w:tr>
      <w:tr w:rsidR="0052199D" w:rsidRPr="00C50596" w:rsidTr="005151D5">
        <w:tc>
          <w:tcPr>
            <w:tcW w:w="2660" w:type="dxa"/>
            <w:shd w:val="clear" w:color="auto" w:fill="auto"/>
          </w:tcPr>
          <w:p w:rsidR="0052199D" w:rsidRPr="00DB2C5F" w:rsidRDefault="0052199D" w:rsidP="005151D5">
            <w:pPr>
              <w:spacing w:after="0" w:line="240" w:lineRule="auto"/>
              <w:rPr>
                <w:rFonts w:ascii="Times New Roman" w:eastAsia="Arial Unicode MS" w:hAnsi="Times New Roman"/>
                <w:sz w:val="20"/>
              </w:rPr>
            </w:pPr>
            <w:r w:rsidRPr="00DB2C5F">
              <w:rPr>
                <w:rFonts w:ascii="Times New Roman" w:eastAsia="Arial Unicode MS" w:hAnsi="Times New Roman"/>
                <w:i/>
                <w:sz w:val="20"/>
              </w:rPr>
              <w:t>Operational objective</w:t>
            </w:r>
            <w:r w:rsidRPr="00DB2C5F">
              <w:rPr>
                <w:rFonts w:ascii="Times New Roman" w:eastAsia="Arial Unicode MS" w:hAnsi="Times New Roman"/>
                <w:sz w:val="20"/>
              </w:rPr>
              <w:t xml:space="preserve">: </w:t>
            </w:r>
          </w:p>
          <w:p w:rsidR="0052199D" w:rsidRPr="00DB2C5F" w:rsidRDefault="0052199D" w:rsidP="005151D5">
            <w:pPr>
              <w:spacing w:line="240" w:lineRule="auto"/>
              <w:rPr>
                <w:rFonts w:ascii="Times New Roman" w:eastAsia="Arial Unicode MS" w:hAnsi="Times New Roman"/>
              </w:rPr>
            </w:pPr>
            <w:r w:rsidRPr="00DB2C5F">
              <w:rPr>
                <w:rFonts w:ascii="Times New Roman" w:eastAsia="Arial Unicode MS" w:hAnsi="Times New Roman"/>
                <w:sz w:val="20"/>
              </w:rPr>
              <w:t xml:space="preserve">Ensure that the increase in the consumption of publications is reflected in a return on the required investments </w:t>
            </w:r>
          </w:p>
        </w:tc>
        <w:tc>
          <w:tcPr>
            <w:tcW w:w="4252" w:type="dxa"/>
            <w:shd w:val="clear" w:color="auto" w:fill="auto"/>
          </w:tcPr>
          <w:p w:rsidR="0052199D" w:rsidRDefault="0052199D" w:rsidP="007D6CF3">
            <w:pPr>
              <w:pStyle w:val="ListParagraph"/>
              <w:numPr>
                <w:ilvl w:val="0"/>
                <w:numId w:val="40"/>
              </w:numPr>
              <w:spacing w:after="0" w:line="240" w:lineRule="auto"/>
              <w:jc w:val="both"/>
              <w:rPr>
                <w:rFonts w:ascii="Times New Roman" w:eastAsia="Arial Unicode MS" w:hAnsi="Times New Roman"/>
                <w:sz w:val="20"/>
                <w:szCs w:val="22"/>
                <w:lang w:val="en-GB"/>
              </w:rPr>
            </w:pPr>
            <w:r w:rsidRPr="00DB2C5F">
              <w:rPr>
                <w:rFonts w:ascii="Times New Roman" w:eastAsia="Arial Unicode MS" w:hAnsi="Times New Roman"/>
                <w:sz w:val="20"/>
                <w:szCs w:val="22"/>
                <w:lang w:val="en-GB"/>
              </w:rPr>
              <w:t>Number of users who have access to news content (directly through publishers' websites and apps or indirectly through online service providers)</w:t>
            </w:r>
          </w:p>
          <w:p w:rsidR="00D74271" w:rsidRPr="00AD57F7" w:rsidRDefault="00D74271" w:rsidP="00AD57F7">
            <w:pPr>
              <w:spacing w:after="0" w:line="240" w:lineRule="auto"/>
              <w:ind w:left="318"/>
              <w:jc w:val="both"/>
              <w:rPr>
                <w:rFonts w:ascii="Times New Roman" w:eastAsia="Arial Unicode MS" w:hAnsi="Times New Roman"/>
                <w:i/>
                <w:sz w:val="20"/>
              </w:rPr>
            </w:pPr>
            <w:r w:rsidRPr="00AD57F7">
              <w:rPr>
                <w:rFonts w:ascii="Times New Roman" w:eastAsia="Arial Unicode MS" w:hAnsi="Times New Roman"/>
                <w:i/>
                <w:sz w:val="20"/>
              </w:rPr>
              <w:t>[</w:t>
            </w:r>
            <w:r w:rsidRPr="00AD57F7">
              <w:rPr>
                <w:rFonts w:ascii="Times New Roman" w:eastAsia="Arial Unicode MS" w:hAnsi="Times New Roman"/>
                <w:i/>
                <w:sz w:val="20"/>
                <w:u w:val="single"/>
              </w:rPr>
              <w:t>Benchmark 2016 data</w:t>
            </w:r>
            <w:r w:rsidR="00CC5E2E">
              <w:rPr>
                <w:rFonts w:ascii="Times New Roman" w:eastAsia="Arial Unicode MS" w:hAnsi="Times New Roman"/>
                <w:i/>
                <w:sz w:val="20"/>
                <w:u w:val="single"/>
              </w:rPr>
              <w:t>:</w:t>
            </w:r>
            <w:r w:rsidRPr="00AD57F7">
              <w:rPr>
                <w:rFonts w:ascii="Times New Roman" w:eastAsia="Arial Unicode MS" w:hAnsi="Times New Roman"/>
                <w:i/>
                <w:sz w:val="20"/>
              </w:rPr>
              <w:t xml:space="preserve"> 42</w:t>
            </w:r>
            <w:r w:rsidR="00E07E16">
              <w:rPr>
                <w:rFonts w:ascii="Times New Roman" w:eastAsia="Arial Unicode MS" w:hAnsi="Times New Roman"/>
                <w:i/>
                <w:sz w:val="20"/>
              </w:rPr>
              <w:t xml:space="preserve"> </w:t>
            </w:r>
            <w:r w:rsidRPr="00AD57F7">
              <w:rPr>
                <w:rFonts w:ascii="Times New Roman" w:eastAsia="Arial Unicode MS" w:hAnsi="Times New Roman"/>
                <w:i/>
                <w:sz w:val="20"/>
              </w:rPr>
              <w:t>% of users have access to news online directly via the website or app of newspapers and magazines and 57% indirectly via online social media, search engines and news aggregators.</w:t>
            </w:r>
            <w:r w:rsidR="00CC5E2E" w:rsidRPr="00AD57F7">
              <w:rPr>
                <w:rStyle w:val="FootnoteReference"/>
                <w:rFonts w:ascii="Times New Roman" w:eastAsia="Arial Unicode MS" w:hAnsi="Times New Roman"/>
                <w:i/>
                <w:sz w:val="20"/>
              </w:rPr>
              <w:footnoteReference w:id="595"/>
            </w:r>
            <w:r w:rsidRPr="00AD57F7">
              <w:rPr>
                <w:rFonts w:ascii="Times New Roman" w:eastAsia="Arial Unicode MS" w:hAnsi="Times New Roman"/>
                <w:i/>
                <w:sz w:val="20"/>
              </w:rPr>
              <w:t>]</w:t>
            </w:r>
          </w:p>
          <w:p w:rsidR="00992DDA" w:rsidRPr="00AD57F7" w:rsidRDefault="00992DDA" w:rsidP="00992DDA">
            <w:pPr>
              <w:pStyle w:val="ListParagraph"/>
              <w:numPr>
                <w:ilvl w:val="0"/>
                <w:numId w:val="40"/>
              </w:numPr>
              <w:spacing w:after="0" w:line="240" w:lineRule="auto"/>
              <w:jc w:val="both"/>
              <w:rPr>
                <w:rFonts w:ascii="Times New Roman" w:eastAsia="Arial Unicode MS" w:hAnsi="Times New Roman"/>
                <w:lang w:val="en-GB"/>
              </w:rPr>
            </w:pPr>
            <w:r w:rsidRPr="00DB2C5F">
              <w:rPr>
                <w:rFonts w:ascii="Times New Roman" w:eastAsia="Arial Unicode MS" w:hAnsi="Times New Roman"/>
                <w:sz w:val="20"/>
                <w:szCs w:val="22"/>
                <w:lang w:val="en-GB"/>
              </w:rPr>
              <w:t xml:space="preserve">Online revenues obtained by </w:t>
            </w:r>
            <w:r w:rsidRPr="00AB1D72">
              <w:rPr>
                <w:rFonts w:ascii="Times New Roman" w:eastAsia="Arial Unicode MS" w:hAnsi="Times New Roman"/>
                <w:sz w:val="20"/>
                <w:szCs w:val="22"/>
                <w:lang w:val="en-GB"/>
              </w:rPr>
              <w:t xml:space="preserve">press </w:t>
            </w:r>
            <w:r w:rsidRPr="00DB2C5F">
              <w:rPr>
                <w:rFonts w:ascii="Times New Roman" w:eastAsia="Arial Unicode MS" w:hAnsi="Times New Roman"/>
                <w:sz w:val="20"/>
                <w:szCs w:val="22"/>
                <w:lang w:val="en-GB"/>
              </w:rPr>
              <w:t>publishers (licences, subscriptions or advertising revenues)</w:t>
            </w:r>
          </w:p>
          <w:p w:rsidR="00D74271" w:rsidRPr="00AD57F7" w:rsidRDefault="00D74271" w:rsidP="00992DDA">
            <w:pPr>
              <w:spacing w:after="0" w:line="240" w:lineRule="auto"/>
              <w:ind w:left="317"/>
              <w:jc w:val="both"/>
              <w:rPr>
                <w:rFonts w:ascii="Times New Roman" w:eastAsia="Arial Unicode MS" w:hAnsi="Times New Roman"/>
                <w:i/>
              </w:rPr>
            </w:pPr>
            <w:r w:rsidRPr="00AD57F7">
              <w:rPr>
                <w:rFonts w:ascii="Times New Roman" w:eastAsia="Arial Unicode MS" w:hAnsi="Times New Roman"/>
                <w:i/>
                <w:sz w:val="20"/>
              </w:rPr>
              <w:t>[</w:t>
            </w:r>
            <w:r w:rsidRPr="00AD57F7">
              <w:rPr>
                <w:rFonts w:ascii="Times New Roman" w:eastAsia="Arial Unicode MS" w:hAnsi="Times New Roman"/>
                <w:i/>
                <w:sz w:val="20"/>
                <w:u w:val="single"/>
              </w:rPr>
              <w:t>Benchmark 2015 data</w:t>
            </w:r>
            <w:r w:rsidRPr="00AD57F7">
              <w:rPr>
                <w:rFonts w:ascii="Times New Roman" w:eastAsia="Arial Unicode MS" w:hAnsi="Times New Roman"/>
                <w:i/>
                <w:sz w:val="20"/>
              </w:rPr>
              <w:t>: digital revenue of European newspaper and magazine: €7.12 billion</w:t>
            </w:r>
            <w:r w:rsidR="00CC5E2E">
              <w:rPr>
                <w:rFonts w:ascii="Times New Roman" w:eastAsia="Arial Unicode MS" w:hAnsi="Times New Roman"/>
                <w:i/>
                <w:sz w:val="20"/>
              </w:rPr>
              <w:t>.</w:t>
            </w:r>
            <w:r w:rsidR="00CC5E2E" w:rsidRPr="00AD57F7">
              <w:rPr>
                <w:rStyle w:val="FootnoteReference"/>
                <w:rFonts w:ascii="Times New Roman" w:eastAsia="Arial Unicode MS" w:hAnsi="Times New Roman"/>
                <w:i/>
                <w:sz w:val="20"/>
              </w:rPr>
              <w:footnoteReference w:id="596"/>
            </w:r>
            <w:r w:rsidRPr="00AD57F7">
              <w:rPr>
                <w:rFonts w:ascii="Times New Roman" w:eastAsia="Arial Unicode MS" w:hAnsi="Times New Roman"/>
                <w:i/>
                <w:sz w:val="20"/>
              </w:rPr>
              <w:t>]</w:t>
            </w:r>
          </w:p>
          <w:p w:rsidR="0052199D" w:rsidRPr="00AD57F7" w:rsidRDefault="0052199D" w:rsidP="00AD57F7">
            <w:pPr>
              <w:pStyle w:val="ListParagraph"/>
              <w:numPr>
                <w:ilvl w:val="0"/>
                <w:numId w:val="40"/>
              </w:numPr>
              <w:spacing w:after="0" w:line="240" w:lineRule="auto"/>
              <w:jc w:val="both"/>
              <w:rPr>
                <w:rFonts w:ascii="Times New Roman" w:eastAsia="Arial Unicode MS" w:hAnsi="Times New Roman"/>
                <w:lang w:val="en-GB"/>
              </w:rPr>
            </w:pPr>
            <w:r w:rsidRPr="00DB2C5F">
              <w:rPr>
                <w:rFonts w:ascii="Times New Roman" w:eastAsia="Arial Unicode MS" w:hAnsi="Times New Roman"/>
                <w:sz w:val="20"/>
                <w:szCs w:val="22"/>
                <w:lang w:val="en-GB"/>
              </w:rPr>
              <w:t>Revenues obtained by publishers on the basis of compensation stemming from exceptions to copyright</w:t>
            </w:r>
          </w:p>
          <w:p w:rsidR="00D74271" w:rsidRPr="00DB2C5F" w:rsidRDefault="00D74271" w:rsidP="00D1507D">
            <w:pPr>
              <w:pStyle w:val="ListParagraph"/>
              <w:spacing w:after="0" w:line="240" w:lineRule="auto"/>
              <w:ind w:left="360"/>
              <w:jc w:val="both"/>
              <w:rPr>
                <w:rFonts w:ascii="Times New Roman" w:eastAsia="Arial Unicode MS" w:hAnsi="Times New Roman"/>
                <w:lang w:val="en-GB"/>
              </w:rPr>
            </w:pPr>
            <w:r w:rsidRPr="00B14708">
              <w:rPr>
                <w:rFonts w:ascii="Times New Roman" w:eastAsia="Arial Unicode MS" w:hAnsi="Times New Roman"/>
                <w:i/>
                <w:sz w:val="20"/>
                <w:lang w:val="en-GB"/>
              </w:rPr>
              <w:t>[</w:t>
            </w:r>
            <w:r w:rsidRPr="00B14708">
              <w:rPr>
                <w:rFonts w:ascii="Times New Roman" w:eastAsia="Arial Unicode MS" w:hAnsi="Times New Roman" w:cstheme="minorBidi"/>
                <w:i/>
                <w:sz w:val="20"/>
                <w:szCs w:val="22"/>
                <w:u w:val="single"/>
                <w:lang w:val="en-GB" w:eastAsia="en-US"/>
              </w:rPr>
              <w:t>Benchmark 201</w:t>
            </w:r>
            <w:r w:rsidRPr="00AD57F7">
              <w:rPr>
                <w:rFonts w:ascii="Times New Roman" w:eastAsia="Arial Unicode MS" w:hAnsi="Times New Roman"/>
                <w:i/>
                <w:sz w:val="20"/>
                <w:u w:val="single"/>
                <w:lang w:val="en-GB"/>
              </w:rPr>
              <w:t>4/20</w:t>
            </w:r>
            <w:r>
              <w:rPr>
                <w:rFonts w:ascii="Times New Roman" w:eastAsia="Arial Unicode MS" w:hAnsi="Times New Roman"/>
                <w:i/>
                <w:sz w:val="20"/>
                <w:u w:val="single"/>
                <w:lang w:val="en-GB"/>
              </w:rPr>
              <w:t>5</w:t>
            </w:r>
            <w:r w:rsidRPr="00B14708">
              <w:rPr>
                <w:rFonts w:ascii="Times New Roman" w:eastAsia="Arial Unicode MS" w:hAnsi="Times New Roman" w:cstheme="minorBidi"/>
                <w:i/>
                <w:sz w:val="20"/>
                <w:szCs w:val="22"/>
                <w:u w:val="single"/>
                <w:lang w:val="en-GB" w:eastAsia="en-US"/>
              </w:rPr>
              <w:t xml:space="preserve"> data</w:t>
            </w:r>
            <w:r w:rsidRPr="00B14708">
              <w:rPr>
                <w:rFonts w:ascii="Times New Roman" w:eastAsia="Arial Unicode MS" w:hAnsi="Times New Roman" w:cstheme="minorBidi"/>
                <w:i/>
                <w:sz w:val="20"/>
                <w:szCs w:val="22"/>
                <w:lang w:val="en-GB" w:eastAsia="en-US"/>
              </w:rPr>
              <w:t xml:space="preserve"> </w:t>
            </w:r>
            <w:r w:rsidRPr="00D74271">
              <w:rPr>
                <w:rFonts w:ascii="Times New Roman" w:eastAsia="Arial Unicode MS" w:hAnsi="Times New Roman" w:cstheme="minorBidi"/>
                <w:i/>
                <w:sz w:val="20"/>
                <w:szCs w:val="22"/>
                <w:lang w:val="en-GB" w:eastAsia="en-US"/>
              </w:rPr>
              <w:t>In the 12 MS which operate a levy-scheme and foresee an author-publisher split and for which there was data available, an aggregated total amount of €40 million was distributed to publishers</w:t>
            </w:r>
            <w:r w:rsidR="00CC5E2E">
              <w:rPr>
                <w:rFonts w:ascii="Times New Roman" w:eastAsia="Arial Unicode MS" w:hAnsi="Times New Roman" w:cstheme="minorBidi"/>
                <w:i/>
                <w:sz w:val="20"/>
                <w:szCs w:val="22"/>
                <w:lang w:val="en-GB" w:eastAsia="en-US"/>
              </w:rPr>
              <w:t>.</w:t>
            </w:r>
            <w:r w:rsidR="00CC5E2E" w:rsidRPr="00AD57F7">
              <w:rPr>
                <w:rStyle w:val="FootnoteReference"/>
                <w:rFonts w:ascii="Times New Roman" w:eastAsia="Arial Unicode MS" w:hAnsi="Times New Roman"/>
                <w:i/>
                <w:sz w:val="20"/>
              </w:rPr>
              <w:footnoteReference w:id="597"/>
            </w:r>
            <w:r>
              <w:rPr>
                <w:rFonts w:ascii="Times New Roman" w:eastAsia="Arial Unicode MS" w:hAnsi="Times New Roman" w:cstheme="minorBidi"/>
                <w:i/>
                <w:sz w:val="20"/>
                <w:szCs w:val="22"/>
                <w:lang w:val="en-GB" w:eastAsia="en-US"/>
              </w:rPr>
              <w:t>]</w:t>
            </w:r>
          </w:p>
        </w:tc>
        <w:tc>
          <w:tcPr>
            <w:tcW w:w="2376" w:type="dxa"/>
            <w:shd w:val="clear" w:color="auto" w:fill="auto"/>
          </w:tcPr>
          <w:p w:rsidR="0052199D" w:rsidRPr="00DB2C5F" w:rsidRDefault="0052199D" w:rsidP="005151D5">
            <w:pPr>
              <w:spacing w:line="240" w:lineRule="auto"/>
              <w:rPr>
                <w:rFonts w:ascii="Times New Roman" w:eastAsia="Arial Unicode MS" w:hAnsi="Times New Roman"/>
              </w:rPr>
            </w:pPr>
            <w:r w:rsidRPr="00DB2C5F">
              <w:rPr>
                <w:rFonts w:ascii="Times New Roman" w:eastAsia="Arial Unicode MS" w:hAnsi="Times New Roman"/>
                <w:sz w:val="20"/>
              </w:rPr>
              <w:t>This information would be gathered from periodically-published reports on the publishing industry (Reuters News Report, PwC Global entertainment and media outlook, etc.) or directly through questionnaires/surveys to publishers. Figures to measure indicator 3 will be obtained from collective management organisations.</w:t>
            </w:r>
          </w:p>
        </w:tc>
      </w:tr>
      <w:tr w:rsidR="0052199D" w:rsidRPr="00C50596" w:rsidTr="005151D5">
        <w:tc>
          <w:tcPr>
            <w:tcW w:w="9288" w:type="dxa"/>
            <w:gridSpan w:val="3"/>
            <w:shd w:val="clear" w:color="auto" w:fill="auto"/>
          </w:tcPr>
          <w:p w:rsidR="0052199D" w:rsidRPr="00DB2C5F" w:rsidRDefault="0052199D" w:rsidP="005151D5">
            <w:pPr>
              <w:spacing w:after="0" w:line="240" w:lineRule="auto"/>
              <w:rPr>
                <w:rFonts w:ascii="Times New Roman" w:eastAsia="Arial Unicode MS" w:hAnsi="Times New Roman"/>
              </w:rPr>
            </w:pPr>
            <w:r w:rsidRPr="00DB2C5F">
              <w:rPr>
                <w:rFonts w:ascii="Times New Roman" w:hAnsi="Times New Roman"/>
                <w:b/>
                <w:iCs/>
              </w:rPr>
              <w:t>Increase legal certainty, transparency and balance in the system that governs the remuneration of creators</w:t>
            </w:r>
          </w:p>
        </w:tc>
      </w:tr>
      <w:tr w:rsidR="0052199D" w:rsidRPr="00C50596" w:rsidTr="005151D5">
        <w:tc>
          <w:tcPr>
            <w:tcW w:w="2660" w:type="dxa"/>
            <w:shd w:val="clear" w:color="auto" w:fill="auto"/>
          </w:tcPr>
          <w:p w:rsidR="0052199D" w:rsidRPr="00DB2C5F" w:rsidRDefault="0052199D" w:rsidP="005151D5">
            <w:pPr>
              <w:spacing w:after="0" w:line="240" w:lineRule="auto"/>
              <w:rPr>
                <w:rFonts w:ascii="Times New Roman" w:eastAsia="Arial Unicode MS" w:hAnsi="Times New Roman"/>
                <w:sz w:val="20"/>
              </w:rPr>
            </w:pPr>
            <w:r w:rsidRPr="00DB2C5F">
              <w:rPr>
                <w:rFonts w:ascii="Times New Roman" w:eastAsia="Arial Unicode MS" w:hAnsi="Times New Roman"/>
                <w:i/>
                <w:sz w:val="20"/>
              </w:rPr>
              <w:t>Operational objectives</w:t>
            </w:r>
            <w:r w:rsidRPr="00DB2C5F">
              <w:rPr>
                <w:rFonts w:ascii="Times New Roman" w:eastAsia="Arial Unicode MS" w:hAnsi="Times New Roman"/>
                <w:sz w:val="20"/>
              </w:rPr>
              <w:t>: Facilitate contract enforcement in relation to transparency and remuneration</w:t>
            </w:r>
          </w:p>
          <w:p w:rsidR="0052199D" w:rsidRPr="00DB2C5F" w:rsidRDefault="0052199D" w:rsidP="005151D5">
            <w:pPr>
              <w:spacing w:after="0" w:line="240" w:lineRule="auto"/>
              <w:rPr>
                <w:rFonts w:ascii="Times New Roman" w:eastAsia="Arial Unicode MS" w:hAnsi="Times New Roman"/>
                <w:sz w:val="20"/>
              </w:rPr>
            </w:pPr>
            <w:r w:rsidRPr="00DB2C5F">
              <w:rPr>
                <w:rFonts w:ascii="Times New Roman" w:eastAsia="Arial Unicode MS" w:hAnsi="Times New Roman"/>
                <w:sz w:val="20"/>
              </w:rPr>
              <w:t xml:space="preserve">Increase the number of reporting (where missing), </w:t>
            </w:r>
          </w:p>
          <w:p w:rsidR="0052199D" w:rsidRPr="00DB2C5F" w:rsidRDefault="0052199D" w:rsidP="00C50596">
            <w:pPr>
              <w:spacing w:line="240" w:lineRule="auto"/>
              <w:rPr>
                <w:rFonts w:ascii="Times New Roman" w:eastAsia="Arial Unicode MS" w:hAnsi="Times New Roman"/>
              </w:rPr>
            </w:pPr>
            <w:r w:rsidRPr="00DB2C5F">
              <w:rPr>
                <w:rFonts w:ascii="Times New Roman" w:eastAsia="Arial Unicode MS" w:hAnsi="Times New Roman"/>
                <w:sz w:val="20"/>
              </w:rPr>
              <w:t>Increase the quality (where the quality is not sufficient).</w:t>
            </w:r>
          </w:p>
        </w:tc>
        <w:tc>
          <w:tcPr>
            <w:tcW w:w="4252" w:type="dxa"/>
            <w:shd w:val="clear" w:color="auto" w:fill="auto"/>
          </w:tcPr>
          <w:p w:rsidR="0052199D" w:rsidRPr="00DB2C5F" w:rsidRDefault="0052199D" w:rsidP="007D6CF3">
            <w:pPr>
              <w:pStyle w:val="ListParagraph"/>
              <w:numPr>
                <w:ilvl w:val="0"/>
                <w:numId w:val="39"/>
              </w:numPr>
              <w:spacing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Number of creators receiving reporting statements</w:t>
            </w:r>
          </w:p>
          <w:p w:rsidR="0052199D" w:rsidRPr="00DB2C5F" w:rsidRDefault="0052199D" w:rsidP="007D6CF3">
            <w:pPr>
              <w:pStyle w:val="ListParagraph"/>
              <w:numPr>
                <w:ilvl w:val="0"/>
                <w:numId w:val="39"/>
              </w:numPr>
              <w:spacing w:before="120"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Of which: number of those who receive satisfactory reporting (to have an indication on quality of reporting)</w:t>
            </w:r>
          </w:p>
          <w:p w:rsidR="0052199D" w:rsidRPr="00DB2C5F" w:rsidRDefault="0052199D" w:rsidP="007D6CF3">
            <w:pPr>
              <w:pStyle w:val="ListParagraph"/>
              <w:numPr>
                <w:ilvl w:val="0"/>
                <w:numId w:val="39"/>
              </w:numPr>
              <w:spacing w:before="120"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 xml:space="preserve">Number of companies producing reporting statements </w:t>
            </w:r>
          </w:p>
          <w:p w:rsidR="0052199D" w:rsidRPr="00DB2C5F" w:rsidRDefault="0052199D" w:rsidP="007D6CF3">
            <w:pPr>
              <w:pStyle w:val="ListParagraph"/>
              <w:numPr>
                <w:ilvl w:val="0"/>
                <w:numId w:val="39"/>
              </w:numPr>
              <w:spacing w:before="120"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 xml:space="preserve">Number of cases brought before the alternative dispute resolution bodies </w:t>
            </w:r>
          </w:p>
          <w:p w:rsidR="0052199D" w:rsidRPr="00DB2C5F" w:rsidRDefault="0052199D" w:rsidP="007D6CF3">
            <w:pPr>
              <w:pStyle w:val="ListParagraph"/>
              <w:numPr>
                <w:ilvl w:val="0"/>
                <w:numId w:val="39"/>
              </w:numPr>
              <w:spacing w:before="120"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 xml:space="preserve">Number of cases of </w:t>
            </w:r>
            <w:r w:rsidR="00C50596" w:rsidRPr="00DB2C5F">
              <w:rPr>
                <w:rFonts w:ascii="Times New Roman" w:eastAsia="Arial Unicode MS" w:hAnsi="Times New Roman"/>
                <w:sz w:val="20"/>
                <w:szCs w:val="22"/>
                <w:lang w:val="en-GB"/>
              </w:rPr>
              <w:t xml:space="preserve">use of </w:t>
            </w:r>
            <w:r w:rsidRPr="00DB2C5F">
              <w:rPr>
                <w:rFonts w:ascii="Times New Roman" w:eastAsia="Arial Unicode MS" w:hAnsi="Times New Roman"/>
                <w:sz w:val="20"/>
                <w:szCs w:val="22"/>
                <w:lang w:val="en-GB"/>
              </w:rPr>
              <w:t xml:space="preserve">contract adjustment mechanism </w:t>
            </w:r>
          </w:p>
          <w:p w:rsidR="0052199D" w:rsidRPr="00DB2C5F" w:rsidRDefault="0052199D" w:rsidP="007D6CF3">
            <w:pPr>
              <w:pStyle w:val="ListParagraph"/>
              <w:numPr>
                <w:ilvl w:val="0"/>
                <w:numId w:val="39"/>
              </w:numPr>
              <w:spacing w:before="120" w:after="0" w:line="240" w:lineRule="auto"/>
              <w:rPr>
                <w:rFonts w:ascii="Times New Roman" w:eastAsia="Arial Unicode MS" w:hAnsi="Times New Roman"/>
                <w:lang w:val="en-GB"/>
              </w:rPr>
            </w:pPr>
            <w:r w:rsidRPr="00DB2C5F">
              <w:rPr>
                <w:rFonts w:ascii="Times New Roman" w:eastAsia="Arial Unicode MS" w:hAnsi="Times New Roman"/>
                <w:sz w:val="20"/>
                <w:szCs w:val="22"/>
                <w:lang w:val="en-GB"/>
              </w:rPr>
              <w:t xml:space="preserve">Satisfaction of creators: perception of impact of reporting obligation on remuneration </w:t>
            </w:r>
          </w:p>
        </w:tc>
        <w:tc>
          <w:tcPr>
            <w:tcW w:w="2376" w:type="dxa"/>
            <w:shd w:val="clear" w:color="auto" w:fill="auto"/>
          </w:tcPr>
          <w:p w:rsidR="0052199D" w:rsidRPr="00DB2C5F" w:rsidRDefault="0052199D" w:rsidP="005151D5">
            <w:pPr>
              <w:spacing w:line="240" w:lineRule="auto"/>
              <w:rPr>
                <w:rFonts w:ascii="Times New Roman" w:eastAsia="Arial Unicode MS" w:hAnsi="Times New Roman"/>
                <w:sz w:val="20"/>
              </w:rPr>
            </w:pPr>
            <w:r w:rsidRPr="00DB2C5F">
              <w:rPr>
                <w:rFonts w:ascii="Times New Roman" w:eastAsia="Arial Unicode MS" w:hAnsi="Times New Roman"/>
                <w:sz w:val="20"/>
              </w:rPr>
              <w:t xml:space="preserve">This information would be gathered on the basis of surveys among creators (authors </w:t>
            </w:r>
            <w:r w:rsidR="00C50596" w:rsidRPr="00DB2C5F">
              <w:rPr>
                <w:rFonts w:ascii="Times New Roman" w:eastAsia="Arial Unicode MS" w:hAnsi="Times New Roman"/>
                <w:sz w:val="20"/>
              </w:rPr>
              <w:t xml:space="preserve">and performers </w:t>
            </w:r>
            <w:r w:rsidRPr="00DB2C5F">
              <w:rPr>
                <w:rFonts w:ascii="Times New Roman" w:eastAsia="Arial Unicode MS" w:hAnsi="Times New Roman"/>
                <w:sz w:val="20"/>
              </w:rPr>
              <w:t xml:space="preserve">associations) and surveys of the contractual counterparties (depending on the sector – publishers, producers, broadcasters). </w:t>
            </w:r>
          </w:p>
        </w:tc>
      </w:tr>
    </w:tbl>
    <w:p w:rsidR="003B7A36" w:rsidRPr="00DE22C2" w:rsidRDefault="003B7A36" w:rsidP="00DE22C2">
      <w:pPr>
        <w:rPr>
          <w:lang w:eastAsia="en-GB"/>
        </w:rPr>
      </w:pPr>
    </w:p>
    <w:sectPr w:rsidR="003B7A36" w:rsidRPr="00DE22C2" w:rsidSect="000747C0">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C5" w:rsidRDefault="00F671C5" w:rsidP="0032552E">
      <w:pPr>
        <w:spacing w:after="0" w:line="240" w:lineRule="auto"/>
      </w:pPr>
      <w:r>
        <w:separator/>
      </w:r>
    </w:p>
  </w:endnote>
  <w:endnote w:type="continuationSeparator" w:id="0">
    <w:p w:rsidR="00F671C5" w:rsidRDefault="00F671C5" w:rsidP="0032552E">
      <w:pPr>
        <w:spacing w:after="0" w:line="240" w:lineRule="auto"/>
      </w:pPr>
      <w:r>
        <w:continuationSeparator/>
      </w:r>
    </w:p>
  </w:endnote>
  <w:endnote w:type="continuationNotice" w:id="1">
    <w:p w:rsidR="00F671C5" w:rsidRDefault="00F6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 Charter Com">
    <w:altName w:val="ITC Charter Com"/>
    <w:panose1 w:val="00000000000000000000"/>
    <w:charset w:val="00"/>
    <w:family w:val="roman"/>
    <w:notTrueType/>
    <w:pitch w:val="default"/>
    <w:sig w:usb0="00000003" w:usb1="00000000" w:usb2="00000000" w:usb3="00000000" w:csb0="00000001" w:csb1="00000000"/>
  </w:font>
  <w:font w:name="EC Square Sans Pro">
    <w:altName w:val="Segoe UI"/>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open_sansregular">
    <w:altName w:val="Times New Roman"/>
    <w:charset w:val="00"/>
    <w:family w:val="auto"/>
    <w:pitch w:val="default"/>
  </w:font>
  <w:font w:name="PT Sans">
    <w:altName w:val="Times New Roman"/>
    <w:charset w:val="00"/>
    <w:family w:val="auto"/>
    <w:pitch w:val="default"/>
  </w:font>
  <w:font w:name="Droid Sans Fallback">
    <w:altName w:val="Times New Roman"/>
    <w:charset w:val="00"/>
    <w:family w:val="auto"/>
    <w:pitch w:val="variable"/>
  </w:font>
  <w:font w:name="FreeSans">
    <w:panose1 w:val="020B0504020202020204"/>
    <w:charset w:val="00"/>
    <w:family w:val="swiss"/>
    <w:pitch w:val="variable"/>
    <w:sig w:usb0="C05F8EFF" w:usb1="500760FB" w:usb2="000002A0" w:usb3="00000000" w:csb0="800200BF" w:csb1="00000000"/>
  </w:font>
  <w:font w:name="Open Sans">
    <w:altName w:val="Times New Roman"/>
    <w:charset w:val="00"/>
    <w:family w:val="auto"/>
    <w:pitch w:val="default"/>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FooterCoverPage"/>
      <w:rPr>
        <w:rFonts w:ascii="Arial" w:hAnsi="Arial" w:cs="Arial"/>
        <w:b/>
        <w:sz w:val="48"/>
      </w:rPr>
    </w:pPr>
    <w:r w:rsidRPr="001A7C0A">
      <w:rPr>
        <w:rFonts w:ascii="Arial" w:hAnsi="Arial" w:cs="Arial"/>
        <w:b/>
        <w:sz w:val="48"/>
      </w:rPr>
      <w:t>EN</w:t>
    </w:r>
    <w:r w:rsidRPr="001A7C0A">
      <w:rPr>
        <w:rFonts w:ascii="Arial" w:hAnsi="Arial" w:cs="Arial"/>
        <w:b/>
        <w:sz w:val="48"/>
      </w:rPr>
      <w:tab/>
    </w:r>
    <w:r w:rsidRPr="001A7C0A">
      <w:rPr>
        <w:rFonts w:ascii="Arial" w:hAnsi="Arial" w:cs="Arial"/>
        <w:b/>
        <w:sz w:val="48"/>
      </w:rPr>
      <w:tab/>
    </w:r>
    <w:fldSimple w:instr=" DOCVARIABLE &quot;LW_Confidence&quot; \* MERGEFORMAT ">
      <w:r>
        <w:t xml:space="preserve"> </w:t>
      </w:r>
    </w:fldSimple>
    <w:r w:rsidRPr="001A7C0A">
      <w:tab/>
    </w:r>
    <w:r w:rsidRPr="001A7C0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4" w:rsidRDefault="004B69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73867"/>
      <w:docPartObj>
        <w:docPartGallery w:val="Page Numbers (Bottom of Page)"/>
        <w:docPartUnique/>
      </w:docPartObj>
    </w:sdtPr>
    <w:sdtEndPr>
      <w:rPr>
        <w:rFonts w:ascii="Times New Roman" w:hAnsi="Times New Roman" w:cs="Times New Roman"/>
        <w:noProof/>
      </w:rPr>
    </w:sdtEndPr>
    <w:sdtContent>
      <w:p w:rsidR="004B69C4" w:rsidRPr="00990FFE" w:rsidRDefault="004B69C4" w:rsidP="000956D1">
        <w:pPr>
          <w:pStyle w:val="Footer"/>
          <w:jc w:val="center"/>
          <w:rPr>
            <w:rFonts w:ascii="Times New Roman" w:hAnsi="Times New Roman" w:cs="Times New Roman"/>
          </w:rPr>
        </w:pPr>
        <w:r w:rsidRPr="00990FFE">
          <w:rPr>
            <w:rFonts w:ascii="Times New Roman" w:hAnsi="Times New Roman" w:cs="Times New Roman"/>
          </w:rPr>
          <w:fldChar w:fldCharType="begin"/>
        </w:r>
        <w:r w:rsidRPr="00990FFE">
          <w:rPr>
            <w:rFonts w:ascii="Times New Roman" w:hAnsi="Times New Roman" w:cs="Times New Roman"/>
          </w:rPr>
          <w:instrText xml:space="preserve"> PAGE   \* MERGEFORMAT </w:instrText>
        </w:r>
        <w:r w:rsidRPr="00990FFE">
          <w:rPr>
            <w:rFonts w:ascii="Times New Roman" w:hAnsi="Times New Roman" w:cs="Times New Roman"/>
          </w:rPr>
          <w:fldChar w:fldCharType="separate"/>
        </w:r>
        <w:r w:rsidR="001A7C0A">
          <w:rPr>
            <w:rFonts w:ascii="Times New Roman" w:hAnsi="Times New Roman" w:cs="Times New Roman"/>
            <w:noProof/>
          </w:rPr>
          <w:t>6</w:t>
        </w:r>
        <w:r w:rsidRPr="00990FFE">
          <w:rPr>
            <w:rFonts w:ascii="Times New Roman" w:hAnsi="Times New Roman" w:cs="Times New Roman"/>
            <w:noProof/>
          </w:rPr>
          <w:fldChar w:fldCharType="end"/>
        </w:r>
      </w:p>
    </w:sdtContent>
  </w:sdt>
  <w:p w:rsidR="004B69C4" w:rsidRDefault="004B69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4" w:rsidRDefault="004B6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C5" w:rsidRDefault="00F671C5" w:rsidP="0032552E">
      <w:pPr>
        <w:spacing w:after="0" w:line="240" w:lineRule="auto"/>
      </w:pPr>
      <w:r>
        <w:separator/>
      </w:r>
    </w:p>
  </w:footnote>
  <w:footnote w:type="continuationSeparator" w:id="0">
    <w:p w:rsidR="00F671C5" w:rsidRDefault="00F671C5" w:rsidP="0032552E">
      <w:pPr>
        <w:spacing w:after="0" w:line="240" w:lineRule="auto"/>
      </w:pPr>
      <w:r>
        <w:continuationSeparator/>
      </w:r>
    </w:p>
  </w:footnote>
  <w:footnote w:type="continuationNotice" w:id="1">
    <w:p w:rsidR="00F671C5" w:rsidRDefault="00F671C5">
      <w:pPr>
        <w:spacing w:after="0" w:line="240" w:lineRule="auto"/>
      </w:pPr>
    </w:p>
  </w:footnote>
  <w:footnote w:id="2">
    <w:p w:rsidR="004B69C4" w:rsidRPr="004F3E45" w:rsidRDefault="004B69C4">
      <w:pPr>
        <w:pStyle w:val="FootnoteText"/>
        <w:rPr>
          <w:lang w:val="en"/>
        </w:rPr>
      </w:pPr>
      <w:r>
        <w:rPr>
          <w:rStyle w:val="FootnoteReference"/>
        </w:rPr>
        <w:footnoteRef/>
      </w:r>
      <w:r>
        <w:t xml:space="preserve"> </w:t>
      </w:r>
      <w:r>
        <w:tab/>
        <w:t xml:space="preserve">Related </w:t>
      </w:r>
      <w:r w:rsidRPr="004F3E45">
        <w:t>rights (also referred to as neighbouring rights) are rights similar to copyright but do not reward an author's original creation (a work). They reward either the performance of a work (e.g. by a musician, a singer, an actor) or an organisational or financial effort (e.g. by phonogram or film producers and broadcasters), which may also include a participation in the creative process.</w:t>
      </w:r>
    </w:p>
  </w:footnote>
  <w:footnote w:id="3">
    <w:p w:rsidR="004B69C4" w:rsidRPr="00B36EAA" w:rsidRDefault="004B69C4" w:rsidP="00687496">
      <w:pPr>
        <w:pStyle w:val="FootnoteText"/>
      </w:pPr>
      <w:r>
        <w:rPr>
          <w:rStyle w:val="FootnoteReference"/>
        </w:rPr>
        <w:footnoteRef/>
      </w:r>
      <w:r>
        <w:t xml:space="preserve"> </w:t>
      </w:r>
      <w:r>
        <w:tab/>
      </w:r>
      <w:r w:rsidRPr="00A26DEE">
        <w:t xml:space="preserve">Directive 2001/29/EC of the European Parliament and of the Council of 22 May 2001 on the harmonisation of certain aspects of copyright and related rights in the information society </w:t>
      </w:r>
      <w:r>
        <w:t>(</w:t>
      </w:r>
      <w:r w:rsidRPr="004C6ACF">
        <w:t>OJ L 167, 22.6.2001, p. 10–19</w:t>
      </w:r>
      <w:r>
        <w:t>)</w:t>
      </w:r>
    </w:p>
  </w:footnote>
  <w:footnote w:id="4">
    <w:p w:rsidR="004B69C4" w:rsidRDefault="004B69C4" w:rsidP="008B5793">
      <w:pPr>
        <w:pStyle w:val="FootnoteText"/>
      </w:pPr>
      <w:r>
        <w:rPr>
          <w:rStyle w:val="FootnoteReference"/>
        </w:rPr>
        <w:footnoteRef/>
      </w:r>
      <w:r>
        <w:t xml:space="preserve"> </w:t>
      </w:r>
      <w:r>
        <w:tab/>
        <w:t xml:space="preserve">World Intellectual Property Organization, </w:t>
      </w:r>
      <w:hyperlink r:id="rId1" w:history="1">
        <w:r w:rsidRPr="00FA50D4">
          <w:rPr>
            <w:rStyle w:val="Hyperlink"/>
          </w:rPr>
          <w:t>http://www.wipo.int</w:t>
        </w:r>
      </w:hyperlink>
      <w:r>
        <w:t xml:space="preserve"> </w:t>
      </w:r>
    </w:p>
  </w:footnote>
  <w:footnote w:id="5">
    <w:p w:rsidR="004B69C4" w:rsidRPr="008D5BEF" w:rsidRDefault="004B69C4" w:rsidP="008B5793">
      <w:pPr>
        <w:pStyle w:val="FootnoteText"/>
      </w:pPr>
      <w:r w:rsidRPr="00C251EE">
        <w:rPr>
          <w:rStyle w:val="FootnoteReference"/>
          <w:sz w:val="18"/>
          <w:szCs w:val="18"/>
        </w:rPr>
        <w:footnoteRef/>
      </w:r>
      <w:r w:rsidRPr="00C251EE">
        <w:rPr>
          <w:sz w:val="18"/>
          <w:szCs w:val="18"/>
        </w:rPr>
        <w:tab/>
      </w:r>
      <w:hyperlink r:id="rId2" w:history="1">
        <w:r w:rsidRPr="008D5BEF">
          <w:rPr>
            <w:rStyle w:val="Hyperlink"/>
          </w:rPr>
          <w:t>http://www.wipo.int/treaties/en/ip/wct/</w:t>
        </w:r>
      </w:hyperlink>
      <w:r w:rsidRPr="008D5BEF">
        <w:t xml:space="preserve"> </w:t>
      </w:r>
    </w:p>
  </w:footnote>
  <w:footnote w:id="6">
    <w:p w:rsidR="004B69C4" w:rsidRPr="008D5BEF" w:rsidRDefault="004B69C4" w:rsidP="0008294D">
      <w:pPr>
        <w:pStyle w:val="FootnoteText"/>
      </w:pPr>
      <w:r w:rsidRPr="008D5BEF">
        <w:rPr>
          <w:rStyle w:val="FootnoteReference"/>
        </w:rPr>
        <w:footnoteRef/>
      </w:r>
      <w:r w:rsidRPr="008D5BEF">
        <w:tab/>
      </w:r>
      <w:hyperlink r:id="rId3" w:history="1">
        <w:r w:rsidRPr="008D5BEF">
          <w:rPr>
            <w:rStyle w:val="Hyperlink"/>
          </w:rPr>
          <w:t>http://www.wipo.int/treaties/en/ip/wppt/</w:t>
        </w:r>
      </w:hyperlink>
      <w:r w:rsidRPr="008D5BEF">
        <w:t xml:space="preserve"> </w:t>
      </w:r>
    </w:p>
  </w:footnote>
  <w:footnote w:id="7">
    <w:p w:rsidR="004B69C4" w:rsidRPr="00B36EAA" w:rsidRDefault="004B69C4" w:rsidP="00F3076F">
      <w:pPr>
        <w:pStyle w:val="FootnoteText"/>
      </w:pPr>
      <w:r>
        <w:rPr>
          <w:rStyle w:val="FootnoteReference"/>
        </w:rPr>
        <w:footnoteRef/>
      </w:r>
      <w:r>
        <w:t xml:space="preserve"> </w:t>
      </w:r>
      <w:r>
        <w:tab/>
      </w:r>
      <w:r w:rsidRPr="00B36EAA">
        <w:rPr>
          <w:rStyle w:val="Strong"/>
          <w:b w:val="0"/>
        </w:rPr>
        <w:t>Council Directive 93/83/EEC of 27 September 1993 on the coordination of certain rules concerning copyright and rights related to copyright applicable to satellite broadcasting and cable retransmission</w:t>
      </w:r>
      <w:r>
        <w:rPr>
          <w:rStyle w:val="Strong"/>
          <w:b w:val="0"/>
        </w:rPr>
        <w:t xml:space="preserve"> (</w:t>
      </w:r>
      <w:r w:rsidRPr="00FD105D">
        <w:rPr>
          <w:rStyle w:val="Strong"/>
          <w:b w:val="0"/>
        </w:rPr>
        <w:t>OJ L 248, 6.10.93</w:t>
      </w:r>
      <w:r>
        <w:rPr>
          <w:rStyle w:val="Strong"/>
          <w:b w:val="0"/>
        </w:rPr>
        <w:t>, p.15-21)</w:t>
      </w:r>
    </w:p>
  </w:footnote>
  <w:footnote w:id="8">
    <w:p w:rsidR="004B69C4" w:rsidRPr="002C563D" w:rsidRDefault="004B69C4" w:rsidP="008B5793">
      <w:pPr>
        <w:pStyle w:val="FootnoteText"/>
      </w:pPr>
      <w:r>
        <w:rPr>
          <w:rStyle w:val="FootnoteReference"/>
        </w:rPr>
        <w:footnoteRef/>
      </w:r>
      <w:r>
        <w:t xml:space="preserve"> </w:t>
      </w:r>
      <w:r w:rsidRPr="002C563D">
        <w:tab/>
        <w:t>See section 3.2.3</w:t>
      </w:r>
      <w:r>
        <w:t>.</w:t>
      </w:r>
    </w:p>
  </w:footnote>
  <w:footnote w:id="9">
    <w:p w:rsidR="004B69C4" w:rsidRPr="0055191B" w:rsidRDefault="004B69C4" w:rsidP="00687496">
      <w:pPr>
        <w:pStyle w:val="FootnoteText"/>
      </w:pPr>
      <w:r>
        <w:rPr>
          <w:rStyle w:val="FootnoteReference"/>
        </w:rPr>
        <w:footnoteRef/>
      </w:r>
      <w:r>
        <w:t xml:space="preserve"> </w:t>
      </w:r>
      <w:r>
        <w:tab/>
      </w:r>
      <w:r w:rsidRPr="00496A96">
        <w:t>Directive 2014/26/EU of the European Parliament and of the Council of</w:t>
      </w:r>
      <w:r>
        <w:t xml:space="preserve"> 2</w:t>
      </w:r>
      <w:r w:rsidRPr="00496A96">
        <w:t>6 February 2014</w:t>
      </w:r>
      <w:r>
        <w:t xml:space="preserve"> </w:t>
      </w:r>
      <w:r w:rsidRPr="00496A96">
        <w:t xml:space="preserve">on collective management of copyright and related rights and multi-territorial licensing of rights in musical works for online use in the internal market </w:t>
      </w:r>
      <w:r>
        <w:t>(</w:t>
      </w:r>
      <w:r w:rsidRPr="00496A96">
        <w:rPr>
          <w:iCs/>
          <w:lang w:val="en"/>
        </w:rPr>
        <w:t>OJ L 84, 20.3.2014, p. 72–98</w:t>
      </w:r>
      <w:r>
        <w:rPr>
          <w:iCs/>
          <w:lang w:val="en"/>
        </w:rPr>
        <w:t>).</w:t>
      </w:r>
    </w:p>
  </w:footnote>
  <w:footnote w:id="10">
    <w:p w:rsidR="004B69C4" w:rsidRPr="00243B0B" w:rsidRDefault="004B69C4" w:rsidP="008B5793">
      <w:pPr>
        <w:pStyle w:val="FootnoteText"/>
      </w:pPr>
      <w:r>
        <w:rPr>
          <w:rStyle w:val="FootnoteReference"/>
        </w:rPr>
        <w:footnoteRef/>
      </w:r>
      <w:r>
        <w:t xml:space="preserve"> </w:t>
      </w:r>
      <w:r>
        <w:tab/>
        <w:t>See Annex 5 for background information on creative industries in the EU economy.</w:t>
      </w:r>
    </w:p>
  </w:footnote>
  <w:footnote w:id="11">
    <w:p w:rsidR="004B69C4" w:rsidRPr="0055191B" w:rsidRDefault="004B69C4" w:rsidP="0055191B">
      <w:pPr>
        <w:pStyle w:val="FootnoteText"/>
      </w:pPr>
      <w:r>
        <w:rPr>
          <w:rStyle w:val="FootnoteReference"/>
        </w:rPr>
        <w:footnoteRef/>
      </w:r>
      <w:r w:rsidRPr="00FE0141">
        <w:t xml:space="preserve"> </w:t>
      </w:r>
      <w:r w:rsidRPr="00FE0141">
        <w:tab/>
      </w:r>
      <w:r w:rsidRPr="00F97EE2">
        <w:rPr>
          <w:bCs/>
        </w:rPr>
        <w:t>C</w:t>
      </w:r>
      <w:r>
        <w:rPr>
          <w:bCs/>
        </w:rPr>
        <w:t xml:space="preserve">ommunication from the Commission to the European Parliament, the Council, the European Economic and Social Committee and the Committee of the Regions </w:t>
      </w:r>
      <w:r w:rsidRPr="00E50297">
        <w:t xml:space="preserve">"A digital </w:t>
      </w:r>
      <w:r w:rsidRPr="00FE0141">
        <w:t>single</w:t>
      </w:r>
      <w:r w:rsidRPr="00E50297">
        <w:t xml:space="preserve"> market strategy for Europe", </w:t>
      </w:r>
      <w:r>
        <w:t>(</w:t>
      </w:r>
      <w:r w:rsidRPr="0055191B">
        <w:t>COM(2015) 192 fina</w:t>
      </w:r>
      <w:r>
        <w:t xml:space="preserve">l) of </w:t>
      </w:r>
      <w:r w:rsidRPr="00E50297">
        <w:t>6 May 2015</w:t>
      </w:r>
      <w:r>
        <w:t xml:space="preserve">. </w:t>
      </w:r>
      <w:hyperlink r:id="rId4" w:history="1">
        <w:r w:rsidRPr="0055191B">
          <w:rPr>
            <w:rStyle w:val="Hyperlink"/>
          </w:rPr>
          <w:t>http://ec.europa.eu/priorities/digital-single-market/docs/dsm-communication_en.pdf</w:t>
        </w:r>
      </w:hyperlink>
    </w:p>
  </w:footnote>
  <w:footnote w:id="12">
    <w:p w:rsidR="004B69C4" w:rsidRPr="002C563D" w:rsidRDefault="004B69C4" w:rsidP="00C047FA">
      <w:pPr>
        <w:pStyle w:val="FootnoteText"/>
      </w:pPr>
      <w:r>
        <w:rPr>
          <w:rStyle w:val="FootnoteReference"/>
        </w:rPr>
        <w:footnoteRef/>
      </w:r>
      <w:r>
        <w:t xml:space="preserve"> </w:t>
      </w:r>
      <w:r w:rsidRPr="002C563D">
        <w:tab/>
      </w:r>
      <w:r w:rsidRPr="00C047FA">
        <w:t>Proposal for a</w:t>
      </w:r>
      <w:r>
        <w:t xml:space="preserve"> regulation of the European Parliament and of the Council </w:t>
      </w:r>
      <w:r w:rsidRPr="00C047FA">
        <w:t>on ensuring the cross-border portability of online content services in the internal market</w:t>
      </w:r>
      <w:r>
        <w:t xml:space="preserve"> (</w:t>
      </w:r>
      <w:r w:rsidRPr="002C563D">
        <w:t>COM(2015) 627 final</w:t>
      </w:r>
      <w:r>
        <w:t>) of , 9 December 2015.</w:t>
      </w:r>
    </w:p>
  </w:footnote>
  <w:footnote w:id="13">
    <w:p w:rsidR="004B69C4" w:rsidRPr="009342CC" w:rsidRDefault="004B69C4">
      <w:pPr>
        <w:pStyle w:val="FootnoteText"/>
      </w:pPr>
      <w:r>
        <w:rPr>
          <w:rStyle w:val="FootnoteReference"/>
        </w:rPr>
        <w:footnoteRef/>
      </w:r>
      <w:r>
        <w:t xml:space="preserve"> </w:t>
      </w:r>
      <w:r>
        <w:tab/>
      </w:r>
      <w:r w:rsidRPr="00F97EE2">
        <w:rPr>
          <w:bCs/>
        </w:rPr>
        <w:t>C</w:t>
      </w:r>
      <w:r>
        <w:rPr>
          <w:bCs/>
        </w:rPr>
        <w:t xml:space="preserve">ommunication from the Commission to the European Parliament, the Council, the European Economic and Social Committee and the Committee of the Regions </w:t>
      </w:r>
      <w:r w:rsidRPr="00F97EE2">
        <w:t xml:space="preserve">"Towards a modern, more European copyright framework" </w:t>
      </w:r>
      <w:r>
        <w:t>(</w:t>
      </w:r>
      <w:r w:rsidRPr="00F97EE2">
        <w:t>COM(2015) 626 final</w:t>
      </w:r>
      <w:r>
        <w:t>) of 9 December 2015</w:t>
      </w:r>
    </w:p>
  </w:footnote>
  <w:footnote w:id="14">
    <w:p w:rsidR="004B69C4" w:rsidRDefault="004B69C4" w:rsidP="006C75B2">
      <w:pPr>
        <w:pStyle w:val="FootnoteText"/>
        <w:rPr>
          <w:rStyle w:val="Hyperlink"/>
        </w:rPr>
      </w:pPr>
      <w:r>
        <w:rPr>
          <w:rStyle w:val="FootnoteReference"/>
        </w:rPr>
        <w:footnoteRef/>
      </w:r>
      <w:r>
        <w:t xml:space="preserve"> </w:t>
      </w:r>
      <w:r w:rsidRPr="00BF6197">
        <w:tab/>
      </w:r>
      <w:r>
        <w:rPr>
          <w:rFonts w:cs="Arial"/>
        </w:rPr>
        <w:t>Proposal for an updated Audiovisual Media Services Directive</w:t>
      </w:r>
      <w:r w:rsidRPr="00BF6197">
        <w:t xml:space="preserve">: </w:t>
      </w:r>
      <w:hyperlink r:id="rId5" w:history="1">
        <w:r w:rsidRPr="00747B66">
          <w:rPr>
            <w:rStyle w:val="Hyperlink"/>
          </w:rPr>
          <w:t>https://ec.europa.eu/digital-single-market/en/news/proposal-updated-audiovisual-media-services-directive</w:t>
        </w:r>
      </w:hyperlink>
      <w:r>
        <w:rPr>
          <w:rStyle w:val="Hyperlink"/>
        </w:rPr>
        <w:t>.</w:t>
      </w:r>
      <w:r w:rsidRPr="00D8238E">
        <w:rPr>
          <w:rStyle w:val="Hyperlink"/>
        </w:rPr>
        <w:t xml:space="preserve"> </w:t>
      </w:r>
    </w:p>
    <w:p w:rsidR="004B69C4" w:rsidRPr="00BF6197" w:rsidRDefault="004B69C4" w:rsidP="006C75B2">
      <w:pPr>
        <w:pStyle w:val="FootnoteText"/>
        <w:ind w:firstLine="0"/>
      </w:pPr>
      <w:r w:rsidRPr="006955B8">
        <w:rPr>
          <w:rFonts w:cs="Arial"/>
        </w:rPr>
        <w:t xml:space="preserve">The revised AVMS </w:t>
      </w:r>
      <w:r>
        <w:rPr>
          <w:rFonts w:cs="Arial"/>
        </w:rPr>
        <w:t>D</w:t>
      </w:r>
      <w:r w:rsidRPr="006955B8">
        <w:rPr>
          <w:rFonts w:cs="Arial"/>
        </w:rPr>
        <w:t>irective updates the rules applicable to all types of audiovisual media, notably in terms of promotion of European works, protection of minors, showing of advertisements; it however does not cover the rules applicable to the licensing of copyright-protected content.</w:t>
      </w:r>
      <w:r>
        <w:rPr>
          <w:rStyle w:val="Hyperlink"/>
        </w:rPr>
        <w:t xml:space="preserve"> </w:t>
      </w:r>
    </w:p>
  </w:footnote>
  <w:footnote w:id="15">
    <w:p w:rsidR="004B69C4" w:rsidRPr="006C75B2" w:rsidRDefault="004B69C4">
      <w:pPr>
        <w:pStyle w:val="FootnoteText"/>
      </w:pPr>
      <w:r>
        <w:rPr>
          <w:rStyle w:val="FootnoteReference"/>
        </w:rPr>
        <w:footnoteRef/>
      </w:r>
      <w:r>
        <w:t xml:space="preserve"> </w:t>
      </w:r>
      <w:r>
        <w:tab/>
      </w:r>
      <w:r w:rsidRPr="00496A96">
        <w:rPr>
          <w:rFonts w:eastAsia="Arial Unicode MS"/>
        </w:rPr>
        <w:t xml:space="preserve">Directive </w:t>
      </w:r>
      <w:r w:rsidRPr="00496A96">
        <w:t xml:space="preserve">2010/13/EU </w:t>
      </w:r>
      <w:r w:rsidRPr="00496A96">
        <w:rPr>
          <w:rFonts w:eastAsia="Arial Unicode MS"/>
        </w:rPr>
        <w:t>of the European Parliament and of the Council of</w:t>
      </w:r>
      <w:r w:rsidRPr="00496A96">
        <w:t xml:space="preserve"> 10 March 2010 on the coordination of certain provisions laid down by law, regulation or administrative action in Member States concerning the provisio</w:t>
      </w:r>
      <w:r>
        <w:t>n of audiovisual media services</w:t>
      </w:r>
      <w:r w:rsidRPr="00496A96">
        <w:rPr>
          <w:iCs/>
          <w:lang w:val="en"/>
        </w:rPr>
        <w:t xml:space="preserve"> </w:t>
      </w:r>
      <w:r>
        <w:rPr>
          <w:iCs/>
          <w:lang w:val="en"/>
        </w:rPr>
        <w:t>(</w:t>
      </w:r>
      <w:r w:rsidRPr="00496A96">
        <w:rPr>
          <w:iCs/>
          <w:lang w:val="en"/>
        </w:rPr>
        <w:t>OJ L 95, 15.4.2010, p. 1–24</w:t>
      </w:r>
      <w:r>
        <w:rPr>
          <w:iCs/>
          <w:lang w:val="en"/>
        </w:rPr>
        <w:t>).</w:t>
      </w:r>
    </w:p>
  </w:footnote>
  <w:footnote w:id="16">
    <w:p w:rsidR="004B69C4" w:rsidRPr="00B83D84" w:rsidRDefault="004B69C4" w:rsidP="008B5793">
      <w:pPr>
        <w:pStyle w:val="FootnoteText"/>
        <w:rPr>
          <w:color w:val="333333"/>
          <w:lang w:val="en"/>
        </w:rPr>
      </w:pPr>
      <w:r>
        <w:rPr>
          <w:rStyle w:val="FootnoteReference"/>
        </w:rPr>
        <w:footnoteRef/>
      </w:r>
      <w:r>
        <w:t xml:space="preserve"> </w:t>
      </w:r>
      <w:r w:rsidRPr="00B83D84">
        <w:tab/>
      </w:r>
      <w:r w:rsidRPr="0015307E">
        <w:rPr>
          <w:rFonts w:cs="Arial"/>
        </w:rPr>
        <w:t>Proposal for a Regulation on addressing geo-blocking and other forms of discrimination based on customers' nationality, place of residence or place of establishment within the internal market:</w:t>
      </w:r>
      <w:r>
        <w:rPr>
          <w:color w:val="333333"/>
          <w:lang w:val="en"/>
        </w:rPr>
        <w:t xml:space="preserve"> </w:t>
      </w:r>
      <w:hyperlink r:id="rId6" w:history="1">
        <w:r w:rsidRPr="00747B66">
          <w:rPr>
            <w:rStyle w:val="Hyperlink"/>
            <w:lang w:val="en"/>
          </w:rPr>
          <w:t>http://ec.europa.eu/DocsRoom/documents/16742</w:t>
        </w:r>
      </w:hyperlink>
      <w:r>
        <w:rPr>
          <w:color w:val="333333"/>
          <w:lang w:val="en"/>
        </w:rPr>
        <w:t xml:space="preserve">. </w:t>
      </w:r>
      <w:r w:rsidRPr="0015307E">
        <w:rPr>
          <w:rFonts w:cs="Arial"/>
        </w:rPr>
        <w:t>The proposal does not cover audiovisual services.</w:t>
      </w:r>
    </w:p>
  </w:footnote>
  <w:footnote w:id="17">
    <w:p w:rsidR="004B69C4" w:rsidRDefault="004B69C4" w:rsidP="008B5793">
      <w:pPr>
        <w:pStyle w:val="FootnoteText"/>
        <w:rPr>
          <w:rStyle w:val="Hyperlink"/>
          <w:rFonts w:cs="Arial"/>
        </w:rPr>
      </w:pPr>
      <w:r>
        <w:rPr>
          <w:rStyle w:val="FootnoteReference"/>
        </w:rPr>
        <w:footnoteRef/>
      </w:r>
      <w:r>
        <w:t xml:space="preserve"> </w:t>
      </w:r>
      <w:r w:rsidRPr="00B50B36">
        <w:tab/>
      </w:r>
      <w:r w:rsidRPr="00F97EE2">
        <w:rPr>
          <w:bCs/>
        </w:rPr>
        <w:t>C</w:t>
      </w:r>
      <w:r>
        <w:rPr>
          <w:bCs/>
        </w:rPr>
        <w:t>ommunication from the Commission to the European Parliament, the Council, the European Economic and Social Committee and the Committee of the Regions</w:t>
      </w:r>
      <w:r>
        <w:rPr>
          <w:rFonts w:cs="Arial"/>
        </w:rPr>
        <w:t xml:space="preserve"> "Online Platforms and the Digital Single Market Opportunities and Challenges for Europe", (COM(2016) 288/2) </w:t>
      </w:r>
      <w:hyperlink r:id="rId7" w:history="1">
        <w:r w:rsidRPr="00694AD5">
          <w:rPr>
            <w:rStyle w:val="Hyperlink"/>
            <w:rFonts w:cs="Arial"/>
          </w:rPr>
          <w:t>https://ec.europa.eu/digital-single-market/en/news/communication-online-platforms-and-digital-single-market-opportunities-and-challenges-europe</w:t>
        </w:r>
      </w:hyperlink>
      <w:r>
        <w:rPr>
          <w:rStyle w:val="Hyperlink"/>
          <w:rFonts w:cs="Arial"/>
        </w:rPr>
        <w:t xml:space="preserve">. </w:t>
      </w:r>
    </w:p>
    <w:p w:rsidR="004B69C4" w:rsidRPr="00243B0B" w:rsidRDefault="004B69C4" w:rsidP="006955B8">
      <w:pPr>
        <w:pStyle w:val="FootnoteText"/>
        <w:ind w:firstLine="0"/>
      </w:pPr>
      <w:r w:rsidRPr="006955B8">
        <w:t>The Communication outlines the key issues identified in relation to online platforms and presents the Commission’s position on both the innovation opportunities and the regulatory challenges presented by them.</w:t>
      </w:r>
      <w:r w:rsidRPr="004C29CA">
        <w:rPr>
          <w:rStyle w:val="Hyperlink"/>
          <w:rFonts w:cs="Arial"/>
        </w:rPr>
        <w:t xml:space="preserve"> </w:t>
      </w:r>
    </w:p>
  </w:footnote>
  <w:footnote w:id="18">
    <w:p w:rsidR="004B69C4" w:rsidRPr="00A65239" w:rsidRDefault="004B69C4" w:rsidP="008B5793">
      <w:pPr>
        <w:pStyle w:val="FootnoteText"/>
        <w:rPr>
          <w:lang w:val="nl-NL"/>
        </w:rPr>
      </w:pPr>
      <w:r>
        <w:rPr>
          <w:rStyle w:val="FootnoteReference"/>
        </w:rPr>
        <w:footnoteRef/>
      </w:r>
      <w:r w:rsidRPr="00A65239">
        <w:rPr>
          <w:lang w:val="nl-NL"/>
        </w:rPr>
        <w:t xml:space="preserve"> </w:t>
      </w:r>
      <w:r w:rsidRPr="00A65239">
        <w:rPr>
          <w:lang w:val="nl-NL"/>
        </w:rPr>
        <w:tab/>
        <w:t>See Annex 4.</w:t>
      </w:r>
    </w:p>
  </w:footnote>
  <w:footnote w:id="19">
    <w:p w:rsidR="004B69C4" w:rsidRPr="007038D9" w:rsidRDefault="004B69C4">
      <w:pPr>
        <w:pStyle w:val="FootnoteText"/>
        <w:rPr>
          <w:lang w:val="nl-NL"/>
        </w:rPr>
      </w:pPr>
      <w:r>
        <w:rPr>
          <w:rStyle w:val="FootnoteReference"/>
        </w:rPr>
        <w:footnoteRef/>
      </w:r>
      <w:r w:rsidRPr="007038D9">
        <w:rPr>
          <w:lang w:val="nl-NL"/>
        </w:rPr>
        <w:t xml:space="preserve"> </w:t>
      </w:r>
      <w:r>
        <w:rPr>
          <w:lang w:val="nl-NL"/>
        </w:rPr>
        <w:tab/>
        <w:t xml:space="preserve">Case </w:t>
      </w:r>
      <w:r w:rsidRPr="00A14FE5">
        <w:rPr>
          <w:lang w:val="nl-NL"/>
        </w:rPr>
        <w:t>C-174/15</w:t>
      </w:r>
      <w:r>
        <w:rPr>
          <w:lang w:val="nl-NL"/>
        </w:rPr>
        <w:t xml:space="preserve">, </w:t>
      </w:r>
      <w:r w:rsidRPr="00BF58A6">
        <w:rPr>
          <w:lang w:val="nl-NL"/>
        </w:rPr>
        <w:t>Vereniging Openbare Bibliotheke</w:t>
      </w:r>
      <w:r>
        <w:rPr>
          <w:lang w:val="nl-NL"/>
        </w:rPr>
        <w:t>n</w:t>
      </w:r>
      <w:r w:rsidRPr="00BF58A6">
        <w:rPr>
          <w:lang w:val="nl-NL"/>
        </w:rPr>
        <w:t xml:space="preserve"> v</w:t>
      </w:r>
      <w:r>
        <w:rPr>
          <w:lang w:val="nl-NL"/>
        </w:rPr>
        <w:t xml:space="preserve"> </w:t>
      </w:r>
      <w:r w:rsidRPr="00BF58A6">
        <w:rPr>
          <w:lang w:val="nl-NL"/>
        </w:rPr>
        <w:t>Stichting Leenrecht</w:t>
      </w:r>
      <w:r w:rsidRPr="007038D9">
        <w:rPr>
          <w:i/>
          <w:lang w:val="nl-NL"/>
        </w:rPr>
        <w:t xml:space="preserve"> </w:t>
      </w:r>
    </w:p>
  </w:footnote>
  <w:footnote w:id="20">
    <w:p w:rsidR="004B69C4" w:rsidRPr="002C563D" w:rsidRDefault="004B69C4" w:rsidP="008B5793">
      <w:pPr>
        <w:pStyle w:val="FootnoteText"/>
      </w:pPr>
      <w:r>
        <w:rPr>
          <w:rStyle w:val="FootnoteReference"/>
        </w:rPr>
        <w:footnoteRef/>
      </w:r>
      <w:r>
        <w:t xml:space="preserve"> </w:t>
      </w:r>
      <w:r w:rsidRPr="002C563D">
        <w:tab/>
        <w:t>See</w:t>
      </w:r>
      <w:r>
        <w:t xml:space="preserve"> "Ex-post (REFIT) Evaluation of the Satellite and Cable Directive (93/83/EEC)".</w:t>
      </w:r>
    </w:p>
  </w:footnote>
  <w:footnote w:id="21">
    <w:p w:rsidR="004B69C4" w:rsidRPr="004E41D8" w:rsidRDefault="004B69C4" w:rsidP="008B5793">
      <w:pPr>
        <w:pStyle w:val="FootnoteText"/>
      </w:pPr>
      <w:r>
        <w:rPr>
          <w:rStyle w:val="FootnoteReference"/>
        </w:rPr>
        <w:footnoteRef/>
      </w:r>
      <w:r>
        <w:t xml:space="preserve"> </w:t>
      </w:r>
      <w:r w:rsidRPr="00D8762E">
        <w:tab/>
      </w:r>
      <w:r>
        <w:t xml:space="preserve">The Marrakesh Treaty to Facilitate Access to Published Works for Persons Who Are Blind, Visually Impaired, or otherwise Print Disabled, signed on behalf of the EU on 30 April 2014.  </w:t>
      </w:r>
    </w:p>
  </w:footnote>
  <w:footnote w:id="22">
    <w:p w:rsidR="004B69C4" w:rsidRPr="0067541F" w:rsidRDefault="004B69C4" w:rsidP="00A44C38">
      <w:pPr>
        <w:pStyle w:val="FootnoteText"/>
      </w:pPr>
      <w:r>
        <w:rPr>
          <w:rStyle w:val="FootnoteReference"/>
        </w:rPr>
        <w:footnoteRef/>
      </w:r>
      <w:r>
        <w:t xml:space="preserve"> </w:t>
      </w:r>
      <w:r>
        <w:tab/>
        <w:t xml:space="preserve">Source: Flash Eurobarometer 411. 82 % of respondents indicated using the Internet and </w:t>
      </w:r>
      <w:r w:rsidRPr="0067541F">
        <w:t>60</w:t>
      </w:r>
      <w:r>
        <w:t xml:space="preserve"> </w:t>
      </w:r>
      <w:r w:rsidRPr="0067541F">
        <w:t xml:space="preserve">% </w:t>
      </w:r>
      <w:r>
        <w:t xml:space="preserve">of Internet users indicated </w:t>
      </w:r>
      <w:r w:rsidRPr="0067541F">
        <w:t>having accessed or downloaded music and 59</w:t>
      </w:r>
      <w:r>
        <w:t xml:space="preserve"> </w:t>
      </w:r>
      <w:r w:rsidRPr="0067541F">
        <w:t xml:space="preserve">% </w:t>
      </w:r>
      <w:r>
        <w:t>AV</w:t>
      </w:r>
      <w:r w:rsidRPr="0067541F">
        <w:t xml:space="preserve"> content at least once in the last twelve months.</w:t>
      </w:r>
    </w:p>
  </w:footnote>
  <w:footnote w:id="23">
    <w:p w:rsidR="004B69C4" w:rsidRPr="00767FEF" w:rsidRDefault="004B69C4" w:rsidP="00A44C38">
      <w:pPr>
        <w:pStyle w:val="FootnoteText"/>
      </w:pPr>
      <w:r>
        <w:rPr>
          <w:rStyle w:val="FootnoteReference"/>
        </w:rPr>
        <w:footnoteRef/>
      </w:r>
      <w:r>
        <w:t xml:space="preserve"> </w:t>
      </w:r>
      <w:r w:rsidRPr="00767FEF">
        <w:tab/>
      </w:r>
      <w:r>
        <w:t xml:space="preserve">In terms of consumers' viewing time. </w:t>
      </w:r>
      <w:r>
        <w:rPr>
          <w:rFonts w:eastAsia="Arial Unicode MS" w:hAnsi="Arial Unicode MS" w:cs="Arial Unicode MS"/>
        </w:rPr>
        <w:t xml:space="preserve">Source: </w:t>
      </w:r>
      <w:r w:rsidRPr="008769E1">
        <w:t>IHS Technology,</w:t>
      </w:r>
      <w:r>
        <w:t xml:space="preserve"> </w:t>
      </w:r>
      <w:r w:rsidRPr="008769E1">
        <w:t>"Current market and Technology Trends in the Broadcasting Sector", May 2015</w:t>
      </w:r>
      <w:r>
        <w:t>.</w:t>
      </w:r>
    </w:p>
  </w:footnote>
  <w:footnote w:id="24">
    <w:p w:rsidR="004B69C4" w:rsidRDefault="004B69C4">
      <w:pPr>
        <w:pStyle w:val="FootnoteText"/>
      </w:pPr>
      <w:r>
        <w:rPr>
          <w:rStyle w:val="FootnoteReference"/>
        </w:rPr>
        <w:footnoteRef/>
      </w:r>
      <w:r>
        <w:t xml:space="preserve"> </w:t>
      </w:r>
      <w:r>
        <w:tab/>
        <w:t xml:space="preserve">"Retransmission" is used in the meaning of </w:t>
      </w:r>
      <w:r w:rsidRPr="00020E60">
        <w:t>Directive 93/83/EEC</w:t>
      </w:r>
      <w:r>
        <w:t xml:space="preserve"> to denote simultaneous, unaltered and unabridged retransmission for reception by the public of an initial transmission from another Member State, by wire or over the air, including that by satellite, of television or radio programmes intended for reception by the public.</w:t>
      </w:r>
    </w:p>
  </w:footnote>
  <w:footnote w:id="25">
    <w:p w:rsidR="004B69C4" w:rsidRPr="00A65239" w:rsidRDefault="004B69C4">
      <w:pPr>
        <w:pStyle w:val="FootnoteText"/>
        <w:rPr>
          <w:lang w:val="pt-PT"/>
        </w:rPr>
      </w:pPr>
      <w:r>
        <w:rPr>
          <w:rStyle w:val="FootnoteReference"/>
        </w:rPr>
        <w:footnoteRef/>
      </w:r>
      <w:r w:rsidRPr="00A65239">
        <w:rPr>
          <w:lang w:val="pt-PT"/>
        </w:rPr>
        <w:t xml:space="preserve"> </w:t>
      </w:r>
      <w:r w:rsidRPr="00A65239">
        <w:rPr>
          <w:lang w:val="pt-PT"/>
        </w:rPr>
        <w:tab/>
        <w:t>See Annex 6B.</w:t>
      </w:r>
    </w:p>
  </w:footnote>
  <w:footnote w:id="26">
    <w:p w:rsidR="004B69C4" w:rsidRPr="00EA3937" w:rsidRDefault="004B69C4" w:rsidP="0032552E">
      <w:pPr>
        <w:pStyle w:val="FootnoteText"/>
        <w:rPr>
          <w:lang w:val="pt-PT"/>
        </w:rPr>
      </w:pPr>
      <w:r>
        <w:rPr>
          <w:rStyle w:val="FootnoteReference"/>
        </w:rPr>
        <w:footnoteRef/>
      </w:r>
      <w:r w:rsidRPr="00EA3937">
        <w:rPr>
          <w:lang w:val="pt-PT"/>
        </w:rPr>
        <w:t xml:space="preserve"> </w:t>
      </w:r>
      <w:r w:rsidRPr="00EA3937">
        <w:rPr>
          <w:lang w:val="pt-PT"/>
        </w:rPr>
        <w:tab/>
        <w:t>COM(2015) 192 final.</w:t>
      </w:r>
    </w:p>
  </w:footnote>
  <w:footnote w:id="27">
    <w:p w:rsidR="004B69C4" w:rsidRPr="00EA3937" w:rsidRDefault="004B69C4" w:rsidP="0052681C">
      <w:pPr>
        <w:pStyle w:val="FootnoteText"/>
        <w:rPr>
          <w:lang w:val="pt-PT"/>
        </w:rPr>
      </w:pPr>
      <w:r>
        <w:rPr>
          <w:rStyle w:val="FootnoteReference"/>
        </w:rPr>
        <w:footnoteRef/>
      </w:r>
      <w:r w:rsidRPr="00EA3937">
        <w:rPr>
          <w:lang w:val="pt-PT"/>
        </w:rPr>
        <w:t xml:space="preserve"> </w:t>
      </w:r>
      <w:r w:rsidRPr="00EA3937">
        <w:rPr>
          <w:lang w:val="pt-PT"/>
        </w:rPr>
        <w:tab/>
        <w:t>COM(2015) 627 final.</w:t>
      </w:r>
    </w:p>
  </w:footnote>
  <w:footnote w:id="28">
    <w:p w:rsidR="004B69C4" w:rsidRPr="007B272D" w:rsidRDefault="004B69C4">
      <w:pPr>
        <w:pStyle w:val="FootnoteText"/>
      </w:pPr>
      <w:r>
        <w:rPr>
          <w:rStyle w:val="FootnoteReference"/>
        </w:rPr>
        <w:footnoteRef/>
      </w:r>
      <w:r w:rsidRPr="007B272D">
        <w:t xml:space="preserve"> </w:t>
      </w:r>
      <w:r w:rsidRPr="007B272D">
        <w:tab/>
        <w:t>COM(2015) 626 final.</w:t>
      </w:r>
    </w:p>
  </w:footnote>
  <w:footnote w:id="29">
    <w:p w:rsidR="004B69C4" w:rsidRPr="000C715B" w:rsidRDefault="004B69C4">
      <w:pPr>
        <w:pStyle w:val="FootnoteText"/>
      </w:pPr>
      <w:r>
        <w:rPr>
          <w:rStyle w:val="FootnoteReference"/>
        </w:rPr>
        <w:footnoteRef/>
      </w:r>
      <w:r>
        <w:t xml:space="preserve"> </w:t>
      </w:r>
      <w:r w:rsidRPr="0079038B">
        <w:tab/>
      </w:r>
      <w:r>
        <w:t>The present section of the IA focuses on issues related to the making available of out-of-commerce works in the collections of CHIs. Specific issues linked</w:t>
      </w:r>
      <w:r w:rsidRPr="00C4398F">
        <w:t xml:space="preserve"> to the preservation (including digital preservation) of cultural heritage are presented in </w:t>
      </w:r>
      <w:r>
        <w:t>s</w:t>
      </w:r>
      <w:r w:rsidRPr="00C4398F">
        <w:t>ection 4.</w:t>
      </w:r>
      <w:r>
        <w:t xml:space="preserve">4 of this IA. </w:t>
      </w:r>
    </w:p>
  </w:footnote>
  <w:footnote w:id="30">
    <w:p w:rsidR="004B69C4" w:rsidRPr="0052681C" w:rsidRDefault="004B69C4" w:rsidP="003E327F">
      <w:pPr>
        <w:pStyle w:val="FootnoteText"/>
      </w:pPr>
      <w:r>
        <w:rPr>
          <w:rStyle w:val="FootnoteReference"/>
        </w:rPr>
        <w:footnoteRef/>
      </w:r>
      <w:r>
        <w:t xml:space="preserve"> </w:t>
      </w:r>
      <w:r>
        <w:tab/>
        <w:t xml:space="preserve">Directive 93/83/EEC, </w:t>
      </w:r>
      <w:r w:rsidRPr="006955B8">
        <w:t xml:space="preserve">see </w:t>
      </w:r>
      <w:r>
        <w:t xml:space="preserve">"Ex-post (REFIT) Evaluation of the Satellite and Cable Directive (93/83/EEC)". </w:t>
      </w:r>
    </w:p>
  </w:footnote>
  <w:footnote w:id="31">
    <w:p w:rsidR="004B69C4" w:rsidRPr="00FD7AF3" w:rsidRDefault="004B69C4">
      <w:pPr>
        <w:pStyle w:val="FootnoteText"/>
      </w:pPr>
      <w:r>
        <w:rPr>
          <w:rStyle w:val="FootnoteReference"/>
        </w:rPr>
        <w:footnoteRef/>
      </w:r>
      <w:r>
        <w:t xml:space="preserve"> </w:t>
      </w:r>
      <w:r>
        <w:tab/>
      </w:r>
      <w:r w:rsidRPr="00FD7AF3">
        <w:rPr>
          <w:bCs/>
          <w:noProof/>
          <w:szCs w:val="24"/>
        </w:rPr>
        <w:t>The EU harmonised rules facilitating the acquisition of rights for satellite broadcasting and cable retransmissions of TV and radio programmes from other MS do not apply to online distribution activities of broadcasters and to retransmissions by means other than cable.</w:t>
      </w:r>
    </w:p>
  </w:footnote>
  <w:footnote w:id="32">
    <w:p w:rsidR="004B69C4" w:rsidRPr="00F66C0E" w:rsidRDefault="004B69C4" w:rsidP="00A44C38">
      <w:pPr>
        <w:pStyle w:val="FootnoteText"/>
      </w:pPr>
      <w:r>
        <w:rPr>
          <w:rStyle w:val="FootnoteReference"/>
        </w:rPr>
        <w:footnoteRef/>
      </w:r>
      <w:r>
        <w:t xml:space="preserve"> </w:t>
      </w:r>
      <w:r w:rsidRPr="00F66C0E">
        <w:tab/>
      </w:r>
      <w:r w:rsidRPr="00A61D4B">
        <w:t xml:space="preserve">"Works" is used in this IA to encompass works </w:t>
      </w:r>
      <w:r>
        <w:t xml:space="preserve">protected under EU copyright acquis </w:t>
      </w:r>
      <w:r w:rsidRPr="00A61D4B">
        <w:t>and other protected subject matter.</w:t>
      </w:r>
    </w:p>
  </w:footnote>
  <w:footnote w:id="33">
    <w:p w:rsidR="004B69C4" w:rsidRPr="0052681C" w:rsidRDefault="004B69C4" w:rsidP="00085FB6">
      <w:pPr>
        <w:pStyle w:val="FootnoteText"/>
      </w:pPr>
      <w:r>
        <w:rPr>
          <w:rStyle w:val="FootnoteReference"/>
        </w:rPr>
        <w:footnoteRef/>
      </w:r>
      <w:r>
        <w:t xml:space="preserve"> </w:t>
      </w:r>
      <w:r>
        <w:tab/>
        <w:t>Directive 2001/29/EC.</w:t>
      </w:r>
    </w:p>
  </w:footnote>
  <w:footnote w:id="34">
    <w:p w:rsidR="004B69C4" w:rsidRPr="000163A3" w:rsidRDefault="004B69C4" w:rsidP="004C29CA">
      <w:pPr>
        <w:pStyle w:val="FootnoteText"/>
      </w:pPr>
      <w:r>
        <w:rPr>
          <w:rStyle w:val="FootnoteReference"/>
        </w:rPr>
        <w:footnoteRef/>
      </w:r>
      <w:r>
        <w:t xml:space="preserve"> </w:t>
      </w:r>
      <w:r w:rsidRPr="000163A3">
        <w:tab/>
      </w:r>
      <w:r>
        <w:t>In the framework of the current reform of the Audiovisual Media Services Directive (Directive 2010/13/EU), an obligation for on-demand audiovisual media services to include in their catalogue at least 20% of European works has been introduced (see Article 13.1 of the proposal). The present initiative aims at solving copyright-related contractual blockages preventing a larger availability of EU audiovisual works on VoD platforms. The present initiative could help on-demand players to achieve the 20% threshold provided for in the AVMS Directive reform, but remains independent from the AVMS Directive reform.</w:t>
      </w:r>
      <w:r>
        <w:rPr>
          <w:rStyle w:val="Strong"/>
          <w:b w:val="0"/>
          <w:color w:val="444444"/>
          <w:lang w:val="en"/>
        </w:rPr>
        <w:t xml:space="preserve"> </w:t>
      </w:r>
      <w:r>
        <w:t xml:space="preserve">  </w:t>
      </w:r>
    </w:p>
  </w:footnote>
  <w:footnote w:id="35">
    <w:p w:rsidR="004B69C4" w:rsidRPr="00A60129" w:rsidRDefault="004B69C4" w:rsidP="00CC7E7C">
      <w:pPr>
        <w:pStyle w:val="FootnoteText"/>
      </w:pPr>
      <w:r>
        <w:rPr>
          <w:rStyle w:val="FootnoteReference"/>
        </w:rPr>
        <w:footnoteRef/>
      </w:r>
      <w:r>
        <w:t xml:space="preserve"> </w:t>
      </w:r>
      <w:r>
        <w:tab/>
      </w:r>
      <w:r w:rsidRPr="00EC7B8E">
        <w:t xml:space="preserve">Territoriality of copyright means that rights under copyright are granted by national laws and not as a unitary title at EU level. The geographical scope of each right is </w:t>
      </w:r>
      <w:r w:rsidRPr="00223749">
        <w:t>limited to the territory of the MS which has granted it.</w:t>
      </w:r>
    </w:p>
  </w:footnote>
  <w:footnote w:id="36">
    <w:p w:rsidR="004B69C4" w:rsidRPr="00DA6D8E" w:rsidRDefault="004B69C4" w:rsidP="00B17CA8">
      <w:pPr>
        <w:pStyle w:val="FootnoteText"/>
      </w:pPr>
      <w:r w:rsidRPr="00DA6D8E">
        <w:rPr>
          <w:vertAlign w:val="superscript"/>
        </w:rPr>
        <w:footnoteRef/>
      </w:r>
      <w:r>
        <w:t xml:space="preserve"> </w:t>
      </w:r>
      <w:r>
        <w:tab/>
        <w:t>Rightholders</w:t>
      </w:r>
      <w:r w:rsidRPr="00DA6D8E">
        <w:t xml:space="preserve"> usually transfer their rights for all EU territories to a single CMO </w:t>
      </w:r>
      <w:r>
        <w:t>and/</w:t>
      </w:r>
      <w:r w:rsidRPr="00DA6D8E">
        <w:t xml:space="preserve">or a publisher, who in turn enters into agreements with other CMOs and sub-publishers for representation in separate MS. See </w:t>
      </w:r>
      <w:hyperlink r:id="rId8" w:history="1">
        <w:r w:rsidRPr="00DA6D8E">
          <w:rPr>
            <w:rStyle w:val="Hyperlink"/>
          </w:rPr>
          <w:t>Charles Rivers Associates Study Economic Analysis of the Territoriality of the Making Available Right in the EU</w:t>
        </w:r>
      </w:hyperlink>
      <w:r w:rsidRPr="00DA6D8E">
        <w:t xml:space="preserve">, March 2014 pages 41-42. </w:t>
      </w:r>
    </w:p>
  </w:footnote>
  <w:footnote w:id="37">
    <w:p w:rsidR="004B69C4" w:rsidRDefault="004B69C4" w:rsidP="00B17CA8">
      <w:pPr>
        <w:pStyle w:val="FootnoteText"/>
      </w:pPr>
      <w:r>
        <w:rPr>
          <w:rStyle w:val="FootnoteReference"/>
        </w:rPr>
        <w:footnoteRef/>
      </w:r>
      <w:r>
        <w:t xml:space="preserve"> </w:t>
      </w:r>
      <w:r>
        <w:tab/>
      </w:r>
      <w:r w:rsidRPr="00E7045F">
        <w:t xml:space="preserve">In June 2015, the CMOs PRS (UK), GEMA (Germany) and STIM (Sweden) received the clearance of their deal by the Commission with a view to establishing a multi-territorial licensing hub in Europe. EC press release: </w:t>
      </w:r>
      <w:hyperlink r:id="rId9" w:history="1">
        <w:r w:rsidRPr="000E3819">
          <w:rPr>
            <w:rStyle w:val="Hyperlink"/>
          </w:rPr>
          <w:t>http://europa.eu/rapid/press-release_IP-15-5204_en.htm</w:t>
        </w:r>
      </w:hyperlink>
    </w:p>
  </w:footnote>
  <w:footnote w:id="38">
    <w:p w:rsidR="004B69C4" w:rsidRDefault="004B69C4" w:rsidP="00B17CA8">
      <w:pPr>
        <w:pStyle w:val="FootnoteText"/>
      </w:pPr>
      <w:r>
        <w:rPr>
          <w:rStyle w:val="FootnoteReference"/>
        </w:rPr>
        <w:footnoteRef/>
      </w:r>
      <w:r>
        <w:t xml:space="preserve"> </w:t>
      </w:r>
      <w:r>
        <w:tab/>
      </w:r>
      <w:r w:rsidRPr="00DA6D8E">
        <w:t>Directive 2014/26/EU</w:t>
      </w:r>
    </w:p>
  </w:footnote>
  <w:footnote w:id="39">
    <w:p w:rsidR="004B69C4" w:rsidRPr="001779AE" w:rsidRDefault="004B69C4" w:rsidP="00FC609C">
      <w:pPr>
        <w:pStyle w:val="FootnoteText"/>
      </w:pPr>
      <w:r>
        <w:rPr>
          <w:rStyle w:val="FootnoteReference"/>
        </w:rPr>
        <w:footnoteRef/>
      </w:r>
      <w:r>
        <w:t xml:space="preserve"> </w:t>
      </w:r>
      <w:r>
        <w:tab/>
        <w:t xml:space="preserve">AV </w:t>
      </w:r>
      <w:r w:rsidRPr="00E87FA3">
        <w:rPr>
          <w:lang w:val="en-US"/>
        </w:rPr>
        <w:t xml:space="preserve">content which is considered as a vital input because </w:t>
      </w:r>
      <w:r>
        <w:rPr>
          <w:lang w:val="en-US"/>
        </w:rPr>
        <w:t>it</w:t>
      </w:r>
      <w:r w:rsidRPr="00E87FA3">
        <w:rPr>
          <w:lang w:val="en-US"/>
        </w:rPr>
        <w:t xml:space="preserve"> attract</w:t>
      </w:r>
      <w:r>
        <w:rPr>
          <w:lang w:val="en-US"/>
        </w:rPr>
        <w:t>s</w:t>
      </w:r>
      <w:r w:rsidRPr="00E87FA3">
        <w:rPr>
          <w:lang w:val="en-US"/>
        </w:rPr>
        <w:t xml:space="preserve"> substantial audiences and thus generate substantial revenues for</w:t>
      </w:r>
      <w:r>
        <w:rPr>
          <w:lang w:val="en-US"/>
        </w:rPr>
        <w:t xml:space="preserve"> rightholders.</w:t>
      </w:r>
    </w:p>
  </w:footnote>
  <w:footnote w:id="40">
    <w:p w:rsidR="004B69C4" w:rsidRDefault="004B69C4" w:rsidP="00FC609C">
      <w:pPr>
        <w:pStyle w:val="FootnoteText"/>
      </w:pPr>
      <w:r>
        <w:rPr>
          <w:rStyle w:val="FootnoteReference"/>
        </w:rPr>
        <w:footnoteRef/>
      </w:r>
      <w:r>
        <w:t xml:space="preserve"> </w:t>
      </w:r>
      <w:r>
        <w:tab/>
      </w:r>
      <w:r w:rsidRPr="00705E14">
        <w:t>For example based on extended collective licensing or presumptions of representation by CMOs. See Annex 9E for more information on these mechanisms and national examples.</w:t>
      </w:r>
    </w:p>
  </w:footnote>
  <w:footnote w:id="41">
    <w:p w:rsidR="004B69C4" w:rsidRDefault="004B69C4" w:rsidP="009E2D3A">
      <w:pPr>
        <w:pStyle w:val="FootnoteText"/>
      </w:pPr>
      <w:r>
        <w:rPr>
          <w:rStyle w:val="FootnoteReference"/>
        </w:rPr>
        <w:footnoteRef/>
      </w:r>
      <w:r>
        <w:t xml:space="preserve"> </w:t>
      </w:r>
      <w:r>
        <w:tab/>
      </w:r>
      <w:r w:rsidRPr="00705E14">
        <w:t xml:space="preserve">Some of these issues are addressed by accompanying measures announced in </w:t>
      </w:r>
      <w:r>
        <w:t>the Commission</w:t>
      </w:r>
      <w:r w:rsidRPr="00DA6D8E">
        <w:t xml:space="preserve"> Communication</w:t>
      </w:r>
      <w:r>
        <w:t xml:space="preserve"> (COM(2015) 626 final)</w:t>
      </w:r>
      <w:r w:rsidRPr="00DA6D8E">
        <w:t xml:space="preserve"> of </w:t>
      </w:r>
      <w:r>
        <w:t xml:space="preserve">9 </w:t>
      </w:r>
      <w:r w:rsidRPr="00DA6D8E">
        <w:t>December 2015</w:t>
      </w:r>
      <w:r w:rsidRPr="00705E14">
        <w:t>.</w:t>
      </w:r>
    </w:p>
  </w:footnote>
  <w:footnote w:id="42">
    <w:p w:rsidR="004B69C4" w:rsidRPr="004D5FB2" w:rsidRDefault="004B69C4">
      <w:pPr>
        <w:pStyle w:val="FootnoteText"/>
      </w:pPr>
      <w:r>
        <w:rPr>
          <w:rStyle w:val="FootnoteReference"/>
        </w:rPr>
        <w:footnoteRef/>
      </w:r>
      <w:r>
        <w:t xml:space="preserve"> </w:t>
      </w:r>
      <w:r w:rsidRPr="00EF6341">
        <w:tab/>
        <w:t xml:space="preserve">Special Eurobarometer 366 : </w:t>
      </w:r>
      <w:r>
        <w:rPr>
          <w:rFonts w:cs="Arial"/>
          <w:lang w:val="en"/>
        </w:rPr>
        <w:t xml:space="preserve">Building the Digital Single Market - Cross Border Demand for Content Services </w:t>
      </w:r>
    </w:p>
  </w:footnote>
  <w:footnote w:id="43">
    <w:p w:rsidR="004B69C4" w:rsidRPr="00842FA1" w:rsidRDefault="004B69C4" w:rsidP="00D52BFB">
      <w:pPr>
        <w:pStyle w:val="FootnoteText"/>
        <w:jc w:val="left"/>
      </w:pPr>
      <w:r>
        <w:rPr>
          <w:rStyle w:val="FootnoteReference"/>
        </w:rPr>
        <w:footnoteRef/>
      </w:r>
      <w:r>
        <w:t xml:space="preserve"> </w:t>
      </w:r>
      <w:r>
        <w:tab/>
        <w:t xml:space="preserve">Flash Eurobarometer 411; </w:t>
      </w:r>
      <w:hyperlink r:id="rId10" w:history="1">
        <w:r w:rsidRPr="00F17C49">
          <w:rPr>
            <w:rStyle w:val="Hyperlink"/>
          </w:rPr>
          <w:t>http://ec.europa.eu/COMMFrontOffice/PublicOpinion/index.cfm/Survey/getSurveyDetail/instruments/FLASH/surveyKy/2059</w:t>
        </w:r>
      </w:hyperlink>
    </w:p>
  </w:footnote>
  <w:footnote w:id="44">
    <w:p w:rsidR="004B69C4" w:rsidRDefault="004B69C4">
      <w:pPr>
        <w:pStyle w:val="FootnoteText"/>
      </w:pPr>
      <w:r>
        <w:rPr>
          <w:rStyle w:val="FootnoteReference"/>
        </w:rPr>
        <w:footnoteRef/>
      </w:r>
      <w:r>
        <w:t xml:space="preserve"> </w:t>
      </w:r>
      <w:r w:rsidRPr="00EF6341">
        <w:tab/>
      </w:r>
      <w:r>
        <w:t>"</w:t>
      </w:r>
      <w:r w:rsidRPr="00683D3B">
        <w:t>Report on the responses to the Public Consultation on the Review of the EU Copyright Rules</w:t>
      </w:r>
      <w:r>
        <w:t xml:space="preserve">": </w:t>
      </w:r>
      <w:hyperlink r:id="rId11" w:history="1">
        <w:r w:rsidRPr="0016410E">
          <w:rPr>
            <w:rStyle w:val="Hyperlink"/>
          </w:rPr>
          <w:t>http://ec.europa.eu/internal_market/consultations/2013/copyright-rules/docs/contributions/consultation-report_en.pdf</w:t>
        </w:r>
      </w:hyperlink>
      <w:r>
        <w:rPr>
          <w:rStyle w:val="Hyperlink"/>
        </w:rPr>
        <w:t xml:space="preserve">. </w:t>
      </w:r>
      <w:r w:rsidRPr="00DB5A9E">
        <w:rPr>
          <w:rFonts w:cs="Arial"/>
        </w:rPr>
        <w:t xml:space="preserve">See relevant extracts in </w:t>
      </w:r>
      <w:r w:rsidRPr="0035328D">
        <w:rPr>
          <w:rFonts w:cs="Arial"/>
        </w:rPr>
        <w:t>Annex 2B.</w:t>
      </w:r>
    </w:p>
    <w:p w:rsidR="004B69C4" w:rsidRPr="003D4053" w:rsidRDefault="004B69C4" w:rsidP="00EF6341">
      <w:pPr>
        <w:pStyle w:val="FootnoteText"/>
        <w:ind w:firstLine="0"/>
        <w:rPr>
          <w:rFonts w:cs="Arial"/>
        </w:rPr>
      </w:pPr>
      <w:r>
        <w:t>"</w:t>
      </w:r>
      <w:r>
        <w:rPr>
          <w:rFonts w:cs="Arial"/>
        </w:rPr>
        <w:t xml:space="preserve">Full report on the public consultation on the review of the EU Satellite and Cable Directive": </w:t>
      </w:r>
      <w:hyperlink r:id="rId12" w:history="1">
        <w:r w:rsidRPr="0016410E">
          <w:rPr>
            <w:rStyle w:val="Hyperlink"/>
            <w:rFonts w:cs="Arial"/>
          </w:rPr>
          <w:t>https://ec.europa.eu/digital-single-market/en/news/full-report-public-consultation-review-eu-satellite-and-cable-directive</w:t>
        </w:r>
      </w:hyperlink>
      <w:r>
        <w:rPr>
          <w:rStyle w:val="Hyperlink"/>
          <w:rFonts w:cs="Arial"/>
        </w:rPr>
        <w:t xml:space="preserve">. </w:t>
      </w:r>
      <w:r w:rsidRPr="00DB5A9E">
        <w:t xml:space="preserve">See </w:t>
      </w:r>
      <w:r w:rsidRPr="0035328D">
        <w:t>Annex 2C.</w:t>
      </w:r>
      <w:r>
        <w:rPr>
          <w:rStyle w:val="Hyperlink"/>
          <w:rFonts w:cs="Arial"/>
        </w:rPr>
        <w:t xml:space="preserve"> </w:t>
      </w:r>
    </w:p>
  </w:footnote>
  <w:footnote w:id="45">
    <w:p w:rsidR="004B69C4" w:rsidRPr="003E7145" w:rsidRDefault="004B69C4" w:rsidP="00C63638">
      <w:pPr>
        <w:pStyle w:val="FootnoteText"/>
      </w:pPr>
      <w:r>
        <w:rPr>
          <w:rStyle w:val="FootnoteReference"/>
        </w:rPr>
        <w:footnoteRef/>
      </w:r>
      <w:r>
        <w:t xml:space="preserve"> </w:t>
      </w:r>
      <w:r>
        <w:tab/>
        <w:t>European Parliament resolution of 9 July 2015 on the implementation of Directive 2001/29/EC of the European Parliament and of the Council of 22 May 2001 on the harmonisation of certain aspects of copyright and related rights in the information society.</w:t>
      </w:r>
    </w:p>
  </w:footnote>
  <w:footnote w:id="46">
    <w:p w:rsidR="004B69C4" w:rsidRPr="0019259B" w:rsidRDefault="004B69C4" w:rsidP="003E5613">
      <w:pPr>
        <w:pStyle w:val="FootnoteText"/>
      </w:pPr>
      <w:r>
        <w:rPr>
          <w:rStyle w:val="FootnoteReference"/>
        </w:rPr>
        <w:footnoteRef/>
      </w:r>
      <w:r>
        <w:t xml:space="preserve"> </w:t>
      </w:r>
      <w:r>
        <w:tab/>
        <w:t xml:space="preserve">The views of MS are based on the results of the public consultation </w:t>
      </w:r>
      <w:r w:rsidRPr="0035328D">
        <w:t>on the review of the EU Satellite and Cable Directive</w:t>
      </w:r>
      <w:r>
        <w:t xml:space="preserve">, to which </w:t>
      </w:r>
      <w:r w:rsidRPr="0019259B">
        <w:t>11 MS replied (</w:t>
      </w:r>
      <w:r>
        <w:t>DE, EE, ES, FI, FR, HU, IE, NL, PL, SK, UK</w:t>
      </w:r>
      <w:r w:rsidRPr="0019259B">
        <w:t>)</w:t>
      </w:r>
      <w:r>
        <w:t xml:space="preserve">. See Annex 2C. </w:t>
      </w:r>
    </w:p>
  </w:footnote>
  <w:footnote w:id="47">
    <w:p w:rsidR="004B69C4" w:rsidRPr="00FE585C" w:rsidRDefault="004B69C4" w:rsidP="00B252E2">
      <w:pPr>
        <w:pStyle w:val="FootnoteText"/>
      </w:pPr>
      <w:r>
        <w:rPr>
          <w:rStyle w:val="FootnoteReference"/>
        </w:rPr>
        <w:footnoteRef/>
      </w:r>
      <w:r>
        <w:t xml:space="preserve"> </w:t>
      </w:r>
      <w:r>
        <w:tab/>
        <w:t xml:space="preserve">Notably during the </w:t>
      </w:r>
      <w:r w:rsidRPr="0079038B">
        <w:rPr>
          <w:szCs w:val="24"/>
        </w:rPr>
        <w:t>2014 public consultation on the r</w:t>
      </w:r>
      <w:r>
        <w:rPr>
          <w:szCs w:val="24"/>
        </w:rPr>
        <w:t>eview of the EU copyright rules. See Annex 2B.</w:t>
      </w:r>
    </w:p>
  </w:footnote>
  <w:footnote w:id="48">
    <w:p w:rsidR="004B69C4" w:rsidRPr="00FE585C" w:rsidRDefault="004B69C4" w:rsidP="00B252E2">
      <w:pPr>
        <w:pStyle w:val="FootnoteText"/>
      </w:pPr>
      <w:r>
        <w:rPr>
          <w:rStyle w:val="FootnoteReference"/>
        </w:rPr>
        <w:footnoteRef/>
      </w:r>
      <w:r>
        <w:t xml:space="preserve"> </w:t>
      </w:r>
      <w:r>
        <w:tab/>
        <w:t>Council C</w:t>
      </w:r>
      <w:r w:rsidRPr="00FE585C">
        <w:t>onclusions on the role of Europeana for the digital access, visibility and use of European cultural heritage</w:t>
      </w:r>
      <w:r>
        <w:t>, 31 May 2016.</w:t>
      </w:r>
    </w:p>
  </w:footnote>
  <w:footnote w:id="49">
    <w:p w:rsidR="004B69C4" w:rsidRPr="00FE585C" w:rsidRDefault="004B69C4" w:rsidP="00B252E2">
      <w:pPr>
        <w:pStyle w:val="FootnoteText"/>
      </w:pPr>
      <w:r>
        <w:rPr>
          <w:rStyle w:val="FootnoteReference"/>
        </w:rPr>
        <w:footnoteRef/>
      </w:r>
      <w:r>
        <w:t xml:space="preserve"> </w:t>
      </w:r>
      <w:r>
        <w:tab/>
        <w:t>As outlined in the Commission Communication (COM(2015) 626 final) of 9 December 2015.</w:t>
      </w:r>
    </w:p>
  </w:footnote>
  <w:footnote w:id="50">
    <w:p w:rsidR="004B69C4" w:rsidRPr="004D059D" w:rsidRDefault="004B69C4">
      <w:pPr>
        <w:pStyle w:val="FootnoteText"/>
        <w:rPr>
          <w:rFonts w:eastAsiaTheme="minorHAnsi"/>
          <w:szCs w:val="22"/>
          <w:lang w:eastAsia="en-US"/>
        </w:rPr>
      </w:pPr>
      <w:r>
        <w:rPr>
          <w:rStyle w:val="FootnoteReference"/>
        </w:rPr>
        <w:footnoteRef/>
      </w:r>
      <w:r>
        <w:t xml:space="preserve"> </w:t>
      </w:r>
      <w:r>
        <w:tab/>
      </w:r>
      <w:r w:rsidRPr="004D059D">
        <w:rPr>
          <w:rFonts w:eastAsiaTheme="minorHAnsi"/>
          <w:bCs/>
          <w:szCs w:val="22"/>
          <w:lang w:eastAsia="en-US"/>
        </w:rPr>
        <w:t>Charter of Fundamental Rights of the European Union</w:t>
      </w:r>
      <w:r>
        <w:rPr>
          <w:rFonts w:eastAsiaTheme="minorHAnsi"/>
          <w:bCs/>
          <w:szCs w:val="22"/>
          <w:lang w:eastAsia="en-US"/>
        </w:rPr>
        <w:t xml:space="preserve">, </w:t>
      </w:r>
      <w:r w:rsidRPr="004D059D">
        <w:rPr>
          <w:rFonts w:eastAsiaTheme="minorHAnsi"/>
          <w:szCs w:val="22"/>
          <w:lang w:eastAsia="en-US"/>
        </w:rPr>
        <w:t>OJ C 326, 26.10.2012, p. 391–407</w:t>
      </w:r>
      <w:r>
        <w:rPr>
          <w:rFonts w:eastAsiaTheme="minorHAnsi"/>
          <w:szCs w:val="22"/>
          <w:lang w:eastAsia="en-US"/>
        </w:rPr>
        <w:t>.</w:t>
      </w:r>
    </w:p>
  </w:footnote>
  <w:footnote w:id="51">
    <w:p w:rsidR="004B69C4" w:rsidRPr="0080624B" w:rsidRDefault="004B69C4">
      <w:pPr>
        <w:pStyle w:val="FootnoteText"/>
      </w:pPr>
      <w:r>
        <w:rPr>
          <w:rStyle w:val="FootnoteReference"/>
        </w:rPr>
        <w:footnoteRef/>
      </w:r>
      <w:r>
        <w:t xml:space="preserve"> </w:t>
      </w:r>
      <w:r>
        <w:tab/>
        <w:t>See Annex 8.</w:t>
      </w:r>
    </w:p>
  </w:footnote>
  <w:footnote w:id="52">
    <w:p w:rsidR="004B69C4" w:rsidRPr="00733826" w:rsidRDefault="004B69C4" w:rsidP="005D7A30">
      <w:pPr>
        <w:spacing w:after="0" w:line="240" w:lineRule="auto"/>
        <w:ind w:left="709" w:hanging="709"/>
        <w:jc w:val="both"/>
      </w:pPr>
      <w:r w:rsidRPr="00036141">
        <w:rPr>
          <w:rStyle w:val="FootnoteReference"/>
          <w:rFonts w:ascii="Times New Roman" w:hAnsi="Times New Roman" w:cs="Times New Roman"/>
          <w:sz w:val="20"/>
          <w:szCs w:val="20"/>
        </w:rPr>
        <w:footnoteRef/>
      </w:r>
      <w:r>
        <w:t xml:space="preserve"> </w:t>
      </w:r>
      <w:r>
        <w:tab/>
      </w:r>
      <w:r w:rsidRPr="006955B8">
        <w:rPr>
          <w:rFonts w:ascii="Times New Roman" w:hAnsi="Times New Roman" w:cs="Times New Roman"/>
          <w:sz w:val="20"/>
        </w:rPr>
        <w:t xml:space="preserve">The </w:t>
      </w:r>
      <w:r>
        <w:rPr>
          <w:rFonts w:ascii="Times New Roman" w:hAnsi="Times New Roman" w:cs="Times New Roman"/>
          <w:sz w:val="20"/>
        </w:rPr>
        <w:t xml:space="preserve">"Survey and data gathering to support the evaluation of the Satellite and Cable Directive 93/83/EEC and assessment of its possible extension" ("SatCab Study") </w:t>
      </w:r>
      <w:r w:rsidRPr="006955B8">
        <w:rPr>
          <w:rFonts w:ascii="Times New Roman" w:hAnsi="Times New Roman" w:cs="Times New Roman"/>
          <w:sz w:val="20"/>
        </w:rPr>
        <w:t xml:space="preserve">specifically analysed differences in obtaining remuneration by CMOs and individual licensors for retransmission of TV and radio programmes over various platforms. However, the findings are rather limited due to limited information which was made available to the contractor. </w:t>
      </w:r>
    </w:p>
  </w:footnote>
  <w:footnote w:id="53">
    <w:p w:rsidR="004B69C4" w:rsidRPr="009371F0" w:rsidRDefault="004B69C4" w:rsidP="005D7A30">
      <w:pPr>
        <w:pStyle w:val="FootnoteText"/>
      </w:pPr>
      <w:r>
        <w:rPr>
          <w:rStyle w:val="FootnoteReference"/>
        </w:rPr>
        <w:footnoteRef/>
      </w:r>
      <w:r>
        <w:t xml:space="preserve"> </w:t>
      </w:r>
      <w:r>
        <w:tab/>
        <w:t>Source: Eurostat Structural Business Statistics, 2012 data for radio broadcasting, television programming and broadcasting activities.</w:t>
      </w:r>
    </w:p>
  </w:footnote>
  <w:footnote w:id="54">
    <w:p w:rsidR="004B69C4" w:rsidRPr="008F24A7" w:rsidRDefault="004B69C4" w:rsidP="0032552E">
      <w:pPr>
        <w:pStyle w:val="FootnoteText"/>
      </w:pPr>
      <w:r>
        <w:rPr>
          <w:rStyle w:val="FootnoteReference"/>
        </w:rPr>
        <w:footnoteRef/>
      </w:r>
      <w:r>
        <w:t xml:space="preserve"> </w:t>
      </w:r>
      <w:r>
        <w:tab/>
        <w:t>Source: Eurostat, Structural Business Statistics, 2013 data for m</w:t>
      </w:r>
      <w:r w:rsidRPr="008F24A7">
        <w:t>otion picture, video and television programme production, sound recording and music publishing activities</w:t>
      </w:r>
      <w:r>
        <w:t>.</w:t>
      </w:r>
    </w:p>
  </w:footnote>
  <w:footnote w:id="55">
    <w:p w:rsidR="004B69C4" w:rsidRPr="00C32C45" w:rsidRDefault="004B69C4">
      <w:pPr>
        <w:pStyle w:val="FootnoteText"/>
        <w:rPr>
          <w:lang w:val="en-US"/>
        </w:rPr>
      </w:pPr>
      <w:r>
        <w:rPr>
          <w:rStyle w:val="FootnoteReference"/>
        </w:rPr>
        <w:footnoteRef/>
      </w:r>
      <w:r>
        <w:t xml:space="preserve"> </w:t>
      </w:r>
      <w:r>
        <w:rPr>
          <w:lang w:val="en-US"/>
        </w:rPr>
        <w:tab/>
        <w:t>See Annex 6 for further details.</w:t>
      </w:r>
    </w:p>
  </w:footnote>
  <w:footnote w:id="56">
    <w:p w:rsidR="004B69C4" w:rsidRPr="0065563D" w:rsidRDefault="004B69C4" w:rsidP="00EA43AA">
      <w:pPr>
        <w:pStyle w:val="FootnoteText"/>
      </w:pPr>
      <w:r>
        <w:rPr>
          <w:rStyle w:val="FootnoteReference"/>
        </w:rPr>
        <w:footnoteRef/>
      </w:r>
      <w:r>
        <w:t xml:space="preserve"> </w:t>
      </w:r>
      <w:r>
        <w:tab/>
      </w:r>
      <w:r w:rsidRPr="00345BDC">
        <w:t>Annex 6A.</w:t>
      </w:r>
    </w:p>
  </w:footnote>
  <w:footnote w:id="57">
    <w:p w:rsidR="004B69C4" w:rsidRPr="008769E1" w:rsidRDefault="004B69C4" w:rsidP="00EA43AA">
      <w:pPr>
        <w:pStyle w:val="FootnoteText"/>
      </w:pPr>
      <w:r w:rsidRPr="008769E1">
        <w:rPr>
          <w:rStyle w:val="FootnoteReference"/>
        </w:rPr>
        <w:footnoteRef/>
      </w:r>
      <w:r w:rsidRPr="008769E1">
        <w:t xml:space="preserve"> </w:t>
      </w:r>
      <w:r>
        <w:tab/>
      </w:r>
      <w:r w:rsidRPr="009B65A1">
        <w:t>This comprises direct revenues from three main sources</w:t>
      </w:r>
      <w:r>
        <w:rPr>
          <w:lang w:val="en-US"/>
        </w:rPr>
        <w:t xml:space="preserve">: </w:t>
      </w:r>
      <w:r w:rsidRPr="009B65A1">
        <w:t xml:space="preserve">pay-television </w:t>
      </w:r>
      <w:r>
        <w:t xml:space="preserve">subscriptions (37 %), followed by advertisement (34 %) and public funding (29 %). </w:t>
      </w:r>
      <w:r w:rsidRPr="00AA5010">
        <w:t xml:space="preserve">Source: European Audiovisual Observatory Yearbook, 2015. </w:t>
      </w:r>
      <w:r w:rsidRPr="008769E1">
        <w:t>Television maintains the highest share of advertising revenue across all media</w:t>
      </w:r>
      <w:r>
        <w:t>: g</w:t>
      </w:r>
      <w:r w:rsidRPr="000875FC">
        <w:t>lobal total TV advertising revenue’s share of global total advertising revenue was 31.5% in 2014, see PWC the Global entertainment and media outlook 2015 –2019</w:t>
      </w:r>
      <w:r>
        <w:t xml:space="preserve">, </w:t>
      </w:r>
      <w:hyperlink r:id="rId13" w:history="1">
        <w:r w:rsidRPr="000E3819">
          <w:rPr>
            <w:rStyle w:val="Hyperlink"/>
          </w:rPr>
          <w:t>http://www.pwc.com/gx/en/industries/entertainment-media/outlook/segment-insights/tv-advertising.html</w:t>
        </w:r>
      </w:hyperlink>
      <w:r>
        <w:t>.</w:t>
      </w:r>
    </w:p>
  </w:footnote>
  <w:footnote w:id="58">
    <w:p w:rsidR="004B69C4" w:rsidRPr="008769E1" w:rsidRDefault="004B69C4" w:rsidP="00EA43AA">
      <w:pPr>
        <w:pStyle w:val="FootnoteText"/>
      </w:pPr>
      <w:r w:rsidRPr="008769E1">
        <w:rPr>
          <w:rStyle w:val="FootnoteReference"/>
        </w:rPr>
        <w:footnoteRef/>
      </w:r>
      <w:r w:rsidRPr="008769E1">
        <w:t xml:space="preserve"> </w:t>
      </w:r>
      <w:r>
        <w:tab/>
      </w:r>
      <w:r>
        <w:rPr>
          <w:rFonts w:eastAsia="Arial Unicode MS" w:hAnsi="Arial Unicode MS" w:cs="Arial Unicode MS"/>
        </w:rPr>
        <w:t xml:space="preserve">According to IHS which tracks the total viewing of France, Spain, Germany, Italy, the United Kingdom and the United States by combining viewing time data from linear televisions, PVR (personal video recorder), time-shifting, pay TV video-on-demand services and over-the-top (OTT) content- Source: </w:t>
      </w:r>
      <w:r w:rsidRPr="008769E1">
        <w:t>IHS Technology,</w:t>
      </w:r>
      <w:r>
        <w:t xml:space="preserve"> </w:t>
      </w:r>
      <w:r w:rsidRPr="008769E1">
        <w:t xml:space="preserve">"Current market and Technology Trends in the Broadcasting Sector", May 2015, </w:t>
      </w:r>
      <w:r w:rsidRPr="0032447C">
        <w:t xml:space="preserve">p. </w:t>
      </w:r>
      <w:r w:rsidRPr="00C32C45">
        <w:t>27.</w:t>
      </w:r>
    </w:p>
  </w:footnote>
  <w:footnote w:id="59">
    <w:p w:rsidR="004B69C4" w:rsidRPr="0053316C" w:rsidRDefault="004B69C4" w:rsidP="00EA43AA">
      <w:pPr>
        <w:pStyle w:val="FootnoteText"/>
      </w:pPr>
      <w:r>
        <w:rPr>
          <w:rStyle w:val="FootnoteReference"/>
        </w:rPr>
        <w:footnoteRef/>
      </w:r>
      <w:r>
        <w:t xml:space="preserve"> </w:t>
      </w:r>
      <w:r>
        <w:tab/>
        <w:t xml:space="preserve">Standard Eurobarometer 82, Media Use in the EU, Autumn 2014: </w:t>
      </w:r>
      <w:hyperlink r:id="rId14" w:history="1">
        <w:r w:rsidRPr="000E3819">
          <w:rPr>
            <w:rStyle w:val="Hyperlink"/>
          </w:rPr>
          <w:t>http://ec.europa.eu/COMMFrontOffice/PublicOpinion/index.cfm/Survey/getSurveyDetail/yearFrom/1973/yearTo/2014/surveyKy/2041</w:t>
        </w:r>
      </w:hyperlink>
      <w:r>
        <w:t xml:space="preserve"> </w:t>
      </w:r>
    </w:p>
  </w:footnote>
  <w:footnote w:id="60">
    <w:p w:rsidR="004B69C4" w:rsidRPr="00BF0562" w:rsidRDefault="004B69C4" w:rsidP="00EA43AA">
      <w:pPr>
        <w:pStyle w:val="FootnoteText"/>
      </w:pPr>
      <w:r>
        <w:rPr>
          <w:rStyle w:val="FootnoteReference"/>
        </w:rPr>
        <w:footnoteRef/>
      </w:r>
      <w:r>
        <w:t xml:space="preserve"> </w:t>
      </w:r>
      <w:r>
        <w:tab/>
        <w:t xml:space="preserve">The figure </w:t>
      </w:r>
      <w:r w:rsidRPr="00BF0562">
        <w:t>include</w:t>
      </w:r>
      <w:r>
        <w:t>s</w:t>
      </w:r>
      <w:r w:rsidRPr="00BF0562">
        <w:t xml:space="preserve"> linear TV</w:t>
      </w:r>
      <w:r>
        <w:t xml:space="preserve"> as well as short term catch-up. Source: "</w:t>
      </w:r>
      <w:r w:rsidRPr="00BF0562">
        <w:t>The development of the European market for on-demand audiovisual services</w:t>
      </w:r>
      <w:r>
        <w:t xml:space="preserve">", European Audiovisual Observatory, March 2015. </w:t>
      </w:r>
    </w:p>
  </w:footnote>
  <w:footnote w:id="61">
    <w:p w:rsidR="004B69C4" w:rsidRPr="007F7D89" w:rsidRDefault="004B69C4" w:rsidP="00EA43AA">
      <w:pPr>
        <w:pStyle w:val="FootnoteText"/>
      </w:pPr>
      <w:r w:rsidRPr="007F7D89">
        <w:rPr>
          <w:rStyle w:val="FootnoteReference"/>
        </w:rPr>
        <w:footnoteRef/>
      </w:r>
      <w:r w:rsidRPr="007F7D89">
        <w:t xml:space="preserve"> </w:t>
      </w:r>
      <w:r>
        <w:tab/>
        <w:t>In the UK, TV</w:t>
      </w:r>
      <w:r>
        <w:rPr>
          <w:lang w:val="en-US"/>
        </w:rPr>
        <w:t xml:space="preserve"> programming accounts for 65 % of video viewing among individuals aged 16 to 24. </w:t>
      </w:r>
      <w:hyperlink r:id="rId15" w:history="1">
        <w:r w:rsidRPr="007F7D89">
          <w:rPr>
            <w:rStyle w:val="Hyperlink"/>
          </w:rPr>
          <w:t>http://informitv.com/2015/06/18/young-people-still-watch-television/</w:t>
        </w:r>
      </w:hyperlink>
    </w:p>
    <w:p w:rsidR="004B69C4" w:rsidRPr="007F7D89" w:rsidRDefault="004B69C4" w:rsidP="00EA43AA">
      <w:pPr>
        <w:pStyle w:val="FootnoteText"/>
        <w:ind w:firstLine="0"/>
      </w:pPr>
      <w:r w:rsidRPr="007F7D89">
        <w:t>Truth About Youth, Thinkbox, June 2015</w:t>
      </w:r>
    </w:p>
  </w:footnote>
  <w:footnote w:id="62">
    <w:p w:rsidR="004B69C4" w:rsidRPr="009B1F68" w:rsidRDefault="004B69C4" w:rsidP="00EA43AA">
      <w:pPr>
        <w:pStyle w:val="Text1"/>
        <w:spacing w:before="0" w:after="0"/>
        <w:ind w:left="709" w:hanging="709"/>
      </w:pPr>
      <w:r w:rsidRPr="00036141">
        <w:rPr>
          <w:rStyle w:val="FootnoteReference"/>
          <w:sz w:val="20"/>
        </w:rPr>
        <w:footnoteRef/>
      </w:r>
      <w:r>
        <w:t xml:space="preserve"> </w:t>
      </w:r>
      <w:r>
        <w:tab/>
      </w:r>
      <w:r w:rsidRPr="00EF6341">
        <w:rPr>
          <w:rFonts w:eastAsia="Arial Unicode MS" w:hAnsi="Arial Unicode MS" w:cs="Arial Unicode MS"/>
          <w:sz w:val="20"/>
        </w:rPr>
        <w:t>F</w:t>
      </w:r>
      <w:r>
        <w:rPr>
          <w:rFonts w:eastAsia="Arial Unicode MS" w:hAnsi="Arial Unicode MS" w:cs="Arial Unicode MS"/>
          <w:sz w:val="20"/>
        </w:rPr>
        <w:t>R</w:t>
      </w:r>
      <w:r w:rsidRPr="00EF6341">
        <w:rPr>
          <w:rFonts w:eastAsia="Arial Unicode MS" w:hAnsi="Arial Unicode MS" w:cs="Arial Unicode MS"/>
          <w:sz w:val="20"/>
        </w:rPr>
        <w:t>: TV 61</w:t>
      </w:r>
      <w:r>
        <w:rPr>
          <w:rFonts w:eastAsia="Arial Unicode MS" w:hAnsi="Arial Unicode MS" w:cs="Arial Unicode MS"/>
          <w:sz w:val="20"/>
        </w:rPr>
        <w:t xml:space="preserve"> </w:t>
      </w:r>
      <w:r w:rsidRPr="00EF6341">
        <w:rPr>
          <w:rFonts w:eastAsia="Arial Unicode MS" w:hAnsi="Arial Unicode MS" w:cs="Arial Unicode MS"/>
          <w:sz w:val="20"/>
        </w:rPr>
        <w:t>% radio 11</w:t>
      </w:r>
      <w:r>
        <w:rPr>
          <w:rFonts w:eastAsia="Arial Unicode MS" w:hAnsi="Arial Unicode MS" w:cs="Arial Unicode MS"/>
          <w:sz w:val="20"/>
        </w:rPr>
        <w:t xml:space="preserve"> </w:t>
      </w:r>
      <w:r w:rsidRPr="00EF6341">
        <w:rPr>
          <w:rFonts w:eastAsia="Arial Unicode MS" w:hAnsi="Arial Unicode MS" w:cs="Arial Unicode MS"/>
          <w:sz w:val="20"/>
        </w:rPr>
        <w:t xml:space="preserve">%; </w:t>
      </w:r>
      <w:r>
        <w:rPr>
          <w:rFonts w:eastAsia="Arial Unicode MS" w:hAnsi="Arial Unicode MS" w:cs="Arial Unicode MS"/>
          <w:sz w:val="20"/>
        </w:rPr>
        <w:t>DE</w:t>
      </w:r>
      <w:r w:rsidRPr="00EF6341">
        <w:rPr>
          <w:rFonts w:eastAsia="Arial Unicode MS" w:hAnsi="Arial Unicode MS" w:cs="Arial Unicode MS"/>
          <w:sz w:val="20"/>
        </w:rPr>
        <w:t>: TV 56</w:t>
      </w:r>
      <w:r>
        <w:rPr>
          <w:rFonts w:eastAsia="Arial Unicode MS" w:hAnsi="Arial Unicode MS" w:cs="Arial Unicode MS"/>
          <w:sz w:val="20"/>
        </w:rPr>
        <w:t xml:space="preserve"> </w:t>
      </w:r>
      <w:r w:rsidRPr="00EF6341">
        <w:rPr>
          <w:rFonts w:eastAsia="Arial Unicode MS" w:hAnsi="Arial Unicode MS" w:cs="Arial Unicode MS"/>
          <w:sz w:val="20"/>
        </w:rPr>
        <w:t>% ra</w:t>
      </w:r>
      <w:r>
        <w:rPr>
          <w:rFonts w:eastAsia="Arial Unicode MS" w:hAnsi="Arial Unicode MS" w:cs="Arial Unicode MS"/>
          <w:sz w:val="20"/>
        </w:rPr>
        <w:t xml:space="preserve">dio 13 %; DK: TV 54 % radio 9 %; UK: TV 51 % </w:t>
      </w:r>
      <w:r w:rsidRPr="00EF6341">
        <w:rPr>
          <w:rFonts w:eastAsia="Arial Unicode MS" w:hAnsi="Arial Unicode MS" w:cs="Arial Unicode MS"/>
          <w:sz w:val="20"/>
        </w:rPr>
        <w:t xml:space="preserve">radio </w:t>
      </w:r>
      <w:r w:rsidRPr="003D4053">
        <w:rPr>
          <w:rFonts w:eastAsia="Arial Unicode MS" w:hAnsi="Arial Unicode MS" w:cs="Arial Unicode MS"/>
          <w:sz w:val="20"/>
        </w:rPr>
        <w:t>8</w:t>
      </w:r>
      <w:r>
        <w:rPr>
          <w:rFonts w:eastAsia="Arial Unicode MS" w:hAnsi="Arial Unicode MS" w:cs="Arial Unicode MS"/>
          <w:sz w:val="20"/>
        </w:rPr>
        <w:t xml:space="preserve"> </w:t>
      </w:r>
      <w:r w:rsidRPr="003D4053">
        <w:rPr>
          <w:rFonts w:eastAsia="Arial Unicode MS" w:hAnsi="Arial Unicode MS" w:cs="Arial Unicode MS"/>
          <w:sz w:val="20"/>
        </w:rPr>
        <w:t>%</w:t>
      </w:r>
      <w:r w:rsidRPr="00EF6341">
        <w:rPr>
          <w:rFonts w:eastAsia="Arial Unicode MS" w:hAnsi="Arial Unicode MS" w:cs="Arial Unicode MS"/>
          <w:sz w:val="20"/>
        </w:rPr>
        <w:t>.</w:t>
      </w:r>
      <w:r>
        <w:t xml:space="preserve"> </w:t>
      </w:r>
      <w:r w:rsidRPr="003D4053">
        <w:rPr>
          <w:sz w:val="20"/>
        </w:rPr>
        <w:t xml:space="preserve">See Hermes </w:t>
      </w:r>
      <w:hyperlink r:id="rId16" w:history="1">
        <w:r w:rsidRPr="003D4053">
          <w:rPr>
            <w:rStyle w:val="Hyperlink"/>
            <w:sz w:val="20"/>
          </w:rPr>
          <w:t>study on the future of European audiovisual regulation 2015</w:t>
        </w:r>
      </w:hyperlink>
      <w:r w:rsidRPr="003D4053">
        <w:rPr>
          <w:sz w:val="20"/>
        </w:rPr>
        <w:t xml:space="preserve">, based on </w:t>
      </w:r>
      <w:r w:rsidRPr="00711E26">
        <w:rPr>
          <w:sz w:val="20"/>
        </w:rPr>
        <w:t>Reuters Digital News Survey 2014 / Hans-Bredow-Institute.</w:t>
      </w:r>
    </w:p>
  </w:footnote>
  <w:footnote w:id="63">
    <w:p w:rsidR="004B69C4" w:rsidRPr="005208D9" w:rsidRDefault="004B69C4" w:rsidP="00EA43AA">
      <w:pPr>
        <w:pStyle w:val="FootnoteText"/>
        <w:rPr>
          <w:lang w:val="en-US"/>
        </w:rPr>
      </w:pPr>
      <w:r>
        <w:rPr>
          <w:rStyle w:val="FootnoteReference"/>
        </w:rPr>
        <w:footnoteRef/>
      </w:r>
      <w:r>
        <w:t xml:space="preserve">  </w:t>
      </w:r>
      <w:r>
        <w:tab/>
      </w:r>
      <w:r w:rsidRPr="005208D9">
        <w:rPr>
          <w:lang w:val="en-US"/>
        </w:rPr>
        <w:t>Source: AER reply to the public consultation</w:t>
      </w:r>
      <w:r>
        <w:rPr>
          <w:lang w:val="en-US"/>
        </w:rPr>
        <w:t xml:space="preserve"> on the SatCab review, 2015</w:t>
      </w:r>
      <w:r w:rsidRPr="005208D9">
        <w:rPr>
          <w:lang w:val="en-US"/>
        </w:rPr>
        <w:t>.</w:t>
      </w:r>
      <w:r>
        <w:rPr>
          <w:lang w:val="en-US"/>
        </w:rPr>
        <w:t xml:space="preserve"> </w:t>
      </w:r>
    </w:p>
  </w:footnote>
  <w:footnote w:id="64">
    <w:p w:rsidR="004B69C4" w:rsidRPr="003F6ACC" w:rsidRDefault="004B69C4" w:rsidP="00EA43AA">
      <w:pPr>
        <w:pStyle w:val="FootnoteText"/>
      </w:pPr>
      <w:r>
        <w:rPr>
          <w:rStyle w:val="FootnoteReference"/>
        </w:rPr>
        <w:footnoteRef/>
      </w:r>
      <w:r>
        <w:t xml:space="preserve"> </w:t>
      </w:r>
      <w:r>
        <w:tab/>
        <w:t>Terrestrial radio and TV services are broadcast from transmission towers and received through an antenna. Terrestrial channels are generally free to view, although some are available as part of subscription services (normally as part of a package of channels linked to the basic level of subscription).</w:t>
      </w:r>
    </w:p>
  </w:footnote>
  <w:footnote w:id="65">
    <w:p w:rsidR="004B69C4" w:rsidRPr="003F6ACC" w:rsidRDefault="004B69C4" w:rsidP="00EA43AA">
      <w:pPr>
        <w:pStyle w:val="FootnoteText"/>
      </w:pPr>
      <w:r>
        <w:rPr>
          <w:rStyle w:val="FootnoteReference"/>
        </w:rPr>
        <w:footnoteRef/>
      </w:r>
      <w:r>
        <w:t xml:space="preserve"> </w:t>
      </w:r>
      <w:r>
        <w:tab/>
      </w:r>
      <w:r w:rsidRPr="009B6A89">
        <w:t>Direct to home satellite television and radio channels are uplinked from an earth station or teleport either directly by a broadca</w:t>
      </w:r>
      <w:r>
        <w:t>ster, by a third-party facility or by a satellite operator</w:t>
      </w:r>
      <w:r w:rsidRPr="009B6A89">
        <w:t xml:space="preserve">. </w:t>
      </w:r>
      <w:r w:rsidRPr="007167B5">
        <w:t xml:space="preserve">Some satellite services are free to air. However, many satellite services are encrypted and therefore users are also required to pay for a subscription in order to access the content. </w:t>
      </w:r>
      <w:r w:rsidRPr="00C32C45">
        <w:rPr>
          <w:rFonts w:eastAsiaTheme="minorHAnsi" w:cstheme="minorBidi"/>
          <w:szCs w:val="24"/>
          <w:lang w:eastAsia="en-US"/>
        </w:rPr>
        <w:t>In most cases these encrypted pay channels are offered as part of package of channels offered by satellite package providers</w:t>
      </w:r>
      <w:r>
        <w:rPr>
          <w:rFonts w:eastAsiaTheme="minorHAnsi" w:cstheme="minorBidi"/>
          <w:szCs w:val="24"/>
          <w:lang w:eastAsia="en-US"/>
        </w:rPr>
        <w:t>.</w:t>
      </w:r>
    </w:p>
  </w:footnote>
  <w:footnote w:id="66">
    <w:p w:rsidR="004B69C4" w:rsidRPr="006955B8" w:rsidRDefault="004B69C4" w:rsidP="00EA43AA">
      <w:pPr>
        <w:pStyle w:val="FootnoteText"/>
        <w:rPr>
          <w:lang w:val="en-US"/>
        </w:rPr>
      </w:pPr>
      <w:r>
        <w:rPr>
          <w:rStyle w:val="FootnoteReference"/>
        </w:rPr>
        <w:footnoteRef/>
      </w:r>
      <w:r>
        <w:t xml:space="preserve"> </w:t>
      </w:r>
      <w:r>
        <w:tab/>
      </w:r>
      <w:r w:rsidRPr="00004D51">
        <w:t xml:space="preserve">Cable television </w:t>
      </w:r>
      <w:r>
        <w:t xml:space="preserve">and radio </w:t>
      </w:r>
      <w:r w:rsidRPr="00004D51">
        <w:t>services are generally carried over a co-axial cable. Signals are received at a cable head end, either via terrest</w:t>
      </w:r>
      <w:r>
        <w:t xml:space="preserve">rial or satellite transmissions, and retransmitted via cable to customer homes. </w:t>
      </w:r>
      <w:r w:rsidRPr="00004D51">
        <w:t xml:space="preserve">Some channels may be provided free of charge, or as part of a basic cable service tier. Other channels may be </w:t>
      </w:r>
      <w:r>
        <w:t xml:space="preserve">encrypted and are </w:t>
      </w:r>
      <w:r w:rsidRPr="00004D51">
        <w:t>offered on a subscription basis, typically in various bundled packages</w:t>
      </w:r>
      <w:r>
        <w:t xml:space="preserve">. </w:t>
      </w:r>
    </w:p>
  </w:footnote>
  <w:footnote w:id="67">
    <w:p w:rsidR="004B69C4" w:rsidRPr="003F6ACC" w:rsidRDefault="004B69C4" w:rsidP="00EA43AA">
      <w:pPr>
        <w:pStyle w:val="FootnoteText"/>
      </w:pPr>
      <w:r>
        <w:rPr>
          <w:rStyle w:val="FootnoteReference"/>
        </w:rPr>
        <w:footnoteRef/>
      </w:r>
      <w:r>
        <w:t xml:space="preserve"> </w:t>
      </w:r>
      <w:r>
        <w:tab/>
      </w:r>
      <w:r w:rsidRPr="00AA76C2">
        <w:t xml:space="preserve">It is now </w:t>
      </w:r>
      <w:r w:rsidRPr="007E43CD">
        <w:t xml:space="preserve">possible </w:t>
      </w:r>
      <w:r w:rsidRPr="00705E14">
        <w:t xml:space="preserve">for telecommunications companies (which may be either incumbent telephone companies or competing providers of communications services) to distribute radio and television channels and other AV services over fixed or wireless broadband data networks using internet protocols. Such services are sometimes referred to </w:t>
      </w:r>
      <w:r w:rsidRPr="009E6EB3">
        <w:t>as internet protocol television, or IPTV.</w:t>
      </w:r>
    </w:p>
  </w:footnote>
  <w:footnote w:id="68">
    <w:p w:rsidR="004B69C4" w:rsidRDefault="004B69C4" w:rsidP="00EA43AA">
      <w:pPr>
        <w:pStyle w:val="FootnoteText"/>
      </w:pPr>
      <w:r>
        <w:rPr>
          <w:rStyle w:val="FootnoteReference"/>
        </w:rPr>
        <w:footnoteRef/>
      </w:r>
      <w:r>
        <w:t xml:space="preserve"> </w:t>
      </w:r>
      <w:r>
        <w:tab/>
        <w:t xml:space="preserve">For example, </w:t>
      </w:r>
      <w:r w:rsidRPr="00C32C45">
        <w:rPr>
          <w:rFonts w:eastAsia="Times New Roman"/>
          <w:color w:val="000000"/>
          <w:szCs w:val="24"/>
          <w:u w:color="000000"/>
          <w:bdr w:val="nil"/>
          <w:lang w:val="en-US"/>
        </w:rPr>
        <w:t>YouTube live channels</w:t>
      </w:r>
      <w:r>
        <w:rPr>
          <w:rFonts w:eastAsia="Times New Roman"/>
          <w:color w:val="000000"/>
          <w:szCs w:val="24"/>
          <w:u w:color="000000"/>
          <w:bdr w:val="nil"/>
          <w:lang w:val="en-US"/>
        </w:rPr>
        <w:t>.</w:t>
      </w:r>
    </w:p>
  </w:footnote>
  <w:footnote w:id="69">
    <w:p w:rsidR="004B69C4" w:rsidRPr="008923CB" w:rsidRDefault="004B69C4" w:rsidP="00FC609C">
      <w:pPr>
        <w:pStyle w:val="FootnoteText"/>
      </w:pPr>
      <w:r>
        <w:rPr>
          <w:rStyle w:val="FootnoteReference"/>
        </w:rPr>
        <w:footnoteRef/>
      </w:r>
      <w:r>
        <w:t xml:space="preserve"> </w:t>
      </w:r>
      <w:r>
        <w:tab/>
      </w:r>
      <w:r>
        <w:rPr>
          <w:rFonts w:eastAsia="Times New Roman"/>
          <w:color w:val="000000"/>
          <w:szCs w:val="24"/>
          <w:u w:color="000000"/>
          <w:bdr w:val="nil"/>
          <w:lang w:val="en-US"/>
        </w:rPr>
        <w:t xml:space="preserve">For example, </w:t>
      </w:r>
      <w:r w:rsidRPr="002F3FC3">
        <w:t>YouTube live channels which cover</w:t>
      </w:r>
      <w:r w:rsidRPr="002F3FC3">
        <w:rPr>
          <w:b/>
        </w:rPr>
        <w:t xml:space="preserve"> </w:t>
      </w:r>
      <w:r w:rsidRPr="002F3FC3">
        <w:rPr>
          <w:rStyle w:val="Emphasis"/>
          <w:b w:val="0"/>
        </w:rPr>
        <w:t>live streams</w:t>
      </w:r>
      <w:r w:rsidRPr="002F3FC3">
        <w:rPr>
          <w:rStyle w:val="st1"/>
        </w:rPr>
        <w:t xml:space="preserve"> such as gaming, music, sports, news, </w:t>
      </w:r>
      <w:r>
        <w:rPr>
          <w:rStyle w:val="st1"/>
        </w:rPr>
        <w:t>technology, nature</w:t>
      </w:r>
      <w:r>
        <w:t>; iTunes "Beats" radio which offers linear music streaming. Traditional broadcasters have also started to offer online-only linear TV-like channels: a</w:t>
      </w:r>
      <w:r w:rsidRPr="00686C23">
        <w:t xml:space="preserve">s of February 2016, BBC </w:t>
      </w:r>
      <w:r>
        <w:t>3</w:t>
      </w:r>
      <w:r w:rsidRPr="00686C23">
        <w:t xml:space="preserve"> channel is available only online</w:t>
      </w:r>
      <w:r>
        <w:t>; o</w:t>
      </w:r>
      <w:r w:rsidRPr="00686C23">
        <w:t>n 31 May 2016, RTL II (</w:t>
      </w:r>
      <w:r>
        <w:t>DE</w:t>
      </w:r>
      <w:r w:rsidRPr="00686C23">
        <w:t>) launched its online channel RTL II You, which combines linear services with video-on-demand.</w:t>
      </w:r>
    </w:p>
  </w:footnote>
  <w:footnote w:id="70">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t xml:space="preserve">The concept of ‘catch-up’ television, enabling consumers to view programmes at the own choice of timing, is generally based on clearance of the rights for programming within a limited window, typically 7 </w:t>
      </w:r>
      <w:r>
        <w:t>to</w:t>
      </w:r>
      <w:r w:rsidRPr="00DA6D8E">
        <w:t xml:space="preserve"> </w:t>
      </w:r>
      <w:r>
        <w:t>30</w:t>
      </w:r>
      <w:r w:rsidRPr="00DA6D8E">
        <w:t xml:space="preserve"> days after transmission.</w:t>
      </w:r>
    </w:p>
  </w:footnote>
  <w:footnote w:id="71">
    <w:p w:rsidR="004B69C4" w:rsidRDefault="004B69C4" w:rsidP="00FC609C">
      <w:pPr>
        <w:pStyle w:val="FootnoteText"/>
        <w:ind w:left="709" w:hanging="709"/>
      </w:pPr>
      <w:r w:rsidRPr="00D457D6">
        <w:rPr>
          <w:rStyle w:val="FootnoteReference"/>
        </w:rPr>
        <w:footnoteRef/>
      </w:r>
      <w:r w:rsidRPr="00D457D6">
        <w:t xml:space="preserve">  </w:t>
      </w:r>
      <w:r w:rsidRPr="00D457D6">
        <w:tab/>
      </w:r>
      <w:r w:rsidRPr="0099576D">
        <w:rPr>
          <w:rFonts w:eastAsia="Arial Unicode MS" w:hAnsi="Arial Unicode MS" w:cs="Arial Unicode MS"/>
          <w:color w:val="000000"/>
          <w:szCs w:val="24"/>
          <w:u w:color="000000"/>
          <w:bdr w:val="nil"/>
          <w:lang w:val="en-US"/>
        </w:rPr>
        <w:t>European Broadcasting Union (EBU</w:t>
      </w:r>
      <w:r>
        <w:t>) m</w:t>
      </w:r>
      <w:r w:rsidRPr="00D457D6">
        <w:t xml:space="preserve">embers' experience with archives rights clearance for online transmissions </w:t>
      </w:r>
      <w:r w:rsidRPr="0059118E">
        <w:t>show</w:t>
      </w:r>
      <w:r w:rsidRPr="002B06CD">
        <w:t>s</w:t>
      </w:r>
      <w:r w:rsidRPr="00D457D6">
        <w:t xml:space="preserve"> that administrative</w:t>
      </w:r>
      <w:r>
        <w:t xml:space="preserve"> </w:t>
      </w:r>
      <w:r w:rsidRPr="00D457D6">
        <w:t xml:space="preserve">costs can be </w:t>
      </w:r>
      <w:r>
        <w:t>€</w:t>
      </w:r>
      <w:r w:rsidRPr="00D457D6">
        <w:t>15</w:t>
      </w:r>
      <w:r>
        <w:t>,</w:t>
      </w:r>
      <w:r w:rsidRPr="00D457D6">
        <w:t>000-20</w:t>
      </w:r>
      <w:r>
        <w:t>,</w:t>
      </w:r>
      <w:r w:rsidRPr="00D457D6">
        <w:t xml:space="preserve">000 in a standard case, while a difficult case could amount to </w:t>
      </w:r>
      <w:r>
        <w:t>€</w:t>
      </w:r>
      <w:r w:rsidRPr="00D457D6">
        <w:t>60</w:t>
      </w:r>
      <w:r>
        <w:t>,</w:t>
      </w:r>
      <w:r w:rsidRPr="00D457D6">
        <w:t>000-80</w:t>
      </w:r>
      <w:r>
        <w:t>,</w:t>
      </w:r>
      <w:r w:rsidRPr="00D457D6">
        <w:t xml:space="preserve">000 </w:t>
      </w:r>
      <w:r>
        <w:t>(EBU reply to the SatCab public consultation)</w:t>
      </w:r>
      <w:r w:rsidRPr="00D457D6">
        <w:t>.</w:t>
      </w:r>
      <w:r>
        <w:t xml:space="preserve"> </w:t>
      </w:r>
      <w:r w:rsidRPr="00A5595A">
        <w:t>(</w:t>
      </w:r>
      <w:r w:rsidRPr="00F2223F">
        <w:rPr>
          <w:i/>
        </w:rPr>
        <w:t>Note</w:t>
      </w:r>
      <w:r w:rsidRPr="00A5595A">
        <w:t xml:space="preserve">: this example concerns </w:t>
      </w:r>
      <w:r w:rsidRPr="00F2223F">
        <w:rPr>
          <w:u w:val="single"/>
        </w:rPr>
        <w:t>transaction</w:t>
      </w:r>
      <w:r w:rsidRPr="00A5595A">
        <w:t xml:space="preserve"> costs to clear online rights for archive content</w:t>
      </w:r>
      <w:r w:rsidRPr="0099576D">
        <w:t xml:space="preserve"> nationally</w:t>
      </w:r>
      <w:r w:rsidRPr="00A5595A">
        <w:t xml:space="preserve">, to which the broadcaster </w:t>
      </w:r>
      <w:r w:rsidRPr="0099576D">
        <w:t xml:space="preserve">previously acquired a licence for broadcasting). EBU explained that these examples of the clearance costs figures come from the BBC in 2005, adapted to the inflation. In general, “standard” cases are typically documentaries, current affairs and non-fiction programmes, as they involve less different </w:t>
      </w:r>
      <w:r>
        <w:t>rightholders</w:t>
      </w:r>
      <w:r w:rsidRPr="0099576D">
        <w:t xml:space="preserve">, whereas "difficult" cases are typically dramas, comedy series and other fiction programmes. The standard/difficult borderline is also determined by the age of the programme (the older it is, the more difficult it is to clear the rights). See for further information </w:t>
      </w:r>
      <w:hyperlink r:id="rId17" w:history="1">
        <w:r w:rsidRPr="0099576D">
          <w:rPr>
            <w:rStyle w:val="Hyperlink"/>
          </w:rPr>
          <w:t>http://webarchive.nationalarchives.gov.uk/20140603093549/http://www.ipo.gov.uk/ipreview-c4e-sub-bbc.pdf</w:t>
        </w:r>
      </w:hyperlink>
      <w:r>
        <w:t xml:space="preserve">. </w:t>
      </w:r>
    </w:p>
    <w:p w:rsidR="004B69C4" w:rsidRPr="00DA6D8E" w:rsidRDefault="004B69C4" w:rsidP="00FC609C">
      <w:pPr>
        <w:pStyle w:val="FootnoteText"/>
        <w:ind w:left="709" w:firstLine="0"/>
      </w:pPr>
      <w:r w:rsidRPr="00C32C45">
        <w:t xml:space="preserve">However, despite requests, neither EBU nor </w:t>
      </w:r>
      <w:r>
        <w:t>the Association of Commercial Television in Europe (</w:t>
      </w:r>
      <w:r w:rsidRPr="00C32C45">
        <w:t>ACT</w:t>
      </w:r>
      <w:r>
        <w:t>)</w:t>
      </w:r>
      <w:r w:rsidRPr="00C32C45">
        <w:t xml:space="preserve"> provided data on </w:t>
      </w:r>
      <w:r w:rsidRPr="00C32C45">
        <w:rPr>
          <w:u w:val="single"/>
        </w:rPr>
        <w:t>cross-border transaction costs</w:t>
      </w:r>
      <w:r w:rsidRPr="00C32C45">
        <w:t xml:space="preserve"> for clearing online right</w:t>
      </w:r>
      <w:r>
        <w:t>s</w:t>
      </w:r>
      <w:r w:rsidRPr="00C32C45">
        <w:t xml:space="preserve">, as compared to transaction costs </w:t>
      </w:r>
      <w:r w:rsidRPr="00C32C45">
        <w:rPr>
          <w:u w:val="single"/>
        </w:rPr>
        <w:t>in one jurisdiction</w:t>
      </w:r>
      <w:r w:rsidRPr="00C32C45">
        <w:t xml:space="preserve">. </w:t>
      </w:r>
    </w:p>
  </w:footnote>
  <w:footnote w:id="72">
    <w:p w:rsidR="004B69C4" w:rsidRPr="0080769D" w:rsidRDefault="004B69C4" w:rsidP="00FC609C">
      <w:pPr>
        <w:pStyle w:val="FootnoteText"/>
      </w:pPr>
      <w:r>
        <w:rPr>
          <w:rStyle w:val="FootnoteReference"/>
        </w:rPr>
        <w:footnoteRef/>
      </w:r>
      <w:r>
        <w:t xml:space="preserve"> </w:t>
      </w:r>
      <w:r>
        <w:tab/>
        <w:t>See section 6.1 of the ex-post (REFIT) Evaluation of the Satellite and Cable Directive (93/83/EEC).</w:t>
      </w:r>
    </w:p>
  </w:footnote>
  <w:footnote w:id="73">
    <w:p w:rsidR="004B69C4" w:rsidRPr="00705E14" w:rsidRDefault="004B69C4" w:rsidP="00FC609C">
      <w:pPr>
        <w:pBdr>
          <w:top w:val="nil"/>
          <w:left w:val="nil"/>
          <w:bottom w:val="nil"/>
          <w:right w:val="nil"/>
          <w:between w:val="nil"/>
          <w:bar w:val="nil"/>
        </w:pBdr>
        <w:spacing w:after="0" w:line="240" w:lineRule="auto"/>
        <w:ind w:left="709" w:hanging="709"/>
        <w:jc w:val="both"/>
        <w:rPr>
          <w:rFonts w:ascii="Times New Roman" w:eastAsia="Times New Roman" w:hAnsi="Times New Roman" w:cs="Times New Roman"/>
          <w:color w:val="000000"/>
          <w:sz w:val="20"/>
          <w:szCs w:val="20"/>
          <w:u w:color="000000"/>
          <w:bdr w:val="nil"/>
          <w:lang w:eastAsia="en-GB"/>
        </w:rPr>
      </w:pPr>
      <w:r w:rsidRPr="00324BF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sidRPr="00D457D6">
        <w:rPr>
          <w:rFonts w:ascii="Times New Roman" w:eastAsia="Times New Roman" w:hAnsi="Times New Roman" w:cs="Times New Roman"/>
          <w:color w:val="000000"/>
          <w:sz w:val="20"/>
          <w:szCs w:val="20"/>
          <w:u w:color="000000"/>
          <w:bdr w:val="nil"/>
          <w:lang w:eastAsia="en-GB"/>
        </w:rPr>
        <w:t>The EBU, the European Composers and Songwriters Alliance (ECSA), the International Confederation of Music Publishers (ICMP) and the European Grouping of Societies of Authors and Composers (GESAC) have signed</w:t>
      </w:r>
      <w:r>
        <w:rPr>
          <w:rFonts w:ascii="Times New Roman" w:eastAsia="Times New Roman" w:hAnsi="Times New Roman" w:cs="Times New Roman"/>
          <w:color w:val="000000"/>
          <w:sz w:val="20"/>
          <w:szCs w:val="20"/>
          <w:u w:color="000000"/>
          <w:bdr w:val="nil"/>
          <w:lang w:eastAsia="en-GB"/>
        </w:rPr>
        <w:t xml:space="preserve"> on 4 April 2014</w:t>
      </w:r>
      <w:r w:rsidRPr="00D457D6">
        <w:rPr>
          <w:rFonts w:ascii="Times New Roman" w:eastAsia="Times New Roman" w:hAnsi="Times New Roman" w:cs="Times New Roman"/>
          <w:color w:val="000000"/>
          <w:sz w:val="20"/>
          <w:szCs w:val="20"/>
          <w:u w:color="000000"/>
          <w:bdr w:val="nil"/>
          <w:lang w:eastAsia="en-GB"/>
        </w:rPr>
        <w:t xml:space="preserve"> a </w:t>
      </w:r>
      <w:r>
        <w:rPr>
          <w:rFonts w:ascii="Times New Roman" w:eastAsia="Times New Roman" w:hAnsi="Times New Roman" w:cs="Times New Roman"/>
          <w:color w:val="000000"/>
          <w:sz w:val="20"/>
          <w:szCs w:val="20"/>
          <w:u w:color="000000"/>
          <w:bdr w:val="nil"/>
          <w:lang w:eastAsia="en-GB"/>
        </w:rPr>
        <w:t>Recommendation for the licensing of broadcast-related online activities (</w:t>
      </w:r>
      <w:hyperlink r:id="rId18" w:history="1">
        <w:r w:rsidRPr="000D410A">
          <w:rPr>
            <w:rStyle w:val="Hyperlink"/>
            <w:rFonts w:ascii="Times New Roman" w:eastAsia="Calibri" w:hAnsi="Times New Roman" w:cs="Times New Roman"/>
            <w:sz w:val="20"/>
            <w:szCs w:val="20"/>
            <w:lang w:eastAsia="en-GB"/>
          </w:rPr>
          <w:t>http://www.ebu.ch/files/live/sites/ebu/files/News/2014/04/Recommendation%20for%20the%20Licensing%20of%20Broadcast-related%20online%20activities.pdf</w:t>
        </w:r>
      </w:hyperlink>
      <w:r>
        <w:rPr>
          <w:rFonts w:ascii="Times New Roman" w:eastAsia="Times New Roman" w:hAnsi="Times New Roman" w:cs="Times New Roman"/>
          <w:color w:val="000000"/>
          <w:sz w:val="20"/>
          <w:szCs w:val="20"/>
          <w:u w:color="000000"/>
          <w:bdr w:val="nil"/>
          <w:lang w:eastAsia="en-GB"/>
        </w:rPr>
        <w:t xml:space="preserve">). This </w:t>
      </w:r>
      <w:r w:rsidRPr="00D457D6">
        <w:rPr>
          <w:rFonts w:ascii="Times New Roman" w:eastAsia="Times New Roman" w:hAnsi="Times New Roman" w:cs="Times New Roman"/>
          <w:color w:val="000000"/>
          <w:sz w:val="20"/>
          <w:szCs w:val="20"/>
          <w:u w:color="000000"/>
          <w:bdr w:val="nil"/>
          <w:lang w:eastAsia="en-GB"/>
        </w:rPr>
        <w:t xml:space="preserve">Recommendation sets the principles which encourage the aggregation of rights for the licensing on a cross-border basis of broadcast-related online services provided by and under the control and responsibility of a broadcaster which services have a clear relationship with the broadcaster’s linear offline broadcast services, in particular material with a thematic relationship with the offline broadcast content. In 2002, the Commission cleared an agreement between CMOs of record producers concerning one-stop licensing of rights for simulcasting services of TV and radio broadcasters. Under this agreement, broadcasters can get a </w:t>
      </w:r>
      <w:r>
        <w:rPr>
          <w:rFonts w:ascii="Times New Roman" w:eastAsia="Times New Roman" w:hAnsi="Times New Roman" w:cs="Times New Roman"/>
          <w:color w:val="000000"/>
          <w:sz w:val="20"/>
          <w:szCs w:val="20"/>
          <w:u w:color="000000"/>
          <w:bdr w:val="nil"/>
          <w:lang w:eastAsia="en-GB"/>
        </w:rPr>
        <w:t>multi-territorial</w:t>
      </w:r>
      <w:r w:rsidRPr="00D457D6">
        <w:rPr>
          <w:rFonts w:ascii="Times New Roman" w:eastAsia="Times New Roman" w:hAnsi="Times New Roman" w:cs="Times New Roman"/>
          <w:color w:val="000000"/>
          <w:sz w:val="20"/>
          <w:szCs w:val="20"/>
          <w:u w:color="000000"/>
          <w:bdr w:val="nil"/>
          <w:lang w:eastAsia="en-GB"/>
        </w:rPr>
        <w:t xml:space="preserve"> licence from a CMO of their choice for simulcasting services in the EEA rather than secure a licence from each national CMO</w:t>
      </w:r>
      <w:r>
        <w:t xml:space="preserve"> </w:t>
      </w:r>
      <w:r w:rsidRPr="00086421">
        <w:rPr>
          <w:rFonts w:ascii="Times New Roman" w:eastAsia="Times New Roman" w:hAnsi="Times New Roman" w:cs="Times New Roman"/>
          <w:color w:val="000000"/>
          <w:sz w:val="20"/>
          <w:szCs w:val="20"/>
          <w:u w:color="000000"/>
          <w:bdr w:val="nil"/>
          <w:lang w:eastAsia="en-GB"/>
        </w:rPr>
        <w:t>(Case No COMP/C2/38.014 — IFPI ‘Simulcasting’)</w:t>
      </w:r>
      <w:r>
        <w:rPr>
          <w:rFonts w:ascii="Times New Roman" w:eastAsia="Times New Roman" w:hAnsi="Times New Roman" w:cs="Times New Roman"/>
          <w:color w:val="000000"/>
          <w:sz w:val="20"/>
          <w:szCs w:val="20"/>
          <w:u w:color="000000"/>
          <w:bdr w:val="nil"/>
          <w:lang w:eastAsia="en-GB"/>
        </w:rPr>
        <w:t>.</w:t>
      </w:r>
      <w:r w:rsidRPr="008B323F">
        <w:rPr>
          <w:rFonts w:ascii="Times New Roman" w:eastAsia="Arial Unicode MS" w:hAnsi="Arial Unicode MS" w:cs="Arial Unicode MS"/>
          <w:bCs/>
          <w:color w:val="000000"/>
          <w:sz w:val="24"/>
          <w:szCs w:val="24"/>
          <w:u w:color="000000"/>
          <w:bdr w:val="nil"/>
          <w:lang w:eastAsia="en-GB"/>
        </w:rPr>
        <w:t xml:space="preserve"> </w:t>
      </w:r>
      <w:r w:rsidRPr="008B323F">
        <w:rPr>
          <w:rFonts w:ascii="Times New Roman" w:eastAsia="Times New Roman" w:hAnsi="Times New Roman" w:cs="Times New Roman"/>
          <w:bCs/>
          <w:color w:val="000000"/>
          <w:sz w:val="20"/>
          <w:szCs w:val="20"/>
          <w:u w:color="000000"/>
          <w:bdr w:val="nil"/>
          <w:lang w:eastAsia="en-GB"/>
        </w:rPr>
        <w:t>Subsequently further agreements have been concluded to cover other online related services such as some forms of webcasting</w:t>
      </w:r>
      <w:r>
        <w:rPr>
          <w:rFonts w:ascii="Times New Roman" w:eastAsia="Times New Roman" w:hAnsi="Times New Roman" w:cs="Times New Roman"/>
          <w:bCs/>
          <w:color w:val="000000"/>
          <w:sz w:val="20"/>
          <w:szCs w:val="20"/>
          <w:u w:color="000000"/>
          <w:bdr w:val="nil"/>
          <w:lang w:eastAsia="en-GB"/>
        </w:rPr>
        <w:t xml:space="preserve"> (2005)</w:t>
      </w:r>
      <w:r w:rsidRPr="008B323F">
        <w:rPr>
          <w:rFonts w:ascii="Times New Roman" w:eastAsia="Times New Roman" w:hAnsi="Times New Roman" w:cs="Times New Roman"/>
          <w:bCs/>
          <w:color w:val="000000"/>
          <w:sz w:val="20"/>
          <w:szCs w:val="20"/>
          <w:u w:color="000000"/>
          <w:bdr w:val="nil"/>
          <w:lang w:eastAsia="en-GB"/>
        </w:rPr>
        <w:t xml:space="preserve"> and catch-up services</w:t>
      </w:r>
      <w:r>
        <w:rPr>
          <w:rFonts w:ascii="Times New Roman" w:eastAsia="Times New Roman" w:hAnsi="Times New Roman" w:cs="Times New Roman"/>
          <w:bCs/>
          <w:color w:val="000000"/>
          <w:sz w:val="20"/>
          <w:szCs w:val="20"/>
          <w:u w:color="000000"/>
          <w:bdr w:val="nil"/>
          <w:lang w:eastAsia="en-GB"/>
        </w:rPr>
        <w:t xml:space="preserve"> (2015)</w:t>
      </w:r>
      <w:r>
        <w:rPr>
          <w:rFonts w:ascii="Times New Roman" w:eastAsia="Times New Roman" w:hAnsi="Times New Roman" w:cs="Times New Roman"/>
          <w:color w:val="000000"/>
          <w:sz w:val="20"/>
          <w:szCs w:val="20"/>
          <w:u w:color="000000"/>
          <w:bdr w:val="nil"/>
          <w:lang w:eastAsia="en-GB"/>
        </w:rPr>
        <w:t>.</w:t>
      </w:r>
    </w:p>
  </w:footnote>
  <w:footnote w:id="74">
    <w:p w:rsidR="004B69C4" w:rsidRPr="0099576D" w:rsidRDefault="004B69C4" w:rsidP="00FC609C">
      <w:pPr>
        <w:pStyle w:val="FootnoteText"/>
        <w:ind w:left="709" w:hanging="709"/>
      </w:pPr>
      <w:r w:rsidRPr="00DA6D8E">
        <w:rPr>
          <w:rStyle w:val="FootnoteReference"/>
        </w:rPr>
        <w:footnoteRef/>
      </w:r>
      <w:r w:rsidRPr="00DA6D8E">
        <w:t xml:space="preserve"> </w:t>
      </w:r>
      <w:r>
        <w:tab/>
      </w:r>
      <w:r w:rsidRPr="00DA6D8E">
        <w:t xml:space="preserve">For example, EBU members in the EU aggregate up to 10 million broadcast hours per day (Source: </w:t>
      </w:r>
      <w:r w:rsidRPr="0099576D">
        <w:t>EBU).</w:t>
      </w:r>
    </w:p>
  </w:footnote>
  <w:footnote w:id="75">
    <w:p w:rsidR="004B69C4" w:rsidRPr="0035328D" w:rsidRDefault="004B69C4" w:rsidP="00FC609C">
      <w:pPr>
        <w:pStyle w:val="FootnoteText"/>
      </w:pPr>
      <w:r w:rsidRPr="0099576D">
        <w:rPr>
          <w:rStyle w:val="FootnoteReference"/>
        </w:rPr>
        <w:footnoteRef/>
      </w:r>
      <w:r w:rsidRPr="0099576D">
        <w:t xml:space="preserve"> </w:t>
      </w:r>
      <w:r w:rsidRPr="0099576D">
        <w:tab/>
      </w:r>
      <w:r w:rsidRPr="00A5595A">
        <w:t>Such programmes include news, current events, political debates; own documentary/entertainment productions; culture, science, arts programmes; lifestyle programmes, etc</w:t>
      </w:r>
      <w:r w:rsidRPr="00724C5D">
        <w:t xml:space="preserve">. </w:t>
      </w:r>
      <w:r w:rsidRPr="00A5595A">
        <w:t xml:space="preserve">See examples provided in </w:t>
      </w:r>
      <w:r w:rsidRPr="0035328D">
        <w:t xml:space="preserve">Annex 6A. </w:t>
      </w:r>
    </w:p>
  </w:footnote>
  <w:footnote w:id="76">
    <w:p w:rsidR="004B69C4" w:rsidRPr="0035328D" w:rsidRDefault="004B69C4" w:rsidP="00FC609C">
      <w:pPr>
        <w:pStyle w:val="FootnoteText"/>
        <w:ind w:left="709" w:hanging="709"/>
      </w:pPr>
      <w:r w:rsidRPr="0035328D">
        <w:rPr>
          <w:rStyle w:val="FootnoteReference"/>
        </w:rPr>
        <w:footnoteRef/>
      </w:r>
      <w:r w:rsidRPr="0035328D">
        <w:rPr>
          <w:rStyle w:val="FootnoteReference"/>
        </w:rPr>
        <w:t xml:space="preserve"> </w:t>
      </w:r>
      <w:r w:rsidRPr="0035328D">
        <w:tab/>
        <w:t xml:space="preserve">Source: EBU. In Germany, ARD and ZDF conclude at least 150 000 contracts each year. </w:t>
      </w:r>
    </w:p>
  </w:footnote>
  <w:footnote w:id="77">
    <w:p w:rsidR="004B69C4" w:rsidRPr="00925518" w:rsidRDefault="004B69C4" w:rsidP="00FC609C">
      <w:pPr>
        <w:pStyle w:val="FootnoteText"/>
        <w:ind w:left="709" w:hanging="709"/>
      </w:pPr>
      <w:r w:rsidRPr="0035328D">
        <w:rPr>
          <w:rStyle w:val="FootnoteReference"/>
        </w:rPr>
        <w:footnoteRef/>
      </w:r>
      <w:r w:rsidRPr="0035328D">
        <w:rPr>
          <w:rStyle w:val="FootnoteReference"/>
        </w:rPr>
        <w:t xml:space="preserve"> </w:t>
      </w:r>
      <w:r w:rsidRPr="0035328D">
        <w:tab/>
        <w:t xml:space="preserve">Source: EBU. An example of BBC TV series </w:t>
      </w:r>
      <w:r w:rsidRPr="0035328D">
        <w:rPr>
          <w:i/>
        </w:rPr>
        <w:t>Doctor Who</w:t>
      </w:r>
      <w:r w:rsidRPr="0035328D">
        <w:t xml:space="preserve"> shows that more than 80 contributions per episode needed to be cleared, see</w:t>
      </w:r>
      <w:r w:rsidRPr="0035328D">
        <w:rPr>
          <w:rFonts w:ascii="Calibri" w:hAnsi="Calibri"/>
        </w:rPr>
        <w:t xml:space="preserve"> </w:t>
      </w:r>
      <w:hyperlink r:id="rId19" w:history="1">
        <w:r w:rsidRPr="0035328D">
          <w:rPr>
            <w:rStyle w:val="Hyperlink"/>
          </w:rPr>
          <w:t>http://webarchive.nationalarchives.gov.uk/20140603093549/http://www.ipo.gov.uk/ipreview-c4e-sub-bbc.pdf</w:t>
        </w:r>
      </w:hyperlink>
      <w:r w:rsidRPr="0035328D">
        <w:t xml:space="preserve">; for ZDF (Germany), a single 30 minutes episode of a TV series can generally involve up to 100 contributions and </w:t>
      </w:r>
      <w:r>
        <w:t>rightholders</w:t>
      </w:r>
      <w:r w:rsidRPr="0035328D">
        <w:t xml:space="preserve"> (actors, musicians, composer, phonogram industry etc.); for the documentary “Künstlerportait”, ORF (Austria) needed to clear 32 rights (13 clips) and, in addition, music rights are cleared with CMOs. (Source: EBU). See for further details Annex 6A.</w:t>
      </w:r>
    </w:p>
  </w:footnote>
  <w:footnote w:id="78">
    <w:p w:rsidR="004B69C4" w:rsidRPr="00DA6D8E" w:rsidRDefault="004B69C4" w:rsidP="00FC609C">
      <w:pPr>
        <w:pStyle w:val="FootnoteText"/>
        <w:ind w:left="709" w:hanging="709"/>
      </w:pPr>
      <w:r w:rsidRPr="00DA6D8E">
        <w:rPr>
          <w:rStyle w:val="FootnoteReference"/>
        </w:rPr>
        <w:footnoteRef/>
      </w:r>
      <w:r w:rsidRPr="00DA6D8E">
        <w:t xml:space="preserve"> </w:t>
      </w:r>
      <w:r>
        <w:tab/>
      </w:r>
      <w:r w:rsidRPr="00DA6D8E">
        <w:t xml:space="preserve">On average, news and current affairs programmes represent </w:t>
      </w:r>
      <w:r>
        <w:t>25.9</w:t>
      </w:r>
      <w:r w:rsidRPr="00DA6D8E">
        <w:t xml:space="preserve"> % of EBU members' programmes (</w:t>
      </w:r>
      <w:r>
        <w:t>s</w:t>
      </w:r>
      <w:r w:rsidRPr="00DA6D8E">
        <w:t>ource: EBU/MIS</w:t>
      </w:r>
      <w:r>
        <w:t xml:space="preserve"> </w:t>
      </w:r>
      <w:r w:rsidRPr="00123CFF">
        <w:t>– on the basis of aggregated data from 2014 concerning 35 broadcasters in 27 EU countries).</w:t>
      </w:r>
      <w:r>
        <w:t xml:space="preserve"> 58% of programming of German broadcaster ZDF is dedicated to information. </w:t>
      </w:r>
    </w:p>
  </w:footnote>
  <w:footnote w:id="79">
    <w:p w:rsidR="004B69C4" w:rsidRPr="00870476" w:rsidRDefault="004B69C4" w:rsidP="00FC609C">
      <w:pPr>
        <w:pStyle w:val="FootnoteText"/>
      </w:pPr>
      <w:r>
        <w:rPr>
          <w:rStyle w:val="FootnoteReference"/>
        </w:rPr>
        <w:footnoteRef/>
      </w:r>
      <w:r>
        <w:t xml:space="preserve"> </w:t>
      </w:r>
      <w:r w:rsidRPr="00C32C45">
        <w:tab/>
        <w:t>Despite requests addressed to the relevant stakeholders we were not able to obtain more specific information on potential problems in licensing rights for cross-border online transmissions of radio broadcasters.</w:t>
      </w:r>
    </w:p>
  </w:footnote>
  <w:footnote w:id="80">
    <w:p w:rsidR="004B69C4" w:rsidRDefault="004B69C4" w:rsidP="00FC609C">
      <w:pPr>
        <w:pStyle w:val="FootnoteText"/>
        <w:ind w:left="709" w:hanging="709"/>
      </w:pPr>
      <w:r w:rsidRPr="006F05BC">
        <w:rPr>
          <w:rStyle w:val="FootnoteReference"/>
        </w:rPr>
        <w:footnoteRef/>
      </w:r>
      <w:r>
        <w:t xml:space="preserve"> </w:t>
      </w:r>
      <w:r>
        <w:tab/>
      </w:r>
      <w:r w:rsidRPr="00E7045F">
        <w:t xml:space="preserve">Respondents have stated that some </w:t>
      </w:r>
      <w:r>
        <w:t>rightholders</w:t>
      </w:r>
      <w:r w:rsidRPr="00E7045F">
        <w:t xml:space="preserve"> make the licensing of their content conditional upon the fact that the service provider undertakes to apply geo-blocking, or that the cost of making some content available without geo-blocking would be higher/too high. Licensing agreements for TV drama and TV series, and films and sports events, appear to include requirements to geo-block more often than licensing agreements for other digital content categories. 59</w:t>
      </w:r>
      <w:r>
        <w:t xml:space="preserve"> % </w:t>
      </w:r>
      <w:r w:rsidRPr="00E7045F">
        <w:t xml:space="preserve">of respondents state that they are contractually required by </w:t>
      </w:r>
      <w:r>
        <w:t>rightholders</w:t>
      </w:r>
      <w:r w:rsidRPr="00E7045F">
        <w:t xml:space="preserve"> to geo-block. 66</w:t>
      </w:r>
      <w:r>
        <w:t xml:space="preserve"> %</w:t>
      </w:r>
      <w:r w:rsidRPr="00E7045F">
        <w:t xml:space="preserve"> of all agreements with suppliers of film content that were referred to by respondents require digital content service providers to geo-block. </w:t>
      </w:r>
    </w:p>
  </w:footnote>
  <w:footnote w:id="81">
    <w:p w:rsidR="004B69C4" w:rsidRPr="0099576D" w:rsidRDefault="004B69C4" w:rsidP="00FC609C">
      <w:pPr>
        <w:pStyle w:val="FootnoteText"/>
      </w:pPr>
      <w:r>
        <w:rPr>
          <w:rStyle w:val="FootnoteReference"/>
        </w:rPr>
        <w:footnoteRef/>
      </w:r>
      <w:r>
        <w:t xml:space="preserve"> </w:t>
      </w:r>
      <w:r>
        <w:tab/>
        <w:t xml:space="preserve">Capello M. (ed.), "Online activities of public service media: remit and financing", IRIS Special 2105-1, European Audiovisual Observatory, Strasbourg, </w:t>
      </w:r>
      <w:r w:rsidRPr="0099576D">
        <w:t>2015, p. 61.</w:t>
      </w:r>
    </w:p>
  </w:footnote>
  <w:footnote w:id="82">
    <w:p w:rsidR="004B69C4" w:rsidRPr="002B250A" w:rsidRDefault="004B69C4" w:rsidP="008C4000">
      <w:pPr>
        <w:pStyle w:val="FootnoteText"/>
      </w:pPr>
      <w:r>
        <w:rPr>
          <w:rStyle w:val="FootnoteReference"/>
        </w:rPr>
        <w:footnoteRef/>
      </w:r>
      <w:r>
        <w:t xml:space="preserve"> </w:t>
      </w:r>
      <w:r>
        <w:tab/>
        <w:t xml:space="preserve">For example, according to </w:t>
      </w:r>
      <w:r w:rsidRPr="002B250A">
        <w:t>Article 5(13) of Law No I-1571 of 8 October 1996, the Lithuanian public broadcaster LRT can broadcast abroad</w:t>
      </w:r>
      <w:r w:rsidRPr="00AD57F7">
        <w:t>. The Charter o</w:t>
      </w:r>
      <w:r w:rsidRPr="00C92785">
        <w:t>f the Irish public broadcaster</w:t>
      </w:r>
      <w:r>
        <w:t xml:space="preserve"> </w:t>
      </w:r>
      <w:r w:rsidRPr="00314E33">
        <w:t xml:space="preserve">RTÉ </w:t>
      </w:r>
      <w:r w:rsidRPr="00AD57F7">
        <w:t xml:space="preserve">states that </w:t>
      </w:r>
      <w:r>
        <w:t>"</w:t>
      </w:r>
      <w:r w:rsidRPr="00AD57F7">
        <w:rPr>
          <w:i/>
        </w:rPr>
        <w:t>RTÉ recognises the importance of news and information about Ireland for the Irish abroad in maintaining contact with Ireland and preserving an Irish dimension to their identity</w:t>
      </w:r>
      <w:r>
        <w:t>".</w:t>
      </w:r>
      <w:r w:rsidRPr="00AD57F7">
        <w:t xml:space="preserve">  </w:t>
      </w:r>
    </w:p>
  </w:footnote>
  <w:footnote w:id="83">
    <w:p w:rsidR="004B69C4" w:rsidRPr="00DA6D8E" w:rsidRDefault="004B69C4" w:rsidP="00FC609C">
      <w:pPr>
        <w:pStyle w:val="FootnoteText"/>
      </w:pPr>
      <w:r w:rsidRPr="00DA6D8E">
        <w:rPr>
          <w:rStyle w:val="FootnoteReference"/>
        </w:rPr>
        <w:footnoteRef/>
      </w:r>
      <w:r w:rsidRPr="00DA6D8E">
        <w:t xml:space="preserve"> </w:t>
      </w:r>
      <w:r w:rsidRPr="00DA6D8E">
        <w:tab/>
        <w:t xml:space="preserve">See </w:t>
      </w:r>
      <w:r>
        <w:t xml:space="preserve">Synopsis Report </w:t>
      </w:r>
      <w:r w:rsidRPr="0035328D">
        <w:t>in Annex 2C and</w:t>
      </w:r>
      <w:r>
        <w:t xml:space="preserve"> </w:t>
      </w:r>
      <w:r w:rsidRPr="00DA6D8E">
        <w:t>also</w:t>
      </w:r>
      <w:r>
        <w:t xml:space="preserve"> "</w:t>
      </w:r>
      <w:r w:rsidRPr="00760714">
        <w:t>Survey and data gathering to support the evaluation of the Satellite and Cable Directive 93/83/EEC and assessment of its possible extension" (the "SatCab Study")</w:t>
      </w:r>
      <w:r w:rsidRPr="008012CB">
        <w:rPr>
          <w:b/>
        </w:rPr>
        <w:t>,</w:t>
      </w:r>
      <w:r w:rsidRPr="00184859">
        <w:t xml:space="preserve"> </w:t>
      </w:r>
      <w:r w:rsidRPr="0035328D">
        <w:t>sections 3 and 4.</w:t>
      </w:r>
      <w:r w:rsidRPr="00DA6D8E">
        <w:t xml:space="preserve"> </w:t>
      </w:r>
    </w:p>
  </w:footnote>
  <w:footnote w:id="84">
    <w:p w:rsidR="004B69C4" w:rsidRPr="00DA6D8E" w:rsidRDefault="004B69C4" w:rsidP="00FC609C">
      <w:pPr>
        <w:pStyle w:val="FootnoteText"/>
      </w:pPr>
      <w:r w:rsidRPr="00DA6D8E">
        <w:rPr>
          <w:rStyle w:val="FootnoteReference"/>
        </w:rPr>
        <w:footnoteRef/>
      </w:r>
      <w:r w:rsidRPr="00DA6D8E">
        <w:t xml:space="preserve"> </w:t>
      </w:r>
      <w:r w:rsidRPr="00DA6D8E">
        <w:tab/>
      </w:r>
      <w:r>
        <w:t xml:space="preserve">See </w:t>
      </w:r>
      <w:r w:rsidRPr="0035328D">
        <w:t>Annex 6B</w:t>
      </w:r>
      <w:r>
        <w:t xml:space="preserve"> and </w:t>
      </w:r>
      <w:r w:rsidRPr="00D457D6">
        <w:t xml:space="preserve">SatCab Study, </w:t>
      </w:r>
      <w:r>
        <w:t>section 3.</w:t>
      </w:r>
    </w:p>
  </w:footnote>
  <w:footnote w:id="85">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r>
      <w:r>
        <w:t>T</w:t>
      </w:r>
      <w:r w:rsidRPr="002B54F3">
        <w:t>he initial findings from the Commission's e-commerce sector inquiry published on 18 March 2016</w:t>
      </w:r>
      <w:r>
        <w:t>.</w:t>
      </w:r>
    </w:p>
  </w:footnote>
  <w:footnote w:id="86">
    <w:p w:rsidR="004B69C4" w:rsidRPr="00DA6D8E" w:rsidRDefault="004B69C4" w:rsidP="00FC609C">
      <w:pPr>
        <w:pStyle w:val="FootnoteText"/>
      </w:pPr>
      <w:r w:rsidRPr="00DA6D8E">
        <w:rPr>
          <w:rStyle w:val="FootnoteReference"/>
        </w:rPr>
        <w:footnoteRef/>
      </w:r>
      <w:r w:rsidRPr="00DA6D8E">
        <w:t xml:space="preserve"> </w:t>
      </w:r>
      <w:r>
        <w:tab/>
      </w:r>
      <w:r w:rsidRPr="0035328D">
        <w:t>EBU</w:t>
      </w:r>
      <w:r>
        <w:t xml:space="preserve"> data covers public broadcasters from 14 EEA countries; the SatCab Study covers data from 11 MS (three commercial/public broadcasters' channels from each covered MS).</w:t>
      </w:r>
    </w:p>
  </w:footnote>
  <w:footnote w:id="87">
    <w:p w:rsidR="004B69C4" w:rsidRPr="0035328D" w:rsidRDefault="004B69C4" w:rsidP="00FC609C">
      <w:pPr>
        <w:pStyle w:val="FootnoteText"/>
        <w:ind w:left="709" w:hanging="709"/>
        <w:rPr>
          <w:i/>
        </w:rPr>
      </w:pPr>
      <w:r w:rsidRPr="00DA6D8E">
        <w:rPr>
          <w:rStyle w:val="FootnoteReference"/>
        </w:rPr>
        <w:footnoteRef/>
      </w:r>
      <w:r w:rsidRPr="00DA6D8E">
        <w:t xml:space="preserve"> </w:t>
      </w:r>
      <w:r>
        <w:tab/>
      </w:r>
      <w:r w:rsidRPr="008012CB">
        <w:t>A few examples concerning public broadcasters: LTV (</w:t>
      </w:r>
      <w:r>
        <w:t>LT</w:t>
      </w:r>
      <w:r w:rsidRPr="008012CB">
        <w:t>) in principle does not geo-block own produced content while CT1 (</w:t>
      </w:r>
      <w:r>
        <w:t>CZ</w:t>
      </w:r>
      <w:r w:rsidRPr="008012CB">
        <w:t>), a general channel is fully geo-blocked and CT24, a news and current affairs channel, geo-blocks sports news; the livestream channel of ZDF (</w:t>
      </w:r>
      <w:r>
        <w:t>DE</w:t>
      </w:r>
      <w:r w:rsidRPr="008012CB">
        <w:t>), Mediathek, is geo-blocked and cross-border access is allowed only to selected programmes. A few examples concerning commercial broadcasters: TV4 Play (</w:t>
      </w:r>
      <w:r>
        <w:t>SE</w:t>
      </w:r>
      <w:r w:rsidRPr="008012CB">
        <w:t>), geo-blocks all online TV simulcasting services except news, TV3 (</w:t>
      </w:r>
      <w:r>
        <w:t>LT</w:t>
      </w:r>
      <w:r w:rsidRPr="008012CB">
        <w:t>) makes available across borders news and own production while international entertainment programmes are geo-blocked; RTL TV Now (</w:t>
      </w:r>
      <w:r>
        <w:t>DE</w:t>
      </w:r>
      <w:r w:rsidRPr="008012CB">
        <w:t>) makes simulcasting services available only locally while live TV News</w:t>
      </w:r>
      <w:r w:rsidRPr="0035328D">
        <w:t xml:space="preserve"> are available internationally (paid services)</w:t>
      </w:r>
      <w:r w:rsidRPr="0035328D">
        <w:rPr>
          <w:i/>
        </w:rPr>
        <w:t xml:space="preserve">. </w:t>
      </w:r>
      <w:r w:rsidRPr="0035328D">
        <w:t>See also Annex 6B.</w:t>
      </w:r>
    </w:p>
  </w:footnote>
  <w:footnote w:id="88">
    <w:p w:rsidR="004B69C4" w:rsidRPr="00DA6D8E" w:rsidRDefault="004B69C4" w:rsidP="00FC609C">
      <w:pPr>
        <w:pStyle w:val="FootnoteText"/>
        <w:ind w:left="709" w:hanging="709"/>
      </w:pPr>
      <w:r w:rsidRPr="0035328D">
        <w:rPr>
          <w:rStyle w:val="FootnoteReference"/>
        </w:rPr>
        <w:footnoteRef/>
      </w:r>
      <w:r w:rsidRPr="0035328D">
        <w:t xml:space="preserve"> </w:t>
      </w:r>
      <w:r w:rsidRPr="0035328D">
        <w:tab/>
        <w:t>In this section, the summaries of stakeholders' views are based on the results of the public consultation on the review of the EU Satellite and Cable Directive, see Annex 2C</w:t>
      </w:r>
      <w:r w:rsidRPr="00C32C45">
        <w:t>.</w:t>
      </w:r>
      <w:r>
        <w:rPr>
          <w:rStyle w:val="Hyperlink"/>
        </w:rPr>
        <w:t xml:space="preserve"> </w:t>
      </w:r>
      <w:r w:rsidRPr="00DA6D8E">
        <w:t xml:space="preserve"> </w:t>
      </w:r>
    </w:p>
  </w:footnote>
  <w:footnote w:id="89">
    <w:p w:rsidR="004B69C4" w:rsidRPr="00305C10" w:rsidRDefault="004B69C4" w:rsidP="00FC609C">
      <w:pPr>
        <w:pStyle w:val="FootnoteText"/>
        <w:rPr>
          <w:lang w:val="en-US"/>
        </w:rPr>
      </w:pPr>
      <w:r>
        <w:rPr>
          <w:rStyle w:val="FootnoteReference"/>
        </w:rPr>
        <w:footnoteRef/>
      </w:r>
      <w:r>
        <w:t xml:space="preserve"> </w:t>
      </w:r>
      <w:r w:rsidRPr="00305C10">
        <w:rPr>
          <w:lang w:val="en-US"/>
        </w:rPr>
        <w:tab/>
      </w:r>
      <w:r w:rsidRPr="00495C7E">
        <w:rPr>
          <w:lang w:val="en-US"/>
        </w:rPr>
        <w:t>The difference in the opinion between commercial and public service broadcasters may stem from the fact that the former typically produce more content which is licensed to third parties</w:t>
      </w:r>
      <w:r w:rsidRPr="0032158D">
        <w:rPr>
          <w:lang w:val="en-US"/>
        </w:rPr>
        <w:t>.</w:t>
      </w:r>
    </w:p>
  </w:footnote>
  <w:footnote w:id="90">
    <w:p w:rsidR="004B69C4" w:rsidRPr="00CC7FBF" w:rsidRDefault="004B69C4" w:rsidP="00FC609C">
      <w:pPr>
        <w:pStyle w:val="FootnoteText"/>
        <w:rPr>
          <w:lang w:val="en-US"/>
        </w:rPr>
      </w:pPr>
      <w:r>
        <w:rPr>
          <w:rStyle w:val="FootnoteReference"/>
        </w:rPr>
        <w:footnoteRef/>
      </w:r>
      <w:r>
        <w:t xml:space="preserve"> </w:t>
      </w:r>
      <w:r>
        <w:rPr>
          <w:lang w:val="en-US"/>
        </w:rPr>
        <w:tab/>
      </w:r>
      <w:r w:rsidRPr="0035328D">
        <w:rPr>
          <w:lang w:val="en-US"/>
        </w:rPr>
        <w:t>See section 3.2.2.1 above</w:t>
      </w:r>
      <w:r>
        <w:rPr>
          <w:lang w:val="en-US"/>
        </w:rPr>
        <w:t>.</w:t>
      </w:r>
    </w:p>
  </w:footnote>
  <w:footnote w:id="91">
    <w:p w:rsidR="004B69C4" w:rsidRPr="0076230C" w:rsidRDefault="004B69C4" w:rsidP="00FC609C">
      <w:pPr>
        <w:pStyle w:val="FootnoteText"/>
      </w:pPr>
      <w:r>
        <w:rPr>
          <w:rStyle w:val="FootnoteReference"/>
        </w:rPr>
        <w:footnoteRef/>
      </w:r>
      <w:r>
        <w:t xml:space="preserve"> </w:t>
      </w:r>
      <w:r>
        <w:tab/>
        <w:t xml:space="preserve">Access to and availability of European audiovisual works on VoD platforms are addressed </w:t>
      </w:r>
      <w:r w:rsidRPr="0035328D">
        <w:t>in section 3.3 of this IA.</w:t>
      </w:r>
      <w:r>
        <w:t xml:space="preserve"> </w:t>
      </w:r>
    </w:p>
  </w:footnote>
  <w:footnote w:id="92">
    <w:p w:rsidR="004B69C4" w:rsidRPr="00A204EE" w:rsidRDefault="004B69C4" w:rsidP="00FC609C">
      <w:pPr>
        <w:pStyle w:val="FootnoteText"/>
      </w:pPr>
      <w:r>
        <w:rPr>
          <w:rStyle w:val="FootnoteReference"/>
        </w:rPr>
        <w:footnoteRef/>
      </w:r>
      <w:r>
        <w:t xml:space="preserve"> </w:t>
      </w:r>
      <w:r>
        <w:tab/>
        <w:t>The Co</w:t>
      </w:r>
      <w:r w:rsidRPr="00A204EE">
        <w:t>O rule discussed in this IA should be distinguished from the</w:t>
      </w:r>
      <w:r>
        <w:t xml:space="preserve"> country of origin principle (Co</w:t>
      </w:r>
      <w:r w:rsidRPr="00A204EE">
        <w:t xml:space="preserve">O) applicable under the </w:t>
      </w:r>
      <w:r>
        <w:t>AVMS Directive. The Co</w:t>
      </w:r>
      <w:r w:rsidRPr="00A204EE">
        <w:t>O under the AVMS</w:t>
      </w:r>
      <w:r>
        <w:t xml:space="preserve"> </w:t>
      </w:r>
      <w:r w:rsidRPr="00A204EE">
        <w:t>D</w:t>
      </w:r>
      <w:r>
        <w:t>irective</w:t>
      </w:r>
      <w:r w:rsidRPr="00A204EE">
        <w:t xml:space="preserve"> establishes the jurisdiction </w:t>
      </w:r>
      <w:r>
        <w:t>in terms of the</w:t>
      </w:r>
      <w:r w:rsidRPr="00A204EE">
        <w:t xml:space="preserve"> </w:t>
      </w:r>
      <w:r w:rsidRPr="00A204EE">
        <w:rPr>
          <w:i/>
        </w:rPr>
        <w:t>regulatory framework</w:t>
      </w:r>
      <w:r w:rsidRPr="00A204EE">
        <w:t xml:space="preserve"> harmonised under the AVMS</w:t>
      </w:r>
      <w:r>
        <w:t xml:space="preserve"> </w:t>
      </w:r>
      <w:r w:rsidRPr="00A204EE">
        <w:t>D</w:t>
      </w:r>
      <w:r>
        <w:t>irective</w:t>
      </w:r>
      <w:r w:rsidRPr="00A204EE">
        <w:t>: providers only need to abide by the rules of a Member State which is their 'country of origin' as defined in that Directive. Also, if any Member State adopts national rules that are stricter than the AVMS</w:t>
      </w:r>
      <w:r>
        <w:t xml:space="preserve"> </w:t>
      </w:r>
      <w:r w:rsidRPr="00A204EE">
        <w:t>D</w:t>
      </w:r>
      <w:r>
        <w:t>irective</w:t>
      </w:r>
      <w:r w:rsidRPr="00A204EE">
        <w:t>, these can only be applied to providers falling under that jurisdicti</w:t>
      </w:r>
      <w:r>
        <w:t>on. The Co</w:t>
      </w:r>
      <w:r w:rsidRPr="00A204EE">
        <w:t xml:space="preserve">O rule </w:t>
      </w:r>
      <w:r>
        <w:t>discussed in</w:t>
      </w:r>
      <w:r w:rsidRPr="00A204EE">
        <w:t xml:space="preserve"> this IA covers </w:t>
      </w:r>
      <w:r w:rsidRPr="006955B8">
        <w:rPr>
          <w:i/>
        </w:rPr>
        <w:t>licen</w:t>
      </w:r>
      <w:r>
        <w:rPr>
          <w:i/>
        </w:rPr>
        <w:t>c</w:t>
      </w:r>
      <w:r w:rsidRPr="006955B8">
        <w:rPr>
          <w:i/>
        </w:rPr>
        <w:t>ing of copyright and related rights</w:t>
      </w:r>
      <w:r w:rsidRPr="00A204EE">
        <w:t xml:space="preserve"> and does not concern the matters harmonised under the AVMS</w:t>
      </w:r>
      <w:r>
        <w:t xml:space="preserve"> </w:t>
      </w:r>
      <w:r w:rsidRPr="00A204EE">
        <w:t>D</w:t>
      </w:r>
      <w:r>
        <w:t>irective</w:t>
      </w:r>
      <w:r w:rsidRPr="00A204EE">
        <w:t>.</w:t>
      </w:r>
    </w:p>
  </w:footnote>
  <w:footnote w:id="93">
    <w:p w:rsidR="004B69C4" w:rsidRDefault="004B69C4" w:rsidP="00FC609C">
      <w:pPr>
        <w:pStyle w:val="FootnoteText"/>
      </w:pPr>
      <w:r w:rsidRPr="00DA6D8E">
        <w:rPr>
          <w:rStyle w:val="FootnoteReference"/>
        </w:rPr>
        <w:footnoteRef/>
      </w:r>
      <w:r w:rsidRPr="00DA6D8E">
        <w:t xml:space="preserve"> </w:t>
      </w:r>
      <w:r w:rsidRPr="00DA6D8E">
        <w:tab/>
      </w:r>
      <w:r>
        <w:t xml:space="preserve">This approach is aligned with </w:t>
      </w:r>
      <w:r w:rsidRPr="006F05BC">
        <w:t>Article 32 of the CRM Directive, see above.</w:t>
      </w:r>
      <w:r>
        <w:t xml:space="preserve"> </w:t>
      </w:r>
    </w:p>
    <w:p w:rsidR="004B69C4" w:rsidRPr="00C32C45" w:rsidRDefault="004B69C4" w:rsidP="006955B8">
      <w:pPr>
        <w:pStyle w:val="FootnoteText"/>
        <w:ind w:hanging="11"/>
        <w:rPr>
          <w:b/>
        </w:rPr>
      </w:pPr>
      <w:r>
        <w:t xml:space="preserve">Access to and availability of European audiovisual works on VoD platforms are </w:t>
      </w:r>
      <w:r w:rsidRPr="0035328D">
        <w:t>addressed in section 3.3 of this IA.</w:t>
      </w:r>
      <w:r>
        <w:t xml:space="preserve"> </w:t>
      </w:r>
    </w:p>
  </w:footnote>
  <w:footnote w:id="94">
    <w:p w:rsidR="004B69C4" w:rsidRPr="00157078" w:rsidRDefault="004B69C4" w:rsidP="00FC609C">
      <w:pPr>
        <w:pStyle w:val="FootnoteText"/>
        <w:ind w:left="709" w:hanging="709"/>
      </w:pPr>
      <w:r w:rsidRPr="006F05BC">
        <w:rPr>
          <w:rStyle w:val="FootnoteReference"/>
        </w:rPr>
        <w:footnoteRef/>
      </w:r>
      <w:r w:rsidRPr="006F05BC">
        <w:t xml:space="preserve"> </w:t>
      </w:r>
      <w:r>
        <w:tab/>
      </w:r>
      <w:r w:rsidRPr="00157078">
        <w:t>An e</w:t>
      </w:r>
      <w:r>
        <w:t>quival</w:t>
      </w:r>
      <w:r w:rsidRPr="00157078">
        <w:t xml:space="preserve">ent principle is established in recital 17 of the </w:t>
      </w:r>
      <w:r>
        <w:t>Satellite and Cable</w:t>
      </w:r>
      <w:r w:rsidRPr="00157078">
        <w:t xml:space="preserve"> Directive for communication to the public by satellite.</w:t>
      </w:r>
    </w:p>
  </w:footnote>
  <w:footnote w:id="95">
    <w:p w:rsidR="004B69C4" w:rsidRPr="00CC5D62" w:rsidRDefault="004B69C4" w:rsidP="00FC609C">
      <w:pPr>
        <w:pStyle w:val="FootnoteText"/>
      </w:pPr>
      <w:r>
        <w:rPr>
          <w:rStyle w:val="FootnoteReference"/>
        </w:rPr>
        <w:footnoteRef/>
      </w:r>
      <w:r>
        <w:t xml:space="preserve"> </w:t>
      </w:r>
      <w:r>
        <w:tab/>
        <w:t xml:space="preserve">VoD services have different characteristics than broadcasting services, described in Annex 8. </w:t>
      </w:r>
      <w:r w:rsidRPr="005D3175">
        <w:t>Access to and availabili</w:t>
      </w:r>
      <w:r>
        <w:t>ty of EU audiovisual works on Vo</w:t>
      </w:r>
      <w:r w:rsidRPr="005D3175">
        <w:t>D platforms</w:t>
      </w:r>
      <w:r>
        <w:t xml:space="preserve"> is covered under section 3.3 of this IA.  </w:t>
      </w:r>
    </w:p>
  </w:footnote>
  <w:footnote w:id="96">
    <w:p w:rsidR="004B69C4" w:rsidRPr="00B43771" w:rsidRDefault="004B69C4" w:rsidP="00FC609C">
      <w:pPr>
        <w:pStyle w:val="FootnoteText"/>
        <w:ind w:left="709" w:hanging="709"/>
        <w:rPr>
          <w:lang w:val="en-US"/>
        </w:rPr>
      </w:pPr>
      <w:r w:rsidRPr="00B43771">
        <w:rPr>
          <w:rStyle w:val="FootnoteReference"/>
        </w:rPr>
        <w:footnoteRef/>
      </w:r>
      <w:r>
        <w:t xml:space="preserve"> </w:t>
      </w:r>
      <w:r>
        <w:rPr>
          <w:lang w:val="en-US"/>
        </w:rPr>
        <w:tab/>
      </w:r>
      <w:r>
        <w:t xml:space="preserve">See p. 29 of the </w:t>
      </w:r>
      <w:r w:rsidRPr="00B43771">
        <w:t>I</w:t>
      </w:r>
      <w:r>
        <w:t>H</w:t>
      </w:r>
      <w:r w:rsidRPr="00B43771">
        <w:t>S Technology report Current Market and Technology Trends in the Broadcasting Sector, 2015.</w:t>
      </w:r>
      <w:r>
        <w:rPr>
          <w:lang w:val="en-US"/>
        </w:rPr>
        <w:t xml:space="preserve"> </w:t>
      </w:r>
    </w:p>
  </w:footnote>
  <w:footnote w:id="97">
    <w:p w:rsidR="004B69C4" w:rsidRPr="00DA6D8E" w:rsidRDefault="004B69C4" w:rsidP="00FC609C">
      <w:pPr>
        <w:pStyle w:val="FootnoteText"/>
      </w:pPr>
      <w:r w:rsidRPr="00DA6D8E">
        <w:rPr>
          <w:rStyle w:val="FootnoteReference"/>
        </w:rPr>
        <w:footnoteRef/>
      </w:r>
      <w:r w:rsidRPr="00DA6D8E">
        <w:rPr>
          <w:rStyle w:val="FootnoteReference"/>
        </w:rPr>
        <w:t xml:space="preserve"> </w:t>
      </w:r>
      <w:r w:rsidRPr="00DA6D8E">
        <w:tab/>
        <w:t xml:space="preserve">See the Commission Communication </w:t>
      </w:r>
      <w:r>
        <w:t xml:space="preserve">(COM(2015) 626 final) </w:t>
      </w:r>
      <w:r w:rsidRPr="00DA6D8E">
        <w:t>of 9 December 2015.</w:t>
      </w:r>
    </w:p>
  </w:footnote>
  <w:footnote w:id="98">
    <w:p w:rsidR="004B69C4" w:rsidRPr="00DA6D8E" w:rsidRDefault="004B69C4" w:rsidP="00FC609C">
      <w:pPr>
        <w:pStyle w:val="FootnoteText"/>
      </w:pPr>
      <w:r w:rsidRPr="00DA6D8E">
        <w:rPr>
          <w:rStyle w:val="FootnoteReference"/>
        </w:rPr>
        <w:footnoteRef/>
      </w:r>
      <w:r w:rsidRPr="00DA6D8E">
        <w:t xml:space="preserve"> </w:t>
      </w:r>
      <w:r w:rsidRPr="00DA6D8E">
        <w:tab/>
      </w:r>
      <w:r w:rsidRPr="0035328D">
        <w:t>See section 3.1.</w:t>
      </w:r>
    </w:p>
  </w:footnote>
  <w:footnote w:id="99">
    <w:p w:rsidR="004B69C4" w:rsidRDefault="004B69C4" w:rsidP="00FC609C">
      <w:pPr>
        <w:pStyle w:val="FootnoteText"/>
      </w:pPr>
      <w:r>
        <w:rPr>
          <w:rStyle w:val="FootnoteReference"/>
        </w:rPr>
        <w:footnoteRef/>
      </w:r>
      <w:r>
        <w:t xml:space="preserve"> </w:t>
      </w:r>
      <w:r>
        <w:tab/>
      </w:r>
      <w:r w:rsidRPr="001417B8">
        <w:t xml:space="preserve">See </w:t>
      </w:r>
      <w:r>
        <w:t>for example</w:t>
      </w:r>
      <w:r w:rsidRPr="001417B8">
        <w:t xml:space="preserve"> "The Impact of cross-border access to audiovisual content on EU consumers" (May 2016), a report by Oxera and O&amp;O</w:t>
      </w:r>
      <w:r>
        <w:t xml:space="preserve">, prepared for a group of international audiovisual industry members, </w:t>
      </w:r>
      <w:r w:rsidRPr="001417B8">
        <w:t xml:space="preserve">analysing the effects of the </w:t>
      </w:r>
      <w:r w:rsidRPr="001417B8">
        <w:rPr>
          <w:u w:val="single"/>
        </w:rPr>
        <w:t>full</w:t>
      </w:r>
      <w:r w:rsidRPr="001417B8">
        <w:t xml:space="preserve"> cross-border access.</w:t>
      </w:r>
    </w:p>
  </w:footnote>
  <w:footnote w:id="100">
    <w:p w:rsidR="004B69C4" w:rsidRPr="00C37912" w:rsidRDefault="004B69C4" w:rsidP="00987544">
      <w:pPr>
        <w:pStyle w:val="FootnoteText"/>
        <w:rPr>
          <w:sz w:val="22"/>
        </w:rPr>
      </w:pPr>
      <w:r>
        <w:rPr>
          <w:rStyle w:val="FootnoteReference"/>
        </w:rPr>
        <w:footnoteRef/>
      </w:r>
      <w:r>
        <w:t xml:space="preserve"> </w:t>
      </w:r>
      <w:r>
        <w:tab/>
      </w:r>
      <w:r w:rsidRPr="00C37912">
        <w:t xml:space="preserve">In the </w:t>
      </w:r>
      <w:r w:rsidRPr="00C37912">
        <w:rPr>
          <w:i/>
        </w:rPr>
        <w:t xml:space="preserve">Premier League </w:t>
      </w:r>
      <w:r w:rsidRPr="00C37912">
        <w:t>ruling (</w:t>
      </w:r>
      <w:r>
        <w:t xml:space="preserve">Judgment of 4 October 2011, </w:t>
      </w:r>
      <w:r w:rsidRPr="00C37912">
        <w:t>C</w:t>
      </w:r>
      <w:r w:rsidRPr="00C37912">
        <w:noBreakHyphen/>
        <w:t>403/08 and C</w:t>
      </w:r>
      <w:r w:rsidRPr="00C37912">
        <w:noBreakHyphen/>
        <w:t>429/08</w:t>
      </w:r>
      <w:r>
        <w:t>, EU:C:2011:631</w:t>
      </w:r>
      <w:r w:rsidRPr="00C37912">
        <w:t xml:space="preserve">) concerning satellite broadcasting services, </w:t>
      </w:r>
      <w:r w:rsidRPr="00C90C9C">
        <w:t>the CJEU concluded that</w:t>
      </w:r>
      <w:r w:rsidRPr="00C37912">
        <w:t xml:space="preserve">, in view of the specific facts in the case, </w:t>
      </w:r>
      <w:r>
        <w:t>licensing</w:t>
      </w:r>
      <w:r w:rsidRPr="00C37912">
        <w:t xml:space="preserve"> agreements between </w:t>
      </w:r>
      <w:r>
        <w:t xml:space="preserve">rightholders </w:t>
      </w:r>
      <w:r w:rsidRPr="00C37912">
        <w:t>and service providers may include provisions on territorial exclusivity, but cannot establish absolute territorial exclusivity; that would be in breach of competition law and the freedo</w:t>
      </w:r>
      <w:r w:rsidRPr="00C90C9C">
        <w:t xml:space="preserve">m to provide services in the Internal Market. </w:t>
      </w:r>
      <w:r w:rsidRPr="00C37912">
        <w:t>Following this judgment; on 13 January 2014</w:t>
      </w:r>
      <w:r>
        <w:t xml:space="preserve">, </w:t>
      </w:r>
      <w:r w:rsidRPr="00C37912">
        <w:t xml:space="preserve">the Commission initiated formal proceedings on territorial licensing restrictions for pay-TV content, see </w:t>
      </w:r>
      <w:hyperlink r:id="rId20" w:history="1">
        <w:r w:rsidRPr="00082356">
          <w:rPr>
            <w:rStyle w:val="Hyperlink"/>
          </w:rPr>
          <w:t>http://ec.europa.eu/competition/antitrust/cases/dec_docs/40023/40023_842_3.pdf</w:t>
        </w:r>
      </w:hyperlink>
      <w:r w:rsidRPr="00C37912">
        <w:t>.</w:t>
      </w:r>
    </w:p>
  </w:footnote>
  <w:footnote w:id="101">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r>
      <w:r>
        <w:t xml:space="preserve">See indications of consumer interest for content from other MS in </w:t>
      </w:r>
      <w:r w:rsidRPr="0035328D">
        <w:t>section 3.1.4</w:t>
      </w:r>
      <w:r>
        <w:t xml:space="preserve"> A</w:t>
      </w:r>
      <w:r w:rsidRPr="00DA6D8E">
        <w:t>ccording to a study carried out in 2012 (</w:t>
      </w:r>
      <w:hyperlink r:id="rId21" w:history="1">
        <w:r w:rsidRPr="00DA6D8E">
          <w:rPr>
            <w:rStyle w:val="Hyperlink"/>
          </w:rPr>
          <w:t>The economic potential of cross-border pay-to-view and listen audiovisual media services</w:t>
        </w:r>
      </w:hyperlink>
      <w:r w:rsidRPr="00DA6D8E">
        <w:t>), the number of hours of non-national EU fiction as a proportion of total fiction hours in the schedules of a sample of broadcasters varies from 2</w:t>
      </w:r>
      <w:r>
        <w:t xml:space="preserve"> </w:t>
      </w:r>
      <w:r w:rsidRPr="00DA6D8E">
        <w:t>% to 35</w:t>
      </w:r>
      <w:r>
        <w:t xml:space="preserve"> </w:t>
      </w:r>
      <w:r w:rsidRPr="00DA6D8E">
        <w:t xml:space="preserve">% in the countries for which data is available.   </w:t>
      </w:r>
    </w:p>
  </w:footnote>
  <w:footnote w:id="102">
    <w:p w:rsidR="004B69C4" w:rsidRPr="00DA6D8E" w:rsidRDefault="004B69C4" w:rsidP="00FC609C">
      <w:pPr>
        <w:pStyle w:val="FootnoteText"/>
        <w:ind w:left="709" w:hanging="709"/>
        <w:rPr>
          <w:i/>
        </w:rPr>
      </w:pPr>
      <w:r w:rsidRPr="00DA6D8E">
        <w:rPr>
          <w:rStyle w:val="FootnoteReference"/>
        </w:rPr>
        <w:footnoteRef/>
      </w:r>
      <w:r w:rsidRPr="00DA6D8E">
        <w:t xml:space="preserve"> </w:t>
      </w:r>
      <w:r w:rsidRPr="00DA6D8E">
        <w:tab/>
      </w:r>
      <w:r>
        <w:t>N</w:t>
      </w:r>
      <w:r w:rsidRPr="002D5E7E">
        <w:t>ews and current affairs</w:t>
      </w:r>
      <w:r>
        <w:t xml:space="preserve"> </w:t>
      </w:r>
      <w:r w:rsidRPr="002D5E7E">
        <w:t xml:space="preserve">represent </w:t>
      </w:r>
      <w:r>
        <w:t xml:space="preserve">25.9 </w:t>
      </w:r>
      <w:r w:rsidRPr="002D5E7E">
        <w:t xml:space="preserve">% of </w:t>
      </w:r>
      <w:r>
        <w:t xml:space="preserve">public broadcasters' </w:t>
      </w:r>
      <w:r w:rsidRPr="002D5E7E">
        <w:t>programming</w:t>
      </w:r>
      <w:r>
        <w:t xml:space="preserve"> while programmes on</w:t>
      </w:r>
      <w:r w:rsidRPr="002D5E7E">
        <w:t xml:space="preserve"> arts, culture, education and science</w:t>
      </w:r>
      <w:r>
        <w:t xml:space="preserve"> account for</w:t>
      </w:r>
      <w:r w:rsidRPr="002D5E7E">
        <w:t xml:space="preserve"> 14</w:t>
      </w:r>
      <w:r>
        <w:t xml:space="preserve"> % </w:t>
      </w:r>
      <w:r w:rsidRPr="002D5E7E">
        <w:t>of the</w:t>
      </w:r>
      <w:r>
        <w:t>ir</w:t>
      </w:r>
      <w:r w:rsidRPr="002D5E7E">
        <w:t xml:space="preserve"> programming</w:t>
      </w:r>
      <w:r>
        <w:t xml:space="preserve">. </w:t>
      </w:r>
      <w:r w:rsidRPr="00870476">
        <w:t>(</w:t>
      </w:r>
      <w:r w:rsidRPr="002A0F42">
        <w:t xml:space="preserve">Source: EBU </w:t>
      </w:r>
      <w:r w:rsidRPr="00C32C45">
        <w:t>– on the basis of aggregated data from 2014 concerning 35 broadcasters in 27 EU countries)</w:t>
      </w:r>
      <w:r w:rsidRPr="008437C1">
        <w:t>.</w:t>
      </w:r>
      <w:r w:rsidRPr="00DA6D8E">
        <w:t xml:space="preserve"> According to </w:t>
      </w:r>
      <w:hyperlink r:id="rId22" w:history="1">
        <w:r w:rsidRPr="00DA6D8E">
          <w:rPr>
            <w:rStyle w:val="Hyperlink"/>
          </w:rPr>
          <w:t>the initial findings from the Commission's e-commerce sector inquiry</w:t>
        </w:r>
      </w:hyperlink>
      <w:r w:rsidRPr="00DA6D8E">
        <w:t xml:space="preserve">, </w:t>
      </w:r>
      <w:r>
        <w:rPr>
          <w:bCs/>
        </w:rPr>
        <w:t xml:space="preserve">23 % </w:t>
      </w:r>
      <w:r w:rsidRPr="00DA6D8E">
        <w:rPr>
          <w:bCs/>
        </w:rPr>
        <w:t>of agreements requir</w:t>
      </w:r>
      <w:r>
        <w:rPr>
          <w:bCs/>
        </w:rPr>
        <w:t>e</w:t>
      </w:r>
      <w:r w:rsidRPr="00DA6D8E">
        <w:rPr>
          <w:bCs/>
        </w:rPr>
        <w:t xml:space="preserve"> providers to geo-block news (including current events) and 50</w:t>
      </w:r>
      <w:r>
        <w:rPr>
          <w:bCs/>
        </w:rPr>
        <w:t xml:space="preserve"> </w:t>
      </w:r>
      <w:r w:rsidRPr="00DA6D8E">
        <w:rPr>
          <w:bCs/>
        </w:rPr>
        <w:t xml:space="preserve">% </w:t>
      </w:r>
      <w:r>
        <w:rPr>
          <w:bCs/>
        </w:rPr>
        <w:t>to geo-block</w:t>
      </w:r>
      <w:r w:rsidRPr="00DA6D8E">
        <w:rPr>
          <w:bCs/>
        </w:rPr>
        <w:t xml:space="preserve"> other non-fiction TV. </w:t>
      </w:r>
      <w:r w:rsidRPr="008E65EE">
        <w:rPr>
          <w:bCs/>
        </w:rPr>
        <w:t xml:space="preserve">See also </w:t>
      </w:r>
      <w:r w:rsidRPr="0035328D">
        <w:rPr>
          <w:bCs/>
        </w:rPr>
        <w:t>Annex 6B (</w:t>
      </w:r>
      <w:r w:rsidRPr="008E65EE">
        <w:rPr>
          <w:bCs/>
        </w:rPr>
        <w:t>Availability of broadcasters' online services across borders</w:t>
      </w:r>
      <w:r>
        <w:rPr>
          <w:bCs/>
        </w:rPr>
        <w:t>)</w:t>
      </w:r>
      <w:r w:rsidRPr="008E65EE">
        <w:rPr>
          <w:bCs/>
        </w:rPr>
        <w:t xml:space="preserve">. </w:t>
      </w:r>
      <w:r w:rsidRPr="000D43ED">
        <w:rPr>
          <w:bCs/>
        </w:rPr>
        <w:t xml:space="preserve"> </w:t>
      </w:r>
    </w:p>
  </w:footnote>
  <w:footnote w:id="103">
    <w:p w:rsidR="004B69C4" w:rsidRDefault="004B69C4" w:rsidP="00FC609C">
      <w:pPr>
        <w:pStyle w:val="FootnoteText"/>
      </w:pPr>
      <w:r>
        <w:rPr>
          <w:rStyle w:val="FootnoteReference"/>
        </w:rPr>
        <w:footnoteRef/>
      </w:r>
      <w:r>
        <w:t xml:space="preserve"> </w:t>
      </w:r>
      <w:r>
        <w:tab/>
      </w:r>
      <w:r w:rsidRPr="00772407">
        <w:t>Recommendation for the licensing of broadcast-related online activities</w:t>
      </w:r>
      <w:r>
        <w:t xml:space="preserve"> of 4 April 2014</w:t>
      </w:r>
      <w:r w:rsidRPr="00DA4842">
        <w:t>.</w:t>
      </w:r>
      <w:r>
        <w:t xml:space="preserve"> </w:t>
      </w:r>
      <w:r w:rsidRPr="00844A6D">
        <w:t xml:space="preserve">The Recommendation's objective is to ensure, by way of voluntary aggregation of rights and reciprocal representation agreements among CMOs, that CMOs can license the broadcaster not only the rights relevant for broadcasts but also all the rights it needs for its online broadcast-related activities including across borders. </w:t>
      </w:r>
    </w:p>
  </w:footnote>
  <w:footnote w:id="104">
    <w:p w:rsidR="004B69C4" w:rsidRDefault="004B69C4" w:rsidP="00FC609C">
      <w:pPr>
        <w:pStyle w:val="FootnoteText"/>
      </w:pPr>
      <w:r>
        <w:rPr>
          <w:rStyle w:val="FootnoteReference"/>
        </w:rPr>
        <w:footnoteRef/>
      </w:r>
      <w:r>
        <w:t xml:space="preserve"> </w:t>
      </w:r>
      <w:r>
        <w:tab/>
      </w:r>
      <w:r w:rsidRPr="00DA4842">
        <w:t>Case No COMP/C2/38.014 — IFPI ‘Simulcasting’</w:t>
      </w:r>
      <w:r>
        <w:t>.</w:t>
      </w:r>
    </w:p>
  </w:footnote>
  <w:footnote w:id="105">
    <w:p w:rsidR="004B69C4" w:rsidRPr="00705E14" w:rsidRDefault="004B69C4" w:rsidP="00FC609C">
      <w:pPr>
        <w:pStyle w:val="FootnoteText"/>
      </w:pPr>
      <w:r>
        <w:rPr>
          <w:rStyle w:val="FootnoteReference"/>
        </w:rPr>
        <w:footnoteRef/>
      </w:r>
      <w:r>
        <w:t xml:space="preserve"> </w:t>
      </w:r>
      <w:r>
        <w:tab/>
      </w:r>
      <w:r w:rsidRPr="00705E14">
        <w:t>The reciprocal agreements have currently 21 EU based signat</w:t>
      </w:r>
      <w:r w:rsidRPr="0085204B">
        <w:t>ory CMOs.</w:t>
      </w:r>
      <w:r>
        <w:t xml:space="preserve"> </w:t>
      </w:r>
      <w:r w:rsidRPr="0085204B">
        <w:t xml:space="preserve">17 CMOs </w:t>
      </w:r>
      <w:r w:rsidRPr="00705E14">
        <w:t>have reported they hav</w:t>
      </w:r>
      <w:r w:rsidRPr="0085204B">
        <w:t>e licensed broadcasters' Catch-</w:t>
      </w:r>
      <w:r>
        <w:t>u</w:t>
      </w:r>
      <w:r w:rsidRPr="00705E14">
        <w:t>p</w:t>
      </w:r>
      <w:r>
        <w:t>'</w:t>
      </w:r>
      <w:r w:rsidRPr="0085204B">
        <w:t xml:space="preserve"> services</w:t>
      </w:r>
      <w:r>
        <w:t xml:space="preserve"> </w:t>
      </w:r>
      <w:r w:rsidRPr="00705E14">
        <w:t>either for multi-territory or for mono-territory reception.</w:t>
      </w:r>
    </w:p>
    <w:p w:rsidR="004B69C4" w:rsidRDefault="004B69C4" w:rsidP="00FC609C">
      <w:pPr>
        <w:pStyle w:val="FootnoteText"/>
      </w:pPr>
    </w:p>
  </w:footnote>
  <w:footnote w:id="106">
    <w:p w:rsidR="004B69C4" w:rsidRPr="00A327FB" w:rsidRDefault="004B69C4" w:rsidP="00FC609C">
      <w:pPr>
        <w:pStyle w:val="FootnoteText"/>
      </w:pPr>
      <w:r>
        <w:rPr>
          <w:rStyle w:val="FootnoteReference"/>
        </w:rPr>
        <w:footnoteRef/>
      </w:r>
      <w:r>
        <w:t xml:space="preserve"> </w:t>
      </w:r>
      <w:r>
        <w:tab/>
        <w:t xml:space="preserve">It is not possible, however, in this IA to quantify such savings in transaction costs. As explained above, </w:t>
      </w:r>
      <w:r w:rsidRPr="00C32C45">
        <w:t xml:space="preserve">despite requests, neither EBU nor ACT provided data on </w:t>
      </w:r>
      <w:r w:rsidRPr="00C32C45">
        <w:rPr>
          <w:u w:val="single"/>
        </w:rPr>
        <w:t>cross-border transaction costs</w:t>
      </w:r>
      <w:r w:rsidRPr="00C32C45">
        <w:t xml:space="preserve"> for clearing online right</w:t>
      </w:r>
      <w:r>
        <w:t>s</w:t>
      </w:r>
      <w:r w:rsidRPr="00C32C45">
        <w:t xml:space="preserve">, as compared to transaction costs </w:t>
      </w:r>
      <w:r w:rsidRPr="00C32C45">
        <w:rPr>
          <w:u w:val="single"/>
        </w:rPr>
        <w:t>in one jurisdiction</w:t>
      </w:r>
      <w:r>
        <w:rPr>
          <w:u w:val="single"/>
        </w:rPr>
        <w:t xml:space="preserve">. </w:t>
      </w:r>
    </w:p>
  </w:footnote>
  <w:footnote w:id="107">
    <w:p w:rsidR="004B69C4" w:rsidRPr="00C47EBC" w:rsidRDefault="004B69C4" w:rsidP="00FC609C">
      <w:pPr>
        <w:pStyle w:val="FootnoteText"/>
      </w:pPr>
      <w:r>
        <w:rPr>
          <w:rStyle w:val="FootnoteReference"/>
        </w:rPr>
        <w:footnoteRef/>
      </w:r>
      <w:r>
        <w:t xml:space="preserve"> </w:t>
      </w:r>
      <w:r>
        <w:tab/>
        <w:t xml:space="preserve">Such programmes in particular include news, current events, political debates; own documentary/entertainment productions; culture, science, arts programmes; lifestyle programmes, etc. Out of 5720 EU TV channels listed in MAVISE database, 243 channels are listed as "general", 226 channels as "documentary", 188 as "lifestyle/specific leisure", 156 channels as "news", see SatCab </w:t>
      </w:r>
      <w:r w:rsidRPr="00CC6FBD">
        <w:t>study, table 2.1</w:t>
      </w:r>
      <w:r>
        <w:t>7</w:t>
      </w:r>
      <w:r w:rsidRPr="00CC6FBD">
        <w:t>.</w:t>
      </w:r>
      <w:r>
        <w:t xml:space="preserve"> </w:t>
      </w:r>
    </w:p>
  </w:footnote>
  <w:footnote w:id="108">
    <w:p w:rsidR="004B69C4" w:rsidRPr="000B17FD" w:rsidRDefault="004B69C4" w:rsidP="000B17FD">
      <w:pPr>
        <w:pStyle w:val="FootnoteText"/>
        <w:ind w:left="709" w:hanging="709"/>
        <w:rPr>
          <w:bCs/>
        </w:rPr>
      </w:pPr>
      <w:r w:rsidRPr="00DA6D8E">
        <w:rPr>
          <w:rStyle w:val="FootnoteReference"/>
        </w:rPr>
        <w:footnoteRef/>
      </w:r>
      <w:r w:rsidRPr="00DA6D8E">
        <w:t xml:space="preserve"> </w:t>
      </w:r>
      <w:r w:rsidRPr="00DA6D8E">
        <w:tab/>
      </w:r>
      <w:r w:rsidRPr="00DA6D8E">
        <w:rPr>
          <w:bCs/>
        </w:rPr>
        <w:t>Most widely spoken foreign EU languages are English (38</w:t>
      </w:r>
      <w:r>
        <w:rPr>
          <w:bCs/>
        </w:rPr>
        <w:t xml:space="preserve"> </w:t>
      </w:r>
      <w:r w:rsidRPr="00DA6D8E">
        <w:rPr>
          <w:bCs/>
        </w:rPr>
        <w:t>%), French (12</w:t>
      </w:r>
      <w:r>
        <w:rPr>
          <w:bCs/>
        </w:rPr>
        <w:t xml:space="preserve"> </w:t>
      </w:r>
      <w:r w:rsidRPr="00DA6D8E">
        <w:rPr>
          <w:bCs/>
        </w:rPr>
        <w:t>%), German (11</w:t>
      </w:r>
      <w:r>
        <w:rPr>
          <w:bCs/>
        </w:rPr>
        <w:t xml:space="preserve"> </w:t>
      </w:r>
      <w:r w:rsidRPr="00DA6D8E">
        <w:rPr>
          <w:bCs/>
        </w:rPr>
        <w:t xml:space="preserve">%), </w:t>
      </w:r>
      <w:r>
        <w:rPr>
          <w:bCs/>
        </w:rPr>
        <w:t xml:space="preserve">and </w:t>
      </w:r>
      <w:r w:rsidRPr="00DA6D8E">
        <w:rPr>
          <w:bCs/>
        </w:rPr>
        <w:t>Spanish (7%).</w:t>
      </w:r>
      <w:r>
        <w:rPr>
          <w:bCs/>
        </w:rPr>
        <w:t xml:space="preserve"> </w:t>
      </w:r>
      <w:r w:rsidRPr="00DA6D8E">
        <w:rPr>
          <w:bCs/>
        </w:rPr>
        <w:t>See</w:t>
      </w:r>
      <w:r w:rsidRPr="00DA6D8E">
        <w:t xml:space="preserve"> </w:t>
      </w:r>
      <w:hyperlink r:id="rId23" w:history="1">
        <w:r w:rsidRPr="00DA6D8E">
          <w:rPr>
            <w:rStyle w:val="Hyperlink"/>
          </w:rPr>
          <w:t>Special Eurobarometer 386 (2012)</w:t>
        </w:r>
      </w:hyperlink>
      <w:r w:rsidRPr="00DA6D8E">
        <w:rPr>
          <w:rFonts w:eastAsia="Arial Unicode MS"/>
          <w:b/>
          <w:bCs/>
        </w:rPr>
        <w:t xml:space="preserve"> </w:t>
      </w:r>
      <w:hyperlink r:id="rId24" w:history="1">
        <w:r w:rsidRPr="00DA6D8E">
          <w:rPr>
            <w:rStyle w:val="Hyperlink"/>
          </w:rPr>
          <w:t>http://ec.europa.eu/public_opinion/archives/ebs/ebs_386_en.pdf</w:t>
        </w:r>
      </w:hyperlink>
    </w:p>
  </w:footnote>
  <w:footnote w:id="109">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t xml:space="preserve">For example, in </w:t>
      </w:r>
      <w:r>
        <w:t>SK</w:t>
      </w:r>
      <w:r w:rsidRPr="00DA6D8E">
        <w:t xml:space="preserve"> 8.8</w:t>
      </w:r>
      <w:r>
        <w:t xml:space="preserve"> </w:t>
      </w:r>
      <w:r w:rsidRPr="00DA6D8E">
        <w:t>% of the population has Hungarian as the mother longue; in L</w:t>
      </w:r>
      <w:r>
        <w:t>T</w:t>
      </w:r>
      <w:r w:rsidRPr="00DA6D8E">
        <w:t xml:space="preserve"> - 5.3</w:t>
      </w:r>
      <w:r>
        <w:t xml:space="preserve"> </w:t>
      </w:r>
      <w:r w:rsidRPr="00DA6D8E">
        <w:t>% Polish; in F</w:t>
      </w:r>
      <w:r>
        <w:t>I</w:t>
      </w:r>
      <w:r w:rsidRPr="00DA6D8E">
        <w:t xml:space="preserve"> - 5.1</w:t>
      </w:r>
      <w:r>
        <w:t xml:space="preserve"> </w:t>
      </w:r>
      <w:r w:rsidRPr="00DA6D8E">
        <w:t xml:space="preserve">% Swedish. </w:t>
      </w:r>
      <w:r>
        <w:t>Source: s</w:t>
      </w:r>
      <w:r w:rsidRPr="00DA6D8E">
        <w:t xml:space="preserve">tudy </w:t>
      </w:r>
      <w:r>
        <w:t xml:space="preserve">on </w:t>
      </w:r>
      <w:hyperlink r:id="rId25" w:history="1">
        <w:r w:rsidRPr="00DA6D8E">
          <w:rPr>
            <w:rStyle w:val="Hyperlink"/>
          </w:rPr>
          <w:t>The economic potential of cross-border pay-to-view and listen audiovisual media services</w:t>
        </w:r>
      </w:hyperlink>
      <w:r>
        <w:t xml:space="preserve"> (2012).</w:t>
      </w:r>
    </w:p>
  </w:footnote>
  <w:footnote w:id="110">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r>
      <w:r>
        <w:t xml:space="preserve">Eurostat data from April 2013, </w:t>
      </w:r>
      <w:hyperlink r:id="rId26" w:history="1">
        <w:r w:rsidRPr="000E3819">
          <w:rPr>
            <w:rStyle w:val="Hyperlink"/>
          </w:rPr>
          <w:t>http://ec.europa.eu/eurostat/statistics-explained/index.php/EU_citizenship_-_statistics_on_cross-border_activities</w:t>
        </w:r>
      </w:hyperlink>
    </w:p>
  </w:footnote>
  <w:footnote w:id="111">
    <w:p w:rsidR="004B69C4" w:rsidRPr="00DA6D8E" w:rsidRDefault="004B69C4" w:rsidP="00FC609C">
      <w:pPr>
        <w:pStyle w:val="FootnoteText"/>
        <w:ind w:left="709" w:hanging="709"/>
      </w:pPr>
      <w:r w:rsidRPr="00DA6D8E">
        <w:rPr>
          <w:rStyle w:val="FootnoteReference"/>
        </w:rPr>
        <w:footnoteRef/>
      </w:r>
      <w:r>
        <w:t xml:space="preserve"> </w:t>
      </w:r>
      <w:r>
        <w:tab/>
        <w:t>In the s</w:t>
      </w:r>
      <w:r w:rsidRPr="00DA6D8E">
        <w:t xml:space="preserve">tudy </w:t>
      </w:r>
      <w:hyperlink r:id="rId27" w:history="1">
        <w:r w:rsidRPr="00DA6D8E">
          <w:rPr>
            <w:rStyle w:val="Hyperlink"/>
          </w:rPr>
          <w:t>The economic potential of cross-border pay-to-view and listen audiovisual media services</w:t>
        </w:r>
      </w:hyperlink>
      <w:r w:rsidRPr="00DA6D8E">
        <w:t xml:space="preserve">, it was estimated that in 2009 potential willingness to pay for subscription based cross-border AVMS among intra-EU migrants was between €760 million and €1,610 million annually in the EU based on the proportion of online survey respondents who were “very likely” and “fairly likely” to pay respectively (the total EU pay-TV market size was </w:t>
      </w:r>
      <w:r>
        <w:t>€</w:t>
      </w:r>
      <w:r w:rsidRPr="00DA6D8E">
        <w:t xml:space="preserve">28.6 billion). </w:t>
      </w:r>
      <w:r w:rsidRPr="00DA6D8E">
        <w:rPr>
          <w:b/>
          <w:u w:val="single"/>
        </w:rPr>
        <w:t>NB</w:t>
      </w:r>
      <w:r w:rsidRPr="00DA6D8E">
        <w:t xml:space="preserve">: this survey concerned </w:t>
      </w:r>
      <w:r w:rsidRPr="00DA6D8E">
        <w:rPr>
          <w:u w:val="single"/>
        </w:rPr>
        <w:t>all</w:t>
      </w:r>
      <w:r w:rsidRPr="00DA6D8E">
        <w:t xml:space="preserve"> subscription-based cross-border AV media services.</w:t>
      </w:r>
    </w:p>
  </w:footnote>
  <w:footnote w:id="112">
    <w:p w:rsidR="004B69C4" w:rsidRPr="00DA6D8E" w:rsidRDefault="004B69C4" w:rsidP="00FC609C">
      <w:pPr>
        <w:pStyle w:val="FootnoteText"/>
        <w:ind w:left="709" w:hanging="709"/>
      </w:pPr>
      <w:r w:rsidRPr="00DA6D8E">
        <w:rPr>
          <w:rStyle w:val="FootnoteReference"/>
        </w:rPr>
        <w:footnoteRef/>
      </w:r>
      <w:r w:rsidRPr="00DA6D8E">
        <w:t xml:space="preserve"> </w:t>
      </w:r>
      <w:r w:rsidRPr="00DA6D8E">
        <w:tab/>
        <w:t xml:space="preserve">For example, according to </w:t>
      </w:r>
      <w:hyperlink r:id="rId28" w:history="1">
        <w:r w:rsidRPr="00DA6D8E">
          <w:rPr>
            <w:rStyle w:val="Hyperlink"/>
          </w:rPr>
          <w:t>the initial findings from the Commission's e-commerce sector inquiry</w:t>
        </w:r>
      </w:hyperlink>
      <w:r w:rsidRPr="00DA6D8E">
        <w:t xml:space="preserve"> published on 18 March 2016, 68.9</w:t>
      </w:r>
      <w:r>
        <w:t xml:space="preserve"> </w:t>
      </w:r>
      <w:r w:rsidRPr="00DA6D8E">
        <w:t>% of digital content providers replied that costs of purchasing content for territories other than those in which the provider operates is the most important factor for not making the service available across borders. In addition, broadcasters may need to take into account other possible costs: with online distribution, there are variable costs for the service provider that increase with usage, see further the SatCab study</w:t>
      </w:r>
      <w:r>
        <w:t xml:space="preserve">. </w:t>
      </w:r>
    </w:p>
  </w:footnote>
  <w:footnote w:id="113">
    <w:p w:rsidR="004B69C4" w:rsidRPr="00DA6D8E" w:rsidRDefault="004B69C4" w:rsidP="00FC609C">
      <w:pPr>
        <w:pStyle w:val="FootnoteText"/>
      </w:pPr>
      <w:r w:rsidRPr="00DA6D8E">
        <w:rPr>
          <w:rStyle w:val="FootnoteReference"/>
        </w:rPr>
        <w:footnoteRef/>
      </w:r>
      <w:r w:rsidRPr="00DA6D8E">
        <w:t xml:space="preserve"> </w:t>
      </w:r>
      <w:r w:rsidRPr="00DA6D8E">
        <w:tab/>
        <w:t xml:space="preserve">Currently, the standard duration of broadcaster's catch-up services varies between 7 and </w:t>
      </w:r>
      <w:r>
        <w:t>30</w:t>
      </w:r>
      <w:r w:rsidRPr="00DA6D8E">
        <w:t xml:space="preserve"> days. </w:t>
      </w:r>
    </w:p>
  </w:footnote>
  <w:footnote w:id="114">
    <w:p w:rsidR="004B69C4" w:rsidRDefault="004B69C4" w:rsidP="00FC609C">
      <w:pPr>
        <w:pStyle w:val="FootnoteText"/>
      </w:pPr>
      <w:r>
        <w:rPr>
          <w:rStyle w:val="FootnoteReference"/>
        </w:rPr>
        <w:footnoteRef/>
      </w:r>
      <w:r>
        <w:t xml:space="preserve"> </w:t>
      </w:r>
      <w:r>
        <w:tab/>
      </w:r>
      <w:r w:rsidRPr="002F3FC3">
        <w:t>For example, webcasting services include YouTube live channels</w:t>
      </w:r>
      <w:r>
        <w:rPr>
          <w:rStyle w:val="st1"/>
        </w:rPr>
        <w:t xml:space="preserve"> or iTunes "Beats" radio-like linear services</w:t>
      </w:r>
      <w:r>
        <w:t xml:space="preserve">. </w:t>
      </w:r>
    </w:p>
  </w:footnote>
  <w:footnote w:id="115">
    <w:p w:rsidR="004B69C4" w:rsidRPr="001417B8" w:rsidRDefault="004B69C4" w:rsidP="00FC609C">
      <w:pPr>
        <w:pStyle w:val="FootnoteText"/>
        <w:ind w:left="709" w:hanging="709"/>
      </w:pPr>
      <w:r w:rsidRPr="001417B8">
        <w:rPr>
          <w:rStyle w:val="FootnoteReference"/>
        </w:rPr>
        <w:footnoteRef/>
      </w:r>
      <w:r w:rsidRPr="001417B8">
        <w:t xml:space="preserve"> </w:t>
      </w:r>
      <w:r w:rsidRPr="001417B8">
        <w:tab/>
        <w:t>E.g., according to the available examples, for commercial radios copyright fees in various MS may vary between 9</w:t>
      </w:r>
      <w:r>
        <w:t xml:space="preserve"> </w:t>
      </w:r>
      <w:r w:rsidRPr="001417B8">
        <w:t xml:space="preserve">% of broadcaster's revenues in </w:t>
      </w:r>
      <w:r>
        <w:t>NL</w:t>
      </w:r>
      <w:r w:rsidRPr="001417B8">
        <w:t xml:space="preserve"> to 2.2</w:t>
      </w:r>
      <w:r>
        <w:t xml:space="preserve"> </w:t>
      </w:r>
      <w:r w:rsidRPr="001417B8">
        <w:t xml:space="preserve">% in </w:t>
      </w:r>
      <w:r>
        <w:t>EL</w:t>
      </w:r>
      <w:r w:rsidRPr="001417B8">
        <w:t>; for related rights: from 7</w:t>
      </w:r>
      <w:r>
        <w:t xml:space="preserve"> </w:t>
      </w:r>
      <w:r w:rsidRPr="001417B8">
        <w:t xml:space="preserve">% in </w:t>
      </w:r>
      <w:r>
        <w:t>FI</w:t>
      </w:r>
      <w:r w:rsidRPr="001417B8">
        <w:t xml:space="preserve"> to 1</w:t>
      </w:r>
      <w:r>
        <w:t xml:space="preserve"> </w:t>
      </w:r>
      <w:r w:rsidRPr="001417B8">
        <w:t xml:space="preserve">% in </w:t>
      </w:r>
      <w:r>
        <w:t>IT</w:t>
      </w:r>
      <w:r w:rsidRPr="001417B8">
        <w:t xml:space="preserve">. </w:t>
      </w:r>
      <w:r w:rsidRPr="00C32C45">
        <w:rPr>
          <w:u w:val="single"/>
        </w:rPr>
        <w:t>Note</w:t>
      </w:r>
      <w:r w:rsidRPr="001417B8">
        <w:t>: this information represents an average in each country and was updated last in 2012/2014 (</w:t>
      </w:r>
      <w:r w:rsidRPr="001417B8">
        <w:rPr>
          <w:i/>
        </w:rPr>
        <w:t>Source</w:t>
      </w:r>
      <w:r w:rsidRPr="001417B8">
        <w:t xml:space="preserve">: AER). </w:t>
      </w:r>
    </w:p>
  </w:footnote>
  <w:footnote w:id="116">
    <w:p w:rsidR="004B69C4" w:rsidRPr="001417B8" w:rsidRDefault="004B69C4" w:rsidP="00FC609C">
      <w:pPr>
        <w:pStyle w:val="FootnoteText"/>
      </w:pPr>
      <w:r w:rsidRPr="001417B8">
        <w:rPr>
          <w:rStyle w:val="FootnoteReference"/>
        </w:rPr>
        <w:footnoteRef/>
      </w:r>
      <w:r w:rsidRPr="001417B8">
        <w:t xml:space="preserve"> </w:t>
      </w:r>
      <w:r w:rsidRPr="001417B8">
        <w:tab/>
        <w:t>Such risk was raised by certain CMOs in response to the SatCab public consultation. E.g. GESAC submi</w:t>
      </w:r>
      <w:r>
        <w:t>tted that an extension of the Co</w:t>
      </w:r>
      <w:r w:rsidRPr="001417B8">
        <w:t>O rule to VoD services could discourage the re-aggregation of repertoires promoted by the CRM Directive and even cause further fragmentation of repertoires in the market</w:t>
      </w:r>
      <w:r w:rsidRPr="001417B8">
        <w:rPr>
          <w:sz w:val="22"/>
          <w:szCs w:val="22"/>
        </w:rPr>
        <w:t xml:space="preserve">. </w:t>
      </w:r>
    </w:p>
  </w:footnote>
  <w:footnote w:id="117">
    <w:p w:rsidR="004B69C4" w:rsidRPr="007F1410" w:rsidRDefault="004B69C4" w:rsidP="00D41181">
      <w:pPr>
        <w:pStyle w:val="FootnoteText"/>
        <w:ind w:left="709" w:hanging="709"/>
      </w:pPr>
      <w:r w:rsidRPr="00DA6D8E">
        <w:rPr>
          <w:vertAlign w:val="superscript"/>
        </w:rPr>
        <w:footnoteRef/>
      </w:r>
      <w:r w:rsidRPr="00DA6D8E">
        <w:t xml:space="preserve"> </w:t>
      </w:r>
      <w:r w:rsidRPr="00DA6D8E">
        <w:tab/>
        <w:t>Article 52(1) of the Charter allows for restrictions interfering with the exercise of the freedoms of the Charter: those restrictions (i) must be provided for by law and (ii) respect the essence of those rights and freedoms. In addition, the limitations are (iii) “subject to the principle of proportionality” and “may be made only if they are necessary and genuinely meet objectives of general interest recogni</w:t>
      </w:r>
      <w:r>
        <w:t>s</w:t>
      </w:r>
      <w:r w:rsidRPr="00DA6D8E">
        <w:t xml:space="preserve">ed by the Union or the need to </w:t>
      </w:r>
      <w:r w:rsidRPr="007F1410">
        <w:t>protect the rights and freedoms of others”</w:t>
      </w:r>
      <w:r>
        <w:t>.</w:t>
      </w:r>
      <w:r w:rsidRPr="007F1410">
        <w:t xml:space="preserve"> </w:t>
      </w:r>
    </w:p>
  </w:footnote>
  <w:footnote w:id="118">
    <w:p w:rsidR="004B69C4" w:rsidRDefault="004B69C4" w:rsidP="00C27157">
      <w:pPr>
        <w:pStyle w:val="FootnoteText"/>
      </w:pPr>
      <w:r>
        <w:rPr>
          <w:rStyle w:val="FootnoteReference"/>
        </w:rPr>
        <w:footnoteRef/>
      </w:r>
      <w:r>
        <w:t xml:space="preserve"> </w:t>
      </w:r>
      <w:r>
        <w:tab/>
      </w:r>
      <w:r w:rsidRPr="002C0FE8">
        <w:t xml:space="preserve">Such OTT retransmission services are a relatively recent phenomenon. </w:t>
      </w:r>
      <w:r>
        <w:t>"</w:t>
      </w:r>
      <w:r w:rsidRPr="002C0FE8">
        <w:t>Zattoo</w:t>
      </w:r>
      <w:r>
        <w:t>"</w:t>
      </w:r>
      <w:r w:rsidRPr="002C0FE8">
        <w:t xml:space="preserve">, based in the US and Switzerland, is the pioneer of this type of retransmission services – was launched in 2006 and is now available in six countries: </w:t>
      </w:r>
      <w:r>
        <w:t>DE, CH</w:t>
      </w:r>
      <w:r w:rsidRPr="002C0FE8">
        <w:t xml:space="preserve">, </w:t>
      </w:r>
      <w:r>
        <w:t>ES</w:t>
      </w:r>
      <w:r w:rsidRPr="002C0FE8">
        <w:t>, D</w:t>
      </w:r>
      <w:r>
        <w:t>K</w:t>
      </w:r>
      <w:r w:rsidRPr="002C0FE8">
        <w:t xml:space="preserve">, </w:t>
      </w:r>
      <w:r>
        <w:t>LU</w:t>
      </w:r>
      <w:r w:rsidRPr="002C0FE8">
        <w:t xml:space="preserve"> and the UK. Swedish provider "Magine" launched its service in 2013 and is currently available in Sweden, Germany and the UK. Telecom operators are </w:t>
      </w:r>
      <w:r>
        <w:t>exploring this market</w:t>
      </w:r>
      <w:r w:rsidRPr="002C0FE8">
        <w:t xml:space="preserve"> too: Dutch KPN launched an OTT service called "Play" in November 2015, and Telekom Austria launched an OTT service "A1 Now" in March 2016.</w:t>
      </w:r>
    </w:p>
  </w:footnote>
  <w:footnote w:id="119">
    <w:p w:rsidR="004B69C4" w:rsidRPr="003E70DD" w:rsidRDefault="004B69C4" w:rsidP="00C27157">
      <w:pPr>
        <w:pStyle w:val="FootnoteText"/>
      </w:pPr>
      <w:r w:rsidRPr="003E70DD">
        <w:rPr>
          <w:rStyle w:val="FootnoteReference"/>
        </w:rPr>
        <w:footnoteRef/>
      </w:r>
      <w:r>
        <w:t xml:space="preserve"> </w:t>
      </w:r>
      <w:r>
        <w:tab/>
      </w:r>
      <w:r w:rsidRPr="003E70DD">
        <w:t>Data from the European Audiovisual Observatory</w:t>
      </w:r>
      <w:r>
        <w:t>.</w:t>
      </w:r>
    </w:p>
  </w:footnote>
  <w:footnote w:id="120">
    <w:p w:rsidR="004B69C4" w:rsidRPr="00663AAD" w:rsidRDefault="004B69C4" w:rsidP="00663AAD">
      <w:pPr>
        <w:pStyle w:val="FootnoteText"/>
      </w:pPr>
      <w:r>
        <w:rPr>
          <w:rStyle w:val="FootnoteReference"/>
        </w:rPr>
        <w:footnoteRef/>
      </w:r>
      <w:r>
        <w:t xml:space="preserve"> </w:t>
      </w:r>
      <w:r>
        <w:tab/>
      </w:r>
      <w:r w:rsidRPr="00C37912">
        <w:t xml:space="preserve">Under collective management, authors and other rights owners </w:t>
      </w:r>
      <w:r w:rsidRPr="00AD57F7">
        <w:t>mandate an entity</w:t>
      </w:r>
      <w:r w:rsidRPr="00C37912">
        <w:t xml:space="preserve"> </w:t>
      </w:r>
      <w:r w:rsidRPr="00AD57F7">
        <w:t>(e.g. a CMO) to</w:t>
      </w:r>
      <w:r w:rsidRPr="00C37912">
        <w:t xml:space="preserve"> act</w:t>
      </w:r>
      <w:r w:rsidRPr="00AD57F7">
        <w:t xml:space="preserve"> </w:t>
      </w:r>
      <w:r w:rsidRPr="00C37912">
        <w:t>on their behalf to grant authori</w:t>
      </w:r>
      <w:r w:rsidRPr="00C90C9C">
        <w:t xml:space="preserve">sations, to collect and distribute remuneration, to prevent and detect infringement of rights, and to seek remedies for infringement. </w:t>
      </w:r>
      <w:r w:rsidRPr="00D53784">
        <w:t xml:space="preserve">The collective management of rights allows commercial users to clear rights </w:t>
      </w:r>
      <w:r w:rsidRPr="00F373D1">
        <w:t>for a large number of works, in circumstances where individual negotiations with individua</w:t>
      </w:r>
      <w:r w:rsidRPr="00AD57F7">
        <w:t>l creators would be impractical</w:t>
      </w:r>
      <w:r w:rsidRPr="00C37912">
        <w:t>.</w:t>
      </w:r>
      <w:r>
        <w:t xml:space="preserve">  As far as exclusive rights are concerned, collective management is normally voluntary (i.e. based on the mandate voluntarily granted by rightholders). In limited cases, legislation allows for mandatory collective management. </w:t>
      </w:r>
    </w:p>
  </w:footnote>
  <w:footnote w:id="121">
    <w:p w:rsidR="004B69C4" w:rsidRPr="00495C7E" w:rsidRDefault="004B69C4" w:rsidP="00C27157">
      <w:pPr>
        <w:pStyle w:val="FootnoteText"/>
        <w:ind w:left="709" w:hanging="709"/>
        <w:rPr>
          <w:lang w:val="en-US"/>
        </w:rPr>
      </w:pPr>
      <w:r w:rsidRPr="00495C7E">
        <w:rPr>
          <w:rStyle w:val="FootnoteReference"/>
        </w:rPr>
        <w:footnoteRef/>
      </w:r>
      <w:r w:rsidRPr="00495C7E">
        <w:t xml:space="preserve"> </w:t>
      </w:r>
      <w:r w:rsidRPr="00495C7E">
        <w:rPr>
          <w:lang w:val="en-US"/>
        </w:rPr>
        <w:tab/>
        <w:t>The system of mandato</w:t>
      </w:r>
      <w:r>
        <w:rPr>
          <w:lang w:val="en-US"/>
        </w:rPr>
        <w:t>r</w:t>
      </w:r>
      <w:r w:rsidRPr="00495C7E">
        <w:rPr>
          <w:lang w:val="en-US"/>
        </w:rPr>
        <w:t>y collective management of</w:t>
      </w:r>
      <w:r>
        <w:rPr>
          <w:lang w:val="en-US"/>
        </w:rPr>
        <w:t xml:space="preserve"> rights to</w:t>
      </w:r>
      <w:r w:rsidRPr="00495C7E">
        <w:rPr>
          <w:lang w:val="en-US"/>
        </w:rPr>
        <w:t xml:space="preserve"> retransmis</w:t>
      </w:r>
      <w:r>
        <w:rPr>
          <w:lang w:val="en-US"/>
        </w:rPr>
        <w:t>sion of broadcasts is compatible</w:t>
      </w:r>
      <w:r w:rsidRPr="00E754F7">
        <w:rPr>
          <w:lang w:val="en-US"/>
        </w:rPr>
        <w:t xml:space="preserve"> </w:t>
      </w:r>
      <w:r>
        <w:rPr>
          <w:lang w:val="en-US"/>
        </w:rPr>
        <w:t>with</w:t>
      </w:r>
      <w:r w:rsidRPr="00495C7E">
        <w:rPr>
          <w:lang w:val="en-US"/>
        </w:rPr>
        <w:t xml:space="preserve"> Article 11bis(2)</w:t>
      </w:r>
      <w:r>
        <w:rPr>
          <w:lang w:val="en-US"/>
        </w:rPr>
        <w:t xml:space="preserve"> of the Berne Convention which allows compulsory licences for such retransmissions.</w:t>
      </w:r>
    </w:p>
  </w:footnote>
  <w:footnote w:id="122">
    <w:p w:rsidR="004B69C4" w:rsidRDefault="004B69C4" w:rsidP="00C27157">
      <w:pPr>
        <w:pStyle w:val="FootnoteText"/>
      </w:pPr>
      <w:r>
        <w:rPr>
          <w:rStyle w:val="FootnoteReference"/>
        </w:rPr>
        <w:footnoteRef/>
      </w:r>
      <w:r>
        <w:t xml:space="preserve"> </w:t>
      </w:r>
      <w:r>
        <w:tab/>
        <w:t>As indicated in the Ex-post Evaluation of the Satellite and Cable Directive (93/83/EEC), the system provided by the Satellite and Cable Directive for cable retransmissions has proven to be generally effective. At the same time, it was observed that other technological means of retransmission have emerged for which the Satellite and Cable Directive is not relevant due to its technology-specific provisions.</w:t>
      </w:r>
    </w:p>
  </w:footnote>
  <w:footnote w:id="123">
    <w:p w:rsidR="004B69C4" w:rsidRPr="003E70DD" w:rsidRDefault="004B69C4" w:rsidP="00C27157">
      <w:pPr>
        <w:pStyle w:val="FootnoteText"/>
      </w:pPr>
      <w:r w:rsidRPr="003E70DD">
        <w:rPr>
          <w:rStyle w:val="FootnoteReference"/>
        </w:rPr>
        <w:footnoteRef/>
      </w:r>
      <w:r w:rsidRPr="003E70DD">
        <w:t xml:space="preserve"> </w:t>
      </w:r>
      <w:r>
        <w:tab/>
      </w:r>
      <w:r w:rsidRPr="003E70DD">
        <w:t>EBU contribution to the public consultation</w:t>
      </w:r>
      <w:r>
        <w:t>.</w:t>
      </w:r>
    </w:p>
  </w:footnote>
  <w:footnote w:id="124">
    <w:p w:rsidR="004B69C4" w:rsidRPr="00DE260E" w:rsidRDefault="004B69C4" w:rsidP="00C27157">
      <w:pPr>
        <w:pStyle w:val="FootnoteText"/>
      </w:pPr>
      <w:r>
        <w:rPr>
          <w:rStyle w:val="FootnoteReference"/>
        </w:rPr>
        <w:footnoteRef/>
      </w:r>
      <w:r>
        <w:t xml:space="preserve"> </w:t>
      </w:r>
      <w:r>
        <w:tab/>
      </w:r>
      <w:r w:rsidRPr="003E70DD">
        <w:t>Data from the European Audiovisual Observatory</w:t>
      </w:r>
      <w:r>
        <w:t>.</w:t>
      </w:r>
    </w:p>
  </w:footnote>
  <w:footnote w:id="125">
    <w:p w:rsidR="004B69C4" w:rsidRPr="003E70DD" w:rsidRDefault="004B69C4" w:rsidP="00C27157">
      <w:pPr>
        <w:pStyle w:val="FootnoteText"/>
        <w:ind w:left="709" w:hanging="709"/>
      </w:pPr>
      <w:r w:rsidRPr="003E70DD">
        <w:rPr>
          <w:rStyle w:val="FootnoteReference"/>
        </w:rPr>
        <w:footnoteRef/>
      </w:r>
      <w:r w:rsidRPr="003E70DD">
        <w:t xml:space="preserve"> </w:t>
      </w:r>
      <w:r>
        <w:tab/>
      </w:r>
      <w:r w:rsidRPr="003E70DD">
        <w:t>Such licences protect retransmission service providers against potential claims by 3</w:t>
      </w:r>
      <w:r w:rsidRPr="003E70DD">
        <w:rPr>
          <w:vertAlign w:val="superscript"/>
        </w:rPr>
        <w:t>rd</w:t>
      </w:r>
      <w:r w:rsidRPr="003E70DD">
        <w:t xml:space="preserve"> party </w:t>
      </w:r>
      <w:r>
        <w:t>rightholders</w:t>
      </w:r>
      <w:r w:rsidRPr="003E70DD">
        <w:t xml:space="preserve"> concerning the use of works included in the broadcast</w:t>
      </w:r>
      <w:r>
        <w:t>.</w:t>
      </w:r>
    </w:p>
  </w:footnote>
  <w:footnote w:id="126">
    <w:p w:rsidR="004B69C4" w:rsidRPr="003E70DD" w:rsidRDefault="004B69C4" w:rsidP="00C27157">
      <w:pPr>
        <w:pStyle w:val="FootnoteText"/>
        <w:ind w:left="709" w:hanging="709"/>
      </w:pPr>
      <w:r w:rsidRPr="003E70DD">
        <w:rPr>
          <w:rStyle w:val="FootnoteReference"/>
        </w:rPr>
        <w:footnoteRef/>
      </w:r>
      <w:r w:rsidRPr="003E70DD">
        <w:t xml:space="preserve"> </w:t>
      </w:r>
      <w:r>
        <w:tab/>
      </w:r>
      <w:r w:rsidRPr="003E70DD">
        <w:t>Meaning that a retransmission service can only be accessed by a consumer through an electronic communications network, dedicated fully or partially to the retransmission service (as opposed to access through "open" Internet / any electronic communications network giving access to the Internet)</w:t>
      </w:r>
      <w:r>
        <w:t>.</w:t>
      </w:r>
    </w:p>
  </w:footnote>
  <w:footnote w:id="127">
    <w:p w:rsidR="004B69C4" w:rsidRPr="005F006B" w:rsidRDefault="004B69C4" w:rsidP="007E0762">
      <w:pPr>
        <w:pStyle w:val="FootnoteText"/>
        <w:ind w:left="709" w:hanging="709"/>
      </w:pPr>
      <w:r w:rsidRPr="005F006B">
        <w:rPr>
          <w:rStyle w:val="FootnoteReference"/>
        </w:rPr>
        <w:footnoteRef/>
      </w:r>
      <w:r w:rsidRPr="005F006B">
        <w:t xml:space="preserve"> </w:t>
      </w:r>
      <w:r>
        <w:tab/>
        <w:t>See Annex 7B.</w:t>
      </w:r>
    </w:p>
  </w:footnote>
  <w:footnote w:id="128">
    <w:p w:rsidR="004B69C4" w:rsidRPr="005F006B" w:rsidRDefault="004B69C4" w:rsidP="00C27157">
      <w:pPr>
        <w:pStyle w:val="FootnoteText"/>
        <w:ind w:left="709" w:hanging="709"/>
      </w:pPr>
      <w:r w:rsidRPr="005F006B">
        <w:rPr>
          <w:rStyle w:val="FootnoteReference"/>
        </w:rPr>
        <w:footnoteRef/>
      </w:r>
      <w:r w:rsidRPr="005F006B">
        <w:t xml:space="preserve"> </w:t>
      </w:r>
      <w:r>
        <w:tab/>
      </w:r>
      <w:r w:rsidRPr="005F006B">
        <w:t xml:space="preserve">The projections for the Western European markets show very similar trends (e.g. the growth of IPTV from 15% of TV households in 2015 to almost 19% in 2021): </w:t>
      </w:r>
      <w:hyperlink r:id="rId29" w:history="1">
        <w:r w:rsidRPr="000E3819">
          <w:rPr>
            <w:rStyle w:val="Hyperlink"/>
          </w:rPr>
          <w:t>http://www.broadbandtvnews.com/2016/04/12/iptv-overtakes-pay-satellite-tv-in-western-europe/</w:t>
        </w:r>
      </w:hyperlink>
    </w:p>
  </w:footnote>
  <w:footnote w:id="129">
    <w:p w:rsidR="004B69C4" w:rsidRPr="005F006B" w:rsidRDefault="004B69C4" w:rsidP="00C27157">
      <w:pPr>
        <w:pStyle w:val="FootnoteText"/>
        <w:ind w:left="709" w:hanging="709"/>
        <w:rPr>
          <w:color w:val="000000"/>
          <w:lang w:val="en-US"/>
        </w:rPr>
      </w:pPr>
      <w:r w:rsidRPr="005F006B">
        <w:rPr>
          <w:rStyle w:val="FootnoteReference"/>
        </w:rPr>
        <w:footnoteRef/>
      </w:r>
      <w:r w:rsidRPr="005F006B">
        <w:t xml:space="preserve"> </w:t>
      </w:r>
      <w:r>
        <w:tab/>
      </w:r>
      <w:r w:rsidRPr="005F006B">
        <w:t xml:space="preserve">In this section, the summaries of stakeholders' views are based on the results of the public consultation on the review of the EU Satellite and Cable Directive published online </w:t>
      </w:r>
      <w:r w:rsidRPr="00F1723F">
        <w:t>attached hereto as Annex</w:t>
      </w:r>
      <w:r>
        <w:t xml:space="preserve"> </w:t>
      </w:r>
      <w:r w:rsidRPr="00F1723F">
        <w:t>2C</w:t>
      </w:r>
      <w:r>
        <w:t>.</w:t>
      </w:r>
    </w:p>
  </w:footnote>
  <w:footnote w:id="130">
    <w:p w:rsidR="004B69C4" w:rsidRDefault="004B69C4" w:rsidP="00C27157">
      <w:pPr>
        <w:pStyle w:val="FootnoteText"/>
      </w:pPr>
      <w:r>
        <w:rPr>
          <w:rStyle w:val="FootnoteReference"/>
        </w:rPr>
        <w:footnoteRef/>
      </w:r>
      <w:r>
        <w:t xml:space="preserve"> </w:t>
      </w:r>
      <w:r>
        <w:tab/>
      </w:r>
      <w:r w:rsidRPr="002B7703">
        <w:t>The difference in the opinion between commercial and public service broadcasters may stem from the fact that the former typically produce more content which is licensed to third parties.</w:t>
      </w:r>
    </w:p>
  </w:footnote>
  <w:footnote w:id="131">
    <w:p w:rsidR="004B69C4" w:rsidRPr="006D6407" w:rsidRDefault="004B69C4" w:rsidP="006D6407">
      <w:pPr>
        <w:pStyle w:val="CM4"/>
        <w:ind w:left="709" w:hanging="709"/>
        <w:jc w:val="both"/>
      </w:pPr>
      <w:r w:rsidRPr="006D6407">
        <w:rPr>
          <w:rStyle w:val="FootnoteReference"/>
          <w:rFonts w:ascii="Times New Roman" w:eastAsia="Calibri" w:hAnsi="Times New Roman" w:cs="Times New Roman"/>
          <w:sz w:val="20"/>
          <w:szCs w:val="20"/>
          <w:lang w:eastAsia="en-GB"/>
        </w:rPr>
        <w:footnoteRef/>
      </w:r>
      <w:r w:rsidRPr="006D6407">
        <w:rPr>
          <w:rStyle w:val="FootnoteReference"/>
          <w:rFonts w:ascii="Times New Roman" w:eastAsia="Calibri" w:hAnsi="Times New Roman" w:cs="Times New Roman"/>
          <w:sz w:val="20"/>
          <w:szCs w:val="20"/>
          <w:lang w:eastAsia="en-GB"/>
        </w:rPr>
        <w:t xml:space="preserve"> </w:t>
      </w:r>
      <w:r>
        <w:tab/>
      </w:r>
      <w:r w:rsidRPr="006D6407">
        <w:rPr>
          <w:rFonts w:ascii="Times New Roman" w:eastAsia="Calibri" w:hAnsi="Times New Roman" w:cs="Times New Roman"/>
          <w:sz w:val="20"/>
          <w:szCs w:val="20"/>
          <w:lang w:eastAsia="en-GB"/>
        </w:rPr>
        <w:t>Directive 2002/21/EC of the European Parliament and of the Council of 7 March 2002 on a common regulatory framework for electronic communications networks and services (</w:t>
      </w:r>
      <w:r>
        <w:rPr>
          <w:rFonts w:ascii="Times New Roman" w:eastAsia="Calibri" w:hAnsi="Times New Roman" w:cs="Times New Roman"/>
          <w:sz w:val="20"/>
          <w:szCs w:val="20"/>
          <w:lang w:eastAsia="en-GB"/>
        </w:rPr>
        <w:t xml:space="preserve">the </w:t>
      </w:r>
      <w:r w:rsidRPr="006D6407">
        <w:rPr>
          <w:rFonts w:ascii="Times New Roman" w:eastAsia="Calibri" w:hAnsi="Times New Roman" w:cs="Times New Roman"/>
          <w:sz w:val="20"/>
          <w:szCs w:val="20"/>
          <w:lang w:eastAsia="en-GB"/>
        </w:rPr>
        <w:t xml:space="preserve">Framework Directive) </w:t>
      </w:r>
      <w:r>
        <w:rPr>
          <w:rFonts w:ascii="Times New Roman" w:eastAsia="Calibri" w:hAnsi="Times New Roman" w:cs="Times New Roman"/>
          <w:sz w:val="20"/>
          <w:szCs w:val="20"/>
          <w:lang w:eastAsia="en-GB"/>
        </w:rPr>
        <w:t>(</w:t>
      </w:r>
      <w:r w:rsidRPr="006D6407">
        <w:rPr>
          <w:rFonts w:ascii="Times New Roman" w:eastAsia="Calibri" w:hAnsi="Times New Roman" w:cs="Times New Roman"/>
          <w:sz w:val="20"/>
          <w:szCs w:val="20"/>
          <w:lang w:eastAsia="en-GB"/>
        </w:rPr>
        <w:t>OJ L 108, 24.4.2002, p. 33–50</w:t>
      </w:r>
      <w:r>
        <w:rPr>
          <w:rFonts w:ascii="Times New Roman" w:eastAsia="Calibri" w:hAnsi="Times New Roman" w:cs="Times New Roman"/>
          <w:sz w:val="20"/>
          <w:szCs w:val="20"/>
          <w:lang w:eastAsia="en-GB"/>
        </w:rPr>
        <w:t xml:space="preserve">) : </w:t>
      </w:r>
      <w:r w:rsidRPr="006D6407">
        <w:rPr>
          <w:rFonts w:ascii="Times New Roman" w:eastAsia="Calibri" w:hAnsi="Times New Roman" w:cs="Times New Roman"/>
          <w:sz w:val="20"/>
          <w:szCs w:val="20"/>
          <w:lang w:eastAsia="en-GB"/>
        </w:rPr>
        <w:t>'</w:t>
      </w:r>
      <w:r w:rsidRPr="006D6407">
        <w:rPr>
          <w:rFonts w:ascii="Times New Roman" w:eastAsia="Calibri" w:hAnsi="Times New Roman" w:cs="Times New Roman" w:hint="eastAsia"/>
          <w:sz w:val="20"/>
          <w:szCs w:val="20"/>
          <w:lang w:eastAsia="en-GB"/>
        </w:rPr>
        <w:t>electronic communications network</w:t>
      </w:r>
      <w:r w:rsidRPr="006D6407">
        <w:rPr>
          <w:rFonts w:ascii="Times New Roman" w:eastAsia="Calibri" w:hAnsi="Times New Roman" w:cs="Times New Roman"/>
          <w:sz w:val="20"/>
          <w:szCs w:val="20"/>
          <w:lang w:eastAsia="en-GB"/>
        </w:rPr>
        <w:t>'</w:t>
      </w:r>
      <w:r w:rsidRPr="006D6407">
        <w:rPr>
          <w:rFonts w:ascii="Times New Roman" w:eastAsia="Calibri" w:hAnsi="Times New Roman" w:cs="Times New Roman" w:hint="eastAsia"/>
          <w:sz w:val="20"/>
          <w:szCs w:val="20"/>
          <w:lang w:eastAsia="en-GB"/>
        </w:rPr>
        <w:t xml:space="preserve"> means transmission systems and, where applicable, switching or routing equipment and other resources, including network elements which are not active, which permit the conveyance of signals by wire, radio, optical or other electromagnetic means, including satellite networks, fixed (circuit- and packet-switched, including Internet) and mobile terrestrial networks, electricity cable systems, to the extent that they are used for the purpose of transmitting signals, networks used for radio and television broadcasting, and cable television networks, irrespective of the type of information conveyed</w:t>
      </w:r>
      <w:r w:rsidRPr="006D6407">
        <w:rPr>
          <w:rFonts w:ascii="Times New Roman" w:eastAsia="Calibri" w:hAnsi="Times New Roman" w:cs="Times New Roman"/>
          <w:sz w:val="20"/>
          <w:szCs w:val="20"/>
          <w:lang w:eastAsia="en-GB"/>
        </w:rPr>
        <w:t>.</w:t>
      </w:r>
    </w:p>
  </w:footnote>
  <w:footnote w:id="132">
    <w:p w:rsidR="004B69C4" w:rsidRPr="005F006B" w:rsidRDefault="004B69C4" w:rsidP="00C27157">
      <w:pPr>
        <w:pStyle w:val="FootnoteText"/>
        <w:ind w:left="709" w:hanging="709"/>
      </w:pPr>
      <w:r w:rsidRPr="005F006B">
        <w:rPr>
          <w:rStyle w:val="FootnoteReference"/>
        </w:rPr>
        <w:footnoteRef/>
      </w:r>
      <w:r w:rsidRPr="005F006B">
        <w:t xml:space="preserve"> </w:t>
      </w:r>
      <w:r>
        <w:tab/>
      </w:r>
      <w:r w:rsidRPr="005F006B">
        <w:rPr>
          <w:color w:val="000000"/>
        </w:rPr>
        <w:t>ITU’s definition of IPTV refers to “multimedia services such as television/video/audio/text/graphics/data delivered over IP based networks managed to provide the required level of quality of service and experience, security, interactivity and reliability”</w:t>
      </w:r>
      <w:r>
        <w:rPr>
          <w:color w:val="000000"/>
        </w:rPr>
        <w:t>.</w:t>
      </w:r>
    </w:p>
  </w:footnote>
  <w:footnote w:id="133">
    <w:p w:rsidR="004B69C4" w:rsidRPr="005F006B" w:rsidRDefault="004B69C4" w:rsidP="00C27157">
      <w:pPr>
        <w:pStyle w:val="FootnoteText"/>
      </w:pPr>
      <w:r w:rsidRPr="005F006B">
        <w:rPr>
          <w:rStyle w:val="FootnoteReference"/>
        </w:rPr>
        <w:footnoteRef/>
      </w:r>
      <w:r w:rsidRPr="005F006B">
        <w:t xml:space="preserve"> </w:t>
      </w:r>
      <w:r>
        <w:tab/>
      </w:r>
      <w:r w:rsidRPr="00F1723F">
        <w:t>See Annex 7</w:t>
      </w:r>
      <w:r>
        <w:t>A</w:t>
      </w:r>
      <w:r w:rsidRPr="00F1723F">
        <w:t xml:space="preserve"> for the overview of the current state of play</w:t>
      </w:r>
      <w:r>
        <w:t>.</w:t>
      </w:r>
    </w:p>
  </w:footnote>
  <w:footnote w:id="134">
    <w:p w:rsidR="004B69C4" w:rsidRDefault="004B69C4" w:rsidP="00C27157">
      <w:pPr>
        <w:pStyle w:val="FootnoteText"/>
      </w:pPr>
      <w:r>
        <w:rPr>
          <w:rStyle w:val="FootnoteReference"/>
        </w:rPr>
        <w:footnoteRef/>
      </w:r>
      <w:r>
        <w:t xml:space="preserve"> </w:t>
      </w:r>
      <w:r>
        <w:tab/>
      </w:r>
      <w:r w:rsidRPr="00B3634A">
        <w:t>Source: IHS Technology, "Current market and Technology Trends in the Broadcasting Sector", May 2015</w:t>
      </w:r>
      <w:r>
        <w:t>, p.19.</w:t>
      </w:r>
    </w:p>
  </w:footnote>
  <w:footnote w:id="135">
    <w:p w:rsidR="004B69C4" w:rsidRPr="006B538C" w:rsidRDefault="004B69C4" w:rsidP="00A57992">
      <w:pPr>
        <w:pStyle w:val="FootnoteText"/>
      </w:pPr>
      <w:r>
        <w:rPr>
          <w:rStyle w:val="FootnoteReference"/>
        </w:rPr>
        <w:footnoteRef/>
      </w:r>
      <w:r>
        <w:t xml:space="preserve"> </w:t>
      </w:r>
      <w:r>
        <w:tab/>
      </w:r>
      <w:r w:rsidRPr="00B15CA9">
        <w:t>The on-demand market of audiovisual works (or Video-on-Demand ('VoD') market) as understood here includes (i) Subscription VoD ('SVoD') and (ii) Transactional VoD ('TVoD') which itself includes buy services (EST- Electronic self-through) and rental services (DTR – Download to rent).</w:t>
      </w:r>
      <w:r>
        <w:t xml:space="preserve"> </w:t>
      </w:r>
      <w:r w:rsidRPr="00911B7B">
        <w:t>It also includes AVoD (Advertising-supported Video-on-Demand) and FVoD (Free Video-on-Demand).</w:t>
      </w:r>
    </w:p>
  </w:footnote>
  <w:footnote w:id="136">
    <w:p w:rsidR="004B69C4" w:rsidRPr="00BF1B10" w:rsidRDefault="004B69C4" w:rsidP="00A57992">
      <w:pPr>
        <w:pStyle w:val="FootnoteText"/>
      </w:pPr>
      <w:r w:rsidRPr="007F1410">
        <w:rPr>
          <w:rStyle w:val="FootnoteReference"/>
        </w:rPr>
        <w:footnoteRef/>
      </w:r>
      <w:r w:rsidRPr="007F1410">
        <w:t xml:space="preserve"> </w:t>
      </w:r>
      <w:r w:rsidRPr="007F1410">
        <w:tab/>
      </w:r>
      <w:r w:rsidRPr="00C32C45">
        <w:t>European video: the industry overview – International video federation, 2014.</w:t>
      </w:r>
    </w:p>
  </w:footnote>
  <w:footnote w:id="137">
    <w:p w:rsidR="004B69C4" w:rsidRPr="00BF1B10" w:rsidRDefault="004B69C4" w:rsidP="00A57992">
      <w:pPr>
        <w:pStyle w:val="FootnoteText"/>
      </w:pPr>
      <w:r w:rsidRPr="00BF1B10">
        <w:rPr>
          <w:rStyle w:val="FootnoteReference"/>
        </w:rPr>
        <w:footnoteRef/>
      </w:r>
      <w:r w:rsidRPr="00BF1B10">
        <w:t xml:space="preserve"> </w:t>
      </w:r>
      <w:r>
        <w:tab/>
      </w:r>
      <w:r w:rsidRPr="00A91030">
        <w:t>EU Observatory- Study on-demand markets in the European Union – 2014 and 2015 developments.</w:t>
      </w:r>
    </w:p>
  </w:footnote>
  <w:footnote w:id="138">
    <w:p w:rsidR="004B69C4" w:rsidRPr="000510DD" w:rsidRDefault="004B69C4" w:rsidP="00A57992">
      <w:pPr>
        <w:pStyle w:val="FootnoteText"/>
      </w:pPr>
      <w:r w:rsidRPr="00D05D36">
        <w:rPr>
          <w:rStyle w:val="FootnoteReference"/>
        </w:rPr>
        <w:footnoteRef/>
      </w:r>
      <w:r w:rsidRPr="00D05D36">
        <w:t xml:space="preserve"> </w:t>
      </w:r>
      <w:r>
        <w:tab/>
        <w:t xml:space="preserve">Data for February 2014. </w:t>
      </w:r>
      <w:r w:rsidRPr="00C32C45">
        <w:t>European Audiovisual Observatory,</w:t>
      </w:r>
      <w:r w:rsidRPr="00C32C45" w:rsidDel="009F2A7C">
        <w:rPr>
          <w:lang w:val="en"/>
        </w:rPr>
        <w:t xml:space="preserve"> </w:t>
      </w:r>
      <w:r w:rsidRPr="00C32C45">
        <w:rPr>
          <w:lang w:val="en"/>
        </w:rPr>
        <w:t>Study on on-demand audiovisual markets in the European Union, 2014</w:t>
      </w:r>
      <w:r>
        <w:rPr>
          <w:lang w:val="en"/>
        </w:rPr>
        <w:t>.</w:t>
      </w:r>
    </w:p>
  </w:footnote>
  <w:footnote w:id="139">
    <w:p w:rsidR="004B69C4" w:rsidRPr="00BF1B10" w:rsidRDefault="004B69C4" w:rsidP="00A57992">
      <w:pPr>
        <w:pStyle w:val="FootnoteText"/>
      </w:pPr>
      <w:r w:rsidRPr="007F1410">
        <w:rPr>
          <w:rStyle w:val="FootnoteReference"/>
        </w:rPr>
        <w:footnoteRef/>
      </w:r>
      <w:r w:rsidRPr="007F1410">
        <w:t xml:space="preserve"> </w:t>
      </w:r>
      <w:r w:rsidRPr="007F1410">
        <w:tab/>
        <w:t>EU Observatory</w:t>
      </w:r>
      <w:r>
        <w:t xml:space="preserve"> – O</w:t>
      </w:r>
      <w:r w:rsidRPr="00BF1B10">
        <w:t>n-demand markets in the European Union – 2014 and 2015 developments.</w:t>
      </w:r>
    </w:p>
  </w:footnote>
  <w:footnote w:id="140">
    <w:p w:rsidR="004B69C4" w:rsidRPr="00CC0426" w:rsidRDefault="004B69C4" w:rsidP="00A57992">
      <w:pPr>
        <w:pStyle w:val="FootnoteText"/>
      </w:pPr>
      <w:r>
        <w:rPr>
          <w:rStyle w:val="FootnoteReference"/>
        </w:rPr>
        <w:footnoteRef/>
      </w:r>
      <w:r>
        <w:t xml:space="preserve"> </w:t>
      </w:r>
      <w:r>
        <w:tab/>
        <w:t>In comparison, 87 % of US films are available on VoD. See C. Grece, "How do films travel on VoD and in cinemas in the European Union – A comparative analysis", May 2016.</w:t>
      </w:r>
    </w:p>
  </w:footnote>
  <w:footnote w:id="141">
    <w:p w:rsidR="004B69C4" w:rsidRPr="00952098" w:rsidRDefault="004B69C4" w:rsidP="00A57992">
      <w:pPr>
        <w:pStyle w:val="FootnoteText"/>
      </w:pPr>
      <w:r w:rsidRPr="00AA0468">
        <w:rPr>
          <w:rStyle w:val="FootnoteReference"/>
        </w:rPr>
        <w:footnoteRef/>
      </w:r>
      <w:r w:rsidRPr="00BF1B10">
        <w:t xml:space="preserve"> </w:t>
      </w:r>
      <w:r>
        <w:tab/>
        <w:t>As it has been highlighted in recent reports</w:t>
      </w:r>
      <w:r w:rsidRPr="00952098">
        <w:t>, see Annex 8A.</w:t>
      </w:r>
    </w:p>
  </w:footnote>
  <w:footnote w:id="142">
    <w:p w:rsidR="004B69C4" w:rsidRPr="00AA0468" w:rsidRDefault="004B69C4" w:rsidP="00A57992">
      <w:pPr>
        <w:pStyle w:val="FootnoteText"/>
      </w:pPr>
      <w:r w:rsidRPr="00952098">
        <w:rPr>
          <w:rStyle w:val="FootnoteReference"/>
        </w:rPr>
        <w:footnoteRef/>
      </w:r>
      <w:r w:rsidRPr="00952098">
        <w:t xml:space="preserve"> </w:t>
      </w:r>
      <w:r w:rsidRPr="00952098">
        <w:tab/>
        <w:t xml:space="preserve">Traditionally, </w:t>
      </w:r>
      <w:r w:rsidRPr="00952098">
        <w:rPr>
          <w:lang w:val="en"/>
        </w:rPr>
        <w:t>first comes the theatrical release, then DVD and TVoD, then pay TV and free TV and coming last, SVoD. See Annex 8B for an overview</w:t>
      </w:r>
      <w:r w:rsidRPr="00911B7B">
        <w:rPr>
          <w:lang w:val="en"/>
        </w:rPr>
        <w:t xml:space="preserve"> of the main actors in the audiovisual industry.</w:t>
      </w:r>
    </w:p>
  </w:footnote>
  <w:footnote w:id="143">
    <w:p w:rsidR="004B69C4" w:rsidRPr="009476D1" w:rsidRDefault="004B69C4" w:rsidP="00A57992">
      <w:pPr>
        <w:pStyle w:val="FootnoteText"/>
      </w:pPr>
      <w:r>
        <w:rPr>
          <w:rStyle w:val="FootnoteReference"/>
        </w:rPr>
        <w:footnoteRef/>
      </w:r>
      <w:r>
        <w:t xml:space="preserve"> </w:t>
      </w:r>
      <w:r>
        <w:tab/>
        <w:t>In comparison, US films are available in 6.8 countries. See C. Grece, "How do films travel on VoD and in cinemas in the European Union – A comparative analysis", May 2016.</w:t>
      </w:r>
    </w:p>
  </w:footnote>
  <w:footnote w:id="144">
    <w:p w:rsidR="004B69C4" w:rsidRPr="00BF1B10" w:rsidRDefault="004B69C4" w:rsidP="00A57992">
      <w:pPr>
        <w:pStyle w:val="FootnoteText"/>
      </w:pPr>
      <w:r w:rsidRPr="00A91030">
        <w:rPr>
          <w:rStyle w:val="FootnoteReference"/>
        </w:rPr>
        <w:footnoteRef/>
      </w:r>
      <w:r w:rsidRPr="00BF1B10">
        <w:t xml:space="preserve"> </w:t>
      </w:r>
      <w:r>
        <w:tab/>
      </w:r>
      <w:r w:rsidRPr="00BF1B10">
        <w:t>59</w:t>
      </w:r>
      <w:r>
        <w:t xml:space="preserve"> </w:t>
      </w:r>
      <w:r w:rsidRPr="00BF1B10">
        <w:t>% of Internet users (respondents) have accessed or downloaded audio-visual content</w:t>
      </w:r>
      <w:r w:rsidRPr="00AA0468">
        <w:t xml:space="preserve"> (films, series, video clips, </w:t>
      </w:r>
      <w:r w:rsidRPr="00A91030">
        <w:t>TV content, excluding sports) in the last 12</w:t>
      </w:r>
      <w:r w:rsidRPr="00AA0468">
        <w:t xml:space="preserve"> months. Eurobarometer 411 (August 2015). 30% of respondents have paid for that access or downloading.</w:t>
      </w:r>
    </w:p>
  </w:footnote>
  <w:footnote w:id="145">
    <w:p w:rsidR="004B69C4" w:rsidRPr="00BF1B10" w:rsidRDefault="004B69C4" w:rsidP="00A57992">
      <w:pPr>
        <w:pStyle w:val="FootnoteText"/>
        <w:widowControl w:val="0"/>
      </w:pPr>
      <w:r w:rsidRPr="00BF1B10">
        <w:rPr>
          <w:rStyle w:val="FootnoteReference"/>
        </w:rPr>
        <w:footnoteRef/>
      </w:r>
      <w:r w:rsidRPr="00BF1B10">
        <w:t xml:space="preserve"> </w:t>
      </w:r>
      <w:r>
        <w:tab/>
      </w:r>
      <w:r w:rsidRPr="00952098">
        <w:t>See Annex 8A – VoD</w:t>
      </w:r>
      <w:r>
        <w:t xml:space="preserve"> as a means to fight piracy</w:t>
      </w:r>
      <w:r w:rsidRPr="00C41E1F">
        <w:t>.</w:t>
      </w:r>
    </w:p>
  </w:footnote>
  <w:footnote w:id="146">
    <w:p w:rsidR="004B69C4" w:rsidRPr="00F03B71" w:rsidRDefault="004B69C4" w:rsidP="00A57992">
      <w:pPr>
        <w:pStyle w:val="FootnoteText"/>
      </w:pPr>
      <w:r>
        <w:rPr>
          <w:rStyle w:val="FootnoteReference"/>
        </w:rPr>
        <w:footnoteRef/>
      </w:r>
      <w:r>
        <w:t xml:space="preserve"> </w:t>
      </w:r>
      <w:r>
        <w:tab/>
        <w:t>For an overview of the value chain and digital distribution, see Annex 8C.</w:t>
      </w:r>
    </w:p>
  </w:footnote>
  <w:footnote w:id="147">
    <w:p w:rsidR="004B69C4" w:rsidRPr="00A91030" w:rsidRDefault="004B69C4" w:rsidP="00A57992">
      <w:pPr>
        <w:pStyle w:val="FootnoteText"/>
      </w:pPr>
      <w:r w:rsidRPr="00AA0468">
        <w:rPr>
          <w:rStyle w:val="FootnoteReference"/>
        </w:rPr>
        <w:footnoteRef/>
      </w:r>
      <w:r w:rsidRPr="00AA0468">
        <w:t xml:space="preserve"> </w:t>
      </w:r>
      <w:r>
        <w:tab/>
        <w:t xml:space="preserve">Study "Multi-territory licensing of audiovisual works in the European Union", October 2010. </w:t>
      </w:r>
    </w:p>
  </w:footnote>
  <w:footnote w:id="148">
    <w:p w:rsidR="004B69C4" w:rsidRPr="00A91030" w:rsidRDefault="004B69C4" w:rsidP="00A57992">
      <w:pPr>
        <w:pStyle w:val="FootnoteText"/>
        <w:widowControl w:val="0"/>
      </w:pPr>
      <w:r w:rsidRPr="00AA0468">
        <w:rPr>
          <w:rStyle w:val="FootnoteReference"/>
        </w:rPr>
        <w:footnoteRef/>
      </w:r>
      <w:r w:rsidRPr="00AA0468">
        <w:t xml:space="preserve"> </w:t>
      </w:r>
      <w:r>
        <w:tab/>
      </w:r>
      <w:r w:rsidRPr="00AA0468">
        <w:t xml:space="preserve">Study on the fragmentation of the single market for on-line </w:t>
      </w:r>
      <w:r w:rsidRPr="00A91030">
        <w:t xml:space="preserve">video-on-demand services: point of view of content providers, study commissioned by the European Commission (DG CONNECT) and prepared by iMinds (SMIT), p. 36: </w:t>
      </w:r>
      <w:r w:rsidRPr="00A91030">
        <w:rPr>
          <w:i/>
        </w:rPr>
        <w:t>"(…) some sector stakeholders, in particular pay TV channels, use release windows as a means to hamper the VoD market's development. By imposing 'unreasonable' holdback periods, these pay TV players negatively impact the attractiveness of legal VoD offers</w:t>
      </w:r>
      <w:r w:rsidRPr="00A91030">
        <w:t>".</w:t>
      </w:r>
    </w:p>
  </w:footnote>
  <w:footnote w:id="149">
    <w:p w:rsidR="004B69C4" w:rsidRPr="00BF1B10" w:rsidRDefault="004B69C4" w:rsidP="00A57992">
      <w:pPr>
        <w:spacing w:after="0" w:line="240" w:lineRule="auto"/>
        <w:jc w:val="both"/>
        <w:rPr>
          <w:rFonts w:ascii="Times New Roman" w:hAnsi="Times New Roman" w:cs="Times New Roman"/>
          <w:sz w:val="20"/>
          <w:szCs w:val="20"/>
        </w:rPr>
      </w:pPr>
      <w:r w:rsidRPr="00BF1B10">
        <w:rPr>
          <w:rStyle w:val="FootnoteReference"/>
          <w:sz w:val="20"/>
        </w:rPr>
        <w:footnoteRef/>
      </w:r>
      <w:r w:rsidRPr="00BF1B10">
        <w:rPr>
          <w:rFonts w:ascii="Times New Roman" w:hAnsi="Times New Roman" w:cs="Times New Roman"/>
          <w:sz w:val="20"/>
          <w:szCs w:val="20"/>
        </w:rPr>
        <w:t xml:space="preserve"> </w:t>
      </w:r>
      <w:r>
        <w:rPr>
          <w:rFonts w:ascii="Times New Roman" w:hAnsi="Times New Roman" w:cs="Times New Roman"/>
          <w:sz w:val="20"/>
          <w:szCs w:val="20"/>
        </w:rPr>
        <w:tab/>
      </w:r>
      <w:r w:rsidRPr="00BF1B10">
        <w:rPr>
          <w:rFonts w:ascii="Times New Roman" w:hAnsi="Times New Roman" w:cs="Times New Roman"/>
          <w:sz w:val="20"/>
          <w:szCs w:val="20"/>
        </w:rPr>
        <w:t xml:space="preserve">This is particularly true for SVoD (contrary to EST). </w:t>
      </w:r>
    </w:p>
  </w:footnote>
  <w:footnote w:id="150">
    <w:p w:rsidR="004B69C4" w:rsidRPr="00A91030" w:rsidRDefault="004B69C4" w:rsidP="00A57992">
      <w:pPr>
        <w:pStyle w:val="FootnoteText"/>
      </w:pPr>
      <w:r w:rsidRPr="00AA0468">
        <w:rPr>
          <w:rStyle w:val="FootnoteReference"/>
        </w:rPr>
        <w:footnoteRef/>
      </w:r>
      <w:r w:rsidRPr="00AA0468">
        <w:t xml:space="preserve"> </w:t>
      </w:r>
      <w:r>
        <w:tab/>
      </w:r>
      <w:r w:rsidRPr="00AA0468">
        <w:t>In France, this situation has been addressed by the conclusion of an agreement</w:t>
      </w:r>
      <w:r w:rsidRPr="00A91030">
        <w:t xml:space="preserve"> ('protocole d'accord') between the SACD and organisations of producers. This agreement was extended to the whole sector in 2007 (see 'Arrêté du 15 février 2007'). This agreement provides for a standard clause to be included in the contracts to allow VoD exploitation. This agreement also includes a presumption of licence for previous contracts. This aims at lifting obstacles at the very beginning of the chain of exploitation (initial authors) and at providing remuneration to initial authors.</w:t>
      </w:r>
    </w:p>
  </w:footnote>
  <w:footnote w:id="151">
    <w:p w:rsidR="004B69C4" w:rsidRPr="004D6F0A" w:rsidRDefault="004B69C4" w:rsidP="00A57992">
      <w:pPr>
        <w:pStyle w:val="FootnoteText"/>
      </w:pPr>
      <w:r>
        <w:rPr>
          <w:rStyle w:val="FootnoteReference"/>
        </w:rPr>
        <w:footnoteRef/>
      </w:r>
      <w:r>
        <w:t xml:space="preserve"> </w:t>
      </w:r>
      <w:r>
        <w:tab/>
      </w:r>
      <w:r w:rsidRPr="00952098">
        <w:t>See Annex 8A.</w:t>
      </w:r>
    </w:p>
  </w:footnote>
  <w:footnote w:id="152">
    <w:p w:rsidR="004B69C4" w:rsidRPr="00F03B71" w:rsidRDefault="004B69C4" w:rsidP="00A57992">
      <w:pPr>
        <w:pStyle w:val="FootnoteText"/>
      </w:pPr>
      <w:r>
        <w:rPr>
          <w:rStyle w:val="FootnoteReference"/>
        </w:rPr>
        <w:footnoteRef/>
      </w:r>
      <w:r>
        <w:t xml:space="preserve"> </w:t>
      </w:r>
      <w:r>
        <w:tab/>
        <w:t>On the revenue streams in the VoD sector, see Annex 8D.</w:t>
      </w:r>
    </w:p>
  </w:footnote>
  <w:footnote w:id="153">
    <w:p w:rsidR="004B69C4" w:rsidRPr="00BF1B10" w:rsidRDefault="004B69C4" w:rsidP="00A57992">
      <w:pPr>
        <w:pStyle w:val="FootnoteText"/>
      </w:pPr>
      <w:r w:rsidRPr="00AA0468">
        <w:rPr>
          <w:rStyle w:val="FootnoteReference"/>
        </w:rPr>
        <w:footnoteRef/>
      </w:r>
      <w:r w:rsidRPr="00AA0468">
        <w:t xml:space="preserve"> </w:t>
      </w:r>
      <w:r>
        <w:tab/>
      </w:r>
      <w:r w:rsidRPr="00AA0468">
        <w:t xml:space="preserve">See the </w:t>
      </w:r>
      <w:r>
        <w:t>s</w:t>
      </w:r>
      <w:r w:rsidRPr="00AA0468">
        <w:t>tudy commissioned by un</w:t>
      </w:r>
      <w:r w:rsidRPr="00A91030">
        <w:t>iFrance films, "New French and European film markeys – Digital: a new growth driver for intra-community circulation and export?", Ernst&amp; Young, March 2015.</w:t>
      </w:r>
    </w:p>
  </w:footnote>
  <w:footnote w:id="154">
    <w:p w:rsidR="004B69C4" w:rsidRPr="00BF1B10" w:rsidRDefault="004B69C4" w:rsidP="00A57992">
      <w:pPr>
        <w:pStyle w:val="FootnoteText"/>
      </w:pPr>
      <w:r w:rsidRPr="00BF1B10">
        <w:rPr>
          <w:rStyle w:val="FootnoteReference"/>
        </w:rPr>
        <w:footnoteRef/>
      </w:r>
      <w:r w:rsidRPr="00BF1B10">
        <w:t xml:space="preserve"> </w:t>
      </w:r>
      <w:r>
        <w:tab/>
      </w:r>
      <w:r w:rsidRPr="00BF1B10">
        <w:t>S</w:t>
      </w:r>
      <w:r w:rsidRPr="00AA0468">
        <w:t xml:space="preserve">tudy carried out for the </w:t>
      </w:r>
      <w:r w:rsidRPr="00A91030">
        <w:t>European Commission "Analysis of the legal rules for exploitation windows and commercial practices in EU Member States and of the importance of exploitation windows for business practices"</w:t>
      </w:r>
      <w:r>
        <w:t>, p. 36</w:t>
      </w:r>
      <w:r w:rsidRPr="00A91030">
        <w:t xml:space="preserve"> (2014).</w:t>
      </w:r>
    </w:p>
  </w:footnote>
  <w:footnote w:id="155">
    <w:p w:rsidR="004B69C4" w:rsidRPr="00D05D36" w:rsidRDefault="004B69C4" w:rsidP="00A57992">
      <w:pPr>
        <w:pStyle w:val="FootnoteText"/>
        <w:rPr>
          <w:lang w:val="fr-BE"/>
        </w:rPr>
      </w:pPr>
      <w:r w:rsidRPr="00AA0468">
        <w:rPr>
          <w:rStyle w:val="FootnoteReference"/>
        </w:rPr>
        <w:footnoteRef/>
      </w:r>
      <w:r w:rsidRPr="00AA0468">
        <w:rPr>
          <w:lang w:val="fr-BE"/>
        </w:rPr>
        <w:t xml:space="preserve"> </w:t>
      </w:r>
      <w:r>
        <w:rPr>
          <w:lang w:val="fr-BE"/>
        </w:rPr>
        <w:tab/>
      </w:r>
      <w:r w:rsidRPr="00AA0468">
        <w:rPr>
          <w:lang w:val="fr-BE"/>
        </w:rPr>
        <w:t>Mission sur le développement des services de vidéo à la demande et leur impact sur la création: centre national du cinéma et de l</w:t>
      </w:r>
      <w:r w:rsidRPr="00A91030">
        <w:rPr>
          <w:lang w:val="fr-BE"/>
        </w:rPr>
        <w:t xml:space="preserve">'image animée, Hubac, S. (2010).  </w:t>
      </w:r>
    </w:p>
  </w:footnote>
  <w:footnote w:id="156">
    <w:p w:rsidR="004B69C4" w:rsidRPr="00A47469" w:rsidRDefault="004B69C4" w:rsidP="00A57992">
      <w:pPr>
        <w:pStyle w:val="FootnoteText"/>
      </w:pPr>
      <w:r>
        <w:rPr>
          <w:rStyle w:val="FootnoteReference"/>
        </w:rPr>
        <w:footnoteRef/>
      </w:r>
      <w:r w:rsidRPr="00A47469">
        <w:t xml:space="preserve"> </w:t>
      </w:r>
      <w:r w:rsidRPr="00A47469">
        <w:tab/>
      </w:r>
      <w:r w:rsidRPr="00952098">
        <w:t>See Annex 8A.</w:t>
      </w:r>
    </w:p>
  </w:footnote>
  <w:footnote w:id="157">
    <w:p w:rsidR="004B69C4" w:rsidRPr="00A91030" w:rsidRDefault="004B69C4" w:rsidP="00A57992">
      <w:pPr>
        <w:pStyle w:val="FootnoteText"/>
      </w:pPr>
      <w:r w:rsidRPr="00A91030">
        <w:rPr>
          <w:rStyle w:val="FootnoteReference"/>
        </w:rPr>
        <w:footnoteRef/>
      </w:r>
      <w:r w:rsidRPr="00A91030">
        <w:t xml:space="preserve"> </w:t>
      </w:r>
      <w:r>
        <w:tab/>
        <w:t xml:space="preserve">Technical costs are briefly </w:t>
      </w:r>
      <w:r w:rsidRPr="00491365">
        <w:t>described in Annex 8A.</w:t>
      </w:r>
    </w:p>
  </w:footnote>
  <w:footnote w:id="158">
    <w:p w:rsidR="004B69C4" w:rsidRPr="005F032D" w:rsidRDefault="004B69C4" w:rsidP="00A57992">
      <w:pPr>
        <w:pStyle w:val="FootnoteText"/>
      </w:pPr>
      <w:r>
        <w:rPr>
          <w:rStyle w:val="FootnoteReference"/>
        </w:rPr>
        <w:footnoteRef/>
      </w:r>
      <w:r>
        <w:t xml:space="preserve"> </w:t>
      </w:r>
      <w:r>
        <w:tab/>
        <w:t>Many European works are not released in all EU Member States. VoD exploitation could compensate this absence. However, in the absence of any previous distribution scheme in a given territory, transaction costs would be particularly high as they would only concern VoD exploitation.</w:t>
      </w:r>
    </w:p>
  </w:footnote>
  <w:footnote w:id="159">
    <w:p w:rsidR="004B69C4" w:rsidRPr="00BF1B10" w:rsidRDefault="004B69C4" w:rsidP="00A57992">
      <w:pPr>
        <w:pStyle w:val="FootnoteText"/>
      </w:pPr>
      <w:r w:rsidRPr="00BF1B10">
        <w:rPr>
          <w:rStyle w:val="FootnoteReference"/>
        </w:rPr>
        <w:footnoteRef/>
      </w:r>
      <w:r w:rsidRPr="00BF1B10">
        <w:t xml:space="preserve"> </w:t>
      </w:r>
      <w:r>
        <w:tab/>
      </w:r>
      <w:r w:rsidRPr="00BF1B10">
        <w:t>Compared to 59</w:t>
      </w:r>
      <w:r>
        <w:t xml:space="preserve"> </w:t>
      </w:r>
      <w:r w:rsidRPr="00BF1B10">
        <w:t>% of US films on VoD and 60</w:t>
      </w:r>
      <w:r>
        <w:t xml:space="preserve"> </w:t>
      </w:r>
      <w:r w:rsidRPr="00BF1B10">
        <w:t xml:space="preserve">% on </w:t>
      </w:r>
      <w:r w:rsidRPr="00D05D36">
        <w:t>SVoD</w:t>
      </w:r>
      <w:r w:rsidRPr="00D05D36">
        <w:rPr>
          <w:rFonts w:ascii="Calibri" w:hAnsi="Calibri"/>
          <w:sz w:val="22"/>
          <w:szCs w:val="22"/>
        </w:rPr>
        <w:t xml:space="preserve"> </w:t>
      </w:r>
      <w:r w:rsidRPr="00D05D36">
        <w:t xml:space="preserve">(based on the number of cumulative film titles). </w:t>
      </w:r>
      <w:r w:rsidRPr="00BF1B10">
        <w:t>Sample of 75 VoD and 16 SVoD catalogues. "Origin of films in VoD catalogues in the EU". European Audiovisual Observatory. November 2015.</w:t>
      </w:r>
      <w:r>
        <w:t xml:space="preserve"> </w:t>
      </w:r>
    </w:p>
  </w:footnote>
  <w:footnote w:id="160">
    <w:p w:rsidR="004B69C4" w:rsidRPr="00A91030" w:rsidRDefault="004B69C4" w:rsidP="00A57992">
      <w:pPr>
        <w:pStyle w:val="FootnoteText"/>
      </w:pPr>
      <w:r w:rsidRPr="00AA0468">
        <w:rPr>
          <w:rStyle w:val="FootnoteReference"/>
        </w:rPr>
        <w:footnoteRef/>
      </w:r>
      <w:r w:rsidRPr="00AA0468">
        <w:t xml:space="preserve"> </w:t>
      </w:r>
      <w:r>
        <w:tab/>
        <w:t xml:space="preserve">For which exclusivity plays a </w:t>
      </w:r>
      <w:r w:rsidRPr="00952098">
        <w:t>role, see Annex 8A.</w:t>
      </w:r>
    </w:p>
  </w:footnote>
  <w:footnote w:id="161">
    <w:p w:rsidR="004B69C4" w:rsidRPr="009747FD" w:rsidRDefault="004B69C4" w:rsidP="00A57992">
      <w:pPr>
        <w:pStyle w:val="FootnoteText"/>
      </w:pPr>
      <w:r w:rsidRPr="009747FD">
        <w:rPr>
          <w:rStyle w:val="FootnoteReference"/>
        </w:rPr>
        <w:footnoteRef/>
      </w:r>
      <w:r w:rsidRPr="009747FD">
        <w:t xml:space="preserve"> </w:t>
      </w:r>
      <w:r w:rsidRPr="009747FD">
        <w:tab/>
      </w:r>
      <w:r w:rsidRPr="00C32C45">
        <w:t xml:space="preserve">Since 2015, the MEDIA programme supports "ready-to-offer" catalogues of European films – see </w:t>
      </w:r>
      <w:r w:rsidRPr="00750BFB">
        <w:t>Annex 8E.</w:t>
      </w:r>
      <w:r>
        <w:t xml:space="preserve"> On the role of aggregators, see also Annex 8D.</w:t>
      </w:r>
    </w:p>
  </w:footnote>
  <w:footnote w:id="162">
    <w:p w:rsidR="004B69C4" w:rsidRPr="00F1798F" w:rsidRDefault="004B69C4" w:rsidP="00A57992">
      <w:pPr>
        <w:pStyle w:val="FootnoteText"/>
      </w:pPr>
      <w:r w:rsidRPr="004C3E21">
        <w:rPr>
          <w:rStyle w:val="FootnoteReference"/>
        </w:rPr>
        <w:footnoteRef/>
      </w:r>
      <w:r w:rsidRPr="004C3E21">
        <w:t xml:space="preserve"> </w:t>
      </w:r>
      <w:r w:rsidRPr="004C3E21">
        <w:tab/>
        <w:t>Some of these issues will be addressed</w:t>
      </w:r>
      <w:r w:rsidRPr="00F1798F">
        <w:t xml:space="preserve"> by accompanying measures announced in </w:t>
      </w:r>
      <w:r>
        <w:t>the Commission</w:t>
      </w:r>
      <w:r w:rsidRPr="00DA6D8E">
        <w:t xml:space="preserve"> Communication </w:t>
      </w:r>
      <w:r>
        <w:t>(</w:t>
      </w:r>
      <w:r w:rsidRPr="00F97EE2">
        <w:t>COM(2015) 626 final</w:t>
      </w:r>
      <w:r>
        <w:t xml:space="preserve">)  </w:t>
      </w:r>
      <w:r w:rsidRPr="00DA6D8E">
        <w:t xml:space="preserve">of </w:t>
      </w:r>
      <w:r>
        <w:t xml:space="preserve">9 </w:t>
      </w:r>
      <w:r w:rsidRPr="00DA6D8E">
        <w:t>December 2015</w:t>
      </w:r>
      <w:r w:rsidRPr="00F1798F">
        <w:t>.</w:t>
      </w:r>
    </w:p>
  </w:footnote>
  <w:footnote w:id="163">
    <w:p w:rsidR="004B69C4" w:rsidRPr="00A91030" w:rsidRDefault="004B69C4" w:rsidP="00A57992">
      <w:pPr>
        <w:pStyle w:val="FootnoteText"/>
      </w:pPr>
      <w:r w:rsidRPr="00F1798F">
        <w:rPr>
          <w:rStyle w:val="FootnoteReference"/>
        </w:rPr>
        <w:footnoteRef/>
      </w:r>
      <w:r w:rsidRPr="00F1798F">
        <w:t xml:space="preserve"> </w:t>
      </w:r>
      <w:r w:rsidRPr="00F1798F">
        <w:tab/>
        <w:t xml:space="preserve">Which are to a large extent similar to the ones for </w:t>
      </w:r>
      <w:r>
        <w:t>rightholder</w:t>
      </w:r>
      <w:r w:rsidRPr="00491365">
        <w:t>. See Annex 8A.</w:t>
      </w:r>
    </w:p>
  </w:footnote>
  <w:footnote w:id="164">
    <w:p w:rsidR="004B69C4" w:rsidRPr="00F97EE2" w:rsidRDefault="004B69C4" w:rsidP="00A57992">
      <w:pPr>
        <w:pStyle w:val="FootnoteText"/>
      </w:pPr>
      <w:r w:rsidRPr="00F97EE2">
        <w:rPr>
          <w:rStyle w:val="FootnoteReference"/>
        </w:rPr>
        <w:footnoteRef/>
      </w:r>
      <w:r w:rsidRPr="00F97EE2">
        <w:t xml:space="preserve"> </w:t>
      </w:r>
      <w:r>
        <w:tab/>
      </w:r>
      <w:r>
        <w:rPr>
          <w:bCs/>
        </w:rPr>
        <w:t xml:space="preserve">Commission Communication </w:t>
      </w:r>
      <w:r>
        <w:t>(</w:t>
      </w:r>
      <w:r w:rsidRPr="00F97EE2">
        <w:t>COM(2015) 626 final</w:t>
      </w:r>
      <w:r>
        <w:t>) of 9 December 2015. S</w:t>
      </w:r>
      <w:r w:rsidRPr="00741A3E">
        <w:t>ee</w:t>
      </w:r>
      <w:r>
        <w:t xml:space="preserve"> also</w:t>
      </w:r>
      <w:r w:rsidRPr="00741A3E">
        <w:t xml:space="preserve"> </w:t>
      </w:r>
      <w:r w:rsidRPr="00750BFB">
        <w:t>Annex 8E.</w:t>
      </w:r>
    </w:p>
  </w:footnote>
  <w:footnote w:id="165">
    <w:p w:rsidR="004B69C4" w:rsidRPr="00BF1B10" w:rsidRDefault="004B69C4" w:rsidP="00A57992">
      <w:pPr>
        <w:pStyle w:val="FootnoteText"/>
      </w:pPr>
      <w:r w:rsidRPr="00BF1B10">
        <w:rPr>
          <w:rStyle w:val="FootnoteReference"/>
        </w:rPr>
        <w:footnoteRef/>
      </w:r>
      <w:r w:rsidRPr="00BF1B10">
        <w:t xml:space="preserve"> </w:t>
      </w:r>
      <w:r>
        <w:tab/>
      </w:r>
      <w:r w:rsidRPr="00BF1B10">
        <w:t>Only 32</w:t>
      </w:r>
      <w:r>
        <w:t xml:space="preserve"> </w:t>
      </w:r>
      <w:r w:rsidRPr="00BF1B10">
        <w:t xml:space="preserve">% of respondents are able to find the audiovisual content they are looking for. Eurobarometer 411, </w:t>
      </w:r>
      <w:r w:rsidRPr="00A91030">
        <w:t>August 2015.</w:t>
      </w:r>
    </w:p>
  </w:footnote>
  <w:footnote w:id="166">
    <w:p w:rsidR="004B69C4" w:rsidRPr="00BF1B10" w:rsidRDefault="004B69C4" w:rsidP="00A57992">
      <w:pPr>
        <w:pStyle w:val="FootnoteText"/>
      </w:pPr>
      <w:r w:rsidRPr="009D4C1A">
        <w:rPr>
          <w:rStyle w:val="FootnoteReference"/>
        </w:rPr>
        <w:footnoteRef/>
      </w:r>
      <w:r w:rsidRPr="009D4C1A">
        <w:t xml:space="preserve"> </w:t>
      </w:r>
      <w:r>
        <w:tab/>
      </w:r>
      <w:r w:rsidRPr="009D4C1A">
        <w:t>Meaning that VoD platforms and aggregators</w:t>
      </w:r>
      <w:r>
        <w:t xml:space="preserve"> could engage in negotiations with several rightholders at a time for a catalogue of works. </w:t>
      </w:r>
    </w:p>
  </w:footnote>
  <w:footnote w:id="167">
    <w:p w:rsidR="004B69C4" w:rsidRPr="00710F09" w:rsidRDefault="004B69C4" w:rsidP="00A57992">
      <w:pPr>
        <w:pStyle w:val="FootnoteText"/>
      </w:pPr>
      <w:r>
        <w:rPr>
          <w:rStyle w:val="FootnoteReference"/>
        </w:rPr>
        <w:footnoteRef/>
      </w:r>
      <w:r>
        <w:t xml:space="preserve"> </w:t>
      </w:r>
      <w:r w:rsidRPr="00C32C45">
        <w:tab/>
        <w:t xml:space="preserve">As regards clearance of rights, initiative as the one launched by the SACD in France </w:t>
      </w:r>
      <w:r>
        <w:t xml:space="preserve">(see </w:t>
      </w:r>
      <w:r w:rsidRPr="00710F09">
        <w:rPr>
          <w:i/>
        </w:rPr>
        <w:t>supra</w:t>
      </w:r>
      <w:r>
        <w:t xml:space="preserve">) </w:t>
      </w:r>
      <w:r w:rsidRPr="00C32C45">
        <w:t>could be discussed in the framework of the stakeholders' dialogue</w:t>
      </w:r>
      <w:r>
        <w:t>. This would allow a discussion and possible similar solution at European level.</w:t>
      </w:r>
    </w:p>
  </w:footnote>
  <w:footnote w:id="168">
    <w:p w:rsidR="004B69C4" w:rsidRPr="005F457E" w:rsidRDefault="004B69C4" w:rsidP="00A57992">
      <w:pPr>
        <w:pStyle w:val="FootnoteText"/>
      </w:pPr>
      <w:r>
        <w:rPr>
          <w:rStyle w:val="FootnoteReference"/>
        </w:rPr>
        <w:footnoteRef/>
      </w:r>
      <w:r>
        <w:t xml:space="preserve"> </w:t>
      </w:r>
      <w:r>
        <w:tab/>
        <w:t xml:space="preserve">In the framework of the current reform of the Audiovisual Media Services Directive (Directive 2010/13/EU), an obligation for on-demand audiovisual media services to include in their catalogue at least 20 % of European works has been introduced (see Article 13.1 of the proposal). </w:t>
      </w:r>
    </w:p>
  </w:footnote>
  <w:footnote w:id="169">
    <w:p w:rsidR="004B69C4" w:rsidRPr="004D7A76" w:rsidRDefault="004B69C4" w:rsidP="00A57992">
      <w:pPr>
        <w:pStyle w:val="FootnoteText"/>
      </w:pPr>
      <w:r>
        <w:rPr>
          <w:rStyle w:val="FootnoteReference"/>
        </w:rPr>
        <w:footnoteRef/>
      </w:r>
      <w:r>
        <w:t xml:space="preserve"> </w:t>
      </w:r>
      <w:r w:rsidRPr="007B10BD">
        <w:tab/>
        <w:t xml:space="preserve">The number of European </w:t>
      </w:r>
      <w:r>
        <w:t xml:space="preserve">AV </w:t>
      </w:r>
      <w:r w:rsidRPr="007B10BD">
        <w:t>works availabl</w:t>
      </w:r>
      <w:r>
        <w:t>e</w:t>
      </w:r>
      <w:r w:rsidRPr="007B10BD">
        <w:t xml:space="preserve"> on VoD/SVoD </w:t>
      </w:r>
      <w:r w:rsidRPr="004D7A76">
        <w:t xml:space="preserve">is </w:t>
      </w:r>
      <w:r w:rsidRPr="007B10BD">
        <w:t>o</w:t>
      </w:r>
      <w:r>
        <w:t>n</w:t>
      </w:r>
      <w:r w:rsidRPr="007B10BD">
        <w:t xml:space="preserve">e of </w:t>
      </w:r>
      <w:r>
        <w:t xml:space="preserve">the </w:t>
      </w:r>
      <w:r w:rsidRPr="007B10BD">
        <w:t>indicators</w:t>
      </w:r>
      <w:r>
        <w:t xml:space="preserve"> that will monitor the achievement of the objectives</w:t>
      </w:r>
      <w:r w:rsidRPr="007B10BD">
        <w:t>.</w:t>
      </w:r>
    </w:p>
  </w:footnote>
  <w:footnote w:id="170">
    <w:p w:rsidR="004B69C4" w:rsidRPr="00A37B9A" w:rsidRDefault="004B69C4" w:rsidP="00A57992">
      <w:pPr>
        <w:pStyle w:val="FootnoteText"/>
      </w:pPr>
      <w:r>
        <w:rPr>
          <w:rStyle w:val="FootnoteReference"/>
        </w:rPr>
        <w:footnoteRef/>
      </w:r>
      <w:r>
        <w:t xml:space="preserve"> </w:t>
      </w:r>
      <w:r>
        <w:tab/>
      </w:r>
      <w:r w:rsidRPr="00AD57F7">
        <w:t>See Section 3.3.1 for description of the problem</w:t>
      </w:r>
      <w:r>
        <w:t>.</w:t>
      </w:r>
    </w:p>
  </w:footnote>
  <w:footnote w:id="171">
    <w:p w:rsidR="004B69C4" w:rsidRPr="00A91030" w:rsidRDefault="004B69C4" w:rsidP="00A57992">
      <w:pPr>
        <w:pStyle w:val="FootnoteText"/>
      </w:pPr>
      <w:r w:rsidRPr="00A91030">
        <w:rPr>
          <w:rStyle w:val="FootnoteReference"/>
        </w:rPr>
        <w:footnoteRef/>
      </w:r>
      <w:r w:rsidRPr="00A91030">
        <w:t xml:space="preserve"> </w:t>
      </w:r>
      <w:r>
        <w:tab/>
      </w:r>
      <w:r w:rsidRPr="00A91030">
        <w:t>For instance, as regards EST or TVoD, it is important to keep the number of 'cheap' movies limited, to avoid any cannibalisation of the 'expensive' movies (to avoid that viewers opt for the cheaper films on a regular basis). This is also applicable for SVoD services (e.g. Netflix considers that "instead of trying to have everything, we should strive to have the best in each category"- see Netflix long term view document, p. 5, available on</w:t>
      </w:r>
      <w:r>
        <w:t xml:space="preserve"> </w:t>
      </w:r>
      <w:hyperlink r:id="rId30" w:history="1">
        <w:r w:rsidRPr="00A91030">
          <w:rPr>
            <w:rStyle w:val="Hyperlink"/>
          </w:rPr>
          <w:t>http://files.shareholder.com/downloads/NFLX/2441659654x0x656145/e4410bd8-e5d4-4d31-ad79-84c36c49f77c/IROverviewHomePageLetter_4.24.13_pdf.pdf</w:t>
        </w:r>
      </w:hyperlink>
      <w:r w:rsidRPr="00A91030">
        <w:t xml:space="preserve">). SVoD services with original content also do not want to see their own productions </w:t>
      </w:r>
      <w:r w:rsidRPr="00BF1B10">
        <w:t>cannibali</w:t>
      </w:r>
      <w:r>
        <w:t>s</w:t>
      </w:r>
      <w:r w:rsidRPr="00BF1B10">
        <w:t>ed by cheaper works</w:t>
      </w:r>
      <w:r w:rsidRPr="00AA0468">
        <w:t xml:space="preserve">. </w:t>
      </w:r>
    </w:p>
  </w:footnote>
  <w:footnote w:id="172">
    <w:p w:rsidR="004B69C4" w:rsidRPr="002F4BFB" w:rsidRDefault="004B69C4" w:rsidP="00A57992">
      <w:pPr>
        <w:pStyle w:val="FootnoteText"/>
      </w:pPr>
      <w:r>
        <w:rPr>
          <w:rStyle w:val="FootnoteReference"/>
        </w:rPr>
        <w:footnoteRef/>
      </w:r>
      <w:r>
        <w:t xml:space="preserve"> </w:t>
      </w:r>
      <w:r>
        <w:tab/>
        <w:t xml:space="preserve">For instance, Member States have national film agencies (e.g. the Austrian Film Institute or 'Österreichisches Filminstitut'; the Lithuanian Film Centre, the Irish Film Board, in France, the Centre National du Cinéma et de l'image, the Estonian Film Institute, etc.). Each Member State also has an audiovisual regulator, which are part of the European Regulators Group for Audiovisual Media Services ('ERGA'). ERGA advises and assists the Commission in the implementation of the AVMS Directive, facilitate collaboration between regulatory bodies and facilitate exchange of good practices in the sector. A list of the national regulatory bodies can be found on the following link: </w:t>
      </w:r>
      <w:hyperlink r:id="rId31" w:history="1">
        <w:r w:rsidRPr="005563BC">
          <w:rPr>
            <w:rStyle w:val="Hyperlink"/>
          </w:rPr>
          <w:t>https://ec.europa.eu/digital-single-market/en/list-eu-audiovisual-regulators</w:t>
        </w:r>
      </w:hyperlink>
      <w:r>
        <w:t xml:space="preserve"> </w:t>
      </w:r>
    </w:p>
  </w:footnote>
  <w:footnote w:id="173">
    <w:p w:rsidR="004B69C4" w:rsidRPr="008012CB" w:rsidRDefault="004B69C4" w:rsidP="00CA7032">
      <w:pPr>
        <w:pStyle w:val="FootnoteText"/>
      </w:pPr>
      <w:r w:rsidRPr="008012CB">
        <w:rPr>
          <w:rStyle w:val="FootnoteReference"/>
        </w:rPr>
        <w:footnoteRef/>
      </w:r>
      <w:r w:rsidRPr="008012CB">
        <w:t xml:space="preserve"> </w:t>
      </w:r>
      <w:r w:rsidRPr="008012CB">
        <w:tab/>
        <w:t xml:space="preserve">See the </w:t>
      </w:r>
      <w:hyperlink r:id="rId32" w:history="1">
        <w:r w:rsidRPr="008012CB">
          <w:rPr>
            <w:rStyle w:val="Hyperlink"/>
          </w:rPr>
          <w:t>impact assessment accompanying the document Proposal for a Directive of the European Parliament and of the Council on collective management of copyright and related rights and multi-territorial licensing of rights in musical works for online uses in the internal market</w:t>
        </w:r>
      </w:hyperlink>
      <w:r w:rsidRPr="008012CB">
        <w:t xml:space="preserve"> (p 119, 176)</w:t>
      </w:r>
    </w:p>
  </w:footnote>
  <w:footnote w:id="174">
    <w:p w:rsidR="004B69C4" w:rsidRDefault="004B69C4" w:rsidP="00AD57F7">
      <w:pPr>
        <w:pStyle w:val="FootnoteText"/>
        <w:ind w:left="709" w:hanging="709"/>
      </w:pPr>
      <w:r w:rsidRPr="00351701">
        <w:rPr>
          <w:rStyle w:val="FootnoteReference"/>
        </w:rPr>
        <w:footnoteRef/>
      </w:r>
      <w:r>
        <w:t xml:space="preserve"> </w:t>
      </w:r>
      <w:r>
        <w:tab/>
      </w:r>
      <w:r w:rsidRPr="00351701">
        <w:t>Source: 2014 Activity Report, February 2015.</w:t>
      </w:r>
    </w:p>
    <w:p w:rsidR="004B69C4" w:rsidRPr="004F3417" w:rsidRDefault="004B69C4" w:rsidP="00AD57F7">
      <w:pPr>
        <w:pStyle w:val="FootnoteText"/>
        <w:ind w:left="709" w:hanging="709"/>
      </w:pPr>
      <w:r w:rsidRPr="00351701">
        <w:t xml:space="preserve"> </w:t>
      </w:r>
      <w:r>
        <w:tab/>
      </w:r>
      <w:hyperlink r:id="rId33" w:history="1">
        <w:r w:rsidRPr="004F3417">
          <w:rPr>
            <w:rStyle w:val="Hyperlink"/>
          </w:rPr>
          <w:t>http://www.lemediateurducinema.fr/Mediateur/Includes/Pdf/rapport_2014.pdf</w:t>
        </w:r>
      </w:hyperlink>
      <w:r>
        <w:rPr>
          <w:rStyle w:val="Hyperlink"/>
        </w:rPr>
        <w:t xml:space="preserve"> These costs concerned year 2014 during which 74 cases were dealt with by the Médiateur.</w:t>
      </w:r>
    </w:p>
  </w:footnote>
  <w:footnote w:id="175">
    <w:p w:rsidR="004B69C4" w:rsidRPr="00643BE3" w:rsidRDefault="004B69C4" w:rsidP="004A03F2">
      <w:pPr>
        <w:pStyle w:val="FootnoteText"/>
      </w:pPr>
      <w:r>
        <w:rPr>
          <w:rStyle w:val="FootnoteReference"/>
        </w:rPr>
        <w:footnoteRef/>
      </w:r>
      <w:r>
        <w:tab/>
        <w:t>The cultural importance of digital heritage collections is reflected in the well-established EU policy on the digitisation and online accessibility of cultural material, notably as outlined in the Recommendation of the European Parliament and of the Council of 16 November 2005 on film heritage and the competitiveness of related industrial activities (2005/865/CE), the Commission Recommendation on the digitisation and online accessibility of cultural material and digital preservation (2011/711/EU), the Council conclusions on the digitisation and online accessibility of cultural material and digital preservation (10-12 May 2012), the Commission Communication "Towards an integrated approach to cultural heritage for Europe" (COM(2014) 477 final), and the creation of the Europeana project.</w:t>
      </w:r>
    </w:p>
  </w:footnote>
  <w:footnote w:id="176">
    <w:p w:rsidR="004B69C4" w:rsidRPr="006E76BC" w:rsidRDefault="004B69C4" w:rsidP="004A03F2">
      <w:pPr>
        <w:pStyle w:val="FootnoteText"/>
      </w:pPr>
      <w:r w:rsidRPr="0021114A">
        <w:rPr>
          <w:rStyle w:val="FootnoteReference"/>
        </w:rPr>
        <w:footnoteRef/>
      </w:r>
      <w:r>
        <w:t xml:space="preserve"> </w:t>
      </w:r>
      <w:r>
        <w:tab/>
        <w:t>Oo</w:t>
      </w:r>
      <w:r w:rsidRPr="0021114A">
        <w:t xml:space="preserve">C works are works still under copyright protection, copies of which are not commercially available to the public through the customary channels of access and are not expected to become available in the future. See more </w:t>
      </w:r>
      <w:r>
        <w:t>specific definition of Oo</w:t>
      </w:r>
      <w:r w:rsidRPr="0021114A">
        <w:t>C works under Option</w:t>
      </w:r>
      <w:r>
        <w:t>s 1 and</w:t>
      </w:r>
      <w:r w:rsidRPr="0021114A">
        <w:t xml:space="preserve"> 2 below.</w:t>
      </w:r>
    </w:p>
  </w:footnote>
  <w:footnote w:id="177">
    <w:p w:rsidR="004B69C4" w:rsidRPr="001B669B" w:rsidRDefault="004B69C4" w:rsidP="004A03F2">
      <w:pPr>
        <w:pStyle w:val="FootnoteText"/>
      </w:pPr>
      <w:r>
        <w:rPr>
          <w:rStyle w:val="FootnoteReference"/>
        </w:rPr>
        <w:footnoteRef/>
      </w:r>
      <w:r>
        <w:t xml:space="preserve"> </w:t>
      </w:r>
      <w:r>
        <w:tab/>
      </w:r>
      <w:r w:rsidRPr="001B669B">
        <w:t xml:space="preserve">Numerous institutional respondents to the </w:t>
      </w:r>
      <w:r>
        <w:t xml:space="preserve">2013-2014 </w:t>
      </w:r>
      <w:r w:rsidRPr="001B669B">
        <w:t>public consultation pointed to a large demand from citizens, teachers, students and researchers for the digital availability of works</w:t>
      </w:r>
      <w:r>
        <w:t xml:space="preserve"> in heritage collections</w:t>
      </w:r>
      <w:r w:rsidRPr="001B669B">
        <w:t>, particularly from the 20</w:t>
      </w:r>
      <w:r w:rsidRPr="001B669B">
        <w:rPr>
          <w:vertAlign w:val="superscript"/>
        </w:rPr>
        <w:t>th</w:t>
      </w:r>
      <w:r w:rsidRPr="001B669B">
        <w:t xml:space="preserve"> century (which are likely to be still protected by copyright in most cases).</w:t>
      </w:r>
    </w:p>
  </w:footnote>
  <w:footnote w:id="178">
    <w:p w:rsidR="004B69C4" w:rsidRPr="001710C3" w:rsidRDefault="004B69C4" w:rsidP="004A03F2">
      <w:pPr>
        <w:pStyle w:val="FootnoteText"/>
      </w:pPr>
      <w:r w:rsidRPr="001710C3">
        <w:rPr>
          <w:rStyle w:val="FootnoteReference"/>
        </w:rPr>
        <w:footnoteRef/>
      </w:r>
      <w:r w:rsidRPr="001710C3">
        <w:t xml:space="preserve"> </w:t>
      </w:r>
      <w:r w:rsidRPr="001710C3">
        <w:tab/>
      </w:r>
      <w:r w:rsidRPr="0072257F">
        <w:t>'Mass dig</w:t>
      </w:r>
      <w:r>
        <w:t>itisation' refers here to large-</w:t>
      </w:r>
      <w:r w:rsidRPr="0072257F">
        <w:t>scale projects for the digitisation and making availab</w:t>
      </w:r>
      <w:r>
        <w:t>le online of collections or parts of collections of a given CHI</w:t>
      </w:r>
      <w:r w:rsidRPr="0072257F">
        <w:t xml:space="preserve">. </w:t>
      </w:r>
    </w:p>
  </w:footnote>
  <w:footnote w:id="179">
    <w:p w:rsidR="004B69C4" w:rsidRPr="001B669B" w:rsidRDefault="004B69C4" w:rsidP="004A03F2">
      <w:pPr>
        <w:pStyle w:val="FootnoteText"/>
      </w:pPr>
      <w:r>
        <w:rPr>
          <w:rStyle w:val="FootnoteReference"/>
        </w:rPr>
        <w:footnoteRef/>
      </w:r>
      <w:r>
        <w:t xml:space="preserve"> </w:t>
      </w:r>
      <w:r>
        <w:tab/>
        <w:t>These are the reproduction and making available rights for online dissemination, but might also include the broader communication to the public right and the distribution right.</w:t>
      </w:r>
    </w:p>
  </w:footnote>
  <w:footnote w:id="180">
    <w:p w:rsidR="004B69C4" w:rsidRDefault="004B69C4" w:rsidP="004A03F2">
      <w:pPr>
        <w:pStyle w:val="FootnoteText"/>
      </w:pPr>
      <w:r>
        <w:rPr>
          <w:rStyle w:val="FootnoteReference"/>
        </w:rPr>
        <w:footnoteRef/>
      </w:r>
      <w:r>
        <w:t xml:space="preserve"> </w:t>
      </w:r>
      <w:r>
        <w:tab/>
        <w:t>Including</w:t>
      </w:r>
      <w:r w:rsidRPr="00B65D74">
        <w:t xml:space="preserve"> in the 2013-2014 public consultation</w:t>
      </w:r>
      <w:r>
        <w:t>.</w:t>
      </w:r>
    </w:p>
  </w:footnote>
  <w:footnote w:id="181">
    <w:p w:rsidR="004B69C4" w:rsidRPr="00CC70F7" w:rsidRDefault="004B69C4" w:rsidP="004A03F2">
      <w:pPr>
        <w:pStyle w:val="FootnoteText"/>
      </w:pPr>
      <w:r>
        <w:rPr>
          <w:rStyle w:val="FootnoteReference"/>
        </w:rPr>
        <w:footnoteRef/>
      </w:r>
      <w:r>
        <w:t xml:space="preserve"> </w:t>
      </w:r>
      <w:r>
        <w:tab/>
      </w:r>
      <w:r w:rsidRPr="00CC70F7">
        <w:t>See Annex 9A for estimations and data on the magnitude of CHIs collections at aggregate and institutional level.</w:t>
      </w:r>
    </w:p>
  </w:footnote>
  <w:footnote w:id="182">
    <w:p w:rsidR="004B69C4" w:rsidRPr="004D3E45" w:rsidRDefault="004B69C4" w:rsidP="004A03F2">
      <w:pPr>
        <w:pStyle w:val="FootnoteText"/>
      </w:pPr>
      <w:r>
        <w:rPr>
          <w:rStyle w:val="FootnoteReference"/>
        </w:rPr>
        <w:footnoteRef/>
      </w:r>
      <w:r>
        <w:t xml:space="preserve"> </w:t>
      </w:r>
      <w:r>
        <w:tab/>
        <w:t>Copyright-related issues are only part of the factors influencing the feasibility of</w:t>
      </w:r>
      <w:r w:rsidRPr="004D3E45">
        <w:t xml:space="preserve"> digitisation projects by CHIs</w:t>
      </w:r>
      <w:r>
        <w:t>. Among other aspects is a</w:t>
      </w:r>
      <w:r w:rsidRPr="004D3E45">
        <w:t xml:space="preserve"> significant funding challenge. </w:t>
      </w:r>
      <w:r>
        <w:t>In 2010, it was estimated</w:t>
      </w:r>
      <w:r w:rsidRPr="004D3E45">
        <w:t xml:space="preserve"> that digitising the collections of Europe's m</w:t>
      </w:r>
      <w:r>
        <w:t>useums, archives and libraries would cost €</w:t>
      </w:r>
      <w:r w:rsidRPr="004D3E45">
        <w:t>100 b</w:t>
      </w:r>
      <w:r>
        <w:t>illion (</w:t>
      </w:r>
      <w:r w:rsidRPr="00C42C17">
        <w:t>N.</w:t>
      </w:r>
      <w:r>
        <w:t xml:space="preserve"> </w:t>
      </w:r>
      <w:r w:rsidRPr="00C42C17">
        <w:t>Poole, "The Cost of Digitising Europe's Cultural Heritage. A Report for the Comité des Sages of the E</w:t>
      </w:r>
      <w:r w:rsidRPr="00D84D29">
        <w:t xml:space="preserve">uropean Commission", </w:t>
      </w:r>
      <w:r>
        <w:t xml:space="preserve">November </w:t>
      </w:r>
      <w:r w:rsidRPr="00D84D29">
        <w:t>2010</w:t>
      </w:r>
      <w:r>
        <w:t>). The</w:t>
      </w:r>
      <w:r w:rsidRPr="004D3E45">
        <w:t xml:space="preserve"> cost of digitising the whole European </w:t>
      </w:r>
      <w:r>
        <w:t xml:space="preserve">film heritage would range between €500 million and </w:t>
      </w:r>
      <w:r w:rsidRPr="004D3E45">
        <w:t>2 billion</w:t>
      </w:r>
      <w:r>
        <w:t xml:space="preserve"> (T. Baujard </w:t>
      </w:r>
      <w:r w:rsidRPr="00A00BEA">
        <w:rPr>
          <w:i/>
        </w:rPr>
        <w:t>et al.</w:t>
      </w:r>
      <w:r>
        <w:t>,"Challenges of the Digital Era for Film Heritage Institutions", December 2011)</w:t>
      </w:r>
      <w:r w:rsidRPr="004D3E45">
        <w:t>. Other organisational</w:t>
      </w:r>
      <w:r>
        <w:t>, legal (notably data protection) and skill-related questions</w:t>
      </w:r>
      <w:r w:rsidRPr="004D3E45">
        <w:t xml:space="preserve"> also play a crucial role in determining the feasibility of digitisation project</w:t>
      </w:r>
      <w:r>
        <w:t xml:space="preserve">s. On copyright and digitisation, see also </w:t>
      </w:r>
      <w:r w:rsidRPr="006955B8">
        <w:t>Annex 9B</w:t>
      </w:r>
      <w:r>
        <w:t>.</w:t>
      </w:r>
    </w:p>
  </w:footnote>
  <w:footnote w:id="183">
    <w:p w:rsidR="004B69C4" w:rsidRPr="00AA53EC" w:rsidRDefault="004B69C4" w:rsidP="004A03F2">
      <w:pPr>
        <w:pStyle w:val="FootnoteText"/>
      </w:pPr>
      <w:r>
        <w:rPr>
          <w:rStyle w:val="FootnoteReference"/>
        </w:rPr>
        <w:footnoteRef/>
      </w:r>
      <w:r>
        <w:t xml:space="preserve"> </w:t>
      </w:r>
      <w:r>
        <w:tab/>
        <w:t>Intended as comprising both digital reproductions of analogue works and born-digital works, and the related metadata.</w:t>
      </w:r>
    </w:p>
  </w:footnote>
  <w:footnote w:id="184">
    <w:p w:rsidR="004B69C4" w:rsidRPr="001710C3" w:rsidRDefault="004B69C4" w:rsidP="004A03F2">
      <w:pPr>
        <w:pStyle w:val="FootnoteText"/>
      </w:pPr>
      <w:r w:rsidRPr="001710C3">
        <w:rPr>
          <w:rStyle w:val="FootnoteReference"/>
        </w:rPr>
        <w:footnoteRef/>
      </w:r>
      <w:r w:rsidRPr="001710C3">
        <w:t xml:space="preserve"> </w:t>
      </w:r>
      <w:r w:rsidRPr="001710C3">
        <w:tab/>
      </w:r>
      <w:r>
        <w:t xml:space="preserve">See </w:t>
      </w:r>
      <w:r w:rsidRPr="006955B8">
        <w:t>Annex 9A</w:t>
      </w:r>
      <w:r>
        <w:t xml:space="preserve"> for more information on </w:t>
      </w:r>
      <w:r w:rsidRPr="00CD3120">
        <w:t>aggregators</w:t>
      </w:r>
      <w:r>
        <w:t>.</w:t>
      </w:r>
    </w:p>
  </w:footnote>
  <w:footnote w:id="185">
    <w:p w:rsidR="004B69C4" w:rsidRPr="001710C3" w:rsidRDefault="004B69C4" w:rsidP="004A03F2">
      <w:pPr>
        <w:pStyle w:val="FootnoteText"/>
      </w:pPr>
      <w:r w:rsidRPr="001710C3">
        <w:rPr>
          <w:rStyle w:val="FootnoteReference"/>
        </w:rPr>
        <w:footnoteRef/>
      </w:r>
      <w:r w:rsidRPr="001710C3">
        <w:t xml:space="preserve"> </w:t>
      </w:r>
      <w:r w:rsidRPr="001710C3">
        <w:tab/>
      </w:r>
      <w:r>
        <w:t>G.J. Nauta – W. van den Heuvel, DEN Foundation on behalf of Europeana/</w:t>
      </w:r>
      <w:r w:rsidRPr="00A151C3">
        <w:t>ENUMERATE, "Survey Report on Digitisation in European Cultural Heritage Institutions 201</w:t>
      </w:r>
      <w:r>
        <w:t>5</w:t>
      </w:r>
      <w:r w:rsidRPr="00A151C3">
        <w:t>"</w:t>
      </w:r>
      <w:r>
        <w:t>, June 2015.</w:t>
      </w:r>
    </w:p>
  </w:footnote>
  <w:footnote w:id="186">
    <w:p w:rsidR="004B69C4" w:rsidRPr="00783BC6" w:rsidRDefault="004B69C4" w:rsidP="004A03F2">
      <w:pPr>
        <w:pStyle w:val="FootnoteText"/>
      </w:pPr>
      <w:r>
        <w:rPr>
          <w:rStyle w:val="FootnoteReference"/>
        </w:rPr>
        <w:footnoteRef/>
      </w:r>
      <w:r>
        <w:t xml:space="preserve"> </w:t>
      </w:r>
      <w:r>
        <w:tab/>
      </w:r>
      <w:r w:rsidRPr="00AB53FA">
        <w:t xml:space="preserve">The latter are </w:t>
      </w:r>
      <w:r>
        <w:t xml:space="preserve">considered the </w:t>
      </w:r>
      <w:r w:rsidRPr="00AB53FA">
        <w:t>most expensive to digitise</w:t>
      </w:r>
      <w:r>
        <w:t xml:space="preserve"> in the first place,</w:t>
      </w:r>
      <w:r w:rsidRPr="00AB53FA">
        <w:t xml:space="preserve"> but also likely to be in-copyright in larger numbers than other types of work given the much more recent development of these modes of production</w:t>
      </w:r>
      <w:r>
        <w:t>.</w:t>
      </w:r>
    </w:p>
  </w:footnote>
  <w:footnote w:id="187">
    <w:p w:rsidR="004B69C4" w:rsidRPr="00067876" w:rsidRDefault="004B69C4" w:rsidP="004A03F2">
      <w:pPr>
        <w:pStyle w:val="FootnoteText"/>
      </w:pPr>
      <w:r>
        <w:rPr>
          <w:rStyle w:val="FootnoteReference"/>
        </w:rPr>
        <w:footnoteRef/>
      </w:r>
      <w:r>
        <w:t xml:space="preserve"> </w:t>
      </w:r>
      <w:r>
        <w:tab/>
      </w:r>
      <w:r w:rsidRPr="008012CB">
        <w:t>The sample covered works from 1800 to today.</w:t>
      </w:r>
      <w:r>
        <w:t xml:space="preserve"> See </w:t>
      </w:r>
      <w:r w:rsidRPr="006955B8">
        <w:t>Annex 9C</w:t>
      </w:r>
      <w:r>
        <w:t xml:space="preserve"> for more on this specific figure and illustrations of the '20th century black hole' and the presence of sound and audiovisual works in online digital collections.</w:t>
      </w:r>
    </w:p>
  </w:footnote>
  <w:footnote w:id="188">
    <w:p w:rsidR="004B69C4" w:rsidRPr="001710C3" w:rsidRDefault="004B69C4" w:rsidP="004A03F2">
      <w:pPr>
        <w:pStyle w:val="FootnoteText"/>
      </w:pPr>
      <w:r w:rsidRPr="001710C3">
        <w:rPr>
          <w:rStyle w:val="FootnoteReference"/>
        </w:rPr>
        <w:footnoteRef/>
      </w:r>
      <w:r w:rsidRPr="001710C3">
        <w:t xml:space="preserve"> </w:t>
      </w:r>
      <w:r>
        <w:tab/>
        <w:t xml:space="preserve">See </w:t>
      </w:r>
      <w:r w:rsidRPr="006955B8">
        <w:t>Annex 9A</w:t>
      </w:r>
      <w:r>
        <w:t xml:space="preserve"> for data and examples on the extent of cultural heritage collections in Europe (data do not distinguish between in-copyright and public domain works, or between OoC and non-OoC works, but give a clear indication of the scale of digitisation efforts).</w:t>
      </w:r>
    </w:p>
  </w:footnote>
  <w:footnote w:id="189">
    <w:p w:rsidR="004B69C4" w:rsidRPr="00191586" w:rsidRDefault="004B69C4" w:rsidP="004A03F2">
      <w:pPr>
        <w:pStyle w:val="FootnoteText"/>
      </w:pPr>
      <w:r>
        <w:rPr>
          <w:rStyle w:val="FootnoteReference"/>
        </w:rPr>
        <w:footnoteRef/>
      </w:r>
      <w:r>
        <w:t xml:space="preserve"> </w:t>
      </w:r>
      <w:r>
        <w:tab/>
      </w:r>
      <w:r w:rsidRPr="00191586">
        <w:t xml:space="preserve">The cost of clearing rights can be reduced by the effect of innovative tools and projects like ARROW and FORWARD, and the database foreseen by </w:t>
      </w:r>
      <w:r>
        <w:t xml:space="preserve">the </w:t>
      </w:r>
      <w:r w:rsidRPr="00866CE9">
        <w:t>Directive 2012/28/EU of the European Parliament and of the Council of 25 October 2012 on certain permitted uses of orphan works (OJ L 299, 27.10.2012, p. 5–12)</w:t>
      </w:r>
      <w:r>
        <w:t>, "the Orphan Work Directive".</w:t>
      </w:r>
      <w:r w:rsidRPr="00191586">
        <w:t xml:space="preserve"> Except for orphan works, these tools are however only of assistance in the identification of the copyright status, of the </w:t>
      </w:r>
      <w:r>
        <w:t>rightholders</w:t>
      </w:r>
      <w:r w:rsidRPr="00191586">
        <w:t xml:space="preserve"> and the available licensors of the rights, and of determining whether they are in or out of commerce), but not in obtaining authorisations to use works and in the negotiation of licences as such. Their scope extends to certain types of works only (see </w:t>
      </w:r>
      <w:r w:rsidRPr="006955B8">
        <w:t>Annex 9I</w:t>
      </w:r>
      <w:r w:rsidRPr="00191586">
        <w:t xml:space="preserve"> for more information).</w:t>
      </w:r>
    </w:p>
  </w:footnote>
  <w:footnote w:id="190">
    <w:p w:rsidR="004B69C4" w:rsidRPr="00D45A4D" w:rsidRDefault="004B69C4" w:rsidP="004A03F2">
      <w:pPr>
        <w:pStyle w:val="FootnoteText"/>
      </w:pPr>
      <w:r>
        <w:rPr>
          <w:rStyle w:val="FootnoteReference"/>
        </w:rPr>
        <w:footnoteRef/>
      </w:r>
      <w:r>
        <w:t xml:space="preserve"> </w:t>
      </w:r>
      <w:r>
        <w:tab/>
        <w:t xml:space="preserve">For more information on this project, see </w:t>
      </w:r>
      <w:r w:rsidRPr="006955B8">
        <w:t>Annex 9D</w:t>
      </w:r>
      <w:r>
        <w:t xml:space="preserve"> and </w:t>
      </w:r>
      <w:r w:rsidRPr="00E8504F">
        <w:t xml:space="preserve">R. </w:t>
      </w:r>
      <w:r w:rsidRPr="001C7DD5">
        <w:t>Kiley, "Clearing rights to digitise books published in the 20</w:t>
      </w:r>
      <w:r w:rsidRPr="00E50297">
        <w:rPr>
          <w:vertAlign w:val="superscript"/>
        </w:rPr>
        <w:t>th</w:t>
      </w:r>
      <w:r w:rsidRPr="00E8504F">
        <w:t xml:space="preserve"> century: a case study prepared by the Wellcome Library, the Authors' Licensing and Collecting Society and the Publishers Li</w:t>
      </w:r>
      <w:r w:rsidRPr="001C7DD5">
        <w:t>censing Society"</w:t>
      </w:r>
      <w:r w:rsidRPr="00E8504F">
        <w:t>, June 2013.</w:t>
      </w:r>
    </w:p>
  </w:footnote>
  <w:footnote w:id="191">
    <w:p w:rsidR="004B69C4" w:rsidRPr="008840B6" w:rsidRDefault="004B69C4" w:rsidP="004A03F2">
      <w:pPr>
        <w:pStyle w:val="FootnoteText"/>
      </w:pPr>
      <w:r>
        <w:rPr>
          <w:rStyle w:val="FootnoteReference"/>
        </w:rPr>
        <w:footnoteRef/>
      </w:r>
      <w:r>
        <w:t xml:space="preserve"> </w:t>
      </w:r>
      <w:r>
        <w:tab/>
        <w:t>As regards for example, their date of publication.</w:t>
      </w:r>
    </w:p>
  </w:footnote>
  <w:footnote w:id="192">
    <w:p w:rsidR="004B69C4" w:rsidRPr="002C41DA" w:rsidRDefault="004B69C4" w:rsidP="004A03F2">
      <w:pPr>
        <w:pStyle w:val="FootnoteText"/>
      </w:pPr>
      <w:r>
        <w:rPr>
          <w:rStyle w:val="FootnoteReference"/>
        </w:rPr>
        <w:footnoteRef/>
      </w:r>
      <w:r>
        <w:t xml:space="preserve"> </w:t>
      </w:r>
      <w:r>
        <w:tab/>
        <w:t>This can be a typical problem in Central and Eastern European MS that underwent transitions into and out of socialist economic systems</w:t>
      </w:r>
      <w:r w:rsidRPr="00911B7B">
        <w:t>.</w:t>
      </w:r>
    </w:p>
  </w:footnote>
  <w:footnote w:id="193">
    <w:p w:rsidR="004B69C4" w:rsidRPr="00D04B2B" w:rsidRDefault="004B69C4" w:rsidP="004A03F2">
      <w:pPr>
        <w:pStyle w:val="FootnoteText"/>
      </w:pPr>
      <w:r>
        <w:rPr>
          <w:rStyle w:val="FootnoteReference"/>
        </w:rPr>
        <w:footnoteRef/>
      </w:r>
      <w:r>
        <w:t xml:space="preserve"> </w:t>
      </w:r>
      <w:r>
        <w:tab/>
      </w:r>
      <w:r w:rsidRPr="009F5F21">
        <w:t>Trench journals are works authored by and distributed among military personnel engaged in conflict, notably during WW1</w:t>
      </w:r>
      <w:r>
        <w:t>. Other types of relevant works that the Commission services came across in preparation of this IA include maps, postcards, posters, calendars, advertisement material, menus, school yearbooks, letters, annual reports, broadcasts, documentaries, screenplays, correspondence, cartoons, plans, drawings, herbaria, experimental and amateur films, sound recordings (including old formats like shellac records and wax cylinders), pamphlets, leaflets, government publications, ancillary and publicity materials related to other works, in addition to films, phonograms, books, newspapers and magazines, sheet music, paintings, sculptures, and other artistic objects.</w:t>
      </w:r>
    </w:p>
  </w:footnote>
  <w:footnote w:id="194">
    <w:p w:rsidR="004B69C4" w:rsidRPr="008F51DF" w:rsidRDefault="004B69C4" w:rsidP="004A03F2">
      <w:pPr>
        <w:pStyle w:val="FootnoteText"/>
      </w:pPr>
      <w:r>
        <w:rPr>
          <w:rStyle w:val="FootnoteReference"/>
        </w:rPr>
        <w:footnoteRef/>
      </w:r>
      <w:r>
        <w:t xml:space="preserve"> </w:t>
      </w:r>
      <w:r>
        <w:tab/>
      </w:r>
      <w:r w:rsidRPr="008F51DF">
        <w:t xml:space="preserve">Further data is presented in Annex </w:t>
      </w:r>
      <w:r w:rsidRPr="006955B8">
        <w:t>9D</w:t>
      </w:r>
      <w:r w:rsidRPr="00D042D9">
        <w:t>.</w:t>
      </w:r>
      <w:r>
        <w:t xml:space="preserve"> Data in this area was only available in the form of case-studies </w:t>
      </w:r>
      <w:r w:rsidRPr="000F0D3F">
        <w:t>using different methods and assumptions</w:t>
      </w:r>
      <w:r>
        <w:t xml:space="preserve"> and they were mainly provided by CHIs. Available d</w:t>
      </w:r>
      <w:r w:rsidRPr="00CD74C6">
        <w:t xml:space="preserve">ata specific to the </w:t>
      </w:r>
      <w:r w:rsidRPr="00CD74C6">
        <w:rPr>
          <w:i/>
        </w:rPr>
        <w:t>transaction costs</w:t>
      </w:r>
      <w:r w:rsidRPr="00CD74C6">
        <w:t xml:space="preserve"> related to copyright clearance in the context of mass digitisation activities </w:t>
      </w:r>
      <w:r>
        <w:t xml:space="preserve">are </w:t>
      </w:r>
      <w:r w:rsidRPr="00CD74C6">
        <w:t>scarce</w:t>
      </w:r>
      <w:r>
        <w:t xml:space="preserve"> and d</w:t>
      </w:r>
      <w:r w:rsidRPr="00CD74C6">
        <w:t xml:space="preserve">ifferences </w:t>
      </w:r>
      <w:r>
        <w:t>among</w:t>
      </w:r>
      <w:r w:rsidRPr="00CD74C6">
        <w:t xml:space="preserve"> </w:t>
      </w:r>
      <w:r>
        <w:t>cultural sectors and individual situations make them</w:t>
      </w:r>
      <w:r w:rsidRPr="00CD74C6">
        <w:t xml:space="preserve"> unsuitable for comparisons or aggregation.</w:t>
      </w:r>
      <w:r>
        <w:t xml:space="preserve"> </w:t>
      </w:r>
      <w:r w:rsidRPr="000F0D3F">
        <w:t xml:space="preserve">The figures provided </w:t>
      </w:r>
      <w:r>
        <w:t>above and in Annex 9D</w:t>
      </w:r>
      <w:r w:rsidRPr="000F0D3F">
        <w:t xml:space="preserve"> should therefore not be compared, or considered and quoted as </w:t>
      </w:r>
      <w:r>
        <w:t>having</w:t>
      </w:r>
      <w:r w:rsidRPr="000F0D3F">
        <w:t xml:space="preserve"> general validity.</w:t>
      </w:r>
      <w:r>
        <w:t xml:space="preserve"> </w:t>
      </w:r>
    </w:p>
  </w:footnote>
  <w:footnote w:id="195">
    <w:p w:rsidR="004B69C4" w:rsidRPr="006A0137" w:rsidRDefault="004B69C4" w:rsidP="004A03F2">
      <w:pPr>
        <w:pStyle w:val="FootnoteText"/>
      </w:pPr>
      <w:r w:rsidRPr="008B4320">
        <w:rPr>
          <w:rStyle w:val="FootnoteReference"/>
        </w:rPr>
        <w:footnoteRef/>
      </w:r>
      <w:r w:rsidRPr="008B4320">
        <w:t xml:space="preserve"> </w:t>
      </w:r>
      <w:r w:rsidRPr="008B4320">
        <w:tab/>
      </w:r>
      <w:r w:rsidRPr="008B4320">
        <w:rPr>
          <w:color w:val="000000"/>
        </w:rPr>
        <w:t>In the print sector</w:t>
      </w:r>
      <w:r>
        <w:rPr>
          <w:color w:val="000000"/>
        </w:rPr>
        <w:t>,</w:t>
      </w:r>
      <w:r w:rsidRPr="008B4320">
        <w:rPr>
          <w:color w:val="000000"/>
        </w:rPr>
        <w:t xml:space="preserve"> for instance, collective management plays an important role in licensing, </w:t>
      </w:r>
      <w:r w:rsidRPr="00346F55">
        <w:rPr>
          <w:color w:val="000000"/>
        </w:rPr>
        <w:t>as does for musical compositions</w:t>
      </w:r>
      <w:r>
        <w:rPr>
          <w:color w:val="000000"/>
        </w:rPr>
        <w:t>. It is less widespread for visual works. I</w:t>
      </w:r>
      <w:r w:rsidRPr="008B4320">
        <w:rPr>
          <w:color w:val="000000"/>
        </w:rPr>
        <w:t>n the audiovisual</w:t>
      </w:r>
      <w:r w:rsidRPr="006A0137">
        <w:rPr>
          <w:color w:val="000000"/>
        </w:rPr>
        <w:t xml:space="preserve"> sector, on the other hand, licensing mostly takes place on an individual basis</w:t>
      </w:r>
      <w:r>
        <w:rPr>
          <w:color w:val="000000"/>
        </w:rPr>
        <w:t>, which is the preferred licensing mechanism, including for the use in question, according to a large number of film producers who responded to the 2013-2014 public consultation</w:t>
      </w:r>
      <w:r w:rsidRPr="006A0137">
        <w:rPr>
          <w:color w:val="000000"/>
        </w:rPr>
        <w:t>.</w:t>
      </w:r>
      <w:r>
        <w:rPr>
          <w:color w:val="000000"/>
        </w:rPr>
        <w:t xml:space="preserve"> See </w:t>
      </w:r>
      <w:r w:rsidRPr="006955B8">
        <w:rPr>
          <w:color w:val="000000"/>
        </w:rPr>
        <w:t>Annex 9F</w:t>
      </w:r>
      <w:r>
        <w:rPr>
          <w:color w:val="000000"/>
        </w:rPr>
        <w:t xml:space="preserve"> for an overview of collective management practices per sector.</w:t>
      </w:r>
    </w:p>
  </w:footnote>
  <w:footnote w:id="196">
    <w:p w:rsidR="004B69C4" w:rsidRPr="00B86319" w:rsidRDefault="004B69C4" w:rsidP="004A03F2">
      <w:pPr>
        <w:pStyle w:val="FootnoteText"/>
      </w:pPr>
      <w:r>
        <w:rPr>
          <w:rStyle w:val="FootnoteReference"/>
        </w:rPr>
        <w:footnoteRef/>
      </w:r>
      <w:r>
        <w:t xml:space="preserve"> </w:t>
      </w:r>
      <w:r>
        <w:tab/>
        <w:t xml:space="preserve">See </w:t>
      </w:r>
      <w:r w:rsidRPr="006955B8">
        <w:t>Annex 9E</w:t>
      </w:r>
      <w:r w:rsidRPr="002A05A7">
        <w:t xml:space="preserve"> for more information</w:t>
      </w:r>
      <w:r>
        <w:t xml:space="preserve"> on these mechanisms and actual examples.</w:t>
      </w:r>
    </w:p>
  </w:footnote>
  <w:footnote w:id="197">
    <w:p w:rsidR="004B69C4" w:rsidRPr="006E0D4F" w:rsidRDefault="004B69C4" w:rsidP="004A03F2">
      <w:pPr>
        <w:pStyle w:val="FootnoteText"/>
      </w:pPr>
      <w:r w:rsidRPr="001710C3">
        <w:rPr>
          <w:rStyle w:val="FootnoteReference"/>
        </w:rPr>
        <w:footnoteRef/>
      </w:r>
      <w:r w:rsidRPr="001710C3">
        <w:t xml:space="preserve"> </w:t>
      </w:r>
      <w:r w:rsidRPr="001710C3">
        <w:tab/>
      </w:r>
      <w:r w:rsidRPr="008012CB">
        <w:t>See also European Commission, "Report on the Implementation of Commission Recommendation 2011/711/EU – 2013-2015", 2016.</w:t>
      </w:r>
    </w:p>
  </w:footnote>
  <w:footnote w:id="198">
    <w:p w:rsidR="004B69C4" w:rsidRDefault="004B69C4" w:rsidP="004A03F2">
      <w:pPr>
        <w:pStyle w:val="FootnoteText"/>
      </w:pPr>
      <w:r w:rsidRPr="001710C3">
        <w:rPr>
          <w:rStyle w:val="FootnoteReference"/>
        </w:rPr>
        <w:footnoteRef/>
      </w:r>
      <w:r w:rsidRPr="001710C3">
        <w:t xml:space="preserve"> </w:t>
      </w:r>
      <w:r>
        <w:tab/>
      </w:r>
      <w:r w:rsidRPr="001710C3">
        <w:t xml:space="preserve">Memorandum </w:t>
      </w:r>
      <w:r>
        <w:t>of Understanding on Key Principles on the Digitisation and Making Available of Out-of-Commerce Works, signed on 20 September 2011</w:t>
      </w:r>
    </w:p>
    <w:p w:rsidR="004B69C4" w:rsidRPr="001710C3" w:rsidRDefault="004B69C4" w:rsidP="004A03F2">
      <w:pPr>
        <w:pStyle w:val="FootnoteText"/>
      </w:pPr>
      <w:r>
        <w:t xml:space="preserve"> </w:t>
      </w:r>
      <w:r>
        <w:tab/>
        <w:t>(</w:t>
      </w:r>
      <w:hyperlink r:id="rId34" w:history="1">
        <w:r w:rsidRPr="00A6247B">
          <w:rPr>
            <w:rStyle w:val="Hyperlink"/>
          </w:rPr>
          <w:t>http://ec.europa.eu/internal_market/copyright/docs/copyright-infso/20110920-mou_en.pdf</w:t>
        </w:r>
      </w:hyperlink>
      <w:r>
        <w:t>).</w:t>
      </w:r>
    </w:p>
  </w:footnote>
  <w:footnote w:id="199">
    <w:p w:rsidR="004B69C4" w:rsidRPr="001710C3" w:rsidRDefault="004B69C4" w:rsidP="004A03F2">
      <w:pPr>
        <w:pStyle w:val="FootnoteText"/>
      </w:pPr>
      <w:r w:rsidRPr="001710C3">
        <w:rPr>
          <w:rStyle w:val="FootnoteReference"/>
        </w:rPr>
        <w:footnoteRef/>
      </w:r>
      <w:r w:rsidRPr="001710C3">
        <w:t xml:space="preserve"> </w:t>
      </w:r>
      <w:r w:rsidRPr="001710C3">
        <w:tab/>
      </w:r>
      <w:r w:rsidRPr="00E576AD">
        <w:t>The MoU acknowledges the need that MS adopt legislative measures backing collective manageme</w:t>
      </w:r>
      <w:r>
        <w:t>nt schemes for rights clearance</w:t>
      </w:r>
      <w:r w:rsidRPr="00E576AD">
        <w:t xml:space="preserve">, </w:t>
      </w:r>
      <w:r>
        <w:t>foreseeing safeguards for non-represented rightholders,</w:t>
      </w:r>
      <w:r w:rsidRPr="00E576AD">
        <w:t xml:space="preserve"> and calls for the European Commission to intervene to ensure legal certainty in a cross-border context</w:t>
      </w:r>
      <w:r>
        <w:t xml:space="preserve"> as follows: </w:t>
      </w:r>
      <w:r w:rsidRPr="00E576AD">
        <w:t xml:space="preserve">"Calling on the European Commission, to the extent required to ensure legal certainty in a cross-border context, to consider the type of legislation to be enacted to ensure that publicly accessible cultural institutions and collective management organisations which enter into a licence in good faith applying these key principles are legally protected with regard to licensed uses of works of </w:t>
      </w:r>
      <w:r>
        <w:t>rightholders</w:t>
      </w:r>
      <w:r w:rsidRPr="00E576AD">
        <w:t xml:space="preserve"> who have been presumed to be within the scope of the licence".</w:t>
      </w:r>
    </w:p>
  </w:footnote>
  <w:footnote w:id="200">
    <w:p w:rsidR="004B69C4" w:rsidRPr="00D87E8D" w:rsidRDefault="004B69C4" w:rsidP="004A03F2">
      <w:pPr>
        <w:pStyle w:val="FootnoteText"/>
      </w:pPr>
      <w:r>
        <w:rPr>
          <w:rStyle w:val="FootnoteReference"/>
        </w:rPr>
        <w:footnoteRef/>
      </w:r>
      <w:r>
        <w:t xml:space="preserve"> </w:t>
      </w:r>
      <w:r>
        <w:tab/>
        <w:t>The potential of the 2011 MoU to act as a model for other types of works was recognised by the Commission Recommendation of 11 October 2011 on the digitisation and online accessibility of cultural material and digital preservation (2011/711/EU), which invited MS to create "the legal framework conditions to underpin licensing mechanisms identified and agreed by stakeholders for the large-scale digitisation and cross-border accessibility of works that are out-of-commerce".</w:t>
      </w:r>
    </w:p>
  </w:footnote>
  <w:footnote w:id="201">
    <w:p w:rsidR="004B69C4" w:rsidRPr="00F721CC" w:rsidRDefault="004B69C4" w:rsidP="004A03F2">
      <w:pPr>
        <w:pStyle w:val="FootnoteText"/>
      </w:pPr>
      <w:r>
        <w:rPr>
          <w:rStyle w:val="FootnoteReference"/>
        </w:rPr>
        <w:footnoteRef/>
      </w:r>
      <w:r>
        <w:t xml:space="preserve"> </w:t>
      </w:r>
      <w:r>
        <w:tab/>
        <w:t>For example, model contract terms based on extended collective licensing (ECL) for the digitisation and making available of images contained in CHI collections were finalised in October 2015 in SE. This was the outcome of stakeholder working groups set up in 2013 with the involvement of the national secretariat for n</w:t>
      </w:r>
      <w:r w:rsidRPr="00F30607">
        <w:t>ational coordination of digitisation, digital preservation and digital access to cultural heritage</w:t>
      </w:r>
      <w:r>
        <w:t xml:space="preserve"> (Digisam) and visual CMO </w:t>
      </w:r>
      <w:r w:rsidRPr="00F30607">
        <w:t>Bildupphovsrätt</w:t>
      </w:r>
      <w:r>
        <w:t xml:space="preserve"> (BUS). The model contract terms are not specific to OoC works only.</w:t>
      </w:r>
    </w:p>
  </w:footnote>
  <w:footnote w:id="202">
    <w:p w:rsidR="004B69C4" w:rsidRPr="00597331" w:rsidRDefault="004B69C4" w:rsidP="004A03F2">
      <w:pPr>
        <w:pStyle w:val="FootnoteText"/>
      </w:pPr>
      <w:r>
        <w:rPr>
          <w:rStyle w:val="FootnoteReference"/>
        </w:rPr>
        <w:footnoteRef/>
      </w:r>
      <w:r>
        <w:t xml:space="preserve"> </w:t>
      </w:r>
      <w:r>
        <w:tab/>
        <w:t xml:space="preserve">See </w:t>
      </w:r>
      <w:r w:rsidRPr="00026827">
        <w:t xml:space="preserve">also </w:t>
      </w:r>
      <w:r w:rsidRPr="006955B8">
        <w:t>Annex 9G</w:t>
      </w:r>
      <w:r>
        <w:t xml:space="preserve"> for more information on the role of stakeholder cooperation in this area.</w:t>
      </w:r>
    </w:p>
  </w:footnote>
  <w:footnote w:id="203">
    <w:p w:rsidR="004B69C4" w:rsidRPr="00050E0F" w:rsidRDefault="004B69C4" w:rsidP="004A03F2">
      <w:pPr>
        <w:pStyle w:val="FootnoteText"/>
      </w:pPr>
      <w:r>
        <w:rPr>
          <w:rStyle w:val="FootnoteReference"/>
        </w:rPr>
        <w:footnoteRef/>
      </w:r>
      <w:r>
        <w:t xml:space="preserve"> </w:t>
      </w:r>
      <w:r w:rsidRPr="00C32C45">
        <w:tab/>
        <w:t xml:space="preserve">See </w:t>
      </w:r>
      <w:r>
        <w:t>R.Peters – L.Kalshoven, "What rights clearance looks like for Cultural Heritage Organisations – 10 case studies", Europeana Factsheet, 23 June 2016, for concrete examples provided by CHIs.</w:t>
      </w:r>
    </w:p>
  </w:footnote>
  <w:footnote w:id="204">
    <w:p w:rsidR="004B69C4" w:rsidRPr="00C74927" w:rsidRDefault="004B69C4" w:rsidP="004A03F2">
      <w:pPr>
        <w:pStyle w:val="FootnoteText"/>
      </w:pPr>
      <w:r>
        <w:rPr>
          <w:rStyle w:val="FootnoteReference"/>
        </w:rPr>
        <w:footnoteRef/>
      </w:r>
      <w:r>
        <w:t xml:space="preserve"> </w:t>
      </w:r>
      <w:r w:rsidRPr="00E50297">
        <w:tab/>
      </w:r>
      <w:r>
        <w:rPr>
          <w:color w:val="000000"/>
          <w:szCs w:val="24"/>
        </w:rPr>
        <w:t>S</w:t>
      </w:r>
      <w:r w:rsidRPr="00E50297">
        <w:rPr>
          <w:color w:val="000000"/>
          <w:szCs w:val="24"/>
        </w:rPr>
        <w:t xml:space="preserve">ee </w:t>
      </w:r>
      <w:r w:rsidRPr="006955B8">
        <w:rPr>
          <w:color w:val="000000"/>
          <w:szCs w:val="24"/>
        </w:rPr>
        <w:t>Annex 9J</w:t>
      </w:r>
      <w:r w:rsidRPr="00E50297">
        <w:rPr>
          <w:color w:val="000000"/>
          <w:szCs w:val="24"/>
        </w:rPr>
        <w:t xml:space="preserve"> for more information on </w:t>
      </w:r>
      <w:r>
        <w:rPr>
          <w:color w:val="000000"/>
          <w:szCs w:val="24"/>
        </w:rPr>
        <w:t xml:space="preserve">the social and economic impact of digitisation. </w:t>
      </w:r>
    </w:p>
  </w:footnote>
  <w:footnote w:id="205">
    <w:p w:rsidR="004B69C4" w:rsidRPr="00BF0B95" w:rsidRDefault="004B69C4" w:rsidP="004A03F2">
      <w:pPr>
        <w:pStyle w:val="FootnoteText"/>
      </w:pPr>
      <w:r>
        <w:rPr>
          <w:rStyle w:val="FootnoteReference"/>
        </w:rPr>
        <w:footnoteRef/>
      </w:r>
      <w:r>
        <w:t xml:space="preserve"> </w:t>
      </w:r>
      <w:r>
        <w:tab/>
        <w:t xml:space="preserve">Notably the </w:t>
      </w:r>
      <w:r w:rsidRPr="00BF0B95">
        <w:t>Commission Recommendation on the digitisation and online accessibility of cultural material and digital preservation (2011/711/EU)</w:t>
      </w:r>
      <w:r>
        <w:t xml:space="preserve">, which encouraged </w:t>
      </w:r>
      <w:r w:rsidRPr="00BF0B95">
        <w:t xml:space="preserve">MS to </w:t>
      </w:r>
      <w:r>
        <w:t xml:space="preserve">create </w:t>
      </w:r>
      <w:r w:rsidRPr="00BF0B95">
        <w:t>"</w:t>
      </w:r>
      <w:r w:rsidRPr="003B0D08">
        <w:t>the legal framework conditions to underpin licensing mechanisms identified and agreed by stakeholders for the large-scale digitisation and cross-border accessibility of works that are out-of-commerce</w:t>
      </w:r>
      <w:r>
        <w:t xml:space="preserve">", and a similar call </w:t>
      </w:r>
      <w:r w:rsidRPr="00BF0B95">
        <w:t>in the Council Conclusions on the digitisation and online preservation of cultural material and digital preservation of 10-11 May 2012</w:t>
      </w:r>
      <w:r>
        <w:t>.</w:t>
      </w:r>
    </w:p>
  </w:footnote>
  <w:footnote w:id="206">
    <w:p w:rsidR="004B69C4" w:rsidRPr="008866C7" w:rsidRDefault="004B69C4" w:rsidP="00041DC6">
      <w:pPr>
        <w:pStyle w:val="FootnoteText"/>
      </w:pPr>
      <w:r>
        <w:rPr>
          <w:rStyle w:val="FootnoteReference"/>
        </w:rPr>
        <w:footnoteRef/>
      </w:r>
      <w:r>
        <w:t xml:space="preserve"> </w:t>
      </w:r>
      <w:r>
        <w:tab/>
        <w:t xml:space="preserve">For examples of MS where this is already possible, via ECL, presumptions of representations or similar mechanisms, see </w:t>
      </w:r>
      <w:r w:rsidRPr="006955B8">
        <w:t>Annex 9E.</w:t>
      </w:r>
      <w:r>
        <w:t xml:space="preserve"> </w:t>
      </w:r>
      <w:r w:rsidRPr="008012CB">
        <w:t>See also European Commission, "Report on the Implementation of Commission Recommendation 2011/711/EU – 2013-2015", 2016</w:t>
      </w:r>
      <w:r>
        <w:t>.</w:t>
      </w:r>
    </w:p>
  </w:footnote>
  <w:footnote w:id="207">
    <w:p w:rsidR="004B69C4" w:rsidRPr="0064043B" w:rsidRDefault="004B69C4" w:rsidP="00041DC6">
      <w:pPr>
        <w:pStyle w:val="FootnoteText"/>
      </w:pPr>
      <w:r>
        <w:rPr>
          <w:rStyle w:val="FootnoteReference"/>
        </w:rPr>
        <w:footnoteRef/>
      </w:r>
      <w:r>
        <w:t xml:space="preserve"> </w:t>
      </w:r>
      <w:r>
        <w:tab/>
        <w:t>These stakeholder views are also evidenced by the 2013-2014 public consultation.</w:t>
      </w:r>
    </w:p>
  </w:footnote>
  <w:footnote w:id="208">
    <w:p w:rsidR="004B69C4" w:rsidRPr="00742620" w:rsidRDefault="004B69C4" w:rsidP="00041DC6">
      <w:pPr>
        <w:pStyle w:val="FootnoteText"/>
      </w:pPr>
      <w:r>
        <w:rPr>
          <w:rStyle w:val="FootnoteReference"/>
        </w:rPr>
        <w:footnoteRef/>
      </w:r>
      <w:r>
        <w:t xml:space="preserve"> </w:t>
      </w:r>
      <w:r>
        <w:tab/>
        <w:t>In line with the scope of the 2011 MoU.</w:t>
      </w:r>
    </w:p>
  </w:footnote>
  <w:footnote w:id="209">
    <w:p w:rsidR="004B69C4" w:rsidRDefault="004B69C4" w:rsidP="00041DC6">
      <w:pPr>
        <w:pStyle w:val="FootnoteText"/>
      </w:pPr>
      <w:r>
        <w:rPr>
          <w:rStyle w:val="FootnoteReference"/>
        </w:rPr>
        <w:footnoteRef/>
      </w:r>
      <w:r>
        <w:t xml:space="preserve"> </w:t>
      </w:r>
      <w:r>
        <w:tab/>
        <w:t>W</w:t>
      </w:r>
      <w:r w:rsidRPr="00E90683">
        <w:t xml:space="preserve">ith the possibility for CHIs to generate revenues but only to cover </w:t>
      </w:r>
      <w:r>
        <w:t xml:space="preserve">and recoup their </w:t>
      </w:r>
      <w:r w:rsidRPr="00E90683">
        <w:t>costs</w:t>
      </w:r>
      <w:r>
        <w:t>.</w:t>
      </w:r>
    </w:p>
  </w:footnote>
  <w:footnote w:id="210">
    <w:p w:rsidR="004B69C4" w:rsidRPr="00E50297" w:rsidRDefault="004B69C4" w:rsidP="00041DC6">
      <w:pPr>
        <w:pStyle w:val="FootnoteText"/>
        <w:rPr>
          <w:lang w:val="x-none"/>
        </w:rPr>
      </w:pPr>
      <w:r>
        <w:rPr>
          <w:rStyle w:val="FootnoteReference"/>
        </w:rPr>
        <w:footnoteRef/>
      </w:r>
      <w:r>
        <w:t xml:space="preserve"> </w:t>
      </w:r>
      <w:r>
        <w:tab/>
      </w:r>
      <w:r w:rsidRPr="00E50297">
        <w:rPr>
          <w:bCs/>
        </w:rPr>
        <w:t xml:space="preserve">Under this definition, a work </w:t>
      </w:r>
      <w:r>
        <w:rPr>
          <w:bCs/>
        </w:rPr>
        <w:t>is</w:t>
      </w:r>
      <w:r w:rsidRPr="00E50297">
        <w:rPr>
          <w:bCs/>
        </w:rPr>
        <w:t xml:space="preserve"> considered out-of-commerce when the whole work, is, in all its versions and manifestations, no longer commercially available in customary channels of commerce, regardless of the existence of tangible copies of the work in libraries and among the public, including through second hand bookshops or antiquarian bookshops</w:t>
      </w:r>
      <w:r>
        <w:rPr>
          <w:bCs/>
        </w:rPr>
        <w:t>.</w:t>
      </w:r>
    </w:p>
  </w:footnote>
  <w:footnote w:id="211">
    <w:p w:rsidR="004B69C4" w:rsidRPr="000A2B94" w:rsidRDefault="004B69C4" w:rsidP="00041DC6">
      <w:pPr>
        <w:pStyle w:val="FootnoteText"/>
      </w:pPr>
      <w:r>
        <w:rPr>
          <w:rStyle w:val="FootnoteReference"/>
        </w:rPr>
        <w:footnoteRef/>
      </w:r>
      <w:r>
        <w:t xml:space="preserve"> </w:t>
      </w:r>
      <w:r>
        <w:tab/>
        <w:t xml:space="preserve">For example a cut-off date, i.e. books published before a certain date (as it is the case in DE), or an original language criterion, like in PL legislation where the OoC rules are not applicable to </w:t>
      </w:r>
      <w:r w:rsidRPr="00E90683">
        <w:t xml:space="preserve">works </w:t>
      </w:r>
      <w:r>
        <w:t>written</w:t>
      </w:r>
      <w:r w:rsidRPr="00E90683">
        <w:t xml:space="preserve"> in a foreign language and translated into Polish</w:t>
      </w:r>
      <w:r>
        <w:t>.</w:t>
      </w:r>
    </w:p>
  </w:footnote>
  <w:footnote w:id="212">
    <w:p w:rsidR="004B69C4" w:rsidRPr="0050172B" w:rsidRDefault="004B69C4" w:rsidP="00041DC6">
      <w:pPr>
        <w:pStyle w:val="FootnoteText"/>
      </w:pPr>
      <w:r>
        <w:rPr>
          <w:rStyle w:val="FootnoteReference"/>
        </w:rPr>
        <w:footnoteRef/>
      </w:r>
      <w:r>
        <w:t xml:space="preserve"> </w:t>
      </w:r>
      <w:r>
        <w:tab/>
        <w:t xml:space="preserve">See </w:t>
      </w:r>
      <w:r w:rsidRPr="006955B8">
        <w:t>Annex 9E</w:t>
      </w:r>
      <w:r>
        <w:t xml:space="preserve"> for a description and examples of possible mechanisms, which include for example presumptions of representation or ECLs.</w:t>
      </w:r>
    </w:p>
  </w:footnote>
  <w:footnote w:id="213">
    <w:p w:rsidR="004B69C4" w:rsidRPr="00EE7725" w:rsidRDefault="004B69C4" w:rsidP="00041DC6">
      <w:pPr>
        <w:pStyle w:val="FootnoteText"/>
      </w:pPr>
      <w:r>
        <w:rPr>
          <w:rStyle w:val="FootnoteReference"/>
        </w:rPr>
        <w:footnoteRef/>
      </w:r>
      <w:r>
        <w:t xml:space="preserve"> </w:t>
      </w:r>
      <w:r>
        <w:tab/>
        <w:t>As resulting from those individual users/consumers and consumer organisation who responded on this specific matter in the 2013-2014 public consultation.</w:t>
      </w:r>
    </w:p>
  </w:footnote>
  <w:footnote w:id="214">
    <w:p w:rsidR="004B69C4" w:rsidRPr="000A4B3B" w:rsidRDefault="004B69C4" w:rsidP="00041DC6">
      <w:pPr>
        <w:pStyle w:val="FootnoteText"/>
      </w:pPr>
      <w:r>
        <w:rPr>
          <w:rStyle w:val="FootnoteReference"/>
        </w:rPr>
        <w:footnoteRef/>
      </w:r>
      <w:r>
        <w:t xml:space="preserve"> </w:t>
      </w:r>
      <w:r w:rsidRPr="000A4B3B">
        <w:tab/>
      </w:r>
      <w:r>
        <w:t>This view was very frequent among CHI responses</w:t>
      </w:r>
      <w:r w:rsidRPr="000A4B3B">
        <w:t xml:space="preserve"> to the </w:t>
      </w:r>
      <w:r>
        <w:t xml:space="preserve">2013-2014 </w:t>
      </w:r>
      <w:r w:rsidRPr="000A4B3B">
        <w:t>public consultation</w:t>
      </w:r>
      <w:r>
        <w:t>.</w:t>
      </w:r>
    </w:p>
  </w:footnote>
  <w:footnote w:id="215">
    <w:p w:rsidR="004B69C4" w:rsidRPr="00320762" w:rsidRDefault="004B69C4" w:rsidP="00041DC6">
      <w:pPr>
        <w:pStyle w:val="FootnoteText"/>
      </w:pPr>
      <w:r>
        <w:rPr>
          <w:rStyle w:val="FootnoteReference"/>
        </w:rPr>
        <w:footnoteRef/>
      </w:r>
      <w:r>
        <w:t xml:space="preserve"> </w:t>
      </w:r>
      <w:r w:rsidRPr="00320762">
        <w:tab/>
      </w:r>
      <w:r>
        <w:t xml:space="preserve">An overall strong </w:t>
      </w:r>
      <w:r w:rsidRPr="00320762">
        <w:t xml:space="preserve">preference for voluntary and licence-based solutions is </w:t>
      </w:r>
      <w:r>
        <w:t>clear from right holder submissions to the 2013-2014 public consultation.</w:t>
      </w:r>
    </w:p>
  </w:footnote>
  <w:footnote w:id="216">
    <w:p w:rsidR="004B69C4" w:rsidRDefault="004B69C4" w:rsidP="00297D1C">
      <w:pPr>
        <w:pStyle w:val="FootnoteText"/>
      </w:pPr>
      <w:r>
        <w:rPr>
          <w:rStyle w:val="FootnoteReference"/>
        </w:rPr>
        <w:footnoteRef/>
      </w:r>
      <w:r>
        <w:t xml:space="preserve"> </w:t>
      </w:r>
      <w:r>
        <w:tab/>
        <w:t xml:space="preserve">Similarly to the </w:t>
      </w:r>
      <w:r w:rsidRPr="00CC535A">
        <w:t xml:space="preserve">rules </w:t>
      </w:r>
      <w:r>
        <w:t>determining</w:t>
      </w:r>
      <w:r w:rsidRPr="00CC535A">
        <w:t xml:space="preserve"> </w:t>
      </w:r>
      <w:r>
        <w:t xml:space="preserve">the MS where a </w:t>
      </w:r>
      <w:r w:rsidRPr="00CC535A">
        <w:t>diligent search must be undertaken before a work can be established as being an orphan work for the purposes of the</w:t>
      </w:r>
      <w:r w:rsidRPr="005F508C">
        <w:t xml:space="preserve"> Orphan Works Directive.</w:t>
      </w:r>
    </w:p>
  </w:footnote>
  <w:footnote w:id="217">
    <w:p w:rsidR="004B69C4" w:rsidRPr="00E05B87" w:rsidRDefault="004B69C4" w:rsidP="00041DC6">
      <w:pPr>
        <w:pStyle w:val="FootnoteText"/>
      </w:pPr>
      <w:r>
        <w:rPr>
          <w:rStyle w:val="FootnoteReference"/>
        </w:rPr>
        <w:footnoteRef/>
      </w:r>
      <w:r>
        <w:t xml:space="preserve"> </w:t>
      </w:r>
      <w:r>
        <w:tab/>
        <w:t>CHIs in the 2013-2014 public consultation stressed the importance of solutions covering all types of works and many of them indicated their preference for an exception, as generally did individual end users/consumers and consumer organisations. CHI respondents also referred to collective management solutions, notably ECL, as an alternative.</w:t>
      </w:r>
    </w:p>
  </w:footnote>
  <w:footnote w:id="218">
    <w:p w:rsidR="004B69C4" w:rsidRPr="00E05B87" w:rsidRDefault="004B69C4" w:rsidP="00041DC6">
      <w:pPr>
        <w:pStyle w:val="FootnoteText"/>
      </w:pPr>
      <w:r>
        <w:rPr>
          <w:rStyle w:val="FootnoteReference"/>
        </w:rPr>
        <w:footnoteRef/>
      </w:r>
      <w:r>
        <w:t xml:space="preserve"> </w:t>
      </w:r>
      <w:r>
        <w:tab/>
        <w:t>These various views are present in right holder responses to the 2013-2014 public consultation.</w:t>
      </w:r>
    </w:p>
  </w:footnote>
  <w:footnote w:id="219">
    <w:p w:rsidR="004B69C4" w:rsidRPr="00F40043" w:rsidRDefault="004B69C4" w:rsidP="00041DC6">
      <w:pPr>
        <w:pStyle w:val="FootnoteText"/>
      </w:pPr>
      <w:r>
        <w:rPr>
          <w:rStyle w:val="FootnoteReference"/>
        </w:rPr>
        <w:footnoteRef/>
      </w:r>
      <w:r>
        <w:t xml:space="preserve"> </w:t>
      </w:r>
      <w:r>
        <w:tab/>
        <w:t xml:space="preserve">Given the difficulty in identifying and quantifying precise impacts on the latter aspect, reference is made to Annex </w:t>
      </w:r>
      <w:r w:rsidRPr="006955B8">
        <w:t>9J</w:t>
      </w:r>
      <w:r w:rsidRPr="005D66AB">
        <w:t>,</w:t>
      </w:r>
      <w:r>
        <w:t xml:space="preserve"> which elaborates on the general social and economic impacts of the digitisation of cultural heritage.</w:t>
      </w:r>
    </w:p>
  </w:footnote>
  <w:footnote w:id="220">
    <w:p w:rsidR="004B69C4" w:rsidRPr="00870A3D" w:rsidRDefault="004B69C4" w:rsidP="00041DC6">
      <w:pPr>
        <w:pStyle w:val="FootnoteText"/>
      </w:pPr>
      <w:r>
        <w:rPr>
          <w:rStyle w:val="FootnoteReference"/>
        </w:rPr>
        <w:footnoteRef/>
      </w:r>
      <w:r>
        <w:t xml:space="preserve"> </w:t>
      </w:r>
      <w:r>
        <w:tab/>
        <w:t>See Annex 9</w:t>
      </w:r>
      <w:r w:rsidRPr="005D66AB">
        <w:t>E</w:t>
      </w:r>
      <w:r w:rsidRPr="00870A3D">
        <w:t xml:space="preserve"> for a description and e</w:t>
      </w:r>
      <w:r>
        <w:t>xamples of possible mechanisms (ECLs,</w:t>
      </w:r>
      <w:r w:rsidRPr="00870A3D">
        <w:t xml:space="preserve"> presumptions of representation </w:t>
      </w:r>
      <w:r>
        <w:t>or similar).</w:t>
      </w:r>
    </w:p>
  </w:footnote>
  <w:footnote w:id="221">
    <w:p w:rsidR="004B69C4" w:rsidRPr="00C50FF0" w:rsidRDefault="004B69C4" w:rsidP="00041DC6">
      <w:pPr>
        <w:pStyle w:val="FootnoteText"/>
      </w:pPr>
      <w:r>
        <w:rPr>
          <w:rStyle w:val="FootnoteReference"/>
        </w:rPr>
        <w:footnoteRef/>
      </w:r>
      <w:r>
        <w:t xml:space="preserve"> </w:t>
      </w:r>
      <w:r>
        <w:tab/>
        <w:t xml:space="preserve">Notably in MS that have general extended collective management systems, i.e. whose scope in terms of uses and types of works is not limited </w:t>
      </w:r>
      <w:r>
        <w:rPr>
          <w:i/>
        </w:rPr>
        <w:t xml:space="preserve">a priori </w:t>
      </w:r>
      <w:r>
        <w:t>by law.</w:t>
      </w:r>
    </w:p>
  </w:footnote>
  <w:footnote w:id="222">
    <w:p w:rsidR="004B69C4" w:rsidRPr="00E21739" w:rsidRDefault="004B69C4" w:rsidP="00041DC6">
      <w:pPr>
        <w:pStyle w:val="FootnoteText"/>
      </w:pPr>
      <w:r>
        <w:rPr>
          <w:rStyle w:val="FootnoteReference"/>
        </w:rPr>
        <w:footnoteRef/>
      </w:r>
      <w:r>
        <w:t xml:space="preserve"> </w:t>
      </w:r>
      <w:r>
        <w:tab/>
        <w:t>B</w:t>
      </w:r>
      <w:r w:rsidRPr="00E21739">
        <w:t xml:space="preserve">oth in terms of the existence of CMOs and of the mandates they have or can expect to have from </w:t>
      </w:r>
      <w:r>
        <w:t>rightholders</w:t>
      </w:r>
      <w:r w:rsidRPr="00E21739">
        <w:t xml:space="preserve"> to proceed with licensing that go beyond the specific functions that are traditionally assigned to them (e.g. management of cable retransmission rights)</w:t>
      </w:r>
      <w:r>
        <w:t>.</w:t>
      </w:r>
    </w:p>
  </w:footnote>
  <w:footnote w:id="223">
    <w:p w:rsidR="004B69C4" w:rsidRPr="00DC54C0" w:rsidRDefault="004B69C4" w:rsidP="00041DC6">
      <w:pPr>
        <w:pStyle w:val="FootnoteText"/>
      </w:pPr>
      <w:r>
        <w:rPr>
          <w:rStyle w:val="FootnoteReference"/>
        </w:rPr>
        <w:footnoteRef/>
      </w:r>
      <w:r>
        <w:t xml:space="preserve"> </w:t>
      </w:r>
      <w:r>
        <w:tab/>
        <w:t xml:space="preserve">For example political leaflets, sketches, non-commercial sound recording or amateur footage. </w:t>
      </w:r>
    </w:p>
  </w:footnote>
  <w:footnote w:id="224">
    <w:p w:rsidR="004B69C4" w:rsidRPr="0061618A" w:rsidRDefault="004B69C4" w:rsidP="00041DC6">
      <w:pPr>
        <w:pStyle w:val="FootnoteText"/>
      </w:pPr>
      <w:r>
        <w:rPr>
          <w:rStyle w:val="FootnoteReference"/>
        </w:rPr>
        <w:footnoteRef/>
      </w:r>
      <w:r>
        <w:t xml:space="preserve"> </w:t>
      </w:r>
      <w:r>
        <w:tab/>
        <w:t xml:space="preserve">See </w:t>
      </w:r>
      <w:r w:rsidRPr="006955B8">
        <w:t>Annex 9E</w:t>
      </w:r>
      <w:r w:rsidRPr="005D66AB">
        <w:t xml:space="preserve"> for</w:t>
      </w:r>
      <w:r>
        <w:t xml:space="preserve"> more on opt-outs as part of this type of licensing.</w:t>
      </w:r>
    </w:p>
  </w:footnote>
  <w:footnote w:id="225">
    <w:p w:rsidR="004B69C4" w:rsidRPr="00CC074B" w:rsidRDefault="004B69C4" w:rsidP="00041DC6">
      <w:pPr>
        <w:pStyle w:val="FootnoteText"/>
      </w:pPr>
      <w:r>
        <w:rPr>
          <w:rStyle w:val="FootnoteReference"/>
        </w:rPr>
        <w:footnoteRef/>
      </w:r>
      <w:r>
        <w:t xml:space="preserve"> </w:t>
      </w:r>
      <w:r>
        <w:tab/>
      </w:r>
      <w:r w:rsidRPr="00CC074B">
        <w:t>These costs can vary depending on the design of each mechanism and the associated administrative procedures (notably to opt works out).</w:t>
      </w:r>
      <w:r>
        <w:t xml:space="preserve"> Costs for CMOs</w:t>
      </w:r>
      <w:r w:rsidRPr="00CC074B">
        <w:t xml:space="preserve"> only apply if the CMO decides to use those mechanisms, which remain voluntary</w:t>
      </w:r>
      <w:r>
        <w:t>.</w:t>
      </w:r>
      <w:r w:rsidRPr="00CC074B">
        <w:t xml:space="preserve"> </w:t>
      </w:r>
      <w:r w:rsidRPr="00991D8B">
        <w:t xml:space="preserve">See </w:t>
      </w:r>
      <w:r w:rsidRPr="006955B8">
        <w:t>Annex 9H</w:t>
      </w:r>
      <w:r w:rsidRPr="00991D8B">
        <w:t xml:space="preserve"> for a</w:t>
      </w:r>
      <w:r>
        <w:t>n illustrative</w:t>
      </w:r>
      <w:r w:rsidRPr="00991D8B">
        <w:t xml:space="preserve"> case study and a table illustrating </w:t>
      </w:r>
      <w:r>
        <w:t>impacts on the different stakeholder categories.</w:t>
      </w:r>
    </w:p>
  </w:footnote>
  <w:footnote w:id="226">
    <w:p w:rsidR="004B69C4" w:rsidRPr="00C50FF0" w:rsidRDefault="004B69C4" w:rsidP="00041DC6">
      <w:pPr>
        <w:pStyle w:val="FootnoteText"/>
      </w:pPr>
      <w:r>
        <w:rPr>
          <w:rStyle w:val="FootnoteReference"/>
        </w:rPr>
        <w:footnoteRef/>
      </w:r>
      <w:r>
        <w:t xml:space="preserve"> </w:t>
      </w:r>
      <w:r>
        <w:tab/>
        <w:t xml:space="preserve">For more on the possible social and economic impacts of the digitisation of cultural heritage see </w:t>
      </w:r>
      <w:r w:rsidRPr="006955B8">
        <w:t>Annex 9J</w:t>
      </w:r>
      <w:r w:rsidRPr="005D66AB">
        <w:t>.</w:t>
      </w:r>
      <w:r>
        <w:t xml:space="preserve"> </w:t>
      </w:r>
    </w:p>
  </w:footnote>
  <w:footnote w:id="227">
    <w:p w:rsidR="004B69C4" w:rsidRPr="00742620" w:rsidRDefault="004B69C4" w:rsidP="00041DC6">
      <w:pPr>
        <w:pStyle w:val="FootnoteText"/>
      </w:pPr>
      <w:r>
        <w:rPr>
          <w:rStyle w:val="FootnoteReference"/>
        </w:rPr>
        <w:footnoteRef/>
      </w:r>
      <w:r>
        <w:t xml:space="preserve"> </w:t>
      </w:r>
      <w:r>
        <w:tab/>
        <w:t>In line with the scope of the 2011 MoU.</w:t>
      </w:r>
    </w:p>
  </w:footnote>
  <w:footnote w:id="228">
    <w:p w:rsidR="004B69C4" w:rsidRPr="00D650B5" w:rsidRDefault="004B69C4" w:rsidP="00041DC6">
      <w:pPr>
        <w:pStyle w:val="FootnoteText"/>
      </w:pPr>
      <w:r>
        <w:rPr>
          <w:rStyle w:val="FootnoteReference"/>
        </w:rPr>
        <w:footnoteRef/>
      </w:r>
      <w:r>
        <w:t xml:space="preserve"> </w:t>
      </w:r>
      <w:r>
        <w:tab/>
      </w:r>
      <w:r w:rsidRPr="007848D0">
        <w:t>No data could be found to assess such cost, however it is expected to be lower than GBP 45</w:t>
      </w:r>
      <w:r>
        <w:t>,</w:t>
      </w:r>
      <w:r w:rsidRPr="007848D0">
        <w:t>000</w:t>
      </w:r>
      <w:r w:rsidRPr="00D650B5">
        <w:t xml:space="preserve">. </w:t>
      </w:r>
    </w:p>
  </w:footnote>
  <w:footnote w:id="229">
    <w:p w:rsidR="004B69C4" w:rsidRPr="005C64DB" w:rsidRDefault="004B69C4" w:rsidP="00041DC6">
      <w:pPr>
        <w:pStyle w:val="FootnoteText"/>
      </w:pPr>
      <w:r>
        <w:rPr>
          <w:rStyle w:val="FootnoteReference"/>
        </w:rPr>
        <w:footnoteRef/>
      </w:r>
      <w:r>
        <w:t xml:space="preserve"> </w:t>
      </w:r>
      <w:r>
        <w:tab/>
      </w:r>
      <w:r w:rsidRPr="005241F2">
        <w:t xml:space="preserve">See </w:t>
      </w:r>
      <w:r w:rsidRPr="006955B8">
        <w:t>Annex 9D</w:t>
      </w:r>
      <w:r w:rsidRPr="005D66AB">
        <w:t xml:space="preserve"> </w:t>
      </w:r>
      <w:r w:rsidRPr="008C016F">
        <w:t>for</w:t>
      </w:r>
      <w:r>
        <w:t xml:space="preserve"> available examples and estimations as regards books.</w:t>
      </w:r>
    </w:p>
  </w:footnote>
  <w:footnote w:id="230">
    <w:p w:rsidR="004B69C4" w:rsidRDefault="004B69C4" w:rsidP="00041DC6">
      <w:pPr>
        <w:pStyle w:val="FootnoteText"/>
      </w:pPr>
      <w:r>
        <w:rPr>
          <w:rStyle w:val="FootnoteReference"/>
        </w:rPr>
        <w:footnoteRef/>
      </w:r>
      <w:r>
        <w:t xml:space="preserve"> </w:t>
      </w:r>
      <w:r>
        <w:tab/>
      </w:r>
      <w:r w:rsidRPr="006E2372">
        <w:t>CHIs will be in the position to ask for collective licences covering the rights of outsiders only in the limited number of MS and, within that group, with more opportunities for music and, to a lesser degree, for visual arts than for film audiovisual works, and scarce or inexistent opportunities for works that CMOs are not used to licen</w:t>
      </w:r>
      <w:r>
        <w:t>sing</w:t>
      </w:r>
      <w:r w:rsidRPr="006E2372">
        <w:t>, like works in CHI collections that have never been intended for commercial use.</w:t>
      </w:r>
    </w:p>
  </w:footnote>
  <w:footnote w:id="231">
    <w:p w:rsidR="004B69C4" w:rsidRPr="008F2A6B" w:rsidRDefault="004B69C4" w:rsidP="00297D1C">
      <w:pPr>
        <w:pStyle w:val="FootnoteText"/>
      </w:pPr>
      <w:r>
        <w:rPr>
          <w:rStyle w:val="FootnoteReference"/>
        </w:rPr>
        <w:footnoteRef/>
      </w:r>
      <w:r>
        <w:t xml:space="preserve"> </w:t>
      </w:r>
      <w:r>
        <w:tab/>
        <w:t>Data as of July 2016, provided to European Commission services by DE CMO VG WORT.</w:t>
      </w:r>
    </w:p>
  </w:footnote>
  <w:footnote w:id="232">
    <w:p w:rsidR="004B69C4" w:rsidRPr="00190C12" w:rsidRDefault="004B69C4" w:rsidP="00297D1C">
      <w:pPr>
        <w:pStyle w:val="FootnoteText"/>
      </w:pPr>
      <w:r>
        <w:rPr>
          <w:rStyle w:val="FootnoteReference"/>
        </w:rPr>
        <w:footnoteRef/>
      </w:r>
      <w:r>
        <w:t xml:space="preserve"> </w:t>
      </w:r>
      <w:r>
        <w:tab/>
        <w:t xml:space="preserve">Data as of July 2016, provided to European Commission services by Norwegian CMO Kopinor. See </w:t>
      </w:r>
      <w:r w:rsidRPr="006955B8">
        <w:t>Annex 9E</w:t>
      </w:r>
      <w:r>
        <w:t xml:space="preserve"> for more on opt-outs in this case and other figures.</w:t>
      </w:r>
    </w:p>
  </w:footnote>
  <w:footnote w:id="233">
    <w:p w:rsidR="004B69C4" w:rsidRDefault="004B69C4" w:rsidP="00041DC6">
      <w:pPr>
        <w:pStyle w:val="FootnoteText"/>
      </w:pPr>
      <w:r>
        <w:rPr>
          <w:rStyle w:val="FootnoteReference"/>
        </w:rPr>
        <w:footnoteRef/>
      </w:r>
      <w:r>
        <w:t xml:space="preserve"> </w:t>
      </w:r>
      <w:r>
        <w:tab/>
      </w:r>
      <w:r w:rsidRPr="00991D8B">
        <w:t xml:space="preserve">See </w:t>
      </w:r>
      <w:r w:rsidRPr="006955B8">
        <w:t>Annex 9H</w:t>
      </w:r>
      <w:r w:rsidRPr="00991D8B">
        <w:t xml:space="preserve"> for a</w:t>
      </w:r>
      <w:r>
        <w:t>n illustrative</w:t>
      </w:r>
      <w:r w:rsidRPr="00991D8B">
        <w:t xml:space="preserve"> case study and a table illustrating </w:t>
      </w:r>
      <w:r>
        <w:t>impacts on the different stakeholder categories</w:t>
      </w:r>
      <w:r w:rsidRPr="00474708">
        <w:t>.</w:t>
      </w:r>
    </w:p>
  </w:footnote>
  <w:footnote w:id="234">
    <w:p w:rsidR="004B69C4" w:rsidRPr="00BC3A35" w:rsidRDefault="004B69C4" w:rsidP="00041DC6">
      <w:pPr>
        <w:pStyle w:val="FootnoteText"/>
      </w:pPr>
      <w:r>
        <w:rPr>
          <w:rStyle w:val="FootnoteReference"/>
        </w:rPr>
        <w:footnoteRef/>
      </w:r>
      <w:r>
        <w:t xml:space="preserve"> </w:t>
      </w:r>
      <w:r>
        <w:tab/>
        <w:t>These costs correspond to a first estimation based on existing experience with the Orphan Works Database.</w:t>
      </w:r>
    </w:p>
  </w:footnote>
  <w:footnote w:id="235">
    <w:p w:rsidR="004B69C4" w:rsidRPr="00CF3285" w:rsidRDefault="004B69C4" w:rsidP="00041DC6">
      <w:pPr>
        <w:pStyle w:val="FootnoteText"/>
      </w:pPr>
      <w:r>
        <w:rPr>
          <w:rStyle w:val="FootnoteReference"/>
        </w:rPr>
        <w:footnoteRef/>
      </w:r>
      <w:r>
        <w:t xml:space="preserve"> </w:t>
      </w:r>
      <w:r>
        <w:tab/>
        <w:t>The creation of and budget allocation to the possible portal would be subject to decisions taken on the basis of the governance rules of EUIPO.</w:t>
      </w:r>
    </w:p>
  </w:footnote>
  <w:footnote w:id="236">
    <w:p w:rsidR="004B69C4" w:rsidRPr="008428B7" w:rsidRDefault="004B69C4" w:rsidP="00041DC6">
      <w:pPr>
        <w:pStyle w:val="FootnoteText"/>
      </w:pPr>
      <w:r>
        <w:rPr>
          <w:rStyle w:val="FootnoteReference"/>
        </w:rPr>
        <w:footnoteRef/>
      </w:r>
      <w:r>
        <w:t xml:space="preserve"> </w:t>
      </w:r>
      <w:r>
        <w:tab/>
        <w:t>See</w:t>
      </w:r>
      <w:r w:rsidRPr="008428B7">
        <w:t xml:space="preserve"> </w:t>
      </w:r>
      <w:r w:rsidRPr="006955B8">
        <w:t>Annex 9J</w:t>
      </w:r>
      <w:r w:rsidRPr="008428B7">
        <w:t xml:space="preserve"> </w:t>
      </w:r>
      <w:r>
        <w:t>on these aspects.</w:t>
      </w:r>
      <w:r w:rsidRPr="008428B7">
        <w:t xml:space="preserve"> </w:t>
      </w:r>
    </w:p>
  </w:footnote>
  <w:footnote w:id="237">
    <w:p w:rsidR="004B69C4" w:rsidRPr="00961E8F" w:rsidRDefault="004B69C4" w:rsidP="00041DC6">
      <w:pPr>
        <w:pStyle w:val="FootnoteText"/>
      </w:pPr>
      <w:r>
        <w:rPr>
          <w:rStyle w:val="FootnoteReference"/>
        </w:rPr>
        <w:footnoteRef/>
      </w:r>
      <w:r>
        <w:t xml:space="preserve"> </w:t>
      </w:r>
      <w:r>
        <w:tab/>
        <w:t>See A</w:t>
      </w:r>
      <w:r w:rsidRPr="00961E8F">
        <w:t xml:space="preserve">nnex </w:t>
      </w:r>
      <w:r w:rsidRPr="006955B8">
        <w:t>9D</w:t>
      </w:r>
      <w:r w:rsidRPr="005D66AB">
        <w:t>.</w:t>
      </w:r>
      <w:r>
        <w:t xml:space="preserve"> In this case, the clearance process did not take place.</w:t>
      </w:r>
    </w:p>
  </w:footnote>
  <w:footnote w:id="238">
    <w:p w:rsidR="004B69C4" w:rsidRPr="00A44E1A" w:rsidRDefault="004B69C4" w:rsidP="00741673">
      <w:pPr>
        <w:pStyle w:val="FootnoteText"/>
      </w:pPr>
      <w:r>
        <w:rPr>
          <w:rStyle w:val="FootnoteReference"/>
        </w:rPr>
        <w:footnoteRef/>
      </w:r>
      <w:r>
        <w:t xml:space="preserve"> </w:t>
      </w:r>
      <w:r>
        <w:tab/>
        <w:t xml:space="preserve">See Annex 9F on collective management of rights in different sectors. </w:t>
      </w:r>
    </w:p>
  </w:footnote>
  <w:footnote w:id="239">
    <w:p w:rsidR="004B69C4" w:rsidRPr="009C328E" w:rsidRDefault="004B69C4" w:rsidP="00741673">
      <w:pPr>
        <w:pStyle w:val="FootnoteText"/>
      </w:pPr>
      <w:r>
        <w:rPr>
          <w:rStyle w:val="FootnoteReference"/>
        </w:rPr>
        <w:footnoteRef/>
      </w:r>
      <w:r>
        <w:t xml:space="preserve"> </w:t>
      </w:r>
      <w:r>
        <w:tab/>
        <w:t>Using a definition of heritage films as films that were produced at least 10 years ago, a study by the European Audiovisual Observatory indicates that 20 % of total films on release are heritage films (they however have a very small share of total admissions and are significantly released only in one or two markets), as are 47 % of film broadcast on a sample of TV channels (G.Fontaine – P.Simone, "The Exploitation of Film Heritage Works in the Digital Era", European Audiovisual Observatory, June 2016). A commercial distribution sector specialised in heritage films (</w:t>
      </w:r>
      <w:r>
        <w:rPr>
          <w:i/>
        </w:rPr>
        <w:t>films de patrimoine</w:t>
      </w:r>
      <w:r>
        <w:t xml:space="preserve">) has for example developed in FR in the last few years. </w:t>
      </w:r>
    </w:p>
  </w:footnote>
  <w:footnote w:id="240">
    <w:p w:rsidR="004B69C4" w:rsidRPr="00F0573F" w:rsidRDefault="004B69C4" w:rsidP="00041DC6">
      <w:pPr>
        <w:pStyle w:val="FootnoteText"/>
      </w:pPr>
      <w:r>
        <w:rPr>
          <w:rStyle w:val="FootnoteReference"/>
        </w:rPr>
        <w:footnoteRef/>
      </w:r>
      <w:r>
        <w:t xml:space="preserve"> </w:t>
      </w:r>
      <w:r>
        <w:tab/>
      </w:r>
      <w:r w:rsidRPr="00F0573F">
        <w:t xml:space="preserve">See </w:t>
      </w:r>
      <w:r w:rsidRPr="006955B8">
        <w:t>Annex 9J</w:t>
      </w:r>
      <w:r w:rsidRPr="00F0573F">
        <w:t xml:space="preserve"> on these aspects</w:t>
      </w:r>
      <w:r>
        <w:t>.</w:t>
      </w:r>
    </w:p>
  </w:footnote>
  <w:footnote w:id="241">
    <w:p w:rsidR="004B69C4" w:rsidRPr="00821911" w:rsidRDefault="004B69C4" w:rsidP="00952EB0">
      <w:pPr>
        <w:pStyle w:val="FootnoteText"/>
        <w:rPr>
          <w:sz w:val="18"/>
          <w:szCs w:val="18"/>
        </w:rPr>
      </w:pPr>
      <w:r w:rsidRPr="00821911">
        <w:rPr>
          <w:rStyle w:val="FootnoteReference"/>
          <w:sz w:val="18"/>
          <w:szCs w:val="18"/>
        </w:rPr>
        <w:footnoteRef/>
      </w:r>
      <w:r w:rsidRPr="00821911">
        <w:rPr>
          <w:sz w:val="18"/>
          <w:szCs w:val="18"/>
        </w:rPr>
        <w:t xml:space="preserve"> </w:t>
      </w:r>
      <w:r>
        <w:rPr>
          <w:sz w:val="18"/>
          <w:szCs w:val="18"/>
        </w:rPr>
        <w:tab/>
      </w:r>
      <w:r w:rsidRPr="00ED3896">
        <w:rPr>
          <w:szCs w:val="18"/>
        </w:rPr>
        <w:t>Exceptions are set out in the InfoSoc Directive (Di</w:t>
      </w:r>
      <w:r>
        <w:rPr>
          <w:szCs w:val="18"/>
        </w:rPr>
        <w:t>rective 2001/29/EC, Article 5),</w:t>
      </w:r>
      <w:r w:rsidRPr="00ED3896">
        <w:rPr>
          <w:szCs w:val="18"/>
        </w:rPr>
        <w:t xml:space="preserve"> the Software Directive (Directive 2009/24/EC</w:t>
      </w:r>
      <w:r>
        <w:rPr>
          <w:szCs w:val="18"/>
        </w:rPr>
        <w:t xml:space="preserve"> </w:t>
      </w:r>
      <w:r w:rsidRPr="00496A96">
        <w:t xml:space="preserve">of the European Parliament and of the Council of 23 April 2009 on the legal protection of computer programs </w:t>
      </w:r>
      <w:r>
        <w:t>(</w:t>
      </w:r>
      <w:r w:rsidRPr="00496A96">
        <w:t>OJ L 111, 5.5.2009, p. 16–22</w:t>
      </w:r>
      <w:r>
        <w:t>)</w:t>
      </w:r>
      <w:r w:rsidRPr="00496A96">
        <w:t>.</w:t>
      </w:r>
      <w:r w:rsidRPr="00ED3896">
        <w:rPr>
          <w:szCs w:val="18"/>
        </w:rPr>
        <w:t>,</w:t>
      </w:r>
      <w:r w:rsidRPr="00ED3896" w:rsidDel="00BB75D4">
        <w:rPr>
          <w:szCs w:val="18"/>
        </w:rPr>
        <w:t xml:space="preserve"> </w:t>
      </w:r>
      <w:r>
        <w:rPr>
          <w:szCs w:val="18"/>
        </w:rPr>
        <w:t>A</w:t>
      </w:r>
      <w:r w:rsidRPr="00ED3896">
        <w:rPr>
          <w:szCs w:val="18"/>
        </w:rPr>
        <w:t xml:space="preserve">rticles 5 and 6), the </w:t>
      </w:r>
      <w:r>
        <w:rPr>
          <w:szCs w:val="18"/>
        </w:rPr>
        <w:t>Database Directive</w:t>
      </w:r>
      <w:r w:rsidRPr="00ED3896">
        <w:rPr>
          <w:szCs w:val="18"/>
        </w:rPr>
        <w:t xml:space="preserve"> (Directive 96/9/EC</w:t>
      </w:r>
      <w:r w:rsidRPr="001746F4">
        <w:t xml:space="preserve"> </w:t>
      </w:r>
      <w:r w:rsidRPr="00496A96">
        <w:t xml:space="preserve">of the European Parliament and of the Council of 11 March 1996 on the legal protection of databases </w:t>
      </w:r>
      <w:r>
        <w:t>(</w:t>
      </w:r>
      <w:r w:rsidRPr="00496A96">
        <w:t>OJ L 077, 27.03.1996, p. 20-28</w:t>
      </w:r>
      <w:r>
        <w:t>)</w:t>
      </w:r>
      <w:r w:rsidRPr="00ED3896">
        <w:rPr>
          <w:szCs w:val="18"/>
        </w:rPr>
        <w:t xml:space="preserve">, </w:t>
      </w:r>
      <w:r>
        <w:rPr>
          <w:szCs w:val="18"/>
        </w:rPr>
        <w:t>A</w:t>
      </w:r>
      <w:r w:rsidRPr="00ED3896">
        <w:rPr>
          <w:szCs w:val="18"/>
        </w:rPr>
        <w:t>rticles 6 and 9), the Directive on Rental Right and Lending Right (Directive 2006/115/EC</w:t>
      </w:r>
      <w:r>
        <w:rPr>
          <w:szCs w:val="18"/>
        </w:rPr>
        <w:t xml:space="preserve"> </w:t>
      </w:r>
      <w:r w:rsidRPr="00496A96">
        <w:rPr>
          <w:rFonts w:eastAsia="Arial Unicode MS"/>
        </w:rPr>
        <w:t xml:space="preserve">of the European Parliament and of the Council of 12 December 2006 on rental right and lending right and on certain rights related to copyright in the field of intellectual property </w:t>
      </w:r>
      <w:r>
        <w:rPr>
          <w:rFonts w:eastAsia="Arial Unicode MS"/>
        </w:rPr>
        <w:t>(</w:t>
      </w:r>
      <w:r w:rsidRPr="00496A96">
        <w:rPr>
          <w:rFonts w:eastAsia="Arial Unicode MS"/>
        </w:rPr>
        <w:t>OJ L 376, 27.12.2006, p. 28–35</w:t>
      </w:r>
      <w:r>
        <w:rPr>
          <w:rFonts w:eastAsia="Arial Unicode MS"/>
        </w:rPr>
        <w:t>)</w:t>
      </w:r>
      <w:r w:rsidRPr="00ED3896">
        <w:rPr>
          <w:szCs w:val="18"/>
        </w:rPr>
        <w:t xml:space="preserve">, </w:t>
      </w:r>
      <w:r>
        <w:rPr>
          <w:szCs w:val="18"/>
        </w:rPr>
        <w:t>A</w:t>
      </w:r>
      <w:r w:rsidRPr="00ED3896">
        <w:rPr>
          <w:szCs w:val="18"/>
        </w:rPr>
        <w:t>rticles 6 and 10) and the Orphan Works Directive (Directive 2012/28/EU</w:t>
      </w:r>
      <w:r w:rsidRPr="001746F4">
        <w:t xml:space="preserve"> </w:t>
      </w:r>
      <w:r w:rsidRPr="00866CE9">
        <w:t>of the European Parliament and of the Council of 25 October 2012 on certain permitted uses of orphan works (OJ L 299, 27.10.2012, p. 5–12)</w:t>
      </w:r>
      <w:r w:rsidRPr="00ED3896">
        <w:rPr>
          <w:szCs w:val="18"/>
        </w:rPr>
        <w:t xml:space="preserve">, </w:t>
      </w:r>
      <w:r>
        <w:rPr>
          <w:szCs w:val="18"/>
        </w:rPr>
        <w:t>A</w:t>
      </w:r>
      <w:r w:rsidRPr="00ED3896">
        <w:rPr>
          <w:szCs w:val="18"/>
        </w:rPr>
        <w:t>rticle 6).</w:t>
      </w:r>
    </w:p>
  </w:footnote>
  <w:footnote w:id="242">
    <w:p w:rsidR="004B69C4" w:rsidRPr="00163345" w:rsidRDefault="004B69C4" w:rsidP="00952EB0">
      <w:pPr>
        <w:pStyle w:val="FootnoteText"/>
      </w:pPr>
      <w:r>
        <w:rPr>
          <w:rStyle w:val="FootnoteReference"/>
        </w:rPr>
        <w:footnoteRef/>
      </w:r>
      <w:r>
        <w:t xml:space="preserve"> </w:t>
      </w:r>
      <w:r>
        <w:tab/>
        <w:t>"Exceptions"</w:t>
      </w:r>
      <w:r w:rsidRPr="008D5BEF">
        <w:t xml:space="preserve"> is used in this </w:t>
      </w:r>
      <w:r>
        <w:t xml:space="preserve">IA </w:t>
      </w:r>
      <w:r w:rsidRPr="008D5BEF">
        <w:t>to encompass “exceptions and limitations” to copyright.</w:t>
      </w:r>
    </w:p>
  </w:footnote>
  <w:footnote w:id="243">
    <w:p w:rsidR="004B69C4" w:rsidRPr="00A61D4B" w:rsidRDefault="004B69C4" w:rsidP="00952EB0">
      <w:pPr>
        <w:pStyle w:val="FootnoteText"/>
      </w:pPr>
      <w:r>
        <w:rPr>
          <w:rStyle w:val="FootnoteReference"/>
        </w:rPr>
        <w:footnoteRef/>
      </w:r>
      <w:r>
        <w:t xml:space="preserve"> </w:t>
      </w:r>
      <w:r>
        <w:tab/>
      </w:r>
      <w:r w:rsidRPr="00A61D4B">
        <w:t xml:space="preserve">"Works" is used in this IA to encompass works </w:t>
      </w:r>
      <w:r>
        <w:t xml:space="preserve">protected under EU copyright acquis </w:t>
      </w:r>
      <w:r w:rsidRPr="00A61D4B">
        <w:t>and other protected subject matter</w:t>
      </w:r>
    </w:p>
  </w:footnote>
  <w:footnote w:id="244">
    <w:p w:rsidR="004B69C4" w:rsidRPr="0071288F" w:rsidRDefault="004B69C4" w:rsidP="00952EB0">
      <w:pPr>
        <w:pStyle w:val="FootnoteText"/>
      </w:pPr>
      <w:r>
        <w:rPr>
          <w:rStyle w:val="FootnoteReference"/>
        </w:rPr>
        <w:footnoteRef/>
      </w:r>
      <w:r>
        <w:t xml:space="preserve"> </w:t>
      </w:r>
      <w:r w:rsidRPr="00D01E2A">
        <w:tab/>
      </w:r>
      <w:r w:rsidRPr="00626C3C">
        <w:t xml:space="preserve">The results of the review process are presented </w:t>
      </w:r>
      <w:r w:rsidRPr="00750BFB">
        <w:t>in Annex 4 (</w:t>
      </w:r>
      <w:r>
        <w:t>The copyright review process: summary</w:t>
      </w:r>
      <w:r w:rsidRPr="00AC44D6">
        <w:t xml:space="preserve"> of </w:t>
      </w:r>
      <w:r>
        <w:t>the main relevant findings).</w:t>
      </w:r>
    </w:p>
  </w:footnote>
  <w:footnote w:id="245">
    <w:p w:rsidR="004B69C4" w:rsidRPr="0007482F" w:rsidRDefault="004B69C4" w:rsidP="00952EB0">
      <w:pPr>
        <w:pStyle w:val="FootnoteText"/>
      </w:pPr>
      <w:r>
        <w:rPr>
          <w:rStyle w:val="FootnoteReference"/>
        </w:rPr>
        <w:footnoteRef/>
      </w:r>
      <w:r>
        <w:t xml:space="preserve"> </w:t>
      </w:r>
      <w:r>
        <w:tab/>
        <w:t>Commission Communication (</w:t>
      </w:r>
      <w:r w:rsidRPr="0055191B">
        <w:t>COM(2015) 192 fina</w:t>
      </w:r>
      <w:r>
        <w:t xml:space="preserve">l) of </w:t>
      </w:r>
      <w:r w:rsidRPr="00E50297">
        <w:t>6 May 2015</w:t>
      </w:r>
      <w:r>
        <w:t xml:space="preserve">. </w:t>
      </w:r>
    </w:p>
  </w:footnote>
  <w:footnote w:id="246">
    <w:p w:rsidR="004B69C4" w:rsidRPr="00D01E2A" w:rsidRDefault="004B69C4" w:rsidP="00952EB0">
      <w:pPr>
        <w:pStyle w:val="FootnoteText"/>
      </w:pPr>
      <w:r>
        <w:rPr>
          <w:rStyle w:val="FootnoteReference"/>
        </w:rPr>
        <w:footnoteRef/>
      </w:r>
      <w:r>
        <w:t xml:space="preserve"> </w:t>
      </w:r>
      <w:r w:rsidRPr="00AC44D6">
        <w:tab/>
      </w:r>
      <w:r>
        <w:t>Commission Communication (</w:t>
      </w:r>
      <w:r w:rsidRPr="00AC44D6">
        <w:t>COM(2015) 626 final</w:t>
      </w:r>
      <w:r>
        <w:t>) of 9 December 2015.</w:t>
      </w:r>
    </w:p>
  </w:footnote>
  <w:footnote w:id="247">
    <w:p w:rsidR="004B69C4" w:rsidRPr="00D01E2A" w:rsidRDefault="004B69C4" w:rsidP="00952EB0">
      <w:pPr>
        <w:pStyle w:val="FootnoteText"/>
      </w:pPr>
      <w:r>
        <w:rPr>
          <w:rStyle w:val="FootnoteReference"/>
        </w:rPr>
        <w:footnoteRef/>
      </w:r>
      <w:r>
        <w:t xml:space="preserve"> </w:t>
      </w:r>
      <w:r w:rsidRPr="00FC5DE2">
        <w:tab/>
      </w:r>
      <w:r w:rsidRPr="00D01E2A">
        <w:t>Article 5(2)c of the InfoSoc Directive</w:t>
      </w:r>
      <w:r>
        <w:t>.</w:t>
      </w:r>
    </w:p>
  </w:footnote>
  <w:footnote w:id="248">
    <w:p w:rsidR="004B69C4" w:rsidRPr="00D01E2A" w:rsidRDefault="004B69C4" w:rsidP="00952EB0">
      <w:pPr>
        <w:pStyle w:val="FootnoteText"/>
      </w:pPr>
      <w:r>
        <w:rPr>
          <w:rStyle w:val="FootnoteReference"/>
        </w:rPr>
        <w:footnoteRef/>
      </w:r>
      <w:r>
        <w:t xml:space="preserve"> </w:t>
      </w:r>
      <w:r w:rsidRPr="00FC5DE2">
        <w:tab/>
        <w:t>Article 5(3)a of the InfoSoc Directive</w:t>
      </w:r>
      <w:r>
        <w:t xml:space="preserve"> and Article 6(2)b of the Database Directive.</w:t>
      </w:r>
    </w:p>
  </w:footnote>
  <w:footnote w:id="249">
    <w:p w:rsidR="004B69C4" w:rsidRPr="00BF58A6" w:rsidRDefault="004B69C4" w:rsidP="00A14FE5">
      <w:pPr>
        <w:pStyle w:val="FootnoteText"/>
        <w:rPr>
          <w:lang w:val="nl-NL"/>
        </w:rPr>
      </w:pPr>
      <w:r>
        <w:rPr>
          <w:rStyle w:val="FootnoteReference"/>
        </w:rPr>
        <w:footnoteRef/>
      </w:r>
      <w:r w:rsidRPr="00BF58A6">
        <w:rPr>
          <w:lang w:val="nl-NL"/>
        </w:rPr>
        <w:t xml:space="preserve"> </w:t>
      </w:r>
      <w:r w:rsidRPr="00BF58A6">
        <w:rPr>
          <w:lang w:val="nl-NL"/>
        </w:rPr>
        <w:tab/>
      </w:r>
      <w:r>
        <w:rPr>
          <w:lang w:val="nl-NL"/>
        </w:rPr>
        <w:t xml:space="preserve">Case </w:t>
      </w:r>
      <w:r w:rsidRPr="00A14FE5">
        <w:rPr>
          <w:lang w:val="nl-NL"/>
        </w:rPr>
        <w:t>C-174/15</w:t>
      </w:r>
      <w:r>
        <w:rPr>
          <w:lang w:val="nl-NL"/>
        </w:rPr>
        <w:t xml:space="preserve">, </w:t>
      </w:r>
      <w:r w:rsidRPr="00BF58A6">
        <w:rPr>
          <w:lang w:val="nl-NL"/>
        </w:rPr>
        <w:t>Vereniging Openbare Bibliotheke</w:t>
      </w:r>
      <w:r>
        <w:rPr>
          <w:lang w:val="nl-NL"/>
        </w:rPr>
        <w:t>n</w:t>
      </w:r>
      <w:r w:rsidRPr="00BF58A6">
        <w:rPr>
          <w:lang w:val="nl-NL"/>
        </w:rPr>
        <w:t xml:space="preserve"> v</w:t>
      </w:r>
      <w:r>
        <w:rPr>
          <w:lang w:val="nl-NL"/>
        </w:rPr>
        <w:t xml:space="preserve"> </w:t>
      </w:r>
      <w:r w:rsidRPr="00BF58A6">
        <w:rPr>
          <w:lang w:val="nl-NL"/>
        </w:rPr>
        <w:t>Stichting Leenrecht</w:t>
      </w:r>
      <w:r>
        <w:rPr>
          <w:lang w:val="nl-NL"/>
        </w:rPr>
        <w:t>.</w:t>
      </w:r>
    </w:p>
  </w:footnote>
  <w:footnote w:id="250">
    <w:p w:rsidR="004B69C4" w:rsidRPr="002750A8" w:rsidRDefault="004B69C4">
      <w:pPr>
        <w:pStyle w:val="FootnoteText"/>
      </w:pPr>
      <w:r>
        <w:rPr>
          <w:rStyle w:val="FootnoteReference"/>
        </w:rPr>
        <w:footnoteRef/>
      </w:r>
      <w:r>
        <w:t xml:space="preserve"> </w:t>
      </w:r>
      <w:r w:rsidRPr="00AD57F7">
        <w:tab/>
        <w:t xml:space="preserve">For further details, see the tables provided in Annex 4. </w:t>
      </w:r>
    </w:p>
  </w:footnote>
  <w:footnote w:id="251">
    <w:p w:rsidR="004B69C4" w:rsidRPr="003E7145" w:rsidRDefault="004B69C4" w:rsidP="00C63638">
      <w:pPr>
        <w:pStyle w:val="FootnoteText"/>
      </w:pPr>
      <w:r>
        <w:rPr>
          <w:rStyle w:val="FootnoteReference"/>
        </w:rPr>
        <w:footnoteRef/>
      </w:r>
      <w:r>
        <w:t xml:space="preserve"> </w:t>
      </w:r>
      <w:r>
        <w:tab/>
        <w:t xml:space="preserve">European Parliament resolution of 9 July 2015 on the implementation of Directive 2001/29/EC of the European Parliament and of the Council of 22 May 2001 on the harmonisation of certain aspects of copyright and related rights in the information society </w:t>
      </w:r>
    </w:p>
  </w:footnote>
  <w:footnote w:id="252">
    <w:p w:rsidR="004B69C4" w:rsidRPr="00C90C9C" w:rsidRDefault="004B69C4">
      <w:pPr>
        <w:pStyle w:val="FootnoteText"/>
      </w:pPr>
      <w:r>
        <w:rPr>
          <w:rStyle w:val="FootnoteReference"/>
        </w:rPr>
        <w:footnoteRef/>
      </w:r>
      <w:r>
        <w:t xml:space="preserve"> </w:t>
      </w:r>
      <w:r>
        <w:tab/>
      </w:r>
      <w:r w:rsidRPr="00B307FD">
        <w:t xml:space="preserve">MS </w:t>
      </w:r>
      <w:r w:rsidRPr="00AD57F7">
        <w:t xml:space="preserve">discussed ongoing Commission's work towards the modernisation of </w:t>
      </w:r>
      <w:r w:rsidRPr="00B307FD">
        <w:t>copyright exceptions in a Council Working Party</w:t>
      </w:r>
      <w:r w:rsidRPr="00DD78D1">
        <w:t xml:space="preserve"> (23/02/2016)</w:t>
      </w:r>
    </w:p>
  </w:footnote>
  <w:footnote w:id="253">
    <w:p w:rsidR="004B69C4" w:rsidRPr="000A0F51" w:rsidRDefault="004B69C4" w:rsidP="000F5D06">
      <w:pPr>
        <w:pStyle w:val="FootnoteText"/>
      </w:pPr>
      <w:r>
        <w:rPr>
          <w:rStyle w:val="FootnoteReference"/>
        </w:rPr>
        <w:footnoteRef/>
      </w:r>
      <w:r>
        <w:t xml:space="preserve"> </w:t>
      </w:r>
      <w:r>
        <w:tab/>
        <w:t xml:space="preserve">The views of MS reported here are based on the results of the 2014 public consultation on the review of EU copyright rules, to which 11 MS replied (DE, DK, EE, FR, IE, IT, LV, NL, PL, SK, UK). See Annex 2B. </w:t>
      </w:r>
    </w:p>
  </w:footnote>
  <w:footnote w:id="254">
    <w:p w:rsidR="004B69C4" w:rsidRPr="00CD0F0E" w:rsidRDefault="004B69C4" w:rsidP="00952EB0">
      <w:pPr>
        <w:pStyle w:val="FootnoteText"/>
      </w:pPr>
      <w:r w:rsidRPr="00A97F96">
        <w:rPr>
          <w:rStyle w:val="FootnoteReference"/>
        </w:rPr>
        <w:footnoteRef/>
      </w:r>
      <w:r>
        <w:tab/>
      </w:r>
      <w:r w:rsidRPr="00C61C56">
        <w:t>WTO TRIPS Agreement</w:t>
      </w:r>
      <w:r>
        <w:t xml:space="preserve"> </w:t>
      </w:r>
      <w:r w:rsidRPr="00C61C56">
        <w:t>Art</w:t>
      </w:r>
      <w:r>
        <w:t>icle</w:t>
      </w:r>
      <w:r w:rsidRPr="00C61C56">
        <w:t xml:space="preserve"> 13</w:t>
      </w:r>
      <w:r>
        <w:t>;</w:t>
      </w:r>
      <w:r w:rsidRPr="00C61C56">
        <w:t xml:space="preserve"> WCT Art</w:t>
      </w:r>
      <w:r>
        <w:t>icle</w:t>
      </w:r>
      <w:r w:rsidRPr="00C61C56">
        <w:t xml:space="preserve"> 10</w:t>
      </w:r>
      <w:r>
        <w:t>;</w:t>
      </w:r>
      <w:r w:rsidRPr="00C61C56">
        <w:t xml:space="preserve"> WPPT Art</w:t>
      </w:r>
      <w:r>
        <w:t>icle</w:t>
      </w:r>
      <w:r w:rsidRPr="00C61C56">
        <w:t xml:space="preserve"> 16</w:t>
      </w:r>
      <w:r>
        <w:t>;</w:t>
      </w:r>
      <w:r w:rsidRPr="00C61C56">
        <w:t xml:space="preserve"> Beijing </w:t>
      </w:r>
      <w:r>
        <w:t xml:space="preserve">Treaty Article 13 </w:t>
      </w:r>
      <w:r w:rsidRPr="00C61C56">
        <w:t>and Marrakesh</w:t>
      </w:r>
      <w:r>
        <w:t xml:space="preserve"> Treaty Article 11.</w:t>
      </w:r>
    </w:p>
  </w:footnote>
  <w:footnote w:id="255">
    <w:p w:rsidR="004B69C4" w:rsidRPr="00B763BD" w:rsidRDefault="004B69C4" w:rsidP="00952EB0">
      <w:pPr>
        <w:pStyle w:val="FootnoteText"/>
      </w:pPr>
      <w:r>
        <w:rPr>
          <w:rStyle w:val="FootnoteReference"/>
        </w:rPr>
        <w:footnoteRef/>
      </w:r>
      <w:r>
        <w:t xml:space="preserve"> </w:t>
      </w:r>
      <w:r>
        <w:tab/>
        <w:t>Source: Eurostat, Structural Business Statistics, 2013 data for publishing of books, periodicals and other publishing activities.</w:t>
      </w:r>
    </w:p>
  </w:footnote>
  <w:footnote w:id="256">
    <w:p w:rsidR="004B69C4" w:rsidRPr="008F24A7" w:rsidRDefault="004B69C4" w:rsidP="00952EB0">
      <w:pPr>
        <w:pStyle w:val="FootnoteText"/>
      </w:pPr>
      <w:r>
        <w:rPr>
          <w:rStyle w:val="FootnoteReference"/>
        </w:rPr>
        <w:footnoteRef/>
      </w:r>
      <w:r>
        <w:t xml:space="preserve"> </w:t>
      </w:r>
      <w:r>
        <w:tab/>
        <w:t>Source; Eurostat, Structural Business Statistics, 2013 data for m</w:t>
      </w:r>
      <w:r w:rsidRPr="008F24A7">
        <w:t>otion picture, video and television programme production, sound recording and music publishing activities</w:t>
      </w:r>
      <w:r>
        <w:t>.</w:t>
      </w:r>
    </w:p>
  </w:footnote>
  <w:footnote w:id="257">
    <w:p w:rsidR="004B69C4" w:rsidRPr="002B1AD3" w:rsidRDefault="004B69C4" w:rsidP="00952EB0">
      <w:pPr>
        <w:pStyle w:val="FootnoteText"/>
      </w:pPr>
      <w:r>
        <w:rPr>
          <w:rStyle w:val="FootnoteReference"/>
        </w:rPr>
        <w:footnoteRef/>
      </w:r>
      <w:r>
        <w:t xml:space="preserve"> </w:t>
      </w:r>
      <w:r>
        <w:tab/>
        <w:t xml:space="preserve">Survey carried out in the context of the study on </w:t>
      </w:r>
      <w:r w:rsidRPr="00425DEB">
        <w:rPr>
          <w:i/>
        </w:rPr>
        <w:t>'Assessment of the impact of the European copyright framework on digitally-supported education and training practices</w:t>
      </w:r>
      <w:r>
        <w:t>' –</w:t>
      </w:r>
      <w:hyperlink r:id="rId35" w:history="1">
        <w:r w:rsidRPr="00A04C99">
          <w:rPr>
            <w:rStyle w:val="Hyperlink"/>
            <w:szCs w:val="24"/>
          </w:rPr>
          <w:t>http://bookshop.europa.eu/en/assessment-of-the-impact-of-the-european-copyright-framework-on-digitally-supported-education-and-training-practices-pbNC0115883/</w:t>
        </w:r>
      </w:hyperlink>
      <w:r>
        <w:t xml:space="preserve">. Survey sample composed of about 2000 respondents in 9 MS. </w:t>
      </w:r>
    </w:p>
  </w:footnote>
  <w:footnote w:id="258">
    <w:p w:rsidR="004B69C4" w:rsidRPr="00F616C2" w:rsidRDefault="004B69C4" w:rsidP="00952EB0">
      <w:pPr>
        <w:pStyle w:val="FootnoteText"/>
      </w:pPr>
      <w:r>
        <w:rPr>
          <w:rStyle w:val="FootnoteReference"/>
        </w:rPr>
        <w:footnoteRef/>
      </w:r>
      <w:r>
        <w:t xml:space="preserve"> </w:t>
      </w:r>
      <w:r>
        <w:tab/>
        <w:t xml:space="preserve">This is confirmed by the survey carried out in the context of the above-mentioned study: when faced with copyright restrictions on the use of certain works, 62 % of educators and 60 % of learners chose not to use protected works in order to avoid any possible problems. 41 % of educators and 60 % of learners looked for alternatives whereas uses without authorisation were reported by 21 % of learners and 14 % of educators. </w:t>
      </w:r>
      <w:r w:rsidRPr="00F616C2">
        <w:t xml:space="preserve">See </w:t>
      </w:r>
      <w:r w:rsidRPr="00CF72BD">
        <w:t xml:space="preserve">Annex 10B </w:t>
      </w:r>
      <w:r w:rsidRPr="00F616C2">
        <w:t>for additional data on the perception of copyright-related obstacles in education.</w:t>
      </w:r>
    </w:p>
  </w:footnote>
  <w:footnote w:id="259">
    <w:p w:rsidR="004B69C4" w:rsidRPr="00EB5783" w:rsidRDefault="004B69C4" w:rsidP="00952EB0">
      <w:pPr>
        <w:pStyle w:val="FootnoteText"/>
      </w:pPr>
      <w:r>
        <w:rPr>
          <w:rStyle w:val="FootnoteReference"/>
        </w:rPr>
        <w:footnoteRef/>
      </w:r>
      <w:r>
        <w:t xml:space="preserve"> </w:t>
      </w:r>
      <w:r w:rsidRPr="00C32C45">
        <w:tab/>
        <w:t xml:space="preserve">Respondents mentioned </w:t>
      </w:r>
      <w:r>
        <w:t xml:space="preserve">for instance </w:t>
      </w:r>
      <w:r w:rsidRPr="00C32C45">
        <w:t>problems</w:t>
      </w:r>
      <w:r>
        <w:t xml:space="preserve"> </w:t>
      </w:r>
      <w:r w:rsidRPr="00EB5783">
        <w:t>faced by un</w:t>
      </w:r>
      <w:r>
        <w:t xml:space="preserve">iversities with campuses abroad, </w:t>
      </w:r>
      <w:r w:rsidRPr="00EB5783">
        <w:t xml:space="preserve">by universities located close to a national border and attracting students from several </w:t>
      </w:r>
      <w:r>
        <w:t>MS</w:t>
      </w:r>
      <w:r w:rsidRPr="00EB5783">
        <w:t xml:space="preserve">, </w:t>
      </w:r>
      <w:r>
        <w:t>or by education bodies involved in</w:t>
      </w:r>
      <w:r w:rsidRPr="00EB5783">
        <w:t xml:space="preserve"> </w:t>
      </w:r>
      <w:r>
        <w:t>Erasmus+ programmes with a cross-border audience</w:t>
      </w:r>
      <w:r w:rsidRPr="00EB5783">
        <w:t>.</w:t>
      </w:r>
      <w:r>
        <w:t xml:space="preserve"> See </w:t>
      </w:r>
      <w:r w:rsidRPr="00CF72BD">
        <w:t>Annex 2B.</w:t>
      </w:r>
    </w:p>
  </w:footnote>
  <w:footnote w:id="260">
    <w:p w:rsidR="004B69C4" w:rsidRPr="0057664F" w:rsidRDefault="004B69C4">
      <w:pPr>
        <w:pStyle w:val="FootnoteText"/>
      </w:pPr>
      <w:r>
        <w:rPr>
          <w:rStyle w:val="FootnoteReference"/>
        </w:rPr>
        <w:footnoteRef/>
      </w:r>
      <w:r>
        <w:t xml:space="preserve"> </w:t>
      </w:r>
      <w:r>
        <w:tab/>
        <w:t>Article 5(3)a</w:t>
      </w:r>
      <w:r w:rsidRPr="00F725F4">
        <w:t xml:space="preserve"> </w:t>
      </w:r>
      <w:r>
        <w:t>of Directive 2001/29/EC.</w:t>
      </w:r>
    </w:p>
  </w:footnote>
  <w:footnote w:id="261">
    <w:p w:rsidR="004B69C4" w:rsidRPr="00F725F4" w:rsidRDefault="004B69C4" w:rsidP="0057664F">
      <w:pPr>
        <w:pStyle w:val="FootnoteText"/>
      </w:pPr>
      <w:r>
        <w:rPr>
          <w:rStyle w:val="FootnoteReference"/>
        </w:rPr>
        <w:footnoteRef/>
      </w:r>
      <w:r>
        <w:t xml:space="preserve"> </w:t>
      </w:r>
      <w:r>
        <w:tab/>
        <w:t xml:space="preserve">Article 6(2)b of Directive </w:t>
      </w:r>
      <w:r w:rsidRPr="00F725F4">
        <w:t>96/9/EC</w:t>
      </w:r>
      <w:r>
        <w:t xml:space="preserve"> </w:t>
      </w:r>
      <w:r w:rsidRPr="00496A96">
        <w:t xml:space="preserve">of the European Parliament and of the Council of 11 March 1996 on the legal protection of databases </w:t>
      </w:r>
      <w:r>
        <w:t>(</w:t>
      </w:r>
      <w:r w:rsidRPr="00496A96">
        <w:t>OJ L 077, 27.03.1996, p. 20-28</w:t>
      </w:r>
      <w:r>
        <w:t>)</w:t>
      </w:r>
    </w:p>
  </w:footnote>
  <w:footnote w:id="262">
    <w:p w:rsidR="004B69C4" w:rsidRPr="00D24BFF" w:rsidRDefault="004B69C4" w:rsidP="00952EB0">
      <w:pPr>
        <w:pStyle w:val="FootnoteText"/>
      </w:pPr>
      <w:r>
        <w:rPr>
          <w:rStyle w:val="FootnoteReference"/>
        </w:rPr>
        <w:footnoteRef/>
      </w:r>
      <w:r>
        <w:t xml:space="preserve"> </w:t>
      </w:r>
      <w:r>
        <w:tab/>
      </w:r>
      <w:r w:rsidRPr="00D951B8">
        <w:t xml:space="preserve">The condition of illustration </w:t>
      </w:r>
      <w:r>
        <w:t>has often been</w:t>
      </w:r>
      <w:r w:rsidRPr="00D951B8">
        <w:t xml:space="preserve"> interpreted</w:t>
      </w:r>
      <w:r>
        <w:t xml:space="preserve"> to define the extent of a work that can be used under the exception, which may vary</w:t>
      </w:r>
      <w:r w:rsidRPr="00D951B8">
        <w:t xml:space="preserve"> depending on the types of works (e.g. part of a novel but </w:t>
      </w:r>
      <w:r>
        <w:t xml:space="preserve">an </w:t>
      </w:r>
      <w:r w:rsidRPr="00D951B8">
        <w:t xml:space="preserve">entire work if it is a poem or a photograph). </w:t>
      </w:r>
      <w:r>
        <w:t xml:space="preserve">For further explanations, see J-P. Triaille </w:t>
      </w:r>
      <w:r w:rsidRPr="00AC4575">
        <w:rPr>
          <w:i/>
        </w:rPr>
        <w:t>et a</w:t>
      </w:r>
      <w:r>
        <w:rPr>
          <w:i/>
        </w:rPr>
        <w:t>l</w:t>
      </w:r>
      <w:r w:rsidRPr="00AC4575">
        <w:rPr>
          <w:i/>
        </w:rPr>
        <w:t>l</w:t>
      </w:r>
      <w:r>
        <w:rPr>
          <w:i/>
        </w:rPr>
        <w:t>.</w:t>
      </w:r>
      <w:r>
        <w:t xml:space="preserve">, </w:t>
      </w:r>
      <w:r w:rsidRPr="00413FCF">
        <w:t xml:space="preserve">"Study on the application of Directive 2001/29/EC on copyright and related rights in the information society", De Wolf </w:t>
      </w:r>
      <w:r>
        <w:t>&amp; P</w:t>
      </w:r>
      <w:r w:rsidRPr="00413FCF">
        <w:t xml:space="preserve">artners, December </w:t>
      </w:r>
      <w:r>
        <w:t>2013,,p. 359-362.</w:t>
      </w:r>
    </w:p>
  </w:footnote>
  <w:footnote w:id="263">
    <w:p w:rsidR="004B69C4" w:rsidRPr="0073291C" w:rsidRDefault="004B69C4" w:rsidP="00952EB0">
      <w:pPr>
        <w:pStyle w:val="FootnoteText"/>
      </w:pPr>
      <w:r>
        <w:rPr>
          <w:rStyle w:val="FootnoteReference"/>
        </w:rPr>
        <w:footnoteRef/>
      </w:r>
      <w:r>
        <w:t xml:space="preserve"> </w:t>
      </w:r>
      <w:r>
        <w:tab/>
      </w:r>
      <w:r w:rsidRPr="00C220ED">
        <w:t xml:space="preserve">Certain types of works are out of the scope of the exception (e.g. </w:t>
      </w:r>
      <w:r>
        <w:t>textbooks</w:t>
      </w:r>
      <w:r w:rsidRPr="00C220ED">
        <w:t xml:space="preserve"> in FR</w:t>
      </w:r>
      <w:r>
        <w:t>, ES, DE, AT</w:t>
      </w:r>
      <w:r w:rsidRPr="00C220ED">
        <w:t xml:space="preserve">) or </w:t>
      </w:r>
      <w:r>
        <w:t xml:space="preserve">their use is </w:t>
      </w:r>
      <w:r w:rsidRPr="00C220ED">
        <w:t xml:space="preserve">allowed under specific conditions (e.g. audiovisual works can be used after two years upon release in DE). </w:t>
      </w:r>
      <w:r>
        <w:t xml:space="preserve">The types of uses allowed under the exception (e.g. anthologies, exams, public performances) also vary from a MS to another. See J-P. Triaille </w:t>
      </w:r>
      <w:r w:rsidRPr="00AC4575">
        <w:rPr>
          <w:i/>
        </w:rPr>
        <w:t>et a</w:t>
      </w:r>
      <w:r>
        <w:rPr>
          <w:i/>
        </w:rPr>
        <w:t>l</w:t>
      </w:r>
      <w:r w:rsidRPr="00AC4575">
        <w:rPr>
          <w:i/>
        </w:rPr>
        <w:t>l</w:t>
      </w:r>
      <w:r>
        <w:rPr>
          <w:i/>
        </w:rPr>
        <w:t>.,</w:t>
      </w:r>
      <w:r w:rsidRPr="00413FCF">
        <w:t xml:space="preserve"> "Study on the application of Directive 2001/29/EC on copyright and related rights in the information society", De Wolf </w:t>
      </w:r>
      <w:r>
        <w:t>&amp; P</w:t>
      </w:r>
      <w:r w:rsidRPr="00413FCF">
        <w:t xml:space="preserve">artners, December </w:t>
      </w:r>
      <w:r>
        <w:t>2013, p. 368 et s.</w:t>
      </w:r>
    </w:p>
  </w:footnote>
  <w:footnote w:id="264">
    <w:p w:rsidR="004B69C4" w:rsidRPr="00687AD7" w:rsidRDefault="004B69C4" w:rsidP="00952EB0">
      <w:pPr>
        <w:pStyle w:val="FootnoteText"/>
      </w:pPr>
      <w:r>
        <w:rPr>
          <w:rStyle w:val="FootnoteReference"/>
        </w:rPr>
        <w:footnoteRef/>
      </w:r>
      <w:r>
        <w:tab/>
        <w:t>HR and EL</w:t>
      </w:r>
    </w:p>
  </w:footnote>
  <w:footnote w:id="265">
    <w:p w:rsidR="004B69C4" w:rsidRPr="000E4868" w:rsidRDefault="004B69C4" w:rsidP="00952EB0">
      <w:pPr>
        <w:pStyle w:val="FootnoteText"/>
      </w:pPr>
      <w:r>
        <w:rPr>
          <w:rStyle w:val="FootnoteReference"/>
        </w:rPr>
        <w:footnoteRef/>
      </w:r>
      <w:r>
        <w:t xml:space="preserve"> </w:t>
      </w:r>
      <w:r>
        <w:tab/>
        <w:t>IT</w:t>
      </w:r>
    </w:p>
  </w:footnote>
  <w:footnote w:id="266">
    <w:p w:rsidR="004B69C4" w:rsidRPr="00BA7AA9" w:rsidRDefault="004B69C4" w:rsidP="00952EB0">
      <w:pPr>
        <w:pStyle w:val="FootnoteText"/>
      </w:pPr>
      <w:r>
        <w:rPr>
          <w:rStyle w:val="FootnoteReference"/>
        </w:rPr>
        <w:footnoteRef/>
      </w:r>
      <w:r>
        <w:t xml:space="preserve"> </w:t>
      </w:r>
      <w:r>
        <w:tab/>
        <w:t xml:space="preserve">Further examples of restrictive implementation of the exception are presented in the study </w:t>
      </w:r>
      <w:r w:rsidRPr="00425DEB">
        <w:rPr>
          <w:i/>
        </w:rPr>
        <w:t>'Assessment of the impact of the European copyright framework on digitally-supported education and training practices</w:t>
      </w:r>
      <w:r w:rsidRPr="00E728B6">
        <w:t>'.</w:t>
      </w:r>
    </w:p>
  </w:footnote>
  <w:footnote w:id="267">
    <w:p w:rsidR="004B69C4" w:rsidRPr="00571659" w:rsidRDefault="004B69C4" w:rsidP="00952EB0">
      <w:pPr>
        <w:pStyle w:val="FootnoteText"/>
      </w:pPr>
      <w:r>
        <w:rPr>
          <w:rStyle w:val="FootnoteReference"/>
        </w:rPr>
        <w:footnoteRef/>
      </w:r>
      <w:r>
        <w:t xml:space="preserve"> </w:t>
      </w:r>
      <w:r w:rsidRPr="00C32C45">
        <w:tab/>
        <w:t>"</w:t>
      </w:r>
      <w:r>
        <w:t xml:space="preserve">5 outrageous things educators can’t do because of copyright", by COMMUNIA: </w:t>
      </w:r>
      <w:hyperlink r:id="rId36" w:anchor=".lbbqxa2ki" w:history="1">
        <w:r w:rsidRPr="008175D8">
          <w:rPr>
            <w:rStyle w:val="Hyperlink"/>
          </w:rPr>
          <w:t>https://medium.com/copyright-untangled/5-outrageous-things-educators-can-t-do-because-of-copyright-ac447dcc6e09#.lbbqxa2ki</w:t>
        </w:r>
      </w:hyperlink>
    </w:p>
  </w:footnote>
  <w:footnote w:id="268">
    <w:p w:rsidR="004B69C4" w:rsidRPr="00E001E5" w:rsidRDefault="004B69C4" w:rsidP="00952EB0">
      <w:pPr>
        <w:pStyle w:val="FootnoteText"/>
      </w:pPr>
      <w:r>
        <w:rPr>
          <w:rStyle w:val="FootnoteReference"/>
        </w:rPr>
        <w:footnoteRef/>
      </w:r>
      <w:r>
        <w:tab/>
      </w:r>
      <w:r w:rsidRPr="00CF72BD">
        <w:t>See Annex 10B</w:t>
      </w:r>
      <w:r w:rsidRPr="00F616C2">
        <w:t xml:space="preserve"> for additional data on the perception of copyright-related obstacles in education.</w:t>
      </w:r>
    </w:p>
  </w:footnote>
  <w:footnote w:id="269">
    <w:p w:rsidR="004B69C4" w:rsidRPr="000E3958" w:rsidRDefault="004B69C4" w:rsidP="00952EB0">
      <w:pPr>
        <w:pStyle w:val="FootnoteText"/>
      </w:pPr>
      <w:r>
        <w:rPr>
          <w:rStyle w:val="FootnoteReference"/>
        </w:rPr>
        <w:footnoteRef/>
      </w:r>
      <w:r>
        <w:t xml:space="preserve"> </w:t>
      </w:r>
      <w:r>
        <w:tab/>
      </w:r>
      <w:r w:rsidRPr="00CF72BD">
        <w:t>See Annex 4</w:t>
      </w:r>
      <w:r>
        <w:t xml:space="preserve"> for further details on the implementation of the teaching exception in MS.</w:t>
      </w:r>
    </w:p>
  </w:footnote>
  <w:footnote w:id="270">
    <w:p w:rsidR="004B69C4" w:rsidRPr="00427F32" w:rsidRDefault="004B69C4" w:rsidP="00952EB0">
      <w:pPr>
        <w:pStyle w:val="FootnoteText"/>
      </w:pPr>
      <w:r>
        <w:rPr>
          <w:rStyle w:val="FootnoteReference"/>
        </w:rPr>
        <w:footnoteRef/>
      </w:r>
      <w:r>
        <w:t xml:space="preserve"> </w:t>
      </w:r>
      <w:r>
        <w:tab/>
      </w:r>
      <w:r w:rsidRPr="00F616C2">
        <w:t xml:space="preserve">See </w:t>
      </w:r>
      <w:r w:rsidRPr="00CF72BD">
        <w:t>Annex 10C</w:t>
      </w:r>
      <w:r w:rsidRPr="00F616C2">
        <w:t xml:space="preserve"> for a description of compensation and licensing schemes for educational uses.</w:t>
      </w:r>
    </w:p>
  </w:footnote>
  <w:footnote w:id="271">
    <w:p w:rsidR="004B69C4" w:rsidRPr="00934805" w:rsidRDefault="004B69C4" w:rsidP="00952EB0">
      <w:pPr>
        <w:pStyle w:val="FootnoteText"/>
      </w:pPr>
      <w:r>
        <w:rPr>
          <w:rStyle w:val="FootnoteReference"/>
        </w:rPr>
        <w:footnoteRef/>
      </w:r>
      <w:r>
        <w:t xml:space="preserve"> </w:t>
      </w:r>
      <w:r>
        <w:tab/>
        <w:t>T</w:t>
      </w:r>
      <w:r w:rsidRPr="00187617">
        <w:t xml:space="preserve">ext documents and images are the </w:t>
      </w:r>
      <w:r>
        <w:t xml:space="preserve">type of material </w:t>
      </w:r>
      <w:r w:rsidRPr="00187617">
        <w:t>most widely used in education</w:t>
      </w:r>
      <w:r>
        <w:t xml:space="preserve">. The survey carried out in the context of the study </w:t>
      </w:r>
      <w:r w:rsidRPr="00425DEB">
        <w:rPr>
          <w:i/>
        </w:rPr>
        <w:t>'Assessment of the impact of the European copyright framework on digitally-supported education and training practices</w:t>
      </w:r>
      <w:r>
        <w:t xml:space="preserve">' (p.58) showed that images and text documents are used at least once a week by about 70 % of educators whereas other types of works including audio and video media are used by about 45 % of educators. </w:t>
      </w:r>
    </w:p>
  </w:footnote>
  <w:footnote w:id="272">
    <w:p w:rsidR="004B69C4" w:rsidRPr="00413FCF" w:rsidRDefault="004B69C4" w:rsidP="00952EB0">
      <w:pPr>
        <w:pStyle w:val="FootnoteText"/>
        <w:tabs>
          <w:tab w:val="left" w:pos="709"/>
        </w:tabs>
        <w:ind w:left="709" w:hanging="709"/>
      </w:pPr>
      <w:r w:rsidRPr="00413FCF">
        <w:rPr>
          <w:rStyle w:val="FootnoteReference"/>
        </w:rPr>
        <w:footnoteRef/>
      </w:r>
      <w:r w:rsidRPr="00413FCF">
        <w:t xml:space="preserve"> </w:t>
      </w:r>
      <w:r w:rsidRPr="00413FCF">
        <w:tab/>
      </w:r>
      <w:r>
        <w:t>Digital uses include notably scanning (digitisation from an analogue copy), digital copying (copying from an original in electronic format or from Internet downloads), inclusions in presentations or in course packs, projections to electronic whiteboards, posting to internal networks and Virtual Learning Environments, storing in internal databases. The types of digital uses allowed depend on the scope of the licensing scheme. For instance, t</w:t>
      </w:r>
      <w:r w:rsidRPr="00413FCF">
        <w:t>he collective licensing schemes based on a legal licence</w:t>
      </w:r>
      <w:r>
        <w:t xml:space="preserve"> in CZ, HU, PT, SK, SI and PL</w:t>
      </w:r>
      <w:r w:rsidRPr="00413FCF">
        <w:t xml:space="preserve"> </w:t>
      </w:r>
      <w:r>
        <w:t xml:space="preserve">include copies from Internet downloads and other digital copies as long as they are presented on print but other digital uses are subject to voluntary collective licensing agreement (source: IFRRO). </w:t>
      </w:r>
    </w:p>
  </w:footnote>
  <w:footnote w:id="273">
    <w:p w:rsidR="004B69C4" w:rsidRPr="00413FCF" w:rsidRDefault="004B69C4" w:rsidP="00952EB0">
      <w:pPr>
        <w:pStyle w:val="FootnoteText"/>
        <w:ind w:left="709" w:hanging="709"/>
      </w:pPr>
      <w:r w:rsidRPr="00413FCF">
        <w:rPr>
          <w:rStyle w:val="FootnoteReference"/>
        </w:rPr>
        <w:footnoteRef/>
      </w:r>
      <w:r w:rsidRPr="00413FCF">
        <w:tab/>
      </w:r>
      <w:r>
        <w:t xml:space="preserve">Certain licensing schemes in the print sector allow cross-border uses under certain conditions for the purpose of distance learning, while others don't allow such uses. See Annex 10C for further details. </w:t>
      </w:r>
      <w:r w:rsidRPr="00413FCF">
        <w:t>Licen</w:t>
      </w:r>
      <w:r>
        <w:t>c</w:t>
      </w:r>
      <w:r w:rsidRPr="00413FCF">
        <w:t xml:space="preserve">es granted for the use of audiovisual works in the context of education generally do not cover cross-border uses. </w:t>
      </w:r>
    </w:p>
  </w:footnote>
  <w:footnote w:id="274">
    <w:p w:rsidR="004B69C4" w:rsidRPr="00413FCF" w:rsidRDefault="004B69C4" w:rsidP="00952EB0">
      <w:pPr>
        <w:pStyle w:val="FootnoteText"/>
        <w:ind w:left="709" w:hanging="709"/>
        <w:rPr>
          <w:sz w:val="22"/>
        </w:rPr>
      </w:pPr>
      <w:r w:rsidRPr="00413FCF">
        <w:rPr>
          <w:rStyle w:val="FootnoteReference"/>
          <w:sz w:val="22"/>
        </w:rPr>
        <w:footnoteRef/>
      </w:r>
      <w:r w:rsidRPr="00413FCF">
        <w:rPr>
          <w:sz w:val="22"/>
        </w:rPr>
        <w:t xml:space="preserve"> </w:t>
      </w:r>
      <w:r w:rsidRPr="00413FCF">
        <w:rPr>
          <w:sz w:val="22"/>
        </w:rPr>
        <w:tab/>
      </w:r>
      <w:r w:rsidRPr="00413FCF">
        <w:t xml:space="preserve">The survey on the use of ICT in schools carried out in 2011/2012 shows that </w:t>
      </w:r>
      <w:r>
        <w:t>1</w:t>
      </w:r>
      <w:r w:rsidRPr="00413FCF">
        <w:t xml:space="preserve"> in </w:t>
      </w:r>
      <w:r>
        <w:t xml:space="preserve">4 </w:t>
      </w:r>
      <w:r w:rsidRPr="00413FCF">
        <w:t>primary schools students is in a school with a virtual learning environment (VLE),</w:t>
      </w:r>
      <w:r>
        <w:t xml:space="preserve"> whereas this number rises</w:t>
      </w:r>
      <w:r w:rsidRPr="00413FCF">
        <w:t xml:space="preserve"> to almost two-thirds in vocational schools. Also, 30</w:t>
      </w:r>
      <w:r>
        <w:t xml:space="preserve"> </w:t>
      </w:r>
      <w:r w:rsidRPr="00413FCF">
        <w:t xml:space="preserve">% of secondary school students use digital textbooks and multimedia tools once a week or almost every day. Source </w:t>
      </w:r>
      <w:r>
        <w:t>'</w:t>
      </w:r>
      <w:r w:rsidRPr="00C2707F">
        <w:rPr>
          <w:i/>
        </w:rPr>
        <w:t>Survey of Schools: ICT in Education: benchmarking access, use and attitudes to technology in Europe’s schools, Final study report, February 2013</w:t>
      </w:r>
      <w:r>
        <w:t>'</w:t>
      </w:r>
      <w:r w:rsidRPr="00413FCF">
        <w:t xml:space="preserve">. </w:t>
      </w:r>
      <w:r w:rsidRPr="00CF72BD">
        <w:t xml:space="preserve">See Annex 10A </w:t>
      </w:r>
      <w:r w:rsidRPr="00F616C2">
        <w:t xml:space="preserve">for background data on the development of digital and online education. </w:t>
      </w:r>
    </w:p>
  </w:footnote>
  <w:footnote w:id="275">
    <w:p w:rsidR="004B69C4" w:rsidRPr="0072257F" w:rsidRDefault="004B69C4" w:rsidP="00952EB0">
      <w:pPr>
        <w:pStyle w:val="FootnoteText"/>
        <w:rPr>
          <w:szCs w:val="18"/>
        </w:rPr>
      </w:pPr>
      <w:r>
        <w:rPr>
          <w:rStyle w:val="FootnoteReference"/>
        </w:rPr>
        <w:footnoteRef/>
      </w:r>
      <w:r>
        <w:t xml:space="preserve"> </w:t>
      </w:r>
      <w:r>
        <w:tab/>
      </w:r>
      <w:r>
        <w:rPr>
          <w:szCs w:val="18"/>
        </w:rPr>
        <w:t xml:space="preserve">In a 2013 survey by the European Universities Association on e-learning, 80 % of responding institutions indicated that they use digital courseware such as digital textbooks, curricula and reference materials. 82 % of institutions also indicated that they offer online courses. In 40 % of the institutions at least half of the students are engaged in e-learning; </w:t>
      </w:r>
      <w:hyperlink r:id="rId37" w:history="1">
        <w:r w:rsidRPr="00B47BFC">
          <w:rPr>
            <w:rStyle w:val="Hyperlink"/>
            <w:szCs w:val="18"/>
          </w:rPr>
          <w:t>http://www.eua.be/Libraries/Publication/e-learning_survey.sflb.ashx</w:t>
        </w:r>
      </w:hyperlink>
      <w:r>
        <w:rPr>
          <w:rStyle w:val="Hyperlink"/>
          <w:szCs w:val="18"/>
        </w:rPr>
        <w:t>.</w:t>
      </w:r>
      <w:r>
        <w:t xml:space="preserve"> </w:t>
      </w:r>
      <w:r w:rsidRPr="00CF72BD">
        <w:t>See Annex 10A for</w:t>
      </w:r>
      <w:r w:rsidRPr="00F616C2">
        <w:t xml:space="preserve"> background data on the development of digital and online education. </w:t>
      </w:r>
    </w:p>
  </w:footnote>
  <w:footnote w:id="276">
    <w:p w:rsidR="004B69C4" w:rsidRPr="00C2707F" w:rsidRDefault="004B69C4" w:rsidP="00952EB0">
      <w:pPr>
        <w:pStyle w:val="FootnoteText"/>
        <w:ind w:left="709" w:hanging="709"/>
      </w:pPr>
      <w:r w:rsidRPr="00C2707F">
        <w:rPr>
          <w:rStyle w:val="FootnoteReference"/>
        </w:rPr>
        <w:footnoteRef/>
      </w:r>
      <w:r w:rsidRPr="00C2707F">
        <w:t xml:space="preserve">  </w:t>
      </w:r>
      <w:r w:rsidRPr="00C2707F">
        <w:tab/>
        <w:t>Source: Eurostat</w:t>
      </w:r>
      <w:r>
        <w:t xml:space="preserve"> (Internet use and activities)</w:t>
      </w:r>
      <w:r w:rsidRPr="00C2707F">
        <w:t>. In 201</w:t>
      </w:r>
      <w:r>
        <w:t>5</w:t>
      </w:r>
      <w:r w:rsidRPr="00C2707F">
        <w:t>, 6</w:t>
      </w:r>
      <w:r>
        <w:t xml:space="preserve"> </w:t>
      </w:r>
      <w:r w:rsidRPr="00C2707F">
        <w:t>% of individuals</w:t>
      </w:r>
      <w:r>
        <w:t xml:space="preserve"> (and 9 % of individuals aged 16 to 29)</w:t>
      </w:r>
      <w:r w:rsidRPr="00C2707F">
        <w:t xml:space="preserve"> in EU 28 had used the Internet for an online course </w:t>
      </w:r>
      <w:r>
        <w:t xml:space="preserve">of any subject </w:t>
      </w:r>
      <w:r w:rsidRPr="00C2707F">
        <w:t>in the last 3 months before the survey (</w:t>
      </w:r>
      <w:r>
        <w:t xml:space="preserve">13 % in FI, 11 % in ES and </w:t>
      </w:r>
      <w:r w:rsidRPr="00C2707F">
        <w:t xml:space="preserve">UK, </w:t>
      </w:r>
      <w:r>
        <w:t xml:space="preserve">10 </w:t>
      </w:r>
      <w:r w:rsidRPr="00C2707F">
        <w:t>% in L</w:t>
      </w:r>
      <w:r>
        <w:t>U</w:t>
      </w:r>
      <w:r w:rsidRPr="00C2707F">
        <w:t xml:space="preserve">). </w:t>
      </w:r>
      <w:r>
        <w:t>This covers all types of online courses.</w:t>
      </w:r>
    </w:p>
  </w:footnote>
  <w:footnote w:id="277">
    <w:p w:rsidR="004B69C4" w:rsidRPr="008449F5" w:rsidRDefault="004B69C4" w:rsidP="00952EB0">
      <w:pPr>
        <w:pStyle w:val="FootnoteText"/>
      </w:pPr>
      <w:r>
        <w:rPr>
          <w:rStyle w:val="FootnoteReference"/>
        </w:rPr>
        <w:footnoteRef/>
      </w:r>
      <w:r>
        <w:t xml:space="preserve"> </w:t>
      </w:r>
      <w:r>
        <w:tab/>
      </w:r>
      <w:r w:rsidRPr="00FF5CE8">
        <w:t>In the public consultation</w:t>
      </w:r>
      <w:r>
        <w:t xml:space="preserve"> on the review of EU copyright rules carried out in 2013/2014 (referred to as the "2013/2014 public consultation")</w:t>
      </w:r>
      <w:r w:rsidRPr="00FF5CE8">
        <w:t xml:space="preserve">, </w:t>
      </w:r>
      <w:r>
        <w:t xml:space="preserve">the large majority of respondents representing authors and publishers considered </w:t>
      </w:r>
      <w:r w:rsidRPr="008449F5">
        <w:t xml:space="preserve">that there </w:t>
      </w:r>
      <w:r>
        <w:t>was</w:t>
      </w:r>
      <w:r w:rsidRPr="008449F5">
        <w:t xml:space="preserve"> no need to modify the teaching exception in the EU legal framework</w:t>
      </w:r>
      <w:r>
        <w:t xml:space="preserve"> and tha</w:t>
      </w:r>
      <w:r w:rsidRPr="008449F5">
        <w:t>t individual and collective licensing solutions should be encouraged.</w:t>
      </w:r>
      <w:r>
        <w:t xml:space="preserve"> Several CMOs, and in particular </w:t>
      </w:r>
      <w:r w:rsidRPr="00FF5CE8">
        <w:t>reproduction rights organisations</w:t>
      </w:r>
      <w:r>
        <w:t>, asked for</w:t>
      </w:r>
      <w:r w:rsidRPr="00FF5CE8">
        <w:t xml:space="preserve"> a </w:t>
      </w:r>
      <w:r w:rsidRPr="00005BCD">
        <w:t>clarification of the exception at EU and national level, notably as regards the notion of illustration for teaching. See Annex 2B.</w:t>
      </w:r>
      <w:r>
        <w:t xml:space="preserve">  </w:t>
      </w:r>
    </w:p>
  </w:footnote>
  <w:footnote w:id="278">
    <w:p w:rsidR="004B69C4" w:rsidRPr="00FF5CE8" w:rsidRDefault="004B69C4" w:rsidP="00952EB0">
      <w:pPr>
        <w:pStyle w:val="FootnoteText"/>
      </w:pPr>
      <w:r>
        <w:rPr>
          <w:rStyle w:val="FootnoteReference"/>
        </w:rPr>
        <w:footnoteRef/>
      </w:r>
      <w:r>
        <w:t xml:space="preserve"> </w:t>
      </w:r>
      <w:r>
        <w:tab/>
      </w:r>
      <w:r w:rsidRPr="00FF5CE8">
        <w:t xml:space="preserve">In the </w:t>
      </w:r>
      <w:r>
        <w:t xml:space="preserve">2013/2014 </w:t>
      </w:r>
      <w:r w:rsidRPr="00FF5CE8">
        <w:t>public consultation, certain institutional users consider</w:t>
      </w:r>
      <w:r>
        <w:t>ed</w:t>
      </w:r>
      <w:r w:rsidRPr="00FF5CE8">
        <w:t xml:space="preserve"> that </w:t>
      </w:r>
      <w:r>
        <w:t xml:space="preserve">in the short term </w:t>
      </w:r>
      <w:r w:rsidRPr="00FF5CE8">
        <w:t>the Commission should clarify the scope of the teaching exception to</w:t>
      </w:r>
      <w:r>
        <w:t xml:space="preserve"> </w:t>
      </w:r>
      <w:r w:rsidRPr="00FF5CE8">
        <w:t xml:space="preserve">encourage MS to use the flexibility offered by the current rules. </w:t>
      </w:r>
    </w:p>
  </w:footnote>
  <w:footnote w:id="279">
    <w:p w:rsidR="004B69C4" w:rsidRPr="001209D3" w:rsidRDefault="004B69C4" w:rsidP="00952EB0">
      <w:pPr>
        <w:pStyle w:val="FootnoteText"/>
      </w:pPr>
      <w:r>
        <w:rPr>
          <w:rStyle w:val="FootnoteReference"/>
        </w:rPr>
        <w:footnoteRef/>
      </w:r>
      <w:r>
        <w:t xml:space="preserve"> </w:t>
      </w:r>
      <w:r>
        <w:tab/>
      </w:r>
      <w:r w:rsidRPr="001209D3">
        <w:t>Open Educational Resources are any type of educational materials that are in the public domain or released under an open licen</w:t>
      </w:r>
      <w:r>
        <w:t>c</w:t>
      </w:r>
      <w:r w:rsidRPr="001209D3">
        <w:t>e. The nature of these open materials means that anyone can legally and freely copy, use, adapt and re-share them. OERs range from textbooks to curricula, syllabi, lecture notes, assignments, tests, projects, audio, video and animation</w:t>
      </w:r>
      <w:r>
        <w:t xml:space="preserve"> (UNESCO definition).</w:t>
      </w:r>
    </w:p>
  </w:footnote>
  <w:footnote w:id="280">
    <w:p w:rsidR="004B69C4" w:rsidRPr="0020163C" w:rsidRDefault="004B69C4" w:rsidP="00952EB0">
      <w:pPr>
        <w:pStyle w:val="FootnoteText"/>
      </w:pPr>
      <w:r>
        <w:rPr>
          <w:rStyle w:val="FootnoteReference"/>
        </w:rPr>
        <w:footnoteRef/>
      </w:r>
      <w:r>
        <w:t xml:space="preserve"> </w:t>
      </w:r>
      <w:r>
        <w:tab/>
        <w:t>MOOCs are</w:t>
      </w:r>
      <w:r w:rsidRPr="001766D0">
        <w:t xml:space="preserve"> online courses aimed at unlimited participation and open access via the internet. </w:t>
      </w:r>
      <w:r>
        <w:t>In many cases, participants need to register in order to have access to the online courses; however they don't need to be affiliated to any educational body or to comply with any admission requirements.</w:t>
      </w:r>
    </w:p>
  </w:footnote>
  <w:footnote w:id="281">
    <w:p w:rsidR="004B69C4" w:rsidRPr="00091B64" w:rsidRDefault="004B69C4">
      <w:pPr>
        <w:pStyle w:val="FootnoteText"/>
      </w:pPr>
      <w:r>
        <w:rPr>
          <w:rStyle w:val="FootnoteReference"/>
        </w:rPr>
        <w:footnoteRef/>
      </w:r>
      <w:r>
        <w:t xml:space="preserve"> </w:t>
      </w:r>
      <w:r>
        <w:tab/>
      </w:r>
      <w:r w:rsidRPr="00091B64">
        <w:t>The option of introducing a mandatory exception covering all types of digital educational uses carried out for non-commercial purpose (incl</w:t>
      </w:r>
      <w:r>
        <w:t>uding</w:t>
      </w:r>
      <w:r w:rsidRPr="00091B64">
        <w:t xml:space="preserve"> in OERs and MOOCs) has been discarded, as it would mak</w:t>
      </w:r>
      <w:r>
        <w:t>e</w:t>
      </w:r>
      <w:r w:rsidRPr="00091B64">
        <w:t xml:space="preserve"> it difficult to control the </w:t>
      </w:r>
      <w:r>
        <w:t xml:space="preserve">dissemination of protected content online (users would be allowed to </w:t>
      </w:r>
      <w:r w:rsidRPr="00091B64">
        <w:t>copy protected content and make it widely available online through education blogs or websites</w:t>
      </w:r>
      <w:r>
        <w:t>)</w:t>
      </w:r>
      <w:r w:rsidRPr="00091B64">
        <w:t>.</w:t>
      </w:r>
    </w:p>
  </w:footnote>
  <w:footnote w:id="282">
    <w:p w:rsidR="004B69C4" w:rsidRPr="00AC2C3E" w:rsidRDefault="004B69C4" w:rsidP="00952EB0">
      <w:pPr>
        <w:pStyle w:val="FootnoteText"/>
      </w:pPr>
      <w:r>
        <w:rPr>
          <w:rStyle w:val="FootnoteReference"/>
        </w:rPr>
        <w:footnoteRef/>
      </w:r>
      <w:r>
        <w:t xml:space="preserve"> </w:t>
      </w:r>
      <w:r w:rsidRPr="00C2707F">
        <w:tab/>
        <w:t>This was reflected in the results of the</w:t>
      </w:r>
      <w:r>
        <w:t xml:space="preserve"> 2013/2014</w:t>
      </w:r>
      <w:r w:rsidRPr="00C2707F">
        <w:t xml:space="preserve"> public consultation</w:t>
      </w:r>
      <w:r>
        <w:t xml:space="preserve">. See </w:t>
      </w:r>
      <w:r w:rsidRPr="001E637F">
        <w:t>Annex 2B.</w:t>
      </w:r>
    </w:p>
  </w:footnote>
  <w:footnote w:id="283">
    <w:p w:rsidR="004B69C4" w:rsidRPr="006B2C6B" w:rsidRDefault="004B69C4" w:rsidP="00952EB0">
      <w:pPr>
        <w:pStyle w:val="FootnoteText"/>
      </w:pPr>
      <w:r>
        <w:rPr>
          <w:rStyle w:val="FootnoteReference"/>
        </w:rPr>
        <w:footnoteRef/>
      </w:r>
      <w:r>
        <w:t xml:space="preserve"> </w:t>
      </w:r>
      <w:r>
        <w:tab/>
        <w:t>Such measures could differ from MS to MS as long as the result is achieved in terms of availability, visibility and user friendliness. They could consist, for example, in promoting specific educational licensing schemes to which rightholders could adhere on a voluntary basis and/or in developing online tools allowing educational establishments to easily check the availability of licences allowing to use different types of works to illustrate teaching activities.</w:t>
      </w:r>
    </w:p>
  </w:footnote>
  <w:footnote w:id="284">
    <w:p w:rsidR="004B69C4" w:rsidRPr="00C2707F" w:rsidRDefault="004B69C4" w:rsidP="00952EB0">
      <w:pPr>
        <w:pStyle w:val="FootnoteText"/>
        <w:rPr>
          <w:rFonts w:ascii="PT Sans" w:hAnsi="PT Sans" w:cs="Arial"/>
          <w:color w:val="323232"/>
          <w:lang w:val="en-US"/>
        </w:rPr>
      </w:pPr>
      <w:r>
        <w:rPr>
          <w:rStyle w:val="FootnoteReference"/>
        </w:rPr>
        <w:footnoteRef/>
      </w:r>
      <w:r>
        <w:t xml:space="preserve"> </w:t>
      </w:r>
      <w:r w:rsidRPr="00C2707F">
        <w:tab/>
        <w:t>Certain stakeholders in the educatio</w:t>
      </w:r>
      <w:r w:rsidRPr="00AC2C3E">
        <w:t>n community consider that licen</w:t>
      </w:r>
      <w:r w:rsidRPr="00C2707F">
        <w:t>sing cannot be an adequate solution to provide access to protected content</w:t>
      </w:r>
      <w:r>
        <w:t>. See "</w:t>
      </w:r>
      <w:r>
        <w:rPr>
          <w:rFonts w:ascii="PT Sans" w:hAnsi="PT Sans" w:cs="Arial"/>
          <w:color w:val="323232"/>
          <w:lang w:val="en-US"/>
        </w:rPr>
        <w:t xml:space="preserve">COMMUNIA policy paper on exceptions and limitations for education": </w:t>
      </w:r>
      <w:hyperlink r:id="rId38" w:history="1">
        <w:r w:rsidRPr="00F91227">
          <w:rPr>
            <w:rStyle w:val="Hyperlink"/>
            <w:rFonts w:ascii="PT Sans" w:hAnsi="PT Sans" w:cs="Arial"/>
            <w:lang w:val="en-US"/>
          </w:rPr>
          <w:t>http://www.communia-association.org/policy-papers/leveraging-copyright-in-support-of-education/</w:t>
        </w:r>
      </w:hyperlink>
    </w:p>
  </w:footnote>
  <w:footnote w:id="285">
    <w:p w:rsidR="004B69C4" w:rsidRPr="00BE1DC9" w:rsidRDefault="004B69C4" w:rsidP="00952EB0">
      <w:pPr>
        <w:pStyle w:val="FootnoteText"/>
      </w:pPr>
      <w:r>
        <w:rPr>
          <w:rStyle w:val="FootnoteReference"/>
        </w:rPr>
        <w:footnoteRef/>
      </w:r>
      <w:r>
        <w:t xml:space="preserve"> </w:t>
      </w:r>
      <w:r>
        <w:tab/>
      </w:r>
      <w:r w:rsidRPr="005F37D6">
        <w:t>Educational publishing is a very important component of the publishing sector, the largest cultural industry in Europe with a retail market value of about €40 billion, representing between 18 and 20</w:t>
      </w:r>
      <w:r>
        <w:t xml:space="preserve"> </w:t>
      </w:r>
      <w:r w:rsidRPr="005F37D6">
        <w:t xml:space="preserve">% of </w:t>
      </w:r>
      <w:r w:rsidRPr="00E53185">
        <w:t>the market at EU level. It reaches higher figures in some countries: 25 to 30% in ES, close to 30% in Flanders, more than 60 % in IE, 22 to 25 % in IT, 25 to 30 % in PL (source: Federation of European Publishers</w:t>
      </w:r>
      <w:r>
        <w:t xml:space="preserve"> - </w:t>
      </w:r>
      <w:r w:rsidRPr="005F37D6">
        <w:t>FEP).</w:t>
      </w:r>
    </w:p>
  </w:footnote>
  <w:footnote w:id="286">
    <w:p w:rsidR="004B69C4" w:rsidRPr="00DD3E4D" w:rsidRDefault="004B69C4" w:rsidP="00952EB0">
      <w:pPr>
        <w:pStyle w:val="FootnoteText"/>
        <w:ind w:left="709" w:hanging="709"/>
      </w:pPr>
      <w:r>
        <w:rPr>
          <w:rStyle w:val="FootnoteReference"/>
        </w:rPr>
        <w:footnoteRef/>
      </w:r>
      <w:r>
        <w:t xml:space="preserve"> </w:t>
      </w:r>
      <w:r w:rsidRPr="00C2707F">
        <w:tab/>
        <w:t>Only 27.4</w:t>
      </w:r>
      <w:r>
        <w:t xml:space="preserve"> </w:t>
      </w:r>
      <w:r w:rsidRPr="00C2707F">
        <w:t>% of users</w:t>
      </w:r>
      <w:r>
        <w:t xml:space="preserve"> or their representatives</w:t>
      </w:r>
      <w:r w:rsidRPr="00C2707F">
        <w:t xml:space="preserve"> agree that open licen</w:t>
      </w:r>
      <w:r>
        <w:t>c</w:t>
      </w:r>
      <w:r w:rsidRPr="00C2707F">
        <w:t>e materials can fully cover their educational needs</w:t>
      </w:r>
      <w:r>
        <w:t xml:space="preserve">.  Stakeholders' survey carried out in the context of the </w:t>
      </w:r>
      <w:r w:rsidRPr="00425DEB">
        <w:rPr>
          <w:i/>
        </w:rPr>
        <w:t>'Assessment of the impact of the European copyright framework on digitally-supported education and training practices</w:t>
      </w:r>
      <w:r>
        <w:t xml:space="preserve">'. </w:t>
      </w:r>
      <w:r w:rsidRPr="00F616C2">
        <w:t xml:space="preserve">See </w:t>
      </w:r>
      <w:r w:rsidRPr="001E637F">
        <w:t>Annex 10B</w:t>
      </w:r>
      <w:r w:rsidRPr="00F616C2">
        <w:t xml:space="preserve"> on the perception of copyright-related obstacles in education.</w:t>
      </w:r>
    </w:p>
  </w:footnote>
  <w:footnote w:id="287">
    <w:p w:rsidR="004B69C4" w:rsidRPr="00894121" w:rsidRDefault="004B69C4" w:rsidP="00952EB0">
      <w:pPr>
        <w:pStyle w:val="FootnoteText"/>
      </w:pPr>
      <w:r>
        <w:rPr>
          <w:rStyle w:val="FootnoteReference"/>
        </w:rPr>
        <w:footnoteRef/>
      </w:r>
      <w:r>
        <w:t xml:space="preserve"> </w:t>
      </w:r>
      <w:r w:rsidRPr="009E58C4">
        <w:tab/>
      </w:r>
      <w:r w:rsidRPr="009E58C4">
        <w:rPr>
          <w:szCs w:val="24"/>
        </w:rPr>
        <w:t xml:space="preserve">When developing such programmes, </w:t>
      </w:r>
      <w:r w:rsidRPr="009E58C4">
        <w:t xml:space="preserve">educational establishments </w:t>
      </w:r>
      <w:r w:rsidRPr="009E58C4">
        <w:rPr>
          <w:szCs w:val="24"/>
        </w:rPr>
        <w:t>would have to ascertain whether the use of copyrighted works is authorised or not in the different countries where the enrolled students are located, and if not, they would have to seek licences for such uses or could decide to limit cross-border access.</w:t>
      </w:r>
    </w:p>
  </w:footnote>
  <w:footnote w:id="288">
    <w:p w:rsidR="004B69C4" w:rsidRDefault="004B69C4" w:rsidP="00952EB0">
      <w:pPr>
        <w:pStyle w:val="FootnoteText"/>
      </w:pPr>
      <w:r>
        <w:rPr>
          <w:rStyle w:val="FootnoteReference"/>
        </w:rPr>
        <w:footnoteRef/>
      </w:r>
      <w:r>
        <w:t xml:space="preserve"> </w:t>
      </w:r>
      <w:r>
        <w:tab/>
      </w:r>
      <w:r w:rsidRPr="00A66F0E">
        <w:t>For example, the Open University in the UK, has more than 250,000 students, 12,000 of whom have a disability, health condition, mental health difficulty or specific learning difficulty (such as dyslexia).</w:t>
      </w:r>
    </w:p>
  </w:footnote>
  <w:footnote w:id="289">
    <w:p w:rsidR="004B69C4" w:rsidRPr="000A55DD" w:rsidRDefault="004B69C4" w:rsidP="00952EB0">
      <w:pPr>
        <w:pStyle w:val="FootnoteText"/>
      </w:pPr>
      <w:r>
        <w:rPr>
          <w:rStyle w:val="FootnoteReference"/>
        </w:rPr>
        <w:footnoteRef/>
      </w:r>
      <w:r>
        <w:t xml:space="preserve"> </w:t>
      </w:r>
      <w:r>
        <w:tab/>
        <w:t>J</w:t>
      </w:r>
      <w:r w:rsidRPr="00AC44F6">
        <w:t>us</w:t>
      </w:r>
      <w:r>
        <w:t xml:space="preserve">t more than a half (53.2 %) of educators </w:t>
      </w:r>
      <w:r w:rsidRPr="00AC44F6">
        <w:t>report that they know</w:t>
      </w:r>
      <w:r>
        <w:t xml:space="preserve"> their education institution is covered by</w:t>
      </w:r>
      <w:r w:rsidRPr="00AC44F6">
        <w:t xml:space="preserve"> </w:t>
      </w:r>
      <w:r>
        <w:t xml:space="preserve">licensing agreements allowing digital uses of protected content. Survey carried out in the context of the study on </w:t>
      </w:r>
      <w:r w:rsidRPr="00425DEB">
        <w:rPr>
          <w:i/>
        </w:rPr>
        <w:t>'Assessment of the impact of the European copyright framework on digitally-supported education and training practices</w:t>
      </w:r>
      <w:r>
        <w:t xml:space="preserve">' (p.120). Concerning licences allowing </w:t>
      </w:r>
      <w:r w:rsidRPr="0093328C">
        <w:t xml:space="preserve">the use of films in </w:t>
      </w:r>
      <w:r>
        <w:t>school</w:t>
      </w:r>
      <w:r w:rsidRPr="0093328C">
        <w:t xml:space="preserve">, </w:t>
      </w:r>
      <w:r>
        <w:t>o</w:t>
      </w:r>
      <w:r w:rsidRPr="0093328C">
        <w:t>nly 21</w:t>
      </w:r>
      <w:r>
        <w:t xml:space="preserve"> </w:t>
      </w:r>
      <w:r w:rsidRPr="0093328C">
        <w:t xml:space="preserve">% of </w:t>
      </w:r>
      <w:r>
        <w:t>teachers of primary and secondary education</w:t>
      </w:r>
      <w:r w:rsidRPr="0093328C">
        <w:t xml:space="preserve"> </w:t>
      </w:r>
      <w:r>
        <w:t>report</w:t>
      </w:r>
      <w:r w:rsidRPr="0093328C">
        <w:t xml:space="preserve"> that their school ha</w:t>
      </w:r>
      <w:r>
        <w:t>ve</w:t>
      </w:r>
      <w:r w:rsidRPr="0093328C">
        <w:t xml:space="preserve"> licen</w:t>
      </w:r>
      <w:r>
        <w:t>c</w:t>
      </w:r>
      <w:r w:rsidRPr="0093328C">
        <w:t xml:space="preserve">e agreements whereas the majority </w:t>
      </w:r>
      <w:r>
        <w:t xml:space="preserve">report that their school </w:t>
      </w:r>
      <w:r w:rsidRPr="0093328C">
        <w:t>ha</w:t>
      </w:r>
      <w:r>
        <w:t>s</w:t>
      </w:r>
      <w:r w:rsidRPr="0093328C">
        <w:t xml:space="preserve"> no agreement or was unable to say. Source: "</w:t>
      </w:r>
      <w:r w:rsidRPr="00C2707F">
        <w:rPr>
          <w:i/>
        </w:rPr>
        <w:t>Showing films and other audio-visual content in European Schools - Obstacles and best practices</w:t>
      </w:r>
      <w:r w:rsidRPr="0093328C">
        <w:t xml:space="preserve">" </w:t>
      </w:r>
      <w:r>
        <w:t>–</w:t>
      </w:r>
      <w:r w:rsidRPr="0093328C">
        <w:t xml:space="preserve"> </w:t>
      </w:r>
      <w:r>
        <w:t xml:space="preserve">May 2015. </w:t>
      </w:r>
    </w:p>
  </w:footnote>
  <w:footnote w:id="290">
    <w:p w:rsidR="004B69C4" w:rsidRPr="00FD7336" w:rsidRDefault="004B69C4" w:rsidP="00952EB0">
      <w:pPr>
        <w:pStyle w:val="FootnoteText"/>
      </w:pPr>
      <w:r>
        <w:rPr>
          <w:rStyle w:val="FootnoteReference"/>
        </w:rPr>
        <w:footnoteRef/>
      </w:r>
      <w:r>
        <w:t xml:space="preserve"> </w:t>
      </w:r>
      <w:r>
        <w:tab/>
        <w:t xml:space="preserve">Survey carried out in the context of the study on </w:t>
      </w:r>
      <w:r w:rsidRPr="00425DEB">
        <w:rPr>
          <w:i/>
        </w:rPr>
        <w:t>'Assessment of the impact of the European copyright framework on digitally-supported education and training practices</w:t>
      </w:r>
      <w:r>
        <w:t>' (p.35).</w:t>
      </w:r>
    </w:p>
  </w:footnote>
  <w:footnote w:id="291">
    <w:p w:rsidR="004B69C4" w:rsidRPr="003166CA" w:rsidRDefault="004B69C4" w:rsidP="00C32C45">
      <w:pPr>
        <w:pStyle w:val="FootnoteText"/>
        <w:ind w:left="709" w:hanging="709"/>
      </w:pPr>
      <w:r>
        <w:rPr>
          <w:rStyle w:val="FootnoteReference"/>
        </w:rPr>
        <w:footnoteRef/>
      </w:r>
      <w:r>
        <w:t xml:space="preserve"> </w:t>
      </w:r>
      <w:r w:rsidRPr="00C32C45">
        <w:tab/>
      </w:r>
      <w:r>
        <w:t xml:space="preserve">Stakeholders' survey carried out in the context of the </w:t>
      </w:r>
      <w:r w:rsidRPr="00425DEB">
        <w:rPr>
          <w:i/>
        </w:rPr>
        <w:t>'Assessment of the impact of the European copyright framework on digitally-supported education and training practices</w:t>
      </w:r>
      <w:r>
        <w:t xml:space="preserve">'. </w:t>
      </w:r>
      <w:r w:rsidRPr="00F616C2">
        <w:t xml:space="preserve">See </w:t>
      </w:r>
      <w:r w:rsidRPr="001E637F">
        <w:t>Annex 10B</w:t>
      </w:r>
      <w:r w:rsidRPr="00F616C2">
        <w:t xml:space="preserve"> on the perception of copyright-related obstacles in education.</w:t>
      </w:r>
    </w:p>
  </w:footnote>
  <w:footnote w:id="292">
    <w:p w:rsidR="004B69C4" w:rsidRPr="008A5BE3" w:rsidRDefault="004B69C4" w:rsidP="00952EB0">
      <w:pPr>
        <w:pStyle w:val="FootnoteText"/>
      </w:pPr>
      <w:r>
        <w:rPr>
          <w:rStyle w:val="FootnoteReference"/>
        </w:rPr>
        <w:footnoteRef/>
      </w:r>
      <w:r>
        <w:t xml:space="preserve"> </w:t>
      </w:r>
      <w:r>
        <w:tab/>
        <w:t xml:space="preserve">"Secondary uses" designate uses to illustrate and complement teaching, such as copying and making available extracts of protected works to students. </w:t>
      </w:r>
    </w:p>
  </w:footnote>
  <w:footnote w:id="293">
    <w:p w:rsidR="004B69C4" w:rsidRPr="00A26E53" w:rsidRDefault="004B69C4" w:rsidP="00952EB0">
      <w:pPr>
        <w:pStyle w:val="FootnoteText"/>
      </w:pPr>
      <w:r>
        <w:rPr>
          <w:rStyle w:val="FootnoteReference"/>
        </w:rPr>
        <w:footnoteRef/>
      </w:r>
      <w:r>
        <w:t xml:space="preserve"> </w:t>
      </w:r>
      <w:r>
        <w:tab/>
        <w:t xml:space="preserve">Licensing schemes </w:t>
      </w:r>
      <w:r w:rsidRPr="000947B0">
        <w:t>could remain an attractive option for educational establishments if they allow more flexible uses compared to the exception.</w:t>
      </w:r>
    </w:p>
  </w:footnote>
  <w:footnote w:id="294">
    <w:p w:rsidR="004B69C4" w:rsidRDefault="004B69C4" w:rsidP="00952EB0">
      <w:pPr>
        <w:pStyle w:val="FootnoteText"/>
      </w:pPr>
      <w:r>
        <w:rPr>
          <w:rStyle w:val="FootnoteReference"/>
        </w:rPr>
        <w:footnoteRef/>
      </w:r>
      <w:r>
        <w:t xml:space="preserve"> </w:t>
      </w:r>
      <w:r>
        <w:tab/>
        <w:t xml:space="preserve">Source: </w:t>
      </w:r>
      <w:r w:rsidRPr="0050112E">
        <w:t>Higher Education Statistics Agency</w:t>
      </w:r>
      <w:r>
        <w:t xml:space="preserve"> (UK)</w:t>
      </w:r>
      <w:r w:rsidRPr="0050112E">
        <w:t>, Learning and Skills Council, Department for Education, PwC analysis</w:t>
      </w:r>
      <w:r>
        <w:t xml:space="preserve"> in '</w:t>
      </w:r>
      <w:r w:rsidRPr="00960D2D">
        <w:rPr>
          <w:i/>
        </w:rPr>
        <w:t>An economic analysis of education exceptions</w:t>
      </w:r>
      <w:r>
        <w:t xml:space="preserve">', March 2012, PWC,  report commissioned by </w:t>
      </w:r>
      <w:r>
        <w:rPr>
          <w:lang w:val="en"/>
        </w:rPr>
        <w:t xml:space="preserve">the </w:t>
      </w:r>
      <w:r w:rsidRPr="003F27FC">
        <w:rPr>
          <w:bCs/>
          <w:lang w:val="en"/>
        </w:rPr>
        <w:t>Copyright Licensing Agency</w:t>
      </w:r>
      <w:r>
        <w:rPr>
          <w:lang w:val="en"/>
        </w:rPr>
        <w:t xml:space="preserve"> (CLA), a UK </w:t>
      </w:r>
      <w:hyperlink r:id="rId39" w:tooltip="Nonprofit organization" w:history="1">
        <w:r>
          <w:rPr>
            <w:rStyle w:val="Hyperlink"/>
            <w:lang w:val="en"/>
          </w:rPr>
          <w:t>non-profit organisation</w:t>
        </w:r>
      </w:hyperlink>
      <w:r>
        <w:rPr>
          <w:lang w:val="en"/>
        </w:rPr>
        <w:t xml:space="preserve"> established by the </w:t>
      </w:r>
      <w:hyperlink r:id="rId40" w:tooltip="Authors’ Licensing and Collecting Society" w:history="1">
        <w:r>
          <w:rPr>
            <w:rStyle w:val="Hyperlink"/>
            <w:lang w:val="en"/>
          </w:rPr>
          <w:t>Authors' Licensing and Collecting Society</w:t>
        </w:r>
      </w:hyperlink>
      <w:r>
        <w:rPr>
          <w:lang w:val="en"/>
        </w:rPr>
        <w:t xml:space="preserve"> and the </w:t>
      </w:r>
      <w:hyperlink r:id="rId41" w:tooltip="Publishers Licensing Society" w:history="1">
        <w:r>
          <w:rPr>
            <w:rStyle w:val="Hyperlink"/>
            <w:lang w:val="en"/>
          </w:rPr>
          <w:t>Publishers' Licensing Society</w:t>
        </w:r>
      </w:hyperlink>
      <w:r>
        <w:rPr>
          <w:lang w:val="en"/>
        </w:rPr>
        <w:t xml:space="preserve"> to perform collective licensing on their behalf</w:t>
      </w:r>
      <w:r>
        <w:t xml:space="preserve">. Available at: </w:t>
      </w:r>
      <w:hyperlink r:id="rId42" w:history="1">
        <w:r w:rsidRPr="00D072AD">
          <w:rPr>
            <w:rStyle w:val="Hyperlink"/>
          </w:rPr>
          <w:t>https://www.pwc.co.uk/assets/pdf/an-economic-analysis-of-education-exceptions-in-copyright.pdf</w:t>
        </w:r>
      </w:hyperlink>
    </w:p>
  </w:footnote>
  <w:footnote w:id="295">
    <w:p w:rsidR="004B69C4" w:rsidRPr="000E61BD" w:rsidRDefault="004B69C4" w:rsidP="00952EB0">
      <w:pPr>
        <w:pStyle w:val="FootnoteText"/>
      </w:pPr>
      <w:r>
        <w:rPr>
          <w:rStyle w:val="FootnoteReference"/>
        </w:rPr>
        <w:footnoteRef/>
      </w:r>
      <w:r>
        <w:t xml:space="preserve"> </w:t>
      </w:r>
      <w:r>
        <w:tab/>
        <w:t xml:space="preserve">Source: FEP. Additional data provided by IFRRO illustrate the standard per page rate for copying in education: €0.0142 (LV), €0.011-0.045(NL), €0.0256-0.0512 (BE), €0.033-0.036 (EL), to €0.04 (FR, DK). These costs do not include the transaction costs mentioned above (mainly staff costs, e.g. for negotiating and managing licences). </w:t>
      </w:r>
    </w:p>
  </w:footnote>
  <w:footnote w:id="296">
    <w:p w:rsidR="004B69C4" w:rsidRPr="00C46841" w:rsidRDefault="004B69C4" w:rsidP="00952EB0">
      <w:pPr>
        <w:pStyle w:val="FootnoteText"/>
      </w:pPr>
      <w:r>
        <w:rPr>
          <w:rStyle w:val="FootnoteReference"/>
        </w:rPr>
        <w:footnoteRef/>
      </w:r>
      <w:r>
        <w:t xml:space="preserve"> </w:t>
      </w:r>
      <w:r>
        <w:tab/>
        <w:t xml:space="preserve">In many other MS, digital uses are allowed under the national teaching exception but certain types of works are excluded from the scope of the exception e.g. </w:t>
      </w:r>
      <w:r w:rsidRPr="00C32C45">
        <w:t xml:space="preserve">resources specifically intended for education </w:t>
      </w:r>
      <w:r>
        <w:t xml:space="preserve">are excluded from the exception </w:t>
      </w:r>
      <w:r w:rsidRPr="00C32C45">
        <w:t>in AT, DE, ES, FR; sheet music</w:t>
      </w:r>
      <w:r>
        <w:t xml:space="preserve"> </w:t>
      </w:r>
      <w:r w:rsidRPr="00C32C45">
        <w:t>in FR,</w:t>
      </w:r>
      <w:r>
        <w:t xml:space="preserve"> IT, ES;</w:t>
      </w:r>
      <w:r w:rsidRPr="00C32C45">
        <w:t xml:space="preserve"> recently released cinematographic works in DE.</w:t>
      </w:r>
    </w:p>
  </w:footnote>
  <w:footnote w:id="297">
    <w:p w:rsidR="004B69C4" w:rsidRPr="007E7021" w:rsidRDefault="004B69C4" w:rsidP="00952EB0">
      <w:pPr>
        <w:pStyle w:val="FootnoteText"/>
      </w:pPr>
      <w:r>
        <w:rPr>
          <w:rStyle w:val="FootnoteReference"/>
        </w:rPr>
        <w:footnoteRef/>
      </w:r>
      <w:r>
        <w:t xml:space="preserve"> </w:t>
      </w:r>
      <w:r>
        <w:tab/>
        <w:t>For example in CZ, HU, PT, SK, SI and PL. Source: IFRRO.</w:t>
      </w:r>
    </w:p>
  </w:footnote>
  <w:footnote w:id="298">
    <w:p w:rsidR="004B69C4" w:rsidRPr="00010964" w:rsidRDefault="004B69C4" w:rsidP="00952EB0">
      <w:pPr>
        <w:pStyle w:val="FootnoteText"/>
      </w:pPr>
      <w:r>
        <w:rPr>
          <w:rStyle w:val="FootnoteReference"/>
        </w:rPr>
        <w:footnoteRef/>
      </w:r>
      <w:r>
        <w:t xml:space="preserve"> </w:t>
      </w:r>
      <w:r>
        <w:tab/>
        <w:t xml:space="preserve">For example, the narrow implementation and interpretation of the exception in Italy did not lead to a large recourse to licensing mechanisms or contractual agreements but created a situation of uncertainty for educational establishments and rightholders. See: "Copyright and educational uses: the unbearable case of Italian law from a European and comparative perspective", Giuseppe Mazziotti. Available at: </w:t>
      </w:r>
      <w:hyperlink r:id="rId43" w:history="1">
        <w:r w:rsidRPr="008175D8">
          <w:rPr>
            <w:rStyle w:val="Hyperlink"/>
          </w:rPr>
          <w:t>http://cadmus.eui.eu/bitstream/handle/1814/19697/LAW_2011_17_Mazziotti.pdf?sequence=1</w:t>
        </w:r>
      </w:hyperlink>
    </w:p>
  </w:footnote>
  <w:footnote w:id="299">
    <w:p w:rsidR="004B69C4" w:rsidRPr="008B22A6" w:rsidRDefault="004B69C4" w:rsidP="00952EB0">
      <w:pPr>
        <w:pStyle w:val="FootnoteText"/>
      </w:pPr>
      <w:r>
        <w:rPr>
          <w:rStyle w:val="FootnoteReference"/>
        </w:rPr>
        <w:footnoteRef/>
      </w:r>
      <w:r>
        <w:t xml:space="preserve"> </w:t>
      </w:r>
      <w:r>
        <w:tab/>
        <w:t xml:space="preserve">"Secondary licensing income" refers to the revenue generated by licences authorising the secondary uses of protected content in teaching activities. </w:t>
      </w:r>
    </w:p>
  </w:footnote>
  <w:footnote w:id="300">
    <w:p w:rsidR="004B69C4" w:rsidRPr="008E3455" w:rsidRDefault="004B69C4">
      <w:pPr>
        <w:pStyle w:val="FootnoteText"/>
      </w:pPr>
      <w:r>
        <w:rPr>
          <w:rStyle w:val="FootnoteReference"/>
        </w:rPr>
        <w:footnoteRef/>
      </w:r>
      <w:r>
        <w:t xml:space="preserve"> </w:t>
      </w:r>
      <w:r>
        <w:tab/>
        <w:t>The exact share of the revenues that would be affected would depend on the current scope of the licensing schemes in terms of extent of digital and online uses allowed.</w:t>
      </w:r>
    </w:p>
  </w:footnote>
  <w:footnote w:id="301">
    <w:p w:rsidR="004B69C4" w:rsidRPr="00BF6F9D" w:rsidRDefault="004B69C4" w:rsidP="00952EB0">
      <w:pPr>
        <w:pStyle w:val="FootnoteText"/>
      </w:pPr>
      <w:r>
        <w:rPr>
          <w:rStyle w:val="FootnoteReference"/>
        </w:rPr>
        <w:footnoteRef/>
      </w:r>
      <w:r>
        <w:t xml:space="preserve"> </w:t>
      </w:r>
      <w:r w:rsidRPr="00C32C45">
        <w:tab/>
        <w:t xml:space="preserve">See </w:t>
      </w:r>
      <w:r w:rsidRPr="00603DAA">
        <w:t>Annex 10D</w:t>
      </w:r>
      <w:r w:rsidRPr="00C32C45">
        <w:t xml:space="preserve"> for data on the share of digital uses in the revenues collected by CMOs</w:t>
      </w:r>
      <w:r>
        <w:t>.</w:t>
      </w:r>
    </w:p>
  </w:footnote>
  <w:footnote w:id="302">
    <w:p w:rsidR="004B69C4" w:rsidRPr="00BF6F9D" w:rsidRDefault="004B69C4" w:rsidP="00952EB0">
      <w:pPr>
        <w:pStyle w:val="FootnoteText"/>
      </w:pPr>
      <w:r>
        <w:rPr>
          <w:rStyle w:val="FootnoteReference"/>
        </w:rPr>
        <w:footnoteRef/>
      </w:r>
      <w:r>
        <w:t xml:space="preserve"> </w:t>
      </w:r>
      <w:r>
        <w:tab/>
        <w:t xml:space="preserve">This includes revenues from all types of education establishments. </w:t>
      </w:r>
      <w:r w:rsidRPr="00C32C45">
        <w:t>The revenues from licensing to higher education institutions are expected to be more strongly affected</w:t>
      </w:r>
      <w:r>
        <w:t>.</w:t>
      </w:r>
    </w:p>
  </w:footnote>
  <w:footnote w:id="303">
    <w:p w:rsidR="004B69C4" w:rsidRPr="0052311E" w:rsidRDefault="004B69C4" w:rsidP="00952EB0">
      <w:pPr>
        <w:pStyle w:val="FootnoteText"/>
        <w:ind w:left="709" w:hanging="709"/>
      </w:pPr>
      <w:r>
        <w:rPr>
          <w:rStyle w:val="FootnoteReference"/>
        </w:rPr>
        <w:footnoteRef/>
      </w:r>
      <w:r>
        <w:t xml:space="preserve"> </w:t>
      </w:r>
      <w:r>
        <w:tab/>
        <w:t xml:space="preserve">Source: data collected by FEP from ICLA (IE – the figure mentioned above relate to post-primary education only), CFC (FR - the figure mentioned above relate to secondary education only), VG Wort (DE) on the basis of reporting/surveys of users.  </w:t>
      </w:r>
      <w:r>
        <w:rPr>
          <w:szCs w:val="24"/>
        </w:rPr>
        <w:t xml:space="preserve">In ES, 26 % of the copies made are from textbooks and 39 % from academic books. </w:t>
      </w:r>
      <w:r w:rsidRPr="00C110D5">
        <w:rPr>
          <w:szCs w:val="24"/>
        </w:rPr>
        <w:t xml:space="preserve">IFRRO </w:t>
      </w:r>
      <w:r>
        <w:rPr>
          <w:szCs w:val="24"/>
        </w:rPr>
        <w:t xml:space="preserve">also </w:t>
      </w:r>
      <w:r w:rsidRPr="00C110D5">
        <w:rPr>
          <w:szCs w:val="24"/>
        </w:rPr>
        <w:t xml:space="preserve">indicated that </w:t>
      </w:r>
      <w:r>
        <w:rPr>
          <w:szCs w:val="24"/>
        </w:rPr>
        <w:t>n</w:t>
      </w:r>
      <w:r w:rsidRPr="00C110D5">
        <w:rPr>
          <w:szCs w:val="24"/>
        </w:rPr>
        <w:t>on-fiction works, including textbooks and academic books, are the works mostly used by educational establishments</w:t>
      </w:r>
      <w:r>
        <w:rPr>
          <w:szCs w:val="24"/>
        </w:rPr>
        <w:t xml:space="preserve">. </w:t>
      </w:r>
    </w:p>
  </w:footnote>
  <w:footnote w:id="304">
    <w:p w:rsidR="004B69C4" w:rsidRPr="00BF6F9D" w:rsidRDefault="004B69C4" w:rsidP="00952EB0">
      <w:pPr>
        <w:pStyle w:val="FootnoteText"/>
      </w:pPr>
      <w:r>
        <w:rPr>
          <w:rStyle w:val="FootnoteReference"/>
        </w:rPr>
        <w:footnoteRef/>
      </w:r>
      <w:r>
        <w:t xml:space="preserve"> </w:t>
      </w:r>
      <w:r>
        <w:tab/>
      </w:r>
      <w:r w:rsidRPr="00CC443B">
        <w:t xml:space="preserve">The rationale for excluding this type of works from the teaching exception is linked to the fact that educational users constitute their primary market. </w:t>
      </w:r>
    </w:p>
  </w:footnote>
  <w:footnote w:id="305">
    <w:p w:rsidR="004B69C4" w:rsidRPr="00BF6F9D" w:rsidRDefault="004B69C4" w:rsidP="00952EB0">
      <w:pPr>
        <w:pStyle w:val="FootnoteText"/>
      </w:pPr>
      <w:r>
        <w:rPr>
          <w:rStyle w:val="FootnoteReference"/>
        </w:rPr>
        <w:footnoteRef/>
      </w:r>
      <w:r>
        <w:t xml:space="preserve"> </w:t>
      </w:r>
      <w:r w:rsidRPr="00C32C45">
        <w:tab/>
      </w:r>
      <w:r w:rsidRPr="00603DAA">
        <w:t>See Annex 10D for</w:t>
      </w:r>
      <w:r w:rsidRPr="00C32C45">
        <w:t xml:space="preserve"> data on the share of secondary uses in the revenues of educational publishers.</w:t>
      </w:r>
    </w:p>
  </w:footnote>
  <w:footnote w:id="306">
    <w:p w:rsidR="004B69C4" w:rsidRPr="005B5308" w:rsidRDefault="004B69C4" w:rsidP="00952EB0">
      <w:pPr>
        <w:pStyle w:val="FootnoteText"/>
        <w:ind w:left="709" w:hanging="709"/>
      </w:pPr>
      <w:r w:rsidRPr="005B5308">
        <w:rPr>
          <w:rStyle w:val="FootnoteReference"/>
        </w:rPr>
        <w:footnoteRef/>
      </w:r>
      <w:r w:rsidRPr="005B5308">
        <w:rPr>
          <w:rStyle w:val="FootnoteReference"/>
        </w:rPr>
        <w:t xml:space="preserve"> </w:t>
      </w:r>
      <w:r>
        <w:tab/>
      </w:r>
      <w:r w:rsidRPr="005B5308">
        <w:t>In 2015, STM and academic publishers in the UK received about 22</w:t>
      </w:r>
      <w:r>
        <w:t xml:space="preserve"> </w:t>
      </w:r>
      <w:r w:rsidRPr="005B5308">
        <w:t>% of CLA licensing revenue distributed to publishers.</w:t>
      </w:r>
      <w:r>
        <w:t xml:space="preserve"> Source: CLA/ALCS/PLS.</w:t>
      </w:r>
    </w:p>
  </w:footnote>
  <w:footnote w:id="307">
    <w:p w:rsidR="004B69C4" w:rsidRPr="00C113DF" w:rsidRDefault="004B69C4" w:rsidP="00952EB0">
      <w:pPr>
        <w:pStyle w:val="FootnoteText"/>
        <w:ind w:left="709" w:hanging="709"/>
      </w:pPr>
      <w:r w:rsidRPr="00C113DF">
        <w:rPr>
          <w:rStyle w:val="FootnoteReference"/>
        </w:rPr>
        <w:footnoteRef/>
      </w:r>
      <w:r w:rsidRPr="00C113DF">
        <w:t xml:space="preserve"> </w:t>
      </w:r>
      <w:r w:rsidRPr="00C113DF">
        <w:tab/>
      </w:r>
      <w:r w:rsidRPr="00C113DF">
        <w:rPr>
          <w:i/>
        </w:rPr>
        <w:t>'An economic analysis of education exceptions in copyright</w:t>
      </w:r>
      <w:r w:rsidRPr="00C113DF">
        <w:t xml:space="preserve">', PWC, March 2012,      </w:t>
      </w:r>
      <w:hyperlink r:id="rId44" w:history="1">
        <w:r w:rsidRPr="00C113DF">
          <w:rPr>
            <w:rStyle w:val="Hyperlink"/>
          </w:rPr>
          <w:t>http://www.pwc.co.uk/en_UK/uk/assets/pdf/an-economic-analysis-of-education-exceptions-in-copyright.pdf</w:t>
        </w:r>
      </w:hyperlink>
    </w:p>
  </w:footnote>
  <w:footnote w:id="308">
    <w:p w:rsidR="004B69C4" w:rsidRPr="0052311E" w:rsidRDefault="004B69C4" w:rsidP="00952EB0">
      <w:pPr>
        <w:pStyle w:val="FootnoteText"/>
      </w:pPr>
      <w:r>
        <w:rPr>
          <w:rStyle w:val="FootnoteReference"/>
        </w:rPr>
        <w:footnoteRef/>
      </w:r>
      <w:r>
        <w:t xml:space="preserve"> </w:t>
      </w:r>
      <w:r>
        <w:tab/>
        <w:t xml:space="preserve">Indications on the amount of compensation required in certain MS for uses under the existing teaching exception and on the remuneration stemming from educational licensing schemes existing in other MS are provided </w:t>
      </w:r>
      <w:r w:rsidRPr="00603DAA">
        <w:t>in Annex 10C.</w:t>
      </w:r>
      <w:r>
        <w:t xml:space="preserve"> For example, the compensation required at national level on annual basis for uses of print works is €1,7 million in FR (covering only digital uses, by all types of educational institutions). By contrast, the remuneration collected for digital uses of print works in education institutions the UK amounted to about €9,3 million in 2014/15. </w:t>
      </w:r>
    </w:p>
  </w:footnote>
  <w:footnote w:id="309">
    <w:p w:rsidR="004B69C4" w:rsidRPr="007E7021" w:rsidRDefault="004B69C4" w:rsidP="00952EB0">
      <w:pPr>
        <w:pStyle w:val="FootnoteText"/>
      </w:pPr>
      <w:r>
        <w:rPr>
          <w:rStyle w:val="FootnoteReference"/>
        </w:rPr>
        <w:footnoteRef/>
      </w:r>
      <w:r>
        <w:t xml:space="preserve"> </w:t>
      </w:r>
      <w:r>
        <w:tab/>
      </w:r>
      <w:r w:rsidRPr="00C32C45">
        <w:rPr>
          <w:szCs w:val="24"/>
        </w:rPr>
        <w:t xml:space="preserve">Most are developing digital solutions alongside traditional textbooks, in order to accompany the transition towards digital education while meeting the continuing demand for print works. </w:t>
      </w:r>
    </w:p>
  </w:footnote>
  <w:footnote w:id="310">
    <w:p w:rsidR="004B69C4" w:rsidRPr="00101313" w:rsidRDefault="004B69C4" w:rsidP="00952EB0">
      <w:pPr>
        <w:pStyle w:val="FootnoteText"/>
        <w:ind w:left="709" w:hanging="709"/>
      </w:pPr>
      <w:r w:rsidRPr="00C113DF">
        <w:rPr>
          <w:rStyle w:val="FootnoteReference"/>
        </w:rPr>
        <w:footnoteRef/>
      </w:r>
      <w:r w:rsidRPr="00C113DF">
        <w:t xml:space="preserve"> </w:t>
      </w:r>
      <w:r w:rsidRPr="00C113DF">
        <w:tab/>
        <w:t>For example, in IT, digital textbooks represent the 34</w:t>
      </w:r>
      <w:r>
        <w:t>.</w:t>
      </w:r>
      <w:r w:rsidRPr="00C113DF">
        <w:t>4</w:t>
      </w:r>
      <w:r>
        <w:t xml:space="preserve"> </w:t>
      </w:r>
      <w:r w:rsidRPr="00C113DF">
        <w:t>% of the offer but just the 0</w:t>
      </w:r>
      <w:r>
        <w:t>.</w:t>
      </w:r>
      <w:r w:rsidRPr="00C113DF">
        <w:t>8</w:t>
      </w:r>
      <w:r>
        <w:t xml:space="preserve"> </w:t>
      </w:r>
      <w:r w:rsidRPr="00C113DF">
        <w:t>% of textbooks actually adopted by schools. In FR, educational publishers have invested 25 million euros in digital textbooks over the last 3 years, despite a very small market (less than 1</w:t>
      </w:r>
      <w:r>
        <w:t xml:space="preserve"> </w:t>
      </w:r>
      <w:r w:rsidRPr="00C113DF">
        <w:t>% of the print market). Currently, producing digital textbooks costs 2</w:t>
      </w:r>
      <w:r>
        <w:t xml:space="preserve">0 to 50 % more than print books, </w:t>
      </w:r>
      <w:r w:rsidRPr="00C113DF">
        <w:t xml:space="preserve">considering the costs of additional digital rights and digital maintenance. Source: </w:t>
      </w:r>
      <w:r>
        <w:t xml:space="preserve">data collected by </w:t>
      </w:r>
      <w:r w:rsidRPr="00C113DF">
        <w:t>FEP</w:t>
      </w:r>
      <w:r>
        <w:t>.</w:t>
      </w:r>
    </w:p>
  </w:footnote>
  <w:footnote w:id="311">
    <w:p w:rsidR="004B69C4" w:rsidRPr="000E1908" w:rsidRDefault="004B69C4" w:rsidP="00952EB0">
      <w:pPr>
        <w:pStyle w:val="FootnoteText"/>
        <w:ind w:left="709" w:hanging="709"/>
      </w:pPr>
      <w:r w:rsidRPr="00C113DF">
        <w:rPr>
          <w:rStyle w:val="FootnoteReference"/>
        </w:rPr>
        <w:footnoteRef/>
      </w:r>
      <w:r w:rsidRPr="00C113DF">
        <w:t xml:space="preserve"> </w:t>
      </w:r>
      <w:r w:rsidRPr="00C113DF">
        <w:tab/>
      </w:r>
      <w:r w:rsidRPr="00C113DF">
        <w:rPr>
          <w:i/>
        </w:rPr>
        <w:t>'An economic analysis of education exceptions in copyright</w:t>
      </w:r>
      <w:r w:rsidRPr="00C113DF">
        <w:t xml:space="preserve">', PWC, March 2012,      </w:t>
      </w:r>
      <w:hyperlink r:id="rId45" w:history="1">
        <w:r w:rsidRPr="00C113DF">
          <w:rPr>
            <w:rStyle w:val="Hyperlink"/>
          </w:rPr>
          <w:t>http://www.pwc.co.uk/en_UK/uk/assets/pdf/an-economic-analysis-of-education-exceptions-in-copyright.pdf</w:t>
        </w:r>
      </w:hyperlink>
      <w:r>
        <w:rPr>
          <w:rStyle w:val="Hyperlink"/>
        </w:rPr>
        <w:t>:</w:t>
      </w:r>
      <w:r>
        <w:rPr>
          <w:rStyle w:val="Hyperlink"/>
          <w:u w:val="none"/>
        </w:rPr>
        <w:t xml:space="preserve"> </w:t>
      </w:r>
      <w:r w:rsidRPr="00C32C45">
        <w:t>"</w:t>
      </w:r>
      <w:r>
        <w:t xml:space="preserve">In 2011, a sample of seven major educational publishers received £3.6 million in PLS revenue (19% of their annual investment in new materials)." </w:t>
      </w:r>
    </w:p>
  </w:footnote>
  <w:footnote w:id="312">
    <w:p w:rsidR="004B69C4" w:rsidRPr="00FB75BC" w:rsidRDefault="004B69C4" w:rsidP="00952EB0">
      <w:pPr>
        <w:pStyle w:val="FootnoteText"/>
      </w:pPr>
      <w:r>
        <w:rPr>
          <w:rStyle w:val="FootnoteReference"/>
        </w:rPr>
        <w:footnoteRef/>
      </w:r>
      <w:r>
        <w:t xml:space="preserve"> </w:t>
      </w:r>
      <w:r>
        <w:tab/>
      </w:r>
      <w:r>
        <w:rPr>
          <w:szCs w:val="24"/>
        </w:rPr>
        <w:t>This argument was developed in the study</w:t>
      </w:r>
      <w:r w:rsidRPr="000D5CC1">
        <w:rPr>
          <w:szCs w:val="24"/>
        </w:rPr>
        <w:t xml:space="preserve"> </w:t>
      </w:r>
      <w:r>
        <w:rPr>
          <w:szCs w:val="24"/>
        </w:rPr>
        <w:t>"</w:t>
      </w:r>
      <w:r w:rsidRPr="000D5CC1">
        <w:rPr>
          <w:i/>
          <w:szCs w:val="24"/>
        </w:rPr>
        <w:t>Showing films and other audio-visual content in European Schools – Obstacles and best practices</w:t>
      </w:r>
      <w:r>
        <w:rPr>
          <w:szCs w:val="24"/>
        </w:rPr>
        <w:t>"</w:t>
      </w:r>
      <w:r w:rsidRPr="000D5CC1">
        <w:rPr>
          <w:szCs w:val="24"/>
        </w:rPr>
        <w:t>– May 2015</w:t>
      </w:r>
      <w:r>
        <w:rPr>
          <w:szCs w:val="24"/>
        </w:rPr>
        <w:t>.</w:t>
      </w:r>
    </w:p>
  </w:footnote>
  <w:footnote w:id="313">
    <w:p w:rsidR="004B69C4" w:rsidRPr="00A65834" w:rsidRDefault="004B69C4" w:rsidP="00952EB0">
      <w:pPr>
        <w:pStyle w:val="FootnoteText"/>
      </w:pPr>
      <w:r>
        <w:rPr>
          <w:rStyle w:val="FootnoteReference"/>
        </w:rPr>
        <w:footnoteRef/>
      </w:r>
      <w:r>
        <w:t xml:space="preserve"> </w:t>
      </w:r>
      <w:r>
        <w:tab/>
        <w:t xml:space="preserve">This possibility is likely to be used by MS to </w:t>
      </w:r>
      <w:r w:rsidRPr="00A65834">
        <w:t>maintain the mechanisms in place (e.g. ECL in DK, FI, SE and exception subject to licences in UK and IE)</w:t>
      </w:r>
      <w:r>
        <w:t xml:space="preserve"> and could be used by ot</w:t>
      </w:r>
      <w:r w:rsidRPr="00A65834">
        <w:t xml:space="preserve">her MS </w:t>
      </w:r>
      <w:r>
        <w:t>as well.</w:t>
      </w:r>
    </w:p>
  </w:footnote>
  <w:footnote w:id="314">
    <w:p w:rsidR="004B69C4" w:rsidRPr="00094A6F" w:rsidRDefault="004B69C4" w:rsidP="00952EB0">
      <w:pPr>
        <w:pStyle w:val="FootnoteText"/>
      </w:pPr>
      <w:r>
        <w:rPr>
          <w:rStyle w:val="FootnoteReference"/>
        </w:rPr>
        <w:footnoteRef/>
      </w:r>
      <w:r>
        <w:t xml:space="preserve"> </w:t>
      </w:r>
      <w:r>
        <w:tab/>
      </w:r>
      <w:hyperlink r:id="rId46" w:history="1">
        <w:r w:rsidRPr="008175D8">
          <w:rPr>
            <w:rStyle w:val="Hyperlink"/>
          </w:rPr>
          <w:t>http://cultura.elpais.com/cultura/2016/03/15/actualidad/1458066248_393225.html</w:t>
        </w:r>
      </w:hyperlink>
    </w:p>
  </w:footnote>
  <w:footnote w:id="315">
    <w:p w:rsidR="004B69C4" w:rsidRPr="009A7E16" w:rsidRDefault="004B69C4" w:rsidP="00952EB0">
      <w:pPr>
        <w:pStyle w:val="FootnoteText"/>
      </w:pPr>
      <w:r>
        <w:rPr>
          <w:rStyle w:val="FootnoteReference"/>
        </w:rPr>
        <w:footnoteRef/>
      </w:r>
      <w:r>
        <w:t xml:space="preserve"> </w:t>
      </w:r>
      <w:r>
        <w:tab/>
      </w:r>
      <w:r w:rsidRPr="002248CF">
        <w:t>Such schemes would be based on voluntary collective management:</w:t>
      </w:r>
      <w:r>
        <w:t xml:space="preserve"> interested rightholders would give a mandate to a CMO to license their works for uses in the context of illustration for teaching. </w:t>
      </w:r>
    </w:p>
  </w:footnote>
  <w:footnote w:id="316">
    <w:p w:rsidR="004B69C4" w:rsidRPr="00EC77E2" w:rsidRDefault="004B69C4" w:rsidP="00952EB0">
      <w:pPr>
        <w:pStyle w:val="FootnoteText"/>
      </w:pPr>
      <w:r>
        <w:rPr>
          <w:rStyle w:val="FootnoteReference"/>
        </w:rPr>
        <w:footnoteRef/>
      </w:r>
      <w:r>
        <w:t xml:space="preserve"> </w:t>
      </w:r>
      <w:r>
        <w:tab/>
        <w:t xml:space="preserve">Certain rightholders may decide not to participate in educational licensing schemes based on collective management; or such schemes may not be developed for certain types of works, for which individual licensing would apply (e.g. AV works, digital textbooks). Licensing bodies increasingly tend to propose online tools allowing to check permitted uses. See </w:t>
      </w:r>
      <w:r w:rsidRPr="00603DAA">
        <w:t>Annex 10C.</w:t>
      </w:r>
      <w:r>
        <w:t xml:space="preserve"> </w:t>
      </w:r>
    </w:p>
  </w:footnote>
  <w:footnote w:id="317">
    <w:p w:rsidR="004B69C4" w:rsidRPr="009A7E16" w:rsidRDefault="004B69C4" w:rsidP="00952EB0">
      <w:pPr>
        <w:pStyle w:val="FootnoteText"/>
      </w:pPr>
      <w:r>
        <w:rPr>
          <w:rStyle w:val="FootnoteReference"/>
        </w:rPr>
        <w:footnoteRef/>
      </w:r>
      <w:r>
        <w:t xml:space="preserve"> </w:t>
      </w:r>
      <w:r>
        <w:tab/>
      </w:r>
      <w:r w:rsidRPr="00750955">
        <w:t>This has been done recently for state funded schools in England</w:t>
      </w:r>
      <w:r>
        <w:t xml:space="preserve">. See: </w:t>
      </w:r>
      <w:hyperlink r:id="rId47" w:history="1">
        <w:r w:rsidRPr="008175D8">
          <w:rPr>
            <w:rStyle w:val="Hyperlink"/>
          </w:rPr>
          <w:t>https://www.gov.uk/guidance/copyright-licences-information-for-schools</w:t>
        </w:r>
      </w:hyperlink>
    </w:p>
  </w:footnote>
  <w:footnote w:id="318">
    <w:p w:rsidR="004B69C4" w:rsidRPr="002D6AD3" w:rsidRDefault="004B69C4" w:rsidP="00952EB0">
      <w:pPr>
        <w:pStyle w:val="FootnoteText"/>
      </w:pPr>
      <w:r>
        <w:rPr>
          <w:rStyle w:val="FootnoteReference"/>
        </w:rPr>
        <w:footnoteRef/>
      </w:r>
      <w:r>
        <w:t xml:space="preserve"> </w:t>
      </w:r>
      <w:r>
        <w:tab/>
        <w:t>Rightholders would have to propose specific licensing solutions for secondary uses of their content in teaching activities.</w:t>
      </w:r>
    </w:p>
  </w:footnote>
  <w:footnote w:id="319">
    <w:p w:rsidR="004B69C4" w:rsidRPr="000A55DD" w:rsidRDefault="004B69C4" w:rsidP="00952EB0">
      <w:pPr>
        <w:pStyle w:val="FootnoteText"/>
      </w:pPr>
      <w:r>
        <w:rPr>
          <w:rStyle w:val="FootnoteReference"/>
        </w:rPr>
        <w:footnoteRef/>
      </w:r>
      <w:r>
        <w:t xml:space="preserve"> </w:t>
      </w:r>
      <w:r w:rsidRPr="00C2707F">
        <w:tab/>
      </w:r>
      <w:r>
        <w:t>Many</w:t>
      </w:r>
      <w:r w:rsidRPr="00C2707F">
        <w:t xml:space="preserve"> educational publishers are licensing their digita</w:t>
      </w:r>
      <w:r w:rsidRPr="000A55DD">
        <w:t>l products via online platforms</w:t>
      </w:r>
      <w:r>
        <w:t>, for example in France through a single entry portal called "</w:t>
      </w:r>
      <w:r w:rsidRPr="00AC72A4">
        <w:t>Wizwiz</w:t>
      </w:r>
      <w:r>
        <w:t xml:space="preserve">", which offers </w:t>
      </w:r>
      <w:r w:rsidRPr="00AC72A4">
        <w:t>a catalogue of all digital educational resources</w:t>
      </w:r>
      <w:r>
        <w:t xml:space="preserve"> from over 60 French publishers, or in DE, through the online platform "</w:t>
      </w:r>
      <w:r w:rsidRPr="00AC72A4">
        <w:t>digitale-schulbueche</w:t>
      </w:r>
      <w:r>
        <w:t>r" which gathers a variety of digital textbooks from different publishers.</w:t>
      </w:r>
    </w:p>
  </w:footnote>
  <w:footnote w:id="320">
    <w:p w:rsidR="004B69C4" w:rsidRPr="0025700D" w:rsidRDefault="004B69C4" w:rsidP="00083CE6">
      <w:pPr>
        <w:pStyle w:val="FootnoteText"/>
        <w:tabs>
          <w:tab w:val="left" w:pos="240"/>
        </w:tabs>
        <w:ind w:left="240" w:hanging="237"/>
      </w:pPr>
      <w:r w:rsidRPr="0025700D">
        <w:rPr>
          <w:rStyle w:val="FootnoteReference"/>
        </w:rPr>
        <w:footnoteRef/>
      </w:r>
      <w:r w:rsidRPr="0025700D">
        <w:t xml:space="preserve"> </w:t>
      </w:r>
      <w:r w:rsidRPr="0025700D">
        <w:tab/>
      </w:r>
      <w:r w:rsidRPr="00603DAA">
        <w:t>See Annex 11B</w:t>
      </w:r>
      <w:r>
        <w:t xml:space="preserve"> </w:t>
      </w:r>
      <w:r w:rsidRPr="0025700D">
        <w:t xml:space="preserve">for a description of the technical processes of TDM. </w:t>
      </w:r>
    </w:p>
  </w:footnote>
  <w:footnote w:id="321">
    <w:p w:rsidR="004B69C4" w:rsidRPr="0025700D" w:rsidRDefault="004B69C4" w:rsidP="00083CE6">
      <w:pPr>
        <w:pStyle w:val="FootnoteText"/>
        <w:ind w:left="709" w:hanging="709"/>
      </w:pPr>
      <w:r w:rsidRPr="0025700D">
        <w:rPr>
          <w:rStyle w:val="FootnoteReference"/>
        </w:rPr>
        <w:footnoteRef/>
      </w:r>
      <w:r w:rsidRPr="0025700D">
        <w:t xml:space="preserve"> </w:t>
      </w:r>
      <w:r w:rsidRPr="0025700D">
        <w:tab/>
        <w:t>In addition to researchers in</w:t>
      </w:r>
      <w:r>
        <w:t xml:space="preserve"> public interest organisations such as</w:t>
      </w:r>
      <w:r w:rsidRPr="0025700D">
        <w:t xml:space="preserve"> universities, TDM is increasingly used by companies, notably life-science and technology companies, in the context of their “in house” research. TDM or similar data analysis tools, such as </w:t>
      </w:r>
      <w:r>
        <w:t>web-scraping</w:t>
      </w:r>
      <w:r w:rsidRPr="0025700D">
        <w:t xml:space="preserve">, are also used by businesses at a wider scale, as part of or basis for their commercial activities going beyond scientific research (marketing, mining of customers' data, etc). </w:t>
      </w:r>
    </w:p>
  </w:footnote>
  <w:footnote w:id="322">
    <w:p w:rsidR="004B69C4" w:rsidRPr="0025700D" w:rsidRDefault="004B69C4" w:rsidP="00083CE6">
      <w:pPr>
        <w:pStyle w:val="Default"/>
        <w:ind w:left="709" w:hanging="709"/>
        <w:rPr>
          <w:sz w:val="20"/>
          <w:szCs w:val="20"/>
        </w:rPr>
      </w:pPr>
      <w:r w:rsidRPr="0025700D">
        <w:rPr>
          <w:rStyle w:val="FootnoteReference"/>
          <w:sz w:val="20"/>
          <w:szCs w:val="20"/>
        </w:rPr>
        <w:footnoteRef/>
      </w:r>
      <w:r w:rsidRPr="0025700D">
        <w:rPr>
          <w:rStyle w:val="FootnoteReference"/>
          <w:sz w:val="20"/>
          <w:szCs w:val="20"/>
        </w:rPr>
        <w:t xml:space="preserve"> </w:t>
      </w:r>
      <w:r w:rsidRPr="0025700D">
        <w:rPr>
          <w:sz w:val="20"/>
          <w:szCs w:val="20"/>
        </w:rPr>
        <w:t xml:space="preserve">  </w:t>
      </w:r>
      <w:r w:rsidRPr="0025700D">
        <w:rPr>
          <w:sz w:val="20"/>
          <w:szCs w:val="20"/>
        </w:rPr>
        <w:tab/>
        <w:t xml:space="preserve">See the UK impact assessment no. BIS0312 (2012), "Exception for copying of works for use by text and data analytics", </w:t>
      </w:r>
      <w:hyperlink r:id="rId48" w:history="1">
        <w:r w:rsidRPr="0025700D">
          <w:rPr>
            <w:rStyle w:val="Hyperlink"/>
            <w:sz w:val="20"/>
            <w:szCs w:val="20"/>
          </w:rPr>
          <w:t>https://www.gov.uk/government/uploads/system/uploads/attachment_data/file/308738/ia-exception-dataanalytics.pdf</w:t>
        </w:r>
      </w:hyperlink>
    </w:p>
  </w:footnote>
  <w:footnote w:id="323">
    <w:p w:rsidR="004B69C4" w:rsidRPr="00BE5AD2" w:rsidRDefault="004B69C4" w:rsidP="00083CE6">
      <w:pPr>
        <w:pStyle w:val="FootnoteText"/>
      </w:pPr>
      <w:r>
        <w:rPr>
          <w:rStyle w:val="FootnoteReference"/>
        </w:rPr>
        <w:footnoteRef/>
      </w:r>
      <w:r>
        <w:t xml:space="preserve"> </w:t>
      </w:r>
      <w:r>
        <w:tab/>
      </w:r>
      <w:r w:rsidRPr="00C32C45">
        <w:t xml:space="preserve">See in particular two studies carried out by the Lisbon Council in 2014 and 2016: S. Filippov, "Mapping Text and Data Mining in Academic and Research Communities in Europe" 2014, and S. Filippov, P.Hofheinz "Text and Data Mining for Research and </w:t>
      </w:r>
      <w:r w:rsidRPr="00BE5AD2">
        <w:t>Innovation</w:t>
      </w:r>
      <w:r w:rsidRPr="00C32C45">
        <w:t>", 2016</w:t>
      </w:r>
      <w:r w:rsidRPr="00BE5AD2">
        <w:t xml:space="preserve"> </w:t>
      </w:r>
      <w:r>
        <w:t xml:space="preserve">that </w:t>
      </w:r>
      <w:r w:rsidRPr="00BE5AD2">
        <w:t>us</w:t>
      </w:r>
      <w:r>
        <w:t>e</w:t>
      </w:r>
      <w:r w:rsidRPr="00BE5AD2">
        <w:t xml:space="preserve"> as </w:t>
      </w:r>
      <w:r w:rsidRPr="00390160">
        <w:t xml:space="preserve">indicators the number of publications containing "data mining" in the title or anywhere in the text as well as patents granted in data mining. The publications indicator has also been used in the </w:t>
      </w:r>
      <w:r>
        <w:t xml:space="preserve">2016 </w:t>
      </w:r>
      <w:r w:rsidRPr="00BE5AD2">
        <w:t xml:space="preserve">PRC survey, </w:t>
      </w:r>
      <w:r w:rsidRPr="00390160">
        <w:t xml:space="preserve">"Text Mining of Journal Literature" – May 2016, </w:t>
      </w:r>
      <w:hyperlink r:id="rId49" w:history="1">
        <w:r w:rsidRPr="00390160">
          <w:rPr>
            <w:rStyle w:val="Hyperlink"/>
          </w:rPr>
          <w:t>www.publishingresearchconsortium.com</w:t>
        </w:r>
      </w:hyperlink>
      <w:r>
        <w:t xml:space="preserve">. </w:t>
      </w:r>
      <w:r w:rsidRPr="00067088">
        <w:t>See Annex 11E.</w:t>
      </w:r>
    </w:p>
  </w:footnote>
  <w:footnote w:id="324">
    <w:p w:rsidR="004B69C4" w:rsidRPr="006E1CD6" w:rsidRDefault="004B69C4" w:rsidP="00083CE6">
      <w:pPr>
        <w:pStyle w:val="FootnoteText"/>
      </w:pPr>
      <w:r>
        <w:rPr>
          <w:rStyle w:val="FootnoteReference"/>
        </w:rPr>
        <w:footnoteRef/>
      </w:r>
      <w:r>
        <w:t xml:space="preserve"> </w:t>
      </w:r>
      <w:r>
        <w:tab/>
        <w:t xml:space="preserve">PRC survey, 2016 based on Scopus journals data. </w:t>
      </w:r>
    </w:p>
  </w:footnote>
  <w:footnote w:id="325">
    <w:p w:rsidR="004B69C4" w:rsidRPr="00114C7E" w:rsidRDefault="004B69C4" w:rsidP="00083CE6">
      <w:pPr>
        <w:pStyle w:val="FootnoteText"/>
      </w:pPr>
      <w:r>
        <w:rPr>
          <w:rStyle w:val="FootnoteReference"/>
        </w:rPr>
        <w:footnoteRef/>
      </w:r>
      <w:r>
        <w:t xml:space="preserve"> </w:t>
      </w:r>
      <w:r>
        <w:tab/>
        <w:t>Filippov, Hofheinz, 2014, page 10.</w:t>
      </w:r>
    </w:p>
  </w:footnote>
  <w:footnote w:id="326">
    <w:p w:rsidR="004B69C4" w:rsidRPr="00114C7E" w:rsidRDefault="004B69C4" w:rsidP="00083CE6">
      <w:pPr>
        <w:pStyle w:val="FootnoteText"/>
      </w:pPr>
      <w:r>
        <w:rPr>
          <w:rStyle w:val="FootnoteReference"/>
        </w:rPr>
        <w:footnoteRef/>
      </w:r>
      <w:r>
        <w:t xml:space="preserve"> </w:t>
      </w:r>
      <w:r w:rsidRPr="00C32C45">
        <w:tab/>
        <w:t>PRC, "Text Mining of Journal Literature" –</w:t>
      </w:r>
      <w:r w:rsidRPr="00114C7E">
        <w:t xml:space="preserve"> May 2016, </w:t>
      </w:r>
      <w:hyperlink r:id="rId50" w:history="1">
        <w:r w:rsidRPr="00C32C45">
          <w:rPr>
            <w:rStyle w:val="Hyperlink"/>
          </w:rPr>
          <w:t>www.publishingresearchconsortium.com</w:t>
        </w:r>
      </w:hyperlink>
      <w:r>
        <w:t xml:space="preserve">. Two third of respondents to the survey indicated that they would be interested to learn more about TDM. </w:t>
      </w:r>
    </w:p>
  </w:footnote>
  <w:footnote w:id="327">
    <w:p w:rsidR="004B69C4" w:rsidRPr="0025700D" w:rsidRDefault="004B69C4" w:rsidP="00083CE6">
      <w:pPr>
        <w:pStyle w:val="FootnoteText"/>
        <w:tabs>
          <w:tab w:val="left" w:pos="240"/>
        </w:tabs>
        <w:ind w:left="709" w:hanging="709"/>
      </w:pPr>
      <w:r w:rsidRPr="0025700D">
        <w:rPr>
          <w:rStyle w:val="FootnoteReference"/>
        </w:rPr>
        <w:footnoteRef/>
      </w:r>
      <w:r w:rsidRPr="0025700D">
        <w:t xml:space="preserve"> </w:t>
      </w:r>
      <w:r w:rsidRPr="0025700D">
        <w:tab/>
      </w:r>
      <w:r w:rsidRPr="0025700D">
        <w:tab/>
      </w:r>
      <w:r>
        <w:t>The survey covered the period immediately before and after the adoption of the UK exception, it is therefore difficult to draw conclusions on this basis</w:t>
      </w:r>
      <w:r w:rsidRPr="0025700D">
        <w:t xml:space="preserve">. </w:t>
      </w:r>
    </w:p>
  </w:footnote>
  <w:footnote w:id="328">
    <w:p w:rsidR="004B69C4" w:rsidRPr="00494E2E" w:rsidRDefault="004B69C4" w:rsidP="00083CE6">
      <w:pPr>
        <w:pStyle w:val="FootnoteText"/>
        <w:tabs>
          <w:tab w:val="left" w:pos="240"/>
        </w:tabs>
        <w:ind w:left="709" w:hanging="709"/>
      </w:pPr>
      <w:r w:rsidRPr="006D3015">
        <w:rPr>
          <w:rStyle w:val="FootnoteReference"/>
          <w:sz w:val="18"/>
          <w:szCs w:val="18"/>
        </w:rPr>
        <w:footnoteRef/>
      </w:r>
      <w:r w:rsidRPr="006D3015">
        <w:rPr>
          <w:sz w:val="18"/>
          <w:szCs w:val="18"/>
        </w:rPr>
        <w:t xml:space="preserve"> </w:t>
      </w:r>
      <w:r w:rsidRPr="006D3015">
        <w:rPr>
          <w:sz w:val="18"/>
          <w:szCs w:val="18"/>
        </w:rPr>
        <w:tab/>
      </w:r>
      <w:r>
        <w:rPr>
          <w:sz w:val="18"/>
          <w:szCs w:val="18"/>
        </w:rPr>
        <w:tab/>
      </w:r>
      <w:r w:rsidRPr="00067088">
        <w:t>See Annex 11C</w:t>
      </w:r>
      <w:r w:rsidRPr="00573694">
        <w:t xml:space="preserve">. The </w:t>
      </w:r>
      <w:r w:rsidRPr="00C84062">
        <w:t xml:space="preserve">Commission commissioned a </w:t>
      </w:r>
      <w:r w:rsidRPr="000F3054">
        <w:t xml:space="preserve">"Study on the legal framework of text and data </w:t>
      </w:r>
      <w:r w:rsidRPr="00A21F54">
        <w:t>mining" – J.P. Triaille, March 2014.</w:t>
      </w:r>
      <w:r w:rsidRPr="00A478CA">
        <w:t xml:space="preserve"> See also "Standardisation in the area of innovation and technological development, notably in the field of text and data mining" </w:t>
      </w:r>
      <w:r w:rsidRPr="005917B7">
        <w:t>– Report to Commission, 2014.</w:t>
      </w:r>
    </w:p>
  </w:footnote>
  <w:footnote w:id="329">
    <w:p w:rsidR="004B69C4" w:rsidRPr="0025700D" w:rsidRDefault="004B69C4" w:rsidP="00083CE6">
      <w:pPr>
        <w:pStyle w:val="FootnoteText"/>
        <w:tabs>
          <w:tab w:val="left" w:pos="709"/>
        </w:tabs>
        <w:ind w:left="709" w:hanging="709"/>
        <w:rPr>
          <w:sz w:val="22"/>
        </w:rPr>
      </w:pPr>
      <w:r w:rsidRPr="006D3015">
        <w:rPr>
          <w:rStyle w:val="FootnoteReference"/>
          <w:sz w:val="18"/>
          <w:szCs w:val="18"/>
        </w:rPr>
        <w:footnoteRef/>
      </w:r>
      <w:r w:rsidRPr="006D3015">
        <w:rPr>
          <w:sz w:val="18"/>
          <w:szCs w:val="18"/>
        </w:rPr>
        <w:t xml:space="preserve"> </w:t>
      </w:r>
      <w:r w:rsidRPr="006D3015">
        <w:rPr>
          <w:sz w:val="18"/>
          <w:szCs w:val="18"/>
        </w:rPr>
        <w:tab/>
      </w:r>
      <w:r>
        <w:rPr>
          <w:sz w:val="18"/>
          <w:szCs w:val="18"/>
        </w:rPr>
        <w:tab/>
      </w:r>
      <w:r>
        <w:rPr>
          <w:szCs w:val="18"/>
        </w:rPr>
        <w:t>Article</w:t>
      </w:r>
      <w:r w:rsidRPr="0025700D">
        <w:rPr>
          <w:szCs w:val="18"/>
        </w:rPr>
        <w:t xml:space="preserve"> 5(3)(a)of </w:t>
      </w:r>
      <w:r>
        <w:rPr>
          <w:szCs w:val="18"/>
        </w:rPr>
        <w:t xml:space="preserve">the Infosoc </w:t>
      </w:r>
      <w:r w:rsidRPr="0025700D">
        <w:rPr>
          <w:szCs w:val="18"/>
        </w:rPr>
        <w:t xml:space="preserve">Directive </w:t>
      </w:r>
      <w:r>
        <w:rPr>
          <w:szCs w:val="18"/>
        </w:rPr>
        <w:t>and Articles 6(2)(b) and 9(b) of the Database Directive</w:t>
      </w:r>
      <w:r w:rsidRPr="0025700D">
        <w:rPr>
          <w:szCs w:val="18"/>
        </w:rPr>
        <w:t>.</w:t>
      </w:r>
      <w:r>
        <w:rPr>
          <w:szCs w:val="18"/>
        </w:rPr>
        <w:t xml:space="preserve"> The "transient copies" exception in Article 5(1) of Infosoc Directive may also be relevant for some TDM techniques which do not involve permanent copying. </w:t>
      </w:r>
    </w:p>
  </w:footnote>
  <w:footnote w:id="330">
    <w:p w:rsidR="004B69C4" w:rsidRPr="00770BFC" w:rsidRDefault="004B69C4" w:rsidP="00083CE6">
      <w:pPr>
        <w:pStyle w:val="FootnoteText"/>
      </w:pPr>
      <w:r>
        <w:rPr>
          <w:rStyle w:val="FootnoteReference"/>
        </w:rPr>
        <w:footnoteRef/>
      </w:r>
      <w:r>
        <w:t xml:space="preserve"> </w:t>
      </w:r>
      <w:r>
        <w:tab/>
        <w:t xml:space="preserve">See: </w:t>
      </w:r>
      <w:hyperlink r:id="rId51" w:history="1">
        <w:r>
          <w:rPr>
            <w:rStyle w:val="Hyperlink"/>
          </w:rPr>
          <w:t>http://www.stm-assoc.org/2013_11_11_Text_and_Data_Mining_Declaration.pdf</w:t>
        </w:r>
      </w:hyperlink>
      <w:r>
        <w:t>. On that occasion a group of 13 STM publishers issued a declaration ("</w:t>
      </w:r>
      <w:r w:rsidRPr="00C32C45">
        <w:rPr>
          <w:i/>
        </w:rPr>
        <w:t>A statement of commitment by STM publishers to a roadmap to enable text and data mining (TDM) for non-commercial scientific research in the European Union</w:t>
      </w:r>
      <w:r>
        <w:t xml:space="preserve">") </w:t>
      </w:r>
      <w:r w:rsidRPr="00BE5AD2">
        <w:t xml:space="preserve">where they </w:t>
      </w:r>
      <w:r w:rsidRPr="00021503">
        <w:t>committed in particular to include TDM clauses in subscription contracts for no additional cost to users and to develop further technological solutions to facilitate TDM licences.</w:t>
      </w:r>
      <w:r>
        <w:t xml:space="preserve"> See also the Commission document “Licences for Europe: ten pledges to bring more content online” </w:t>
      </w:r>
      <w:hyperlink r:id="rId52" w:history="1">
        <w:r>
          <w:rPr>
            <w:rStyle w:val="Hyperlink"/>
          </w:rPr>
          <w:t>http://ec.europa.eu/internal_market/copyright/docs/licences-for-europe/131113_ten-pledges_en.pdf</w:t>
        </w:r>
      </w:hyperlink>
      <w:r>
        <w:rPr>
          <w:rStyle w:val="Hyperlink"/>
        </w:rPr>
        <w:t xml:space="preserve">. </w:t>
      </w:r>
      <w:r>
        <w:t xml:space="preserve">On Cross Ref, see </w:t>
      </w:r>
      <w:hyperlink r:id="rId53" w:history="1">
        <w:r w:rsidRPr="00527EDB">
          <w:rPr>
            <w:rStyle w:val="Hyperlink"/>
          </w:rPr>
          <w:t>http://tdmsupport.crossref.org/</w:t>
        </w:r>
      </w:hyperlink>
      <w:r>
        <w:t xml:space="preserve">. </w:t>
      </w:r>
      <w:r w:rsidRPr="00067088">
        <w:t>See Annex 11D</w:t>
      </w:r>
    </w:p>
  </w:footnote>
  <w:footnote w:id="331">
    <w:p w:rsidR="004B69C4" w:rsidRPr="002E782C" w:rsidRDefault="004B69C4" w:rsidP="00083CE6">
      <w:pPr>
        <w:pStyle w:val="FootnoteText"/>
        <w:ind w:left="709" w:hanging="709"/>
      </w:pPr>
      <w:r>
        <w:rPr>
          <w:rStyle w:val="FootnoteReference"/>
        </w:rPr>
        <w:footnoteRef/>
      </w:r>
      <w:r>
        <w:t xml:space="preserve"> </w:t>
      </w:r>
      <w:r>
        <w:tab/>
        <w:t>This is for example the case of Elsevier (</w:t>
      </w:r>
      <w:hyperlink r:id="rId54" w:history="1">
        <w:r w:rsidRPr="00052405">
          <w:rPr>
            <w:rStyle w:val="Hyperlink"/>
          </w:rPr>
          <w:t>https://www.elsevier.com/about/company-information/policies/text-and-data-mining</w:t>
        </w:r>
      </w:hyperlink>
      <w:r>
        <w:t>) Springer (</w:t>
      </w:r>
      <w:hyperlink r:id="rId55" w:history="1">
        <w:r w:rsidRPr="00527EDB">
          <w:rPr>
            <w:rStyle w:val="Hyperlink"/>
          </w:rPr>
          <w:t>https://www.springer.com/gp/rights-permissions/springer-s-text-and-data-mining-policy/29056?token=prtst0416p</w:t>
        </w:r>
      </w:hyperlink>
      <w:r>
        <w:t>) and Wiley (</w:t>
      </w:r>
      <w:hyperlink r:id="rId56" w:history="1">
        <w:r w:rsidRPr="002F1760">
          <w:rPr>
            <w:rStyle w:val="Hyperlink"/>
          </w:rPr>
          <w:t>http://olabout.wiley.com/WileyCDA/Section/id-826542.html</w:t>
        </w:r>
      </w:hyperlink>
      <w:r>
        <w:t xml:space="preserve">). Usually TDM is gradually included in subscription licences when they are renewed (for example one major publisher indicated that in 2014 around 25% of their non-commercial licences included TDM – the proportion is probably higher in 2016). </w:t>
      </w:r>
      <w:hyperlink r:id="rId57" w:history="1">
        <w:r w:rsidRPr="00AC4069">
          <w:rPr>
            <w:rStyle w:val="Hyperlink"/>
          </w:rPr>
          <w:t>http://rue89.nouvelobs.com/sites/news/files/assets/document/2014/11/marche_elsevier.pdf</w:t>
        </w:r>
      </w:hyperlink>
      <w:r>
        <w:t xml:space="preserve">. </w:t>
      </w:r>
    </w:p>
  </w:footnote>
  <w:footnote w:id="332">
    <w:p w:rsidR="004B69C4" w:rsidRPr="00573694" w:rsidRDefault="004B69C4" w:rsidP="00083CE6">
      <w:pPr>
        <w:pStyle w:val="FootnoteText"/>
        <w:ind w:left="709" w:hanging="709"/>
      </w:pPr>
      <w:r>
        <w:rPr>
          <w:rStyle w:val="FootnoteReference"/>
        </w:rPr>
        <w:footnoteRef/>
      </w:r>
      <w:r>
        <w:t xml:space="preserve"> </w:t>
      </w:r>
      <w:r>
        <w:tab/>
        <w:t>In the UK, before the 2014 TDM exception, of</w:t>
      </w:r>
      <w:r>
        <w:rPr>
          <w:lang w:eastAsia="zh-CN"/>
        </w:rPr>
        <w:t xml:space="preserve"> the 15 publishers in the NESLi2 scheme (s</w:t>
      </w:r>
      <w:r>
        <w:t>cheme for central journal negotiations on behalf of the UK academic community)</w:t>
      </w:r>
      <w:r>
        <w:rPr>
          <w:lang w:eastAsia="zh-CN"/>
        </w:rPr>
        <w:t>, 11 had clauses permitting TDM, and the 4</w:t>
      </w:r>
      <w:r>
        <w:t xml:space="preserve"> other publishers were silent as to whether TDM was permitted or not under the subscription licence.</w:t>
      </w:r>
    </w:p>
  </w:footnote>
  <w:footnote w:id="333">
    <w:p w:rsidR="004B69C4" w:rsidRPr="00431FCB" w:rsidRDefault="004B69C4" w:rsidP="00083CE6">
      <w:pPr>
        <w:pStyle w:val="FootnoteText"/>
        <w:ind w:left="709" w:hanging="709"/>
        <w:rPr>
          <w:bCs/>
          <w:noProof/>
          <w:sz w:val="18"/>
          <w:szCs w:val="18"/>
          <w:highlight w:val="yellow"/>
          <w:u w:val="single"/>
        </w:rPr>
      </w:pPr>
      <w:r w:rsidRPr="00431FCB">
        <w:rPr>
          <w:rStyle w:val="FootnoteReference"/>
        </w:rPr>
        <w:footnoteRef/>
      </w:r>
      <w:r w:rsidRPr="00431FCB">
        <w:t xml:space="preserve"> </w:t>
      </w:r>
      <w:r w:rsidRPr="00431FCB">
        <w:rPr>
          <w:bCs/>
          <w:noProof/>
          <w:sz w:val="18"/>
          <w:szCs w:val="18"/>
        </w:rPr>
        <w:tab/>
      </w:r>
      <w:r w:rsidRPr="00431FCB">
        <w:rPr>
          <w:kern w:val="3"/>
        </w:rPr>
        <w:t xml:space="preserve">The JISC 2012 report "Value and Benefits of Text Mining to UK Further and Higher Education" highlights the significant time cost for an individual researcher wishing to mine numerous publications which relates to identifying the </w:t>
      </w:r>
      <w:r>
        <w:rPr>
          <w:kern w:val="3"/>
        </w:rPr>
        <w:t>rightholders</w:t>
      </w:r>
      <w:r w:rsidRPr="00431FCB">
        <w:rPr>
          <w:kern w:val="3"/>
        </w:rPr>
        <w:t xml:space="preserve"> and seeking permissions to mine, see </w:t>
      </w:r>
      <w:hyperlink r:id="rId58" w:history="1">
        <w:r w:rsidRPr="00603DAA">
          <w:rPr>
            <w:rStyle w:val="Hyperlink"/>
          </w:rPr>
          <w:t>https://www.jisc.ac.uk/reports/value-and-benefits-of-text-mining</w:t>
        </w:r>
      </w:hyperlink>
    </w:p>
  </w:footnote>
  <w:footnote w:id="334">
    <w:p w:rsidR="004B69C4" w:rsidRPr="00642C70" w:rsidRDefault="004B69C4" w:rsidP="00083CE6">
      <w:pPr>
        <w:pStyle w:val="FootnoteText"/>
        <w:ind w:left="709" w:hanging="709"/>
      </w:pPr>
      <w:r>
        <w:rPr>
          <w:rStyle w:val="FootnoteReference"/>
        </w:rPr>
        <w:footnoteRef/>
      </w:r>
      <w:r>
        <w:t xml:space="preserve"> </w:t>
      </w:r>
      <w:r>
        <w:tab/>
      </w:r>
      <w:r w:rsidRPr="005C77D2">
        <w:t>Source:</w:t>
      </w:r>
      <w:r>
        <w:t xml:space="preserve"> </w:t>
      </w:r>
      <w:r w:rsidRPr="005C77D2">
        <w:t>UCL</w:t>
      </w:r>
      <w:r>
        <w:t xml:space="preserve"> (University College London)</w:t>
      </w:r>
      <w:r w:rsidRPr="005C77D2">
        <w:t xml:space="preserve">. The UCL has 9000 researchers and produces more than 11,000 articles per </w:t>
      </w:r>
      <w:r w:rsidRPr="00431FCB">
        <w:t xml:space="preserve">year. For more examples, see </w:t>
      </w:r>
      <w:r w:rsidRPr="00067088">
        <w:t>section 4.3.3, Option 2.</w:t>
      </w:r>
    </w:p>
  </w:footnote>
  <w:footnote w:id="335">
    <w:p w:rsidR="004B69C4" w:rsidRPr="00CC5A9A" w:rsidRDefault="004B69C4" w:rsidP="00083CE6">
      <w:pPr>
        <w:pStyle w:val="FootnoteText"/>
        <w:ind w:left="709" w:hanging="709"/>
      </w:pPr>
      <w:r>
        <w:rPr>
          <w:rStyle w:val="FootnoteReference"/>
        </w:rPr>
        <w:footnoteRef/>
      </w:r>
      <w:r>
        <w:t xml:space="preserve"> </w:t>
      </w:r>
      <w:r w:rsidRPr="00CC5A9A">
        <w:tab/>
      </w:r>
      <w:r w:rsidRPr="007A6AFA">
        <w:rPr>
          <w:lang w:val="en"/>
        </w:rPr>
        <w:t>The Copyright and Rights in Performances (Research, Education, Libraries and Archives) Regulations 2014</w:t>
      </w:r>
      <w:r>
        <w:rPr>
          <w:lang w:val="en"/>
        </w:rPr>
        <w:t>:</w:t>
      </w:r>
      <w:r w:rsidRPr="007A6AFA">
        <w:t xml:space="preserve"> </w:t>
      </w:r>
      <w:hyperlink r:id="rId59" w:history="1">
        <w:r>
          <w:rPr>
            <w:rStyle w:val="Hyperlink"/>
          </w:rPr>
          <w:t>http://www.legislation.gov.uk/uksi/2014/1372/contents/made</w:t>
        </w:r>
      </w:hyperlink>
    </w:p>
  </w:footnote>
  <w:footnote w:id="336">
    <w:p w:rsidR="004B69C4" w:rsidRPr="00C32C45" w:rsidRDefault="004B69C4" w:rsidP="00083CE6">
      <w:pPr>
        <w:pStyle w:val="FootnoteText"/>
        <w:ind w:left="709" w:hanging="709"/>
        <w:rPr>
          <w:lang w:val="nl-NL"/>
        </w:rPr>
      </w:pPr>
      <w:r>
        <w:rPr>
          <w:rStyle w:val="FootnoteReference"/>
        </w:rPr>
        <w:footnoteRef/>
      </w:r>
      <w:r w:rsidRPr="00C32C45">
        <w:rPr>
          <w:lang w:val="nl-NL"/>
        </w:rPr>
        <w:t xml:space="preserve"> </w:t>
      </w:r>
      <w:r w:rsidRPr="00C32C45">
        <w:rPr>
          <w:lang w:val="nl-NL"/>
        </w:rPr>
        <w:tab/>
        <w:t xml:space="preserve">Eg. DE, EE, FR, IE. </w:t>
      </w:r>
    </w:p>
  </w:footnote>
  <w:footnote w:id="337">
    <w:p w:rsidR="004B69C4" w:rsidRPr="00C32C45" w:rsidRDefault="004B69C4" w:rsidP="00083CE6">
      <w:pPr>
        <w:pStyle w:val="FootnoteText"/>
        <w:ind w:left="709" w:hanging="709"/>
        <w:rPr>
          <w:lang w:val="nl-NL"/>
        </w:rPr>
      </w:pPr>
      <w:r w:rsidRPr="00592589">
        <w:rPr>
          <w:rStyle w:val="FootnoteReference"/>
          <w:rFonts w:eastAsia="Arial Unicode MS"/>
        </w:rPr>
        <w:footnoteRef/>
      </w:r>
      <w:r w:rsidRPr="00C32C45">
        <w:rPr>
          <w:lang w:val="nl-NL"/>
        </w:rPr>
        <w:t xml:space="preserve"> </w:t>
      </w:r>
      <w:r w:rsidRPr="00C32C45">
        <w:rPr>
          <w:lang w:val="nl-NL"/>
        </w:rPr>
        <w:tab/>
        <w:t xml:space="preserve">STM report, March 2015. </w:t>
      </w:r>
    </w:p>
  </w:footnote>
  <w:footnote w:id="338">
    <w:p w:rsidR="004B69C4" w:rsidRPr="00C15D41" w:rsidRDefault="004B69C4" w:rsidP="00083CE6">
      <w:pPr>
        <w:pStyle w:val="FootnoteText"/>
        <w:ind w:left="709" w:hanging="709"/>
      </w:pPr>
      <w:r>
        <w:rPr>
          <w:rStyle w:val="FootnoteReference"/>
        </w:rPr>
        <w:footnoteRef/>
      </w:r>
      <w:r>
        <w:t xml:space="preserve"> </w:t>
      </w:r>
      <w:r>
        <w:tab/>
        <w:t xml:space="preserve">L. Bornmann, R. Mütz, "Growth rate of modern science" </w:t>
      </w:r>
      <w:hyperlink r:id="rId60" w:history="1">
        <w:r w:rsidRPr="008175D8">
          <w:rPr>
            <w:rStyle w:val="Hyperlink"/>
          </w:rPr>
          <w:t>http://arxiv.org/ftp/arxiv/papers/1402/1402.4578.pdf</w:t>
        </w:r>
      </w:hyperlink>
    </w:p>
  </w:footnote>
  <w:footnote w:id="339">
    <w:p w:rsidR="004B69C4" w:rsidRPr="00592589" w:rsidRDefault="004B69C4" w:rsidP="00083CE6">
      <w:pPr>
        <w:pStyle w:val="FootnoteText"/>
        <w:ind w:left="709" w:hanging="709"/>
      </w:pPr>
      <w:r w:rsidRPr="00592589">
        <w:rPr>
          <w:rStyle w:val="FootnoteReference"/>
          <w:rFonts w:eastAsia="Arial Unicode MS"/>
        </w:rPr>
        <w:footnoteRef/>
      </w:r>
      <w:r w:rsidRPr="00592589">
        <w:t xml:space="preserve"> </w:t>
      </w:r>
      <w:r>
        <w:tab/>
      </w:r>
      <w:r w:rsidRPr="00592589">
        <w:t>For instance, 94</w:t>
      </w:r>
      <w:r>
        <w:t xml:space="preserve"> </w:t>
      </w:r>
      <w:r w:rsidRPr="00592589">
        <w:t>% of journals and 24</w:t>
      </w:r>
      <w:r>
        <w:t xml:space="preserve"> </w:t>
      </w:r>
      <w:r w:rsidRPr="00592589">
        <w:t>% of books held by the University College London are digital. 79% of the Stockholm University's budget goes into</w:t>
      </w:r>
      <w:r>
        <w:t xml:space="preserve"> digital content (source: LIBER).</w:t>
      </w:r>
    </w:p>
  </w:footnote>
  <w:footnote w:id="340">
    <w:p w:rsidR="004B69C4" w:rsidRPr="00C87D9C" w:rsidRDefault="004B69C4" w:rsidP="00083CE6">
      <w:pPr>
        <w:pStyle w:val="FootnoteText"/>
      </w:pPr>
      <w:r w:rsidRPr="00C87D9C">
        <w:rPr>
          <w:rStyle w:val="FootnoteReference"/>
        </w:rPr>
        <w:footnoteRef/>
      </w:r>
      <w:r w:rsidRPr="00C87D9C">
        <w:t xml:space="preserve"> </w:t>
      </w:r>
      <w:r w:rsidRPr="00C87D9C">
        <w:tab/>
      </w:r>
      <w:r>
        <w:t>Idem.</w:t>
      </w:r>
    </w:p>
  </w:footnote>
  <w:footnote w:id="341">
    <w:p w:rsidR="004B69C4" w:rsidRPr="008568CE" w:rsidRDefault="004B69C4" w:rsidP="00083CE6">
      <w:pPr>
        <w:pStyle w:val="FootnoteText"/>
      </w:pPr>
      <w:r w:rsidRPr="00C87D9C">
        <w:rPr>
          <w:rStyle w:val="FootnoteReference"/>
        </w:rPr>
        <w:footnoteRef/>
      </w:r>
      <w:r w:rsidRPr="00C87D9C">
        <w:t xml:space="preserve"> </w:t>
      </w:r>
      <w:r w:rsidRPr="00C87D9C">
        <w:tab/>
      </w:r>
      <w:r w:rsidRPr="00D9019E">
        <w:t xml:space="preserve">Article 2 of </w:t>
      </w:r>
      <w:r>
        <w:t xml:space="preserve">the Infosoc </w:t>
      </w:r>
      <w:r w:rsidRPr="00D9019E">
        <w:t xml:space="preserve">Directive and Articles 5(a) and 7(1) of </w:t>
      </w:r>
      <w:r>
        <w:t xml:space="preserve">the Database </w:t>
      </w:r>
      <w:r w:rsidRPr="00D9019E">
        <w:t>Directive</w:t>
      </w:r>
      <w:r>
        <w:t>.</w:t>
      </w:r>
    </w:p>
  </w:footnote>
  <w:footnote w:id="342">
    <w:p w:rsidR="004B69C4" w:rsidRPr="00A65184" w:rsidRDefault="004B69C4" w:rsidP="00083CE6">
      <w:pPr>
        <w:pStyle w:val="FootnoteText"/>
      </w:pPr>
      <w:r>
        <w:rPr>
          <w:rStyle w:val="FootnoteReference"/>
        </w:rPr>
        <w:footnoteRef/>
      </w:r>
      <w:r>
        <w:t xml:space="preserve"> </w:t>
      </w:r>
      <w:r w:rsidRPr="00C32C45">
        <w:tab/>
      </w:r>
      <w:r>
        <w:t>Also to be noted that, c</w:t>
      </w:r>
      <w:r w:rsidRPr="00C32C45">
        <w:t xml:space="preserve">onsistently with current EU rules (e.g. </w:t>
      </w:r>
      <w:r>
        <w:t xml:space="preserve">recital 36 of the Database Directive), the term scientific research covers both the natural sciences and the human sciences. </w:t>
      </w:r>
    </w:p>
  </w:footnote>
  <w:footnote w:id="343">
    <w:p w:rsidR="004B69C4" w:rsidRPr="00D8107D" w:rsidRDefault="004B69C4" w:rsidP="00083CE6">
      <w:pPr>
        <w:pStyle w:val="FootnoteText"/>
      </w:pPr>
      <w:r>
        <w:rPr>
          <w:rStyle w:val="FootnoteReference"/>
        </w:rPr>
        <w:footnoteRef/>
      </w:r>
      <w:r>
        <w:t xml:space="preserve"> </w:t>
      </w:r>
      <w:r>
        <w:tab/>
        <w:t xml:space="preserve">This is the case of lawful access through subscription contracts. The situation is different notably for open access content and publicly available websites. </w:t>
      </w:r>
    </w:p>
  </w:footnote>
  <w:footnote w:id="344">
    <w:p w:rsidR="004B69C4" w:rsidRPr="00A0610B" w:rsidRDefault="004B69C4" w:rsidP="00083CE6">
      <w:pPr>
        <w:pStyle w:val="FootnoteText"/>
      </w:pPr>
      <w:r>
        <w:rPr>
          <w:rStyle w:val="FootnoteReference"/>
        </w:rPr>
        <w:footnoteRef/>
      </w:r>
      <w:r>
        <w:t xml:space="preserve"> </w:t>
      </w:r>
      <w:r>
        <w:tab/>
        <w:t xml:space="preserve">To be noted that similar discussions arose in the context of the 2014 TDM exception adopted in the UK, which is very similar to the EU exception considered under Option 3. </w:t>
      </w:r>
    </w:p>
  </w:footnote>
  <w:footnote w:id="345">
    <w:p w:rsidR="004B69C4" w:rsidRPr="00CF6936" w:rsidRDefault="004B69C4" w:rsidP="00083CE6">
      <w:pPr>
        <w:pStyle w:val="FootnoteText"/>
      </w:pPr>
      <w:r>
        <w:rPr>
          <w:rStyle w:val="FootnoteReference"/>
        </w:rPr>
        <w:footnoteRef/>
      </w:r>
      <w:r>
        <w:t xml:space="preserve"> </w:t>
      </w:r>
      <w:r>
        <w:tab/>
        <w:t xml:space="preserve">In particular, the reasons explained under Option 2 which justify the fact that the exception should not be subject to compensation are also valid under this option.  </w:t>
      </w:r>
    </w:p>
  </w:footnote>
  <w:footnote w:id="346">
    <w:p w:rsidR="004B69C4" w:rsidRPr="00473FB5" w:rsidRDefault="004B69C4" w:rsidP="00952EB0">
      <w:pPr>
        <w:pStyle w:val="FootnoteText"/>
        <w:ind w:left="709" w:hanging="709"/>
      </w:pPr>
      <w:r>
        <w:rPr>
          <w:rStyle w:val="FootnoteReference"/>
        </w:rPr>
        <w:footnoteRef/>
      </w:r>
      <w:r>
        <w:t xml:space="preserve"> </w:t>
      </w:r>
      <w:r>
        <w:tab/>
      </w:r>
      <w:r w:rsidRPr="00473FB5">
        <w:t xml:space="preserve">See problem definition. </w:t>
      </w:r>
    </w:p>
  </w:footnote>
  <w:footnote w:id="347">
    <w:p w:rsidR="004B69C4" w:rsidRPr="006B7712" w:rsidRDefault="004B69C4" w:rsidP="00952EB0">
      <w:pPr>
        <w:pStyle w:val="FootnoteText"/>
      </w:pPr>
      <w:r>
        <w:rPr>
          <w:rStyle w:val="FootnoteReference"/>
        </w:rPr>
        <w:footnoteRef/>
      </w:r>
      <w:r>
        <w:t xml:space="preserve"> </w:t>
      </w:r>
      <w:r w:rsidRPr="00C32C45">
        <w:tab/>
        <w:t>Scientific publishers, including those who traditionally published only under a subscription model, are increasingly publishing part of their content under open access licences.</w:t>
      </w:r>
      <w:r>
        <w:t xml:space="preserve"> However, subscriptions remain at the moment an essential part of the business model and revenues sources of many scientific publishers. </w:t>
      </w:r>
      <w:r w:rsidRPr="00067088">
        <w:t>See Annex 11A.</w:t>
      </w:r>
    </w:p>
  </w:footnote>
  <w:footnote w:id="348">
    <w:p w:rsidR="004B69C4" w:rsidRPr="00365083" w:rsidRDefault="004B69C4" w:rsidP="00952EB0">
      <w:pPr>
        <w:pStyle w:val="FootnoteText"/>
      </w:pPr>
      <w:r>
        <w:rPr>
          <w:rStyle w:val="FootnoteReference"/>
        </w:rPr>
        <w:footnoteRef/>
      </w:r>
      <w:r>
        <w:t xml:space="preserve"> </w:t>
      </w:r>
      <w:r>
        <w:tab/>
        <w:t xml:space="preserve">For example, the British National Library reported some projects using mining of music recordings; in the audio-visual sector, the French National Audiovisual Institute (INA) has developed mining tools for audio and video content (see e.g. </w:t>
      </w:r>
      <w:hyperlink r:id="rId61" w:history="1">
        <w:r w:rsidRPr="008175D8">
          <w:rPr>
            <w:rStyle w:val="Hyperlink"/>
          </w:rPr>
          <w:t>http://www.otmedia.fr</w:t>
        </w:r>
      </w:hyperlink>
      <w:r>
        <w:t xml:space="preserve">).  </w:t>
      </w:r>
    </w:p>
  </w:footnote>
  <w:footnote w:id="349">
    <w:p w:rsidR="004B69C4" w:rsidRPr="00067088" w:rsidRDefault="004B69C4" w:rsidP="00952EB0">
      <w:pPr>
        <w:pStyle w:val="FootnoteText"/>
        <w:ind w:left="709" w:hanging="709"/>
      </w:pPr>
      <w:r>
        <w:rPr>
          <w:rStyle w:val="FootnoteReference"/>
        </w:rPr>
        <w:footnoteRef/>
      </w:r>
      <w:r>
        <w:t xml:space="preserve"> </w:t>
      </w:r>
      <w:r w:rsidRPr="00CC5A9A">
        <w:tab/>
        <w:t xml:space="preserve">See </w:t>
      </w:r>
      <w:r w:rsidRPr="00067088">
        <w:t xml:space="preserve">Annex 11A. </w:t>
      </w:r>
      <w:r w:rsidRPr="00067088">
        <w:rPr>
          <w:lang w:val="en"/>
        </w:rPr>
        <w:t>The impact on open access is increasingly positive going from Option 1 to 4 and is therefore not specifically mentioned in the assessment of the various options below.</w:t>
      </w:r>
    </w:p>
  </w:footnote>
  <w:footnote w:id="350">
    <w:p w:rsidR="004B69C4" w:rsidRPr="00067088" w:rsidRDefault="004B69C4" w:rsidP="00952EB0">
      <w:pPr>
        <w:pStyle w:val="FootnoteText"/>
      </w:pPr>
      <w:r w:rsidRPr="00067088">
        <w:rPr>
          <w:rStyle w:val="FootnoteReference"/>
        </w:rPr>
        <w:footnoteRef/>
      </w:r>
      <w:r w:rsidRPr="00067088">
        <w:t xml:space="preserve"> </w:t>
      </w:r>
      <w:r w:rsidRPr="00067088">
        <w:tab/>
      </w:r>
      <w:r w:rsidRPr="00067088">
        <w:rPr>
          <w:rFonts w:eastAsia="Arial Unicode MS"/>
          <w:color w:val="000000"/>
          <w:szCs w:val="24"/>
          <w:bdr w:val="nil"/>
        </w:rPr>
        <w:t>N</w:t>
      </w:r>
      <w:r w:rsidRPr="00067088">
        <w:rPr>
          <w:rFonts w:eastAsia="Arial Unicode MS"/>
          <w:color w:val="000000"/>
          <w:szCs w:val="24"/>
          <w:bdr w:val="nil"/>
          <w:lang w:val="en"/>
        </w:rPr>
        <w:t>otably copyright as a property right, freedom of art and science. Privacy (Articles 7 and 8 of the Charter of fundamental rights</w:t>
      </w:r>
      <w:r>
        <w:rPr>
          <w:rFonts w:eastAsia="Arial Unicode MS"/>
          <w:color w:val="000000"/>
          <w:szCs w:val="24"/>
          <w:bdr w:val="nil"/>
          <w:lang w:val="en"/>
        </w:rPr>
        <w:t xml:space="preserve"> of the European Union</w:t>
      </w:r>
      <w:r w:rsidRPr="00067088">
        <w:rPr>
          <w:rFonts w:eastAsia="Arial Unicode MS"/>
          <w:color w:val="000000"/>
          <w:szCs w:val="24"/>
          <w:bdr w:val="nil"/>
          <w:lang w:val="en"/>
        </w:rPr>
        <w:t>) is not impacted as none of the options concern access to or further communication of content</w:t>
      </w:r>
      <w:r>
        <w:rPr>
          <w:rFonts w:eastAsia="Arial Unicode MS"/>
          <w:color w:val="000000"/>
          <w:szCs w:val="24"/>
          <w:bdr w:val="nil"/>
          <w:lang w:val="en"/>
        </w:rPr>
        <w:t>,</w:t>
      </w:r>
      <w:r w:rsidRPr="00067088">
        <w:rPr>
          <w:rFonts w:eastAsia="Arial Unicode MS"/>
          <w:color w:val="000000"/>
          <w:szCs w:val="24"/>
          <w:bdr w:val="nil"/>
          <w:lang w:val="en"/>
        </w:rPr>
        <w:t xml:space="preserve"> and privacy</w:t>
      </w:r>
      <w:r>
        <w:rPr>
          <w:rFonts w:eastAsia="Arial Unicode MS"/>
          <w:color w:val="000000"/>
          <w:szCs w:val="24"/>
          <w:bdr w:val="nil"/>
          <w:lang w:val="en"/>
        </w:rPr>
        <w:t xml:space="preserve"> and personal data protection</w:t>
      </w:r>
      <w:r w:rsidRPr="00067088">
        <w:rPr>
          <w:rFonts w:eastAsia="Arial Unicode MS"/>
          <w:color w:val="000000"/>
          <w:szCs w:val="24"/>
          <w:bdr w:val="nil"/>
          <w:lang w:val="en"/>
        </w:rPr>
        <w:t xml:space="preserve"> rules continue to apply. </w:t>
      </w:r>
    </w:p>
  </w:footnote>
  <w:footnote w:id="351">
    <w:p w:rsidR="004B69C4" w:rsidRPr="00592589" w:rsidRDefault="004B69C4" w:rsidP="00083CE6">
      <w:pPr>
        <w:pStyle w:val="FootnoteText"/>
        <w:ind w:left="709" w:hanging="709"/>
      </w:pPr>
      <w:r w:rsidRPr="00067088">
        <w:rPr>
          <w:rStyle w:val="FootnoteReference"/>
        </w:rPr>
        <w:footnoteRef/>
      </w:r>
      <w:r w:rsidRPr="00067088">
        <w:t xml:space="preserve"> </w:t>
      </w:r>
      <w:r w:rsidRPr="00067088">
        <w:tab/>
        <w:t>See</w:t>
      </w:r>
      <w:r w:rsidRPr="00067088">
        <w:rPr>
          <w:lang w:val="en"/>
        </w:rPr>
        <w:t xml:space="preserve"> Annex 11</w:t>
      </w:r>
      <w:r>
        <w:rPr>
          <w:lang w:val="en"/>
        </w:rPr>
        <w:t>D</w:t>
      </w:r>
      <w:r w:rsidRPr="00067088">
        <w:rPr>
          <w:lang w:val="en"/>
        </w:rPr>
        <w:t>.</w:t>
      </w:r>
      <w:r w:rsidRPr="00D47707">
        <w:rPr>
          <w:lang w:val="en"/>
        </w:rPr>
        <w:t xml:space="preserve"> </w:t>
      </w:r>
      <w:r>
        <w:rPr>
          <w:lang w:val="en"/>
        </w:rPr>
        <w:t>STM indicated that end 2015 around 50 % of STM journal content was minable through Cross-Ref (by licensed users).</w:t>
      </w:r>
      <w:r>
        <w:rPr>
          <w:sz w:val="18"/>
          <w:szCs w:val="18"/>
        </w:rPr>
        <w:t xml:space="preserve"> </w:t>
      </w:r>
    </w:p>
  </w:footnote>
  <w:footnote w:id="352">
    <w:p w:rsidR="004B69C4" w:rsidRPr="008C1401" w:rsidRDefault="004B69C4" w:rsidP="00083CE6">
      <w:pPr>
        <w:pStyle w:val="FootnoteText"/>
        <w:ind w:left="709" w:hanging="709"/>
      </w:pPr>
      <w:r>
        <w:rPr>
          <w:rStyle w:val="FootnoteReference"/>
        </w:rPr>
        <w:footnoteRef/>
      </w:r>
      <w:r>
        <w:t xml:space="preserve"> </w:t>
      </w:r>
      <w:r>
        <w:tab/>
        <w:t>See problem definition.</w:t>
      </w:r>
    </w:p>
  </w:footnote>
  <w:footnote w:id="353">
    <w:p w:rsidR="004B69C4" w:rsidRPr="00697D79" w:rsidRDefault="004B69C4" w:rsidP="00083CE6">
      <w:pPr>
        <w:pStyle w:val="FootnoteText"/>
        <w:ind w:left="709" w:hanging="709"/>
      </w:pPr>
      <w:r>
        <w:rPr>
          <w:rStyle w:val="FootnoteReference"/>
        </w:rPr>
        <w:footnoteRef/>
      </w:r>
      <w:r>
        <w:t xml:space="preserve"> </w:t>
      </w:r>
      <w:r>
        <w:tab/>
        <w:t>I</w:t>
      </w:r>
      <w:r w:rsidRPr="00494E2E">
        <w:t>ncluding different TDM policies as regards for example content that can be mined in a given amount of time, download speed, e</w:t>
      </w:r>
      <w:r>
        <w:t>tc.</w:t>
      </w:r>
    </w:p>
  </w:footnote>
  <w:footnote w:id="354">
    <w:p w:rsidR="004B69C4" w:rsidRPr="00C41E67" w:rsidRDefault="004B69C4" w:rsidP="00083CE6">
      <w:pPr>
        <w:pStyle w:val="FootnoteText"/>
        <w:ind w:left="709" w:hanging="709"/>
      </w:pPr>
      <w:r>
        <w:rPr>
          <w:rStyle w:val="FootnoteReference"/>
        </w:rPr>
        <w:footnoteRef/>
      </w:r>
      <w:r>
        <w:t xml:space="preserve"> </w:t>
      </w:r>
      <w:r>
        <w:tab/>
        <w:t xml:space="preserve">STM publishers committed in Licences for Europe to include TDM in their subscriptions licences with universities "at no additional costs". We have not found evidence of a substantial increase of price of subscription licences with non-commercial users that include TDM.  </w:t>
      </w:r>
    </w:p>
  </w:footnote>
  <w:footnote w:id="355">
    <w:p w:rsidR="004B69C4" w:rsidRPr="003F6A9E" w:rsidRDefault="004B69C4" w:rsidP="00083CE6">
      <w:pPr>
        <w:pStyle w:val="FootnoteText"/>
        <w:ind w:left="709" w:hanging="709"/>
      </w:pPr>
      <w:r w:rsidRPr="003F6A9E">
        <w:rPr>
          <w:rStyle w:val="FootnoteReference"/>
        </w:rPr>
        <w:footnoteRef/>
      </w:r>
      <w:r w:rsidRPr="003F6A9E">
        <w:t xml:space="preserve"> </w:t>
      </w:r>
      <w:r>
        <w:tab/>
      </w:r>
      <w:r w:rsidRPr="003F6A9E">
        <w:t>The case studies all refer to the UK before the adoption of the 2014 exception</w:t>
      </w:r>
      <w:r>
        <w:t xml:space="preserve"> and also predate the developments following the Licences for Europe dialogue</w:t>
      </w:r>
      <w:r w:rsidRPr="003F6A9E">
        <w:t xml:space="preserve">. </w:t>
      </w:r>
    </w:p>
  </w:footnote>
  <w:footnote w:id="356">
    <w:p w:rsidR="004B69C4" w:rsidRPr="003F6A9E" w:rsidRDefault="004B69C4" w:rsidP="00083CE6">
      <w:pPr>
        <w:pStyle w:val="FootnoteText"/>
        <w:ind w:left="709" w:hanging="709"/>
      </w:pPr>
      <w:r w:rsidRPr="003F6A9E">
        <w:rPr>
          <w:rStyle w:val="FootnoteReference"/>
        </w:rPr>
        <w:footnoteRef/>
      </w:r>
      <w:r w:rsidRPr="003F6A9E">
        <w:t xml:space="preserve">  </w:t>
      </w:r>
      <w:r w:rsidRPr="003F6A9E">
        <w:tab/>
        <w:t xml:space="preserve">Wellcome Trust, </w:t>
      </w:r>
      <w:r>
        <w:t>2012, Box 2 p.10, cited in the s</w:t>
      </w:r>
      <w:r w:rsidRPr="003F6A9E">
        <w:t xml:space="preserve">tudy </w:t>
      </w:r>
      <w:r w:rsidRPr="003F6A9E">
        <w:rPr>
          <w:i/>
        </w:rPr>
        <w:t>Assessing the economic impacts of adapting certain limitations and exceptions to copy-right and related rights in the EU</w:t>
      </w:r>
      <w:r w:rsidRPr="003F6A9E">
        <w:t xml:space="preserve">, </w:t>
      </w:r>
      <w:hyperlink r:id="rId62" w:history="1">
        <w:r w:rsidRPr="003F6A9E">
          <w:rPr>
            <w:rStyle w:val="Hyperlink"/>
          </w:rPr>
          <w:t>http://ec.europa.eu/internal_market/copyright/docs/studies/140623-limitations-economic-impacts-study_en.pdf</w:t>
        </w:r>
      </w:hyperlink>
      <w:r w:rsidRPr="003F6A9E">
        <w:t>, pp. 68-69</w:t>
      </w:r>
      <w:r>
        <w:t>.</w:t>
      </w:r>
      <w:r w:rsidRPr="00DF1BE2">
        <w:t xml:space="preserve"> </w:t>
      </w:r>
      <w:r>
        <w:t xml:space="preserve">In other cases researchers have given examples of mining projects requiring authorisation from 120 different publishers: Ross Mounce: presentation in Licences for Europe (2013): </w:t>
      </w:r>
      <w:hyperlink r:id="rId63" w:history="1">
        <w:r w:rsidRPr="00592589">
          <w:rPr>
            <w:rStyle w:val="Hyperlink"/>
          </w:rPr>
          <w:t>http://www.slideshare.net/rossmounce/content-mining</w:t>
        </w:r>
      </w:hyperlink>
    </w:p>
  </w:footnote>
  <w:footnote w:id="357">
    <w:p w:rsidR="004B69C4" w:rsidRPr="00B90318" w:rsidRDefault="004B69C4" w:rsidP="00083CE6">
      <w:pPr>
        <w:pStyle w:val="FootnoteText"/>
        <w:ind w:left="709" w:hanging="709"/>
      </w:pPr>
      <w:r>
        <w:rPr>
          <w:rStyle w:val="FootnoteReference"/>
        </w:rPr>
        <w:footnoteRef/>
      </w:r>
      <w:r>
        <w:t xml:space="preserve"> </w:t>
      </w:r>
      <w:r>
        <w:tab/>
        <w:t>Source: ECL. Data calculated on the basis of a team of 10 extra staff plus academic time needed to ensure that researchers are compliant.</w:t>
      </w:r>
    </w:p>
  </w:footnote>
  <w:footnote w:id="358">
    <w:p w:rsidR="004B69C4" w:rsidRPr="009E3AB0" w:rsidRDefault="004B69C4" w:rsidP="00083CE6">
      <w:pPr>
        <w:pStyle w:val="FootnoteText"/>
        <w:ind w:left="709" w:hanging="709"/>
        <w:rPr>
          <w:color w:val="000000" w:themeColor="text1"/>
        </w:rPr>
      </w:pPr>
      <w:r w:rsidRPr="00BD2371">
        <w:rPr>
          <w:rStyle w:val="FootnoteReference"/>
        </w:rPr>
        <w:footnoteRef/>
      </w:r>
      <w:r w:rsidRPr="00AA0958">
        <w:rPr>
          <w:rStyle w:val="FootnoteReference"/>
        </w:rPr>
        <w:t xml:space="preserve"> </w:t>
      </w:r>
      <w:r>
        <w:tab/>
      </w:r>
      <w:r w:rsidRPr="00BD2371">
        <w:t xml:space="preserve">New projects have been reported </w:t>
      </w:r>
      <w:r>
        <w:t xml:space="preserve">by researchers representatives in the UK to the UK IPO </w:t>
      </w:r>
      <w:r w:rsidRPr="00BD2371">
        <w:t>after the UK TDM exception was introduced in 20</w:t>
      </w:r>
      <w:r>
        <w:t>1</w:t>
      </w:r>
      <w:r w:rsidRPr="00BD2371">
        <w:t>4, notably in the field of medicine and biology</w:t>
      </w:r>
      <w:r w:rsidRPr="00F04DD5">
        <w:t xml:space="preserve">. </w:t>
      </w:r>
      <w:r w:rsidRPr="00F04DD5">
        <w:rPr>
          <w:color w:val="000000" w:themeColor="text1"/>
        </w:rPr>
        <w:t>These include Mining academic literature for molecular pathways found in Alzheimer’s and Parkinson’s disears to identify new targets for drug development;</w:t>
      </w:r>
      <w:r w:rsidRPr="00F04DD5">
        <w:rPr>
          <w:color w:val="000000" w:themeColor="text1"/>
          <w:sz w:val="14"/>
          <w:szCs w:val="14"/>
        </w:rPr>
        <w:t xml:space="preserve">  </w:t>
      </w:r>
      <w:r w:rsidRPr="00F04DD5">
        <w:rPr>
          <w:color w:val="000000" w:themeColor="text1"/>
        </w:rPr>
        <w:t>National Centre for Text Mining (NaCTeM) collaboration with US Defense Advanced Research Projects Agency (DARPA) to mine biomedical tests to look for new cancer pathways; and</w:t>
      </w:r>
      <w:r w:rsidRPr="00F04DD5">
        <w:rPr>
          <w:color w:val="000000" w:themeColor="text1"/>
          <w:sz w:val="14"/>
          <w:szCs w:val="14"/>
        </w:rPr>
        <w:t xml:space="preserve"> </w:t>
      </w:r>
      <w:r w:rsidRPr="00F04DD5">
        <w:rPr>
          <w:color w:val="000000" w:themeColor="text1"/>
        </w:rPr>
        <w:t xml:space="preserve">Biotechnology and Biological Sciences Research Counsil (BBSRC) funded project to mine images to extract phylogenetic relationships (relating to evolutionary history and biology) from journal figures/illustrations to draw new conclusions in the field. </w:t>
      </w:r>
      <w:r w:rsidRPr="00F04DD5">
        <w:t>The</w:t>
      </w:r>
      <w:r w:rsidRPr="00BD2371">
        <w:t xml:space="preserve"> positive impact on TDM activities of UK TDM exception has also been reported by</w:t>
      </w:r>
      <w:r w:rsidRPr="00BD2371">
        <w:rPr>
          <w:rFonts w:ascii="Arial" w:hAnsi="Arial" w:cs="Arial"/>
        </w:rPr>
        <w:t xml:space="preserve"> </w:t>
      </w:r>
      <w:r w:rsidRPr="00BD2371">
        <w:t xml:space="preserve">LIBER at their intervention at the European Commission Roundtable on TDM, February 2015: </w:t>
      </w:r>
      <w:hyperlink r:id="rId64" w:history="1">
        <w:r w:rsidRPr="00BD2371">
          <w:rPr>
            <w:rStyle w:val="Hyperlink"/>
          </w:rPr>
          <w:t>http://libereurope.eu/blog/2015/02/23/liber-argues-for-pan-european-tdm-exception/</w:t>
        </w:r>
      </w:hyperlink>
      <w:r w:rsidRPr="00BD2371">
        <w:t xml:space="preserve"> </w:t>
      </w:r>
    </w:p>
  </w:footnote>
  <w:footnote w:id="359">
    <w:p w:rsidR="004B69C4" w:rsidRPr="002F15AA" w:rsidRDefault="004B69C4" w:rsidP="00083CE6">
      <w:pPr>
        <w:pStyle w:val="FootnoteText"/>
        <w:ind w:left="709" w:hanging="709"/>
      </w:pPr>
      <w:r>
        <w:rPr>
          <w:rStyle w:val="FootnoteReference"/>
        </w:rPr>
        <w:footnoteRef/>
      </w:r>
      <w:r>
        <w:t xml:space="preserve"> </w:t>
      </w:r>
      <w:r>
        <w:tab/>
      </w:r>
      <w:r w:rsidRPr="00853FBC">
        <w:rPr>
          <w:kern w:val="3"/>
        </w:rPr>
        <w:t>In the context of the 7</w:t>
      </w:r>
      <w:r w:rsidRPr="00853FBC">
        <w:rPr>
          <w:kern w:val="3"/>
          <w:vertAlign w:val="superscript"/>
        </w:rPr>
        <w:t>th</w:t>
      </w:r>
      <w:r w:rsidRPr="00853FBC">
        <w:rPr>
          <w:kern w:val="3"/>
        </w:rPr>
        <w:t xml:space="preserve"> Research Framework Programme, about 34</w:t>
      </w:r>
      <w:r>
        <w:rPr>
          <w:kern w:val="3"/>
        </w:rPr>
        <w:t xml:space="preserve"> </w:t>
      </w:r>
      <w:r w:rsidRPr="00853FBC">
        <w:rPr>
          <w:kern w:val="3"/>
        </w:rPr>
        <w:t>% of all consortia included at least one private for profit entity together with non-commercial players (e.g. universities or research organisations). Roughly 67</w:t>
      </w:r>
      <w:r>
        <w:rPr>
          <w:kern w:val="3"/>
        </w:rPr>
        <w:t xml:space="preserve"> </w:t>
      </w:r>
      <w:r w:rsidRPr="00853FBC">
        <w:rPr>
          <w:kern w:val="3"/>
        </w:rPr>
        <w:t>% of the EC contribution was spent for these mixed consortia</w:t>
      </w:r>
      <w:r>
        <w:rPr>
          <w:kern w:val="3"/>
        </w:rPr>
        <w:t xml:space="preserve">. </w:t>
      </w:r>
      <w:r>
        <w:t>It is</w:t>
      </w:r>
      <w:r w:rsidRPr="00592589">
        <w:t xml:space="preserve"> likely that these projects will be excluded from the scope of the exception</w:t>
      </w:r>
      <w:r>
        <w:t>.</w:t>
      </w:r>
    </w:p>
  </w:footnote>
  <w:footnote w:id="360">
    <w:p w:rsidR="004B69C4" w:rsidRPr="00B90318" w:rsidRDefault="004B69C4" w:rsidP="00083CE6">
      <w:pPr>
        <w:pStyle w:val="FootnoteText"/>
      </w:pPr>
      <w:r>
        <w:rPr>
          <w:rStyle w:val="FootnoteReference"/>
        </w:rPr>
        <w:footnoteRef/>
      </w:r>
      <w:r>
        <w:t xml:space="preserve"> </w:t>
      </w:r>
      <w:r>
        <w:tab/>
        <w:t xml:space="preserve">See also baseline. Data on the impact on the subscription fees of the legislative reform in the UK which has introduced a TDM exception are not yet available. </w:t>
      </w:r>
    </w:p>
  </w:footnote>
  <w:footnote w:id="361">
    <w:p w:rsidR="004B69C4" w:rsidRPr="00E37B01" w:rsidRDefault="004B69C4" w:rsidP="00083CE6">
      <w:pPr>
        <w:pStyle w:val="FootnoteText"/>
      </w:pPr>
      <w:r>
        <w:rPr>
          <w:rStyle w:val="FootnoteReference"/>
        </w:rPr>
        <w:footnoteRef/>
      </w:r>
      <w:r>
        <w:t xml:space="preserve"> </w:t>
      </w:r>
      <w:r>
        <w:tab/>
        <w:t>CRA s</w:t>
      </w:r>
      <w:r w:rsidRPr="00C32C45">
        <w:t>tudy "Assessing the economic impacts of adapting certain limitations and exceptions", May 2014, p</w:t>
      </w:r>
      <w:r>
        <w:t>.</w:t>
      </w:r>
      <w:r w:rsidRPr="00C32C45">
        <w:t>73.</w:t>
      </w:r>
    </w:p>
  </w:footnote>
  <w:footnote w:id="362">
    <w:p w:rsidR="004B69C4" w:rsidRPr="003618DF" w:rsidRDefault="004B69C4" w:rsidP="00083CE6">
      <w:pPr>
        <w:pStyle w:val="FootnoteText"/>
      </w:pPr>
      <w:r w:rsidRPr="002E7D8E">
        <w:rPr>
          <w:rStyle w:val="FootnoteReference"/>
        </w:rPr>
        <w:footnoteRef/>
      </w:r>
      <w:r w:rsidRPr="002E7D8E">
        <w:rPr>
          <w:rStyle w:val="FootnoteReference"/>
        </w:rPr>
        <w:t xml:space="preserve"> </w:t>
      </w:r>
      <w:r>
        <w:tab/>
        <w:t>S</w:t>
      </w:r>
      <w:r w:rsidRPr="00C6348E">
        <w:t xml:space="preserve">ubscription licences with public interest research </w:t>
      </w:r>
      <w:r>
        <w:t xml:space="preserve">organisations </w:t>
      </w:r>
      <w:r w:rsidRPr="00C6348E">
        <w:t>represent around 70</w:t>
      </w:r>
      <w:r>
        <w:t xml:space="preserve"> </w:t>
      </w:r>
      <w:r w:rsidRPr="00C6348E">
        <w:t xml:space="preserve">% of </w:t>
      </w:r>
      <w:r>
        <w:t xml:space="preserve">STM publishers </w:t>
      </w:r>
      <w:r w:rsidRPr="00C6348E">
        <w:t>global revenues</w:t>
      </w:r>
      <w:r>
        <w:t>.</w:t>
      </w:r>
      <w:r w:rsidRPr="00C6348E">
        <w:t xml:space="preserve"> </w:t>
      </w:r>
      <w:r w:rsidRPr="003618DF">
        <w:t>The main revenues linked to journal publishing are generated by academic library subscriptions (68-75</w:t>
      </w:r>
      <w:r>
        <w:t xml:space="preserve"> </w:t>
      </w:r>
      <w:r w:rsidRPr="003618DF">
        <w:t>%), see STM 2015 report</w:t>
      </w:r>
      <w:r>
        <w:t>.</w:t>
      </w:r>
    </w:p>
  </w:footnote>
  <w:footnote w:id="363">
    <w:p w:rsidR="004B69C4" w:rsidRPr="00E37B01" w:rsidRDefault="004B69C4" w:rsidP="00083CE6">
      <w:pPr>
        <w:pStyle w:val="FootnoteText"/>
      </w:pPr>
      <w:r>
        <w:rPr>
          <w:rStyle w:val="FootnoteReference"/>
        </w:rPr>
        <w:footnoteRef/>
      </w:r>
      <w:r>
        <w:t xml:space="preserve"> </w:t>
      </w:r>
      <w:r>
        <w:tab/>
        <w:t>CRA study, p. 77.</w:t>
      </w:r>
    </w:p>
  </w:footnote>
  <w:footnote w:id="364">
    <w:p w:rsidR="004B69C4" w:rsidRDefault="004B69C4" w:rsidP="00083CE6">
      <w:pPr>
        <w:pStyle w:val="FootnoteText"/>
      </w:pPr>
      <w:r>
        <w:rPr>
          <w:rStyle w:val="FootnoteReference"/>
        </w:rPr>
        <w:footnoteRef/>
      </w:r>
      <w:r>
        <w:t xml:space="preserve"> </w:t>
      </w:r>
      <w:r>
        <w:tab/>
        <w:t xml:space="preserve">Comprehensive data and information on the size and value of the TDM licensing market for press publisher is not available. However, the Commission has received information from specific press publishers indicating that at least in their cases TDM licences constitute a relevant business opportunity. These revenues would </w:t>
      </w:r>
      <w:r w:rsidRPr="00606ACF">
        <w:t>remain unaffected under this option due to the lawful access condition.</w:t>
      </w:r>
    </w:p>
  </w:footnote>
  <w:footnote w:id="365">
    <w:p w:rsidR="004B69C4" w:rsidRPr="00F12711" w:rsidRDefault="004B69C4" w:rsidP="00083CE6">
      <w:pPr>
        <w:pStyle w:val="FootnoteText"/>
        <w:ind w:left="709" w:hanging="709"/>
      </w:pPr>
      <w:r>
        <w:rPr>
          <w:rStyle w:val="FootnoteReference"/>
        </w:rPr>
        <w:footnoteRef/>
      </w:r>
      <w:r>
        <w:t xml:space="preserve"> </w:t>
      </w:r>
      <w:r>
        <w:tab/>
      </w:r>
      <w:r w:rsidRPr="00F12711">
        <w:t xml:space="preserve">See Chapter 3 in the Expert Group Report (2014) on "Standardisation in the field of Text and Data Mining, </w:t>
      </w:r>
      <w:hyperlink r:id="rId65" w:history="1">
        <w:r w:rsidRPr="008175D8">
          <w:rPr>
            <w:rStyle w:val="Hyperlink"/>
          </w:rPr>
          <w:t>http://ec.europa.eu/research/innovation-union/pdf/TDM-report_from_the_expert_group-042014.pdf</w:t>
        </w:r>
      </w:hyperlink>
    </w:p>
  </w:footnote>
  <w:footnote w:id="366">
    <w:p w:rsidR="004B69C4" w:rsidRPr="00592589" w:rsidRDefault="004B69C4" w:rsidP="00083CE6">
      <w:pPr>
        <w:pStyle w:val="FootnoteText"/>
        <w:ind w:left="709" w:hanging="709"/>
      </w:pPr>
      <w:r w:rsidRPr="00592589">
        <w:rPr>
          <w:rStyle w:val="FootnoteReference"/>
        </w:rPr>
        <w:footnoteRef/>
      </w:r>
      <w:r w:rsidRPr="00592589">
        <w:t xml:space="preserve"> </w:t>
      </w:r>
      <w:r>
        <w:tab/>
      </w:r>
      <w:r w:rsidRPr="00592589">
        <w:t xml:space="preserve">In that sense, it is noteworthy to mention (at least as an indication) that some open access publishers already charge more for a CC-BY licence (allowing commercial use) than for a CC-BY-NC licence (not allowing commercial use), in order to compensate the loss of revenue linked to commercial reuse (See STM report (2015), p. 21). </w:t>
      </w:r>
    </w:p>
  </w:footnote>
  <w:footnote w:id="367">
    <w:p w:rsidR="004B69C4" w:rsidRPr="00067088" w:rsidRDefault="004B69C4" w:rsidP="00083CE6">
      <w:pPr>
        <w:autoSpaceDE w:val="0"/>
        <w:adjustRightInd w:val="0"/>
        <w:spacing w:after="0" w:line="240" w:lineRule="auto"/>
        <w:ind w:left="709" w:hanging="709"/>
        <w:jc w:val="both"/>
        <w:rPr>
          <w:sz w:val="20"/>
          <w:szCs w:val="20"/>
        </w:rPr>
      </w:pPr>
      <w:r w:rsidRPr="00592589">
        <w:rPr>
          <w:rStyle w:val="FootnoteReference"/>
          <w:sz w:val="20"/>
          <w:szCs w:val="20"/>
        </w:rPr>
        <w:footnoteRef/>
      </w:r>
      <w:r w:rsidRPr="00592589">
        <w:rPr>
          <w:sz w:val="20"/>
          <w:szCs w:val="20"/>
        </w:rPr>
        <w:t xml:space="preserve"> </w:t>
      </w:r>
      <w:r w:rsidRPr="00592589">
        <w:rPr>
          <w:sz w:val="20"/>
          <w:szCs w:val="20"/>
        </w:rPr>
        <w:tab/>
      </w:r>
      <w:r w:rsidRPr="0025700D">
        <w:rPr>
          <w:rFonts w:ascii="Times New Roman" w:hAnsi="Times New Roman" w:cs="Times New Roman"/>
          <w:sz w:val="20"/>
          <w:szCs w:val="20"/>
        </w:rPr>
        <w:t xml:space="preserve">According to the 2015 STM report "TDM is most common in life sciences research, in particular within pharmaceutical companies, but relatively little used elsewhere" (2015 STM report, p. 146). </w:t>
      </w:r>
      <w:r>
        <w:rPr>
          <w:rFonts w:ascii="Times New Roman" w:hAnsi="Times New Roman" w:cs="Times New Roman"/>
          <w:sz w:val="20"/>
          <w:szCs w:val="20"/>
        </w:rPr>
        <w:t xml:space="preserve">Increase though is reported in the chemical </w:t>
      </w:r>
      <w:r w:rsidRPr="00067088">
        <w:rPr>
          <w:rFonts w:ascii="Times New Roman" w:hAnsi="Times New Roman" w:cs="Times New Roman"/>
          <w:sz w:val="20"/>
          <w:szCs w:val="20"/>
        </w:rPr>
        <w:t>manufacturing sector (</w:t>
      </w:r>
      <w:r w:rsidRPr="00067088">
        <w:rPr>
          <w:rFonts w:ascii="Times New Roman" w:hAnsi="Times New Roman" w:cs="Times New Roman"/>
          <w:sz w:val="20"/>
          <w:szCs w:val="20"/>
          <w:lang w:eastAsia="en-GB"/>
        </w:rPr>
        <w:t>See Annex 11A).</w:t>
      </w:r>
    </w:p>
  </w:footnote>
  <w:footnote w:id="368">
    <w:p w:rsidR="004B69C4" w:rsidRPr="00067088" w:rsidRDefault="004B69C4" w:rsidP="00083CE6">
      <w:pPr>
        <w:pStyle w:val="FootnoteText"/>
      </w:pPr>
      <w:r w:rsidRPr="00067088">
        <w:rPr>
          <w:rStyle w:val="FootnoteReference"/>
        </w:rPr>
        <w:footnoteRef/>
      </w:r>
      <w:r w:rsidRPr="00067088">
        <w:t xml:space="preserve"> </w:t>
      </w:r>
      <w:r w:rsidRPr="00067088">
        <w:tab/>
        <w:t>Source: STM.</w:t>
      </w:r>
    </w:p>
  </w:footnote>
  <w:footnote w:id="369">
    <w:p w:rsidR="004B69C4" w:rsidRPr="00067088" w:rsidRDefault="004B69C4" w:rsidP="00083CE6">
      <w:pPr>
        <w:pStyle w:val="FootnoteText"/>
      </w:pPr>
      <w:r w:rsidRPr="00067088">
        <w:rPr>
          <w:rStyle w:val="FootnoteReference"/>
        </w:rPr>
        <w:footnoteRef/>
      </w:r>
      <w:r w:rsidRPr="00067088">
        <w:t xml:space="preserve"> </w:t>
      </w:r>
      <w:r w:rsidRPr="00067088">
        <w:tab/>
        <w:t>Publishing industry sources.</w:t>
      </w:r>
    </w:p>
  </w:footnote>
  <w:footnote w:id="370">
    <w:p w:rsidR="004B69C4" w:rsidRDefault="004B69C4" w:rsidP="00083CE6">
      <w:pPr>
        <w:pStyle w:val="FootnoteText"/>
      </w:pPr>
      <w:r w:rsidRPr="00067088">
        <w:rPr>
          <w:rStyle w:val="FootnoteReference"/>
        </w:rPr>
        <w:footnoteRef/>
      </w:r>
      <w:r w:rsidRPr="00067088">
        <w:t xml:space="preserve">  </w:t>
      </w:r>
      <w:r w:rsidRPr="00067088">
        <w:tab/>
        <w:t>For more information, see Annex 11A.</w:t>
      </w:r>
    </w:p>
  </w:footnote>
  <w:footnote w:id="371">
    <w:p w:rsidR="004B69C4" w:rsidRPr="00A151C3" w:rsidRDefault="004B69C4" w:rsidP="001F36A0">
      <w:pPr>
        <w:pStyle w:val="FootnoteText"/>
      </w:pPr>
      <w:r>
        <w:rPr>
          <w:rStyle w:val="FootnoteReference"/>
        </w:rPr>
        <w:footnoteRef/>
      </w:r>
      <w:r>
        <w:t xml:space="preserve"> </w:t>
      </w:r>
      <w:r>
        <w:tab/>
        <w:t>G.J. Nauta – W. van den Heuvel, DEN Foundation on behalf of Europeana/</w:t>
      </w:r>
      <w:r w:rsidRPr="00A151C3">
        <w:t>ENUMERATE, "Survey Report on Digitisation in European Cultural Heritage Institutions 201</w:t>
      </w:r>
      <w:r>
        <w:t>5</w:t>
      </w:r>
      <w:r w:rsidRPr="00A151C3">
        <w:t>"</w:t>
      </w:r>
      <w:r>
        <w:t>, June 2015</w:t>
      </w:r>
      <w:r w:rsidRPr="00A151C3">
        <w:t>.</w:t>
      </w:r>
      <w:r>
        <w:t xml:space="preserve"> See Annex 9A for an overview and examples of CHIs in Europe and their holdings.</w:t>
      </w:r>
    </w:p>
  </w:footnote>
  <w:footnote w:id="372">
    <w:p w:rsidR="004B69C4" w:rsidRPr="00107FF0" w:rsidRDefault="004B69C4" w:rsidP="001F36A0">
      <w:pPr>
        <w:pStyle w:val="FootnoteText"/>
      </w:pPr>
      <w:r>
        <w:rPr>
          <w:rStyle w:val="FootnoteReference"/>
        </w:rPr>
        <w:footnoteRef/>
      </w:r>
      <w:r>
        <w:t xml:space="preserve"> </w:t>
      </w:r>
      <w:r>
        <w:tab/>
        <w:t xml:space="preserve">The importance of cultural </w:t>
      </w:r>
      <w:r w:rsidRPr="003C44FB">
        <w:t xml:space="preserve">heritage </w:t>
      </w:r>
      <w:r>
        <w:t xml:space="preserve">preservation is reflected in </w:t>
      </w:r>
      <w:r w:rsidRPr="003C44FB">
        <w:t xml:space="preserve">EU policy </w:t>
      </w:r>
      <w:r>
        <w:t>on digital cultural heritage</w:t>
      </w:r>
      <w:r w:rsidRPr="003C44FB">
        <w:t>, notably as outlined in the Recommendation of the European Parliament and of the Council of 16 November 2005 on film heritage and the competitiveness of related industrial activities (2005/865/CE), the Commission Recommendation on the digitisation and online accessibility of cultural material and digital preservation (2011/711/EU), the Council conclusions on the digitisation and online accessibility of cultural material and digital preservation (10-12 May 2012), and the Commission Communication "Towards an integrated approach to cultural heritage for Europe" (COM(2014) 477 final)</w:t>
      </w:r>
      <w:r>
        <w:t>.</w:t>
      </w:r>
    </w:p>
  </w:footnote>
  <w:footnote w:id="373">
    <w:p w:rsidR="004B69C4" w:rsidRPr="00836A17" w:rsidRDefault="004B69C4" w:rsidP="001F36A0">
      <w:pPr>
        <w:pStyle w:val="FootnoteText"/>
      </w:pPr>
      <w:r>
        <w:rPr>
          <w:rStyle w:val="FootnoteReference"/>
        </w:rPr>
        <w:footnoteRef/>
      </w:r>
      <w:r>
        <w:t xml:space="preserve"> </w:t>
      </w:r>
      <w:r>
        <w:tab/>
        <w:t>The exception applies to p</w:t>
      </w:r>
      <w:r w:rsidRPr="00836A17">
        <w:t>ublicly accessible libraries, educational establishments and museums, as well as archives</w:t>
      </w:r>
      <w:r>
        <w:t xml:space="preserve"> </w:t>
      </w:r>
      <w:r w:rsidRPr="00836A17">
        <w:t xml:space="preserve">(Article </w:t>
      </w:r>
      <w:r>
        <w:t>5(2)c of the InfoSoc Directive). Its implementation in MS covers preservation or similar notions (like 'conservation'), but can also apply to other or less defined library activities, like 'internal purposes of the institution' or 'administration and organisation' of the collections.</w:t>
      </w:r>
      <w:r w:rsidRPr="003C44FB">
        <w:t xml:space="preserve"> </w:t>
      </w:r>
    </w:p>
  </w:footnote>
  <w:footnote w:id="374">
    <w:p w:rsidR="004B69C4" w:rsidRPr="005E0C3A" w:rsidRDefault="004B69C4" w:rsidP="001F36A0">
      <w:pPr>
        <w:pStyle w:val="FootnoteText"/>
      </w:pPr>
      <w:r>
        <w:rPr>
          <w:rStyle w:val="FootnoteReference"/>
        </w:rPr>
        <w:footnoteRef/>
      </w:r>
      <w:r>
        <w:t xml:space="preserve"> </w:t>
      </w:r>
      <w:r>
        <w:tab/>
        <w:t>Notably in the 2013-2014 public consultation.</w:t>
      </w:r>
    </w:p>
  </w:footnote>
  <w:footnote w:id="375">
    <w:p w:rsidR="004B69C4" w:rsidRPr="00FD6CF6" w:rsidRDefault="004B69C4" w:rsidP="00041DC6">
      <w:pPr>
        <w:pStyle w:val="FootnoteText"/>
      </w:pPr>
      <w:r>
        <w:rPr>
          <w:rStyle w:val="FootnoteReference"/>
        </w:rPr>
        <w:footnoteRef/>
      </w:r>
      <w:r>
        <w:t xml:space="preserve"> </w:t>
      </w:r>
      <w:r>
        <w:tab/>
        <w:t>British Library, "Living Knowledge: the British Library 2015-2023", September 2015.</w:t>
      </w:r>
    </w:p>
  </w:footnote>
  <w:footnote w:id="376">
    <w:p w:rsidR="004B69C4" w:rsidRPr="008F5630" w:rsidRDefault="004B69C4" w:rsidP="00041DC6">
      <w:pPr>
        <w:pStyle w:val="FootnoteText"/>
      </w:pPr>
      <w:r>
        <w:rPr>
          <w:rStyle w:val="FootnoteReference"/>
        </w:rPr>
        <w:footnoteRef/>
      </w:r>
      <w:r>
        <w:t xml:space="preserve"> </w:t>
      </w:r>
      <w:r>
        <w:tab/>
        <w:t xml:space="preserve">On the concept and purposes of 'digitisation', as applied to preservation and to the digitisation and dissemination of out-of-commerce works in the collections of </w:t>
      </w:r>
      <w:r w:rsidRPr="00E14962">
        <w:t>CHIs (section 3.4), see</w:t>
      </w:r>
      <w:r w:rsidRPr="007F25BF">
        <w:t xml:space="preserve"> Annex </w:t>
      </w:r>
      <w:r w:rsidRPr="00707CFE">
        <w:t>9B</w:t>
      </w:r>
      <w:r w:rsidRPr="007F25BF">
        <w:t>.</w:t>
      </w:r>
      <w:r>
        <w:t xml:space="preserve"> </w:t>
      </w:r>
    </w:p>
  </w:footnote>
  <w:footnote w:id="377">
    <w:p w:rsidR="004B69C4" w:rsidRPr="00D255F2" w:rsidRDefault="004B69C4" w:rsidP="00041DC6">
      <w:pPr>
        <w:pStyle w:val="FootnoteText"/>
      </w:pPr>
      <w:r w:rsidRPr="00A151C3">
        <w:rPr>
          <w:rStyle w:val="FootnoteReference"/>
        </w:rPr>
        <w:footnoteRef/>
      </w:r>
      <w:r w:rsidRPr="00A151C3">
        <w:t xml:space="preserve"> </w:t>
      </w:r>
      <w:r w:rsidRPr="00A151C3">
        <w:tab/>
      </w:r>
      <w:r w:rsidRPr="00300A70">
        <w:t>'Born-digital work</w:t>
      </w:r>
      <w:r>
        <w:t>s' are</w:t>
      </w:r>
      <w:r w:rsidRPr="00300A70">
        <w:t xml:space="preserve"> work</w:t>
      </w:r>
      <w:r>
        <w:t>s</w:t>
      </w:r>
      <w:r w:rsidRPr="00300A70">
        <w:t xml:space="preserve"> that w</w:t>
      </w:r>
      <w:r>
        <w:t>ere</w:t>
      </w:r>
      <w:r w:rsidRPr="00300A70">
        <w:t xml:space="preserve"> created directly in digital form</w:t>
      </w:r>
      <w:r>
        <w:t>, as opposed to a conversion from an analogue source.</w:t>
      </w:r>
    </w:p>
  </w:footnote>
  <w:footnote w:id="378">
    <w:p w:rsidR="004B69C4" w:rsidRPr="00C867D4" w:rsidRDefault="004B69C4" w:rsidP="00041DC6">
      <w:pPr>
        <w:pStyle w:val="FootnoteText"/>
      </w:pPr>
      <w:r>
        <w:rPr>
          <w:rStyle w:val="FootnoteReference"/>
        </w:rPr>
        <w:footnoteRef/>
      </w:r>
      <w:r>
        <w:t xml:space="preserve"> </w:t>
      </w:r>
      <w:r>
        <w:tab/>
        <w:t>The British Library's "Digital Preservation Strategy 2013-2016" (March 2013) describes these characteristics as the "inherent instability and transient nature" of digital content.</w:t>
      </w:r>
    </w:p>
  </w:footnote>
  <w:footnote w:id="379">
    <w:p w:rsidR="004B69C4" w:rsidRPr="0031098A" w:rsidRDefault="004B69C4" w:rsidP="00041DC6">
      <w:pPr>
        <w:pStyle w:val="FootnoteText"/>
      </w:pPr>
      <w:r>
        <w:rPr>
          <w:rStyle w:val="FootnoteReference"/>
        </w:rPr>
        <w:footnoteRef/>
      </w:r>
      <w:r>
        <w:t xml:space="preserve"> </w:t>
      </w:r>
      <w:r>
        <w:tab/>
        <w:t>These practices are for example acknowledged as "essential" for preservation purposes in the 2012 "Statement on the Implementation of (Statutory and Voluntary) Deposit Schemes for Non-Print Publications" by the Conference of European National Librarians (CENL) and the Federation of European Publishers (FEP). The choice of the best media or formats for preservation purposes depends on a variety of factors like for example the level of their adoption, any dependencies on other formats and systems, size and complexity aspects etc.</w:t>
      </w:r>
    </w:p>
  </w:footnote>
  <w:footnote w:id="380">
    <w:p w:rsidR="004B69C4" w:rsidRPr="00F2077B" w:rsidRDefault="004B69C4" w:rsidP="00041DC6">
      <w:pPr>
        <w:pStyle w:val="FootnoteText"/>
      </w:pPr>
      <w:r>
        <w:rPr>
          <w:rStyle w:val="FootnoteReference"/>
        </w:rPr>
        <w:footnoteRef/>
      </w:r>
      <w:r>
        <w:t xml:space="preserve"> </w:t>
      </w:r>
      <w:r>
        <w:tab/>
      </w:r>
      <w:r w:rsidRPr="008012CB">
        <w:t xml:space="preserve">A recent study estimated in </w:t>
      </w:r>
      <w:r>
        <w:t>€</w:t>
      </w:r>
      <w:r w:rsidRPr="008012CB">
        <w:t>500 million the cost of preserving the DE film heritage alone ("DE 2015-2013 national report on the implementation of the Commission Recommendation on Digitisation and Online Accessibility of Cultural Material and Digital Preservation").</w:t>
      </w:r>
      <w:r w:rsidRPr="00591C7E">
        <w:t xml:space="preserve"> A cultural heritage expert described digital preservation to Commission services as "a new science".</w:t>
      </w:r>
    </w:p>
  </w:footnote>
  <w:footnote w:id="381">
    <w:p w:rsidR="004B69C4" w:rsidRPr="009F078C" w:rsidRDefault="004B69C4" w:rsidP="00041DC6">
      <w:pPr>
        <w:pStyle w:val="FootnoteText"/>
      </w:pPr>
      <w:r>
        <w:rPr>
          <w:rStyle w:val="FootnoteReference"/>
        </w:rPr>
        <w:footnoteRef/>
      </w:r>
      <w:r>
        <w:t xml:space="preserve"> </w:t>
      </w:r>
      <w:r w:rsidRPr="00CD0F0E">
        <w:tab/>
      </w:r>
      <w:r>
        <w:t>This aspect, along with issues related to the national implementation of the current exception for 'specific acts of reproduction' emerged frequently in institutional user responses to the 2013-2014 public consultation.</w:t>
      </w:r>
    </w:p>
  </w:footnote>
  <w:footnote w:id="382">
    <w:p w:rsidR="004B69C4" w:rsidRPr="00D16C4A" w:rsidRDefault="004B69C4" w:rsidP="001F36A0">
      <w:pPr>
        <w:pStyle w:val="FootnoteText"/>
      </w:pPr>
      <w:r>
        <w:rPr>
          <w:rStyle w:val="FootnoteReference"/>
        </w:rPr>
        <w:footnoteRef/>
      </w:r>
      <w:r>
        <w:t xml:space="preserve"> </w:t>
      </w:r>
      <w:r>
        <w:tab/>
        <w:t>See A</w:t>
      </w:r>
      <w:r w:rsidRPr="00A42A31">
        <w:t xml:space="preserve">nnex </w:t>
      </w:r>
      <w:r w:rsidRPr="006955B8">
        <w:t>9A</w:t>
      </w:r>
      <w:r w:rsidRPr="00A42A31">
        <w:t xml:space="preserve"> for</w:t>
      </w:r>
      <w:r>
        <w:t xml:space="preserve"> estimations and data on the magnitude of CHIs collections at aggregate and institutional level.</w:t>
      </w:r>
    </w:p>
  </w:footnote>
  <w:footnote w:id="383">
    <w:p w:rsidR="004B69C4" w:rsidRPr="00052DA5" w:rsidRDefault="004B69C4" w:rsidP="001F36A0">
      <w:pPr>
        <w:pStyle w:val="FootnoteText"/>
      </w:pPr>
      <w:r>
        <w:rPr>
          <w:rStyle w:val="FootnoteReference"/>
        </w:rPr>
        <w:footnoteRef/>
      </w:r>
      <w:r>
        <w:t xml:space="preserve"> </w:t>
      </w:r>
      <w:r>
        <w:tab/>
      </w:r>
      <w:r w:rsidRPr="00787F9D">
        <w:rPr>
          <w:bCs/>
        </w:rPr>
        <w:t>R.</w:t>
      </w:r>
      <w:r>
        <w:rPr>
          <w:bCs/>
        </w:rPr>
        <w:t xml:space="preserve"> </w:t>
      </w:r>
      <w:r w:rsidRPr="00787F9D">
        <w:rPr>
          <w:bCs/>
        </w:rPr>
        <w:t>Pollock – P.</w:t>
      </w:r>
      <w:r>
        <w:rPr>
          <w:bCs/>
        </w:rPr>
        <w:t xml:space="preserve"> </w:t>
      </w:r>
      <w:r w:rsidRPr="00787F9D">
        <w:rPr>
          <w:bCs/>
        </w:rPr>
        <w:t>Stepan, "The size</w:t>
      </w:r>
      <w:r>
        <w:rPr>
          <w:bCs/>
        </w:rPr>
        <w:t xml:space="preserve"> of the EU public domain", 2009. The study only aimed at providing a gross estimation of the public domain in Europe and is based on a number of approximations. See also J. Boulanger </w:t>
      </w:r>
      <w:r w:rsidRPr="005724F5">
        <w:rPr>
          <w:bCs/>
          <w:i/>
        </w:rPr>
        <w:t>et al</w:t>
      </w:r>
      <w:r>
        <w:rPr>
          <w:bCs/>
          <w:i/>
        </w:rPr>
        <w:t>.</w:t>
      </w:r>
      <w:r>
        <w:rPr>
          <w:bCs/>
        </w:rPr>
        <w:t>, "Assessing the economic impacts of adapting certain limitations and exceptions to copyright and related rights. Analysis of specific policy options", Charles River Associates, May 2014.</w:t>
      </w:r>
    </w:p>
  </w:footnote>
  <w:footnote w:id="384">
    <w:p w:rsidR="004B69C4" w:rsidRPr="00DA0A2F" w:rsidRDefault="004B69C4" w:rsidP="00041DC6">
      <w:pPr>
        <w:pStyle w:val="FootnoteText"/>
      </w:pPr>
      <w:r>
        <w:rPr>
          <w:rStyle w:val="FootnoteReference"/>
        </w:rPr>
        <w:footnoteRef/>
      </w:r>
      <w:r>
        <w:t xml:space="preserve"> </w:t>
      </w:r>
      <w:r w:rsidRPr="0072257F">
        <w:tab/>
      </w:r>
      <w:r>
        <w:t xml:space="preserve">See J-P. Triaille </w:t>
      </w:r>
      <w:r w:rsidRPr="00AC4575">
        <w:rPr>
          <w:i/>
        </w:rPr>
        <w:t>et a</w:t>
      </w:r>
      <w:r>
        <w:rPr>
          <w:i/>
        </w:rPr>
        <w:t>l</w:t>
      </w:r>
      <w:r w:rsidRPr="00AC4575">
        <w:rPr>
          <w:i/>
        </w:rPr>
        <w:t>l</w:t>
      </w:r>
      <w:r>
        <w:rPr>
          <w:i/>
        </w:rPr>
        <w:t>.,</w:t>
      </w:r>
      <w:r w:rsidRPr="00413FCF">
        <w:t xml:space="preserve"> "Study on the application of Directive 2001/29/EC on copyright and related rights in the information society", De Wolf </w:t>
      </w:r>
      <w:r>
        <w:t>&amp; P</w:t>
      </w:r>
      <w:r w:rsidRPr="00413FCF">
        <w:t>artners, December 2013</w:t>
      </w:r>
      <w:r>
        <w:t xml:space="preserve">, </w:t>
      </w:r>
      <w:r w:rsidRPr="00951FF2">
        <w:t xml:space="preserve">European Commission, </w:t>
      </w:r>
      <w:r w:rsidRPr="008012CB">
        <w:t>"Report on the Implementation of Commission Recommendation 2011/711/EU – 2013-2015", 2016,</w:t>
      </w:r>
      <w:r w:rsidRPr="00D37EE7">
        <w:t xml:space="preserve"> and European Commission, "Report on the Implementation of the European Parliament and Council Recommendation on Film Heritage 2012-2013", 2014.</w:t>
      </w:r>
    </w:p>
  </w:footnote>
  <w:footnote w:id="385">
    <w:p w:rsidR="004B69C4" w:rsidRPr="003C0EA2" w:rsidRDefault="004B69C4" w:rsidP="001F36A0">
      <w:pPr>
        <w:pStyle w:val="FootnoteText"/>
      </w:pPr>
      <w:r w:rsidRPr="003C0EA2">
        <w:rPr>
          <w:rStyle w:val="FootnoteReference"/>
        </w:rPr>
        <w:footnoteRef/>
      </w:r>
      <w:r>
        <w:t xml:space="preserve"> </w:t>
      </w:r>
      <w:r>
        <w:tab/>
      </w:r>
      <w:r w:rsidRPr="002E5C06">
        <w:t>These transaction costs can be reduced by the effect of innovative tools and projects like ARROW and FORWARD</w:t>
      </w:r>
      <w:r>
        <w:t xml:space="preserve"> (see more in Annex </w:t>
      </w:r>
      <w:r w:rsidRPr="006955B8">
        <w:t>9I</w:t>
      </w:r>
      <w:r>
        <w:t>)</w:t>
      </w:r>
      <w:r w:rsidRPr="002E5C06">
        <w:t xml:space="preserve">, and the database foreseen by the Orphan Works Directive.  Except for </w:t>
      </w:r>
      <w:r>
        <w:t>the Orphan Works database</w:t>
      </w:r>
      <w:r w:rsidRPr="002E5C06">
        <w:t xml:space="preserve">, these tools are however only relevant for a part of the relevant transaction costs and are only available for certain types of works. </w:t>
      </w:r>
    </w:p>
  </w:footnote>
  <w:footnote w:id="386">
    <w:p w:rsidR="004B69C4" w:rsidRPr="002C211A" w:rsidRDefault="004B69C4" w:rsidP="001F36A0">
      <w:pPr>
        <w:pStyle w:val="FootnoteText"/>
      </w:pPr>
      <w:r>
        <w:rPr>
          <w:rStyle w:val="FootnoteReference"/>
        </w:rPr>
        <w:footnoteRef/>
      </w:r>
      <w:r>
        <w:t xml:space="preserve"> </w:t>
      </w:r>
      <w:r>
        <w:tab/>
        <w:t>For example</w:t>
      </w:r>
      <w:r w:rsidRPr="002C211A">
        <w:t xml:space="preserve">, </w:t>
      </w:r>
      <w:r>
        <w:t xml:space="preserve">in a project carried out by ANLux, the national archives of Luxembourg, related to photographs from the 1950-1970s, most authorisations sought from 22 photographers (or their heirs) were provided for free. In a separate example, </w:t>
      </w:r>
      <w:r w:rsidRPr="002C211A">
        <w:t xml:space="preserve">only one out of the 17 </w:t>
      </w:r>
      <w:r>
        <w:t>rightholders</w:t>
      </w:r>
      <w:r w:rsidRPr="002C211A">
        <w:t xml:space="preserve"> that gave authorisation to digitise their work asked for a fee (see: B. Stratton, "Seeking new landscapes. A rights clearance study in the context of mass digitisation of 140 books published between 1870 and 2010", 2011).</w:t>
      </w:r>
      <w:r>
        <w:t xml:space="preserve"> As being about digitisation and making available of works (rather than preservation), these examples belong to the uses treated </w:t>
      </w:r>
      <w:r w:rsidRPr="00E14962">
        <w:t>under section 3.4, and</w:t>
      </w:r>
      <w:r>
        <w:t xml:space="preserve"> are used here by analogy on the reasonable assumption that the value for rightholders of making available of a work online is higher than that of simple preservation copying. They are illustrated more in detail in Annex 9D.</w:t>
      </w:r>
    </w:p>
  </w:footnote>
  <w:footnote w:id="387">
    <w:p w:rsidR="004B69C4" w:rsidRPr="009A40D3" w:rsidRDefault="004B69C4" w:rsidP="00041DC6">
      <w:pPr>
        <w:pStyle w:val="FootnoteText"/>
      </w:pPr>
      <w:r>
        <w:rPr>
          <w:rStyle w:val="FootnoteReference"/>
        </w:rPr>
        <w:footnoteRef/>
      </w:r>
      <w:r>
        <w:t xml:space="preserve"> </w:t>
      </w:r>
      <w:r>
        <w:tab/>
        <w:t xml:space="preserve">For example the 2012 "Statement on the Implementation of (Statutory and Voluntary) Deposit Schemes for Non-Print Publications" by the Conference of European National Librarians (CENL) and the Federation of European Publishers (FEP), and the 2010 Framework Agreement to Establish Procedures for Voluntary Deposits of Film with Preservation Archives concluded between the Association of European Film Libraries (ACE) and the International Federation of Film Producers Associations (FIAPF) and the associated template for bilateral agreements. The acquisition of copies by CHIs does not require agreements with rightholders where deposit is a legal obligation. This type of agreements can however still be relevant in that context for other aspects, like for example cooperation between parties on delivery methods or formats, and conditions for access of works by end-users.  </w:t>
      </w:r>
    </w:p>
  </w:footnote>
  <w:footnote w:id="388">
    <w:p w:rsidR="004B69C4" w:rsidRPr="00333620" w:rsidRDefault="004B69C4" w:rsidP="00041DC6">
      <w:pPr>
        <w:pStyle w:val="FootnoteText"/>
      </w:pPr>
      <w:r>
        <w:rPr>
          <w:rStyle w:val="FootnoteReference"/>
        </w:rPr>
        <w:footnoteRef/>
      </w:r>
      <w:r>
        <w:t xml:space="preserve"> </w:t>
      </w:r>
      <w:r w:rsidRPr="00CD0F0E">
        <w:tab/>
        <w:t xml:space="preserve">In </w:t>
      </w:r>
      <w:r>
        <w:t>scientific publishing</w:t>
      </w:r>
      <w:r w:rsidRPr="00CD0F0E">
        <w:t>, subscription licences to electronic resources</w:t>
      </w:r>
      <w:r>
        <w:t xml:space="preserve"> that</w:t>
      </w:r>
      <w:r w:rsidRPr="00CD0F0E">
        <w:t xml:space="preserve"> are made available remotely </w:t>
      </w:r>
      <w:r>
        <w:t>to library users by a publisher</w:t>
      </w:r>
      <w:r w:rsidRPr="00CD0F0E">
        <w:t xml:space="preserve"> can also foresee the delivery of a permanent archival copy to the contracting library and preservation copies as part of authorised uses. </w:t>
      </w:r>
      <w:r w:rsidRPr="0089093B">
        <w:t xml:space="preserve">According to a survey by the International Association of Scientific, Technical and Medical Publishers (STM) </w:t>
      </w:r>
      <w:r>
        <w:t xml:space="preserve">among a part of its members, </w:t>
      </w:r>
      <w:r w:rsidRPr="0089093B">
        <w:t xml:space="preserve">87% of </w:t>
      </w:r>
      <w:r>
        <w:t xml:space="preserve">subscription </w:t>
      </w:r>
      <w:r w:rsidRPr="0089093B">
        <w:t xml:space="preserve">licences allowed for preservation copies by the licensee or foresaw </w:t>
      </w:r>
      <w:r>
        <w:t>other preservation arrangements. The latter include</w:t>
      </w:r>
      <w:r w:rsidRPr="0089093B">
        <w:t xml:space="preserve"> systems, based on cooperation between publishers and research libraries, which </w:t>
      </w:r>
      <w:r>
        <w:t>usually entrust preservation to third-party entities,</w:t>
      </w:r>
      <w:r w:rsidRPr="0089093B">
        <w:t xml:space="preserve"> based on prior authorisation by publishers. Well-known examples are the e-Depot (managed by the Dutch National Library), LOCKSS, CLOCKSS, and Portico</w:t>
      </w:r>
      <w:r>
        <w:t xml:space="preserve">. </w:t>
      </w:r>
      <w:r w:rsidRPr="00CD0F0E">
        <w:t xml:space="preserve">These mechanisms are however also concerned with the subsequent making available of works under certain conditions (notably 'trigger events', for example the publisher being no longer in business). </w:t>
      </w:r>
      <w:r>
        <w:t>An overview of these 'keeper' initiatives is available from the Keepers' Registry (</w:t>
      </w:r>
      <w:hyperlink r:id="rId66" w:history="1">
        <w:r w:rsidRPr="008175D8">
          <w:rPr>
            <w:rStyle w:val="Hyperlink"/>
          </w:rPr>
          <w:t>http://thekeepers.org</w:t>
        </w:r>
      </w:hyperlink>
      <w:r>
        <w:t>).</w:t>
      </w:r>
    </w:p>
  </w:footnote>
  <w:footnote w:id="389">
    <w:p w:rsidR="004B69C4" w:rsidRPr="00E37AF3" w:rsidRDefault="004B69C4" w:rsidP="001F36A0">
      <w:pPr>
        <w:pStyle w:val="FootnoteText"/>
      </w:pPr>
      <w:r>
        <w:rPr>
          <w:rStyle w:val="FootnoteReference"/>
        </w:rPr>
        <w:footnoteRef/>
      </w:r>
      <w:r>
        <w:t xml:space="preserve"> </w:t>
      </w:r>
      <w:r>
        <w:tab/>
        <w:t>Including in the 2013-2014 public consultation.</w:t>
      </w:r>
    </w:p>
  </w:footnote>
  <w:footnote w:id="390">
    <w:p w:rsidR="004B69C4" w:rsidRPr="00052DA5" w:rsidRDefault="004B69C4" w:rsidP="001F36A0">
      <w:pPr>
        <w:pStyle w:val="FootnoteText"/>
      </w:pPr>
      <w:r>
        <w:rPr>
          <w:rStyle w:val="FootnoteReference"/>
        </w:rPr>
        <w:footnoteRef/>
      </w:r>
      <w:r>
        <w:t xml:space="preserve"> </w:t>
      </w:r>
      <w:r>
        <w:tab/>
      </w:r>
      <w:r w:rsidRPr="00F907FD">
        <w:t>G.J. Nauta – W. van den Heuvel, DEN Foundation on behalf of Europeana/ENUMERATE, "Survey Report on Digitisation in European Cultural Heritage Institutions 2015", June 2015</w:t>
      </w:r>
      <w:r>
        <w:t>. See also Annex 9A for examples of the extent of digital collections.</w:t>
      </w:r>
    </w:p>
  </w:footnote>
  <w:footnote w:id="391">
    <w:p w:rsidR="004B69C4" w:rsidRPr="0076400F" w:rsidRDefault="004B69C4" w:rsidP="001F36A0">
      <w:pPr>
        <w:pStyle w:val="FootnoteText"/>
      </w:pPr>
      <w:r>
        <w:rPr>
          <w:rStyle w:val="FootnoteReference"/>
        </w:rPr>
        <w:footnoteRef/>
      </w:r>
      <w:r>
        <w:t xml:space="preserve"> </w:t>
      </w:r>
      <w:r>
        <w:tab/>
        <w:t>British Library, "Digital Preservation Strategy 2013-2016", March 2013.</w:t>
      </w:r>
    </w:p>
  </w:footnote>
  <w:footnote w:id="392">
    <w:p w:rsidR="004B69C4" w:rsidRPr="00951FF2" w:rsidRDefault="004B69C4" w:rsidP="00041DC6">
      <w:pPr>
        <w:pStyle w:val="FootnoteText"/>
      </w:pPr>
      <w:r>
        <w:rPr>
          <w:rStyle w:val="FootnoteReference"/>
        </w:rPr>
        <w:footnoteRef/>
      </w:r>
      <w:r>
        <w:t xml:space="preserve"> </w:t>
      </w:r>
      <w:r w:rsidRPr="005724F5">
        <w:tab/>
      </w:r>
      <w:r>
        <w:t>See section 4.4.1.</w:t>
      </w:r>
    </w:p>
  </w:footnote>
  <w:footnote w:id="393">
    <w:p w:rsidR="004B69C4" w:rsidRPr="00710E73" w:rsidRDefault="004B69C4" w:rsidP="00041DC6">
      <w:pPr>
        <w:pStyle w:val="FootnoteText"/>
      </w:pPr>
      <w:r>
        <w:rPr>
          <w:rStyle w:val="FootnoteReference"/>
        </w:rPr>
        <w:footnoteRef/>
      </w:r>
      <w:r>
        <w:t xml:space="preserve"> </w:t>
      </w:r>
      <w:r>
        <w:tab/>
        <w:t>This position was very broadly shared among right holder respondents in the 2013-2014 public consultation, which emphasised preference for licensing solutions and voluntary cooperation.</w:t>
      </w:r>
    </w:p>
  </w:footnote>
  <w:footnote w:id="394">
    <w:p w:rsidR="004B69C4" w:rsidRPr="00710E73" w:rsidRDefault="004B69C4" w:rsidP="00041DC6">
      <w:pPr>
        <w:pStyle w:val="FootnoteText"/>
      </w:pPr>
      <w:r>
        <w:rPr>
          <w:rStyle w:val="FootnoteReference"/>
        </w:rPr>
        <w:footnoteRef/>
      </w:r>
      <w:r>
        <w:t xml:space="preserve"> </w:t>
      </w:r>
      <w:r>
        <w:tab/>
        <w:t>Institutional respondents in the 2013-2014 public consultation largely favoured legislative interventions.</w:t>
      </w:r>
    </w:p>
  </w:footnote>
  <w:footnote w:id="395">
    <w:p w:rsidR="004B69C4" w:rsidRPr="00C934AA" w:rsidRDefault="004B69C4" w:rsidP="00041DC6">
      <w:pPr>
        <w:pStyle w:val="FootnoteText"/>
      </w:pPr>
      <w:r>
        <w:rPr>
          <w:rStyle w:val="FootnoteReference"/>
        </w:rPr>
        <w:footnoteRef/>
      </w:r>
      <w:r>
        <w:t xml:space="preserve"> </w:t>
      </w:r>
      <w:r>
        <w:tab/>
        <w:t xml:space="preserve">Including through systems like </w:t>
      </w:r>
      <w:r w:rsidRPr="001450DD">
        <w:t xml:space="preserve">the </w:t>
      </w:r>
      <w:r>
        <w:t xml:space="preserve">e-Depot of the </w:t>
      </w:r>
      <w:r w:rsidRPr="001450DD">
        <w:t>Dutch National Library, LOCKSS</w:t>
      </w:r>
      <w:r>
        <w:t>,</w:t>
      </w:r>
      <w:r w:rsidRPr="001450DD">
        <w:t xml:space="preserve"> CLOCKSS, and Portico</w:t>
      </w:r>
      <w:r>
        <w:t>.</w:t>
      </w:r>
    </w:p>
  </w:footnote>
  <w:footnote w:id="396">
    <w:p w:rsidR="004B69C4" w:rsidRPr="00C934AA" w:rsidRDefault="004B69C4" w:rsidP="00041DC6">
      <w:pPr>
        <w:pStyle w:val="FootnoteText"/>
      </w:pPr>
      <w:r>
        <w:rPr>
          <w:rStyle w:val="FootnoteReference"/>
        </w:rPr>
        <w:footnoteRef/>
      </w:r>
      <w:r>
        <w:t xml:space="preserve"> </w:t>
      </w:r>
      <w:r>
        <w:tab/>
        <w:t>Except if other areas of law limit this possibility, notably possible legal deposit obligations.</w:t>
      </w:r>
    </w:p>
  </w:footnote>
  <w:footnote w:id="397">
    <w:p w:rsidR="004B69C4" w:rsidRPr="00870589" w:rsidRDefault="004B69C4" w:rsidP="00041DC6">
      <w:pPr>
        <w:pStyle w:val="FootnoteText"/>
      </w:pPr>
      <w:r>
        <w:rPr>
          <w:rStyle w:val="FootnoteReference"/>
        </w:rPr>
        <w:footnoteRef/>
      </w:r>
      <w:r>
        <w:t xml:space="preserve"> </w:t>
      </w:r>
      <w:r w:rsidRPr="005724F5">
        <w:tab/>
      </w:r>
      <w:r>
        <w:t>Under "Preservation", the Recommendation of the European Parliament and of the Council of 16 November 2005 on film heritage and the competitiveness of related industrial activities (2005/865/CE) recommended MS to adopt measures to include "the reproduction of films on new storage media". The Commission Recommendation on the digitisation and online accessibility of cultural material and digital preservation (2011/711/EU) recommended MS to "make explicit and clear provision in their legislation so as to allow multiple copying and migration of digital cultural material by public institutions for preservation purposes, in full respect of European Union and international legislation on intellectual property rights". A similar objective for 2012-2015 was included in the Council Conclusions on the digitisation and online preservation of cultural material and digital preservation of 10-11 May 2012 which invited MS to "ensure long-term digital preservation".</w:t>
      </w:r>
    </w:p>
  </w:footnote>
  <w:footnote w:id="398">
    <w:p w:rsidR="004B69C4" w:rsidRPr="00BB59D2" w:rsidRDefault="004B69C4" w:rsidP="00041DC6">
      <w:pPr>
        <w:pStyle w:val="FootnoteText"/>
      </w:pPr>
      <w:r>
        <w:rPr>
          <w:rStyle w:val="FootnoteReference"/>
        </w:rPr>
        <w:footnoteRef/>
      </w:r>
      <w:r>
        <w:t xml:space="preserve"> </w:t>
      </w:r>
      <w:r w:rsidRPr="005724F5">
        <w:tab/>
        <w:t>European Commission</w:t>
      </w:r>
      <w:r>
        <w:t>,</w:t>
      </w:r>
      <w:r w:rsidRPr="005724F5">
        <w:t xml:space="preserve"> </w:t>
      </w:r>
      <w:r w:rsidRPr="008012CB">
        <w:t>"Report on the Implementation of Commission Recommendation 2011/711/EU – 2013-2015", 2016,</w:t>
      </w:r>
      <w:r w:rsidRPr="005724F5">
        <w:t xml:space="preserve"> and European Commission, "Report on the Implementation of the European Parliament and Council Recommendation on Film Heritage 2012-2013", 2014</w:t>
      </w:r>
      <w:r>
        <w:t>.</w:t>
      </w:r>
    </w:p>
  </w:footnote>
  <w:footnote w:id="399">
    <w:p w:rsidR="004B69C4" w:rsidRDefault="004B69C4" w:rsidP="00041DC6">
      <w:pPr>
        <w:pStyle w:val="FootnoteText"/>
      </w:pPr>
      <w:r>
        <w:rPr>
          <w:rStyle w:val="FootnoteReference"/>
        </w:rPr>
        <w:footnoteRef/>
      </w:r>
      <w:r>
        <w:t xml:space="preserve"> </w:t>
      </w:r>
      <w:r>
        <w:tab/>
      </w:r>
      <w:r w:rsidRPr="00EC7B4C">
        <w:t>G.J. Nauta – W. van den Heuvel, DEN Foundation on behalf of Europeana/ENUMERATE, "Survey Report on Digitisation in European Cultural Heritage Institutions 2015", June 2015</w:t>
      </w:r>
      <w:r>
        <w:t xml:space="preserve">. For further data on the diversity of works within individual CHI collections see Annex </w:t>
      </w:r>
      <w:r w:rsidRPr="006955B8">
        <w:t>9A</w:t>
      </w:r>
      <w:r w:rsidRPr="002732B7">
        <w:t>.</w:t>
      </w:r>
    </w:p>
  </w:footnote>
  <w:footnote w:id="400">
    <w:p w:rsidR="004B69C4" w:rsidRPr="00AA51F7" w:rsidRDefault="004B69C4" w:rsidP="00041DC6">
      <w:pPr>
        <w:pStyle w:val="FootnoteText"/>
      </w:pPr>
      <w:r>
        <w:rPr>
          <w:rStyle w:val="FootnoteReference"/>
        </w:rPr>
        <w:footnoteRef/>
      </w:r>
      <w:r>
        <w:t xml:space="preserve"> </w:t>
      </w:r>
      <w:r>
        <w:tab/>
      </w:r>
      <w:r w:rsidRPr="00AA51F7">
        <w:t>UK Government, "Impact assessment on copyright exception for archiving and preservation", 2014 (</w:t>
      </w:r>
      <w:hyperlink r:id="rId67" w:history="1">
        <w:r w:rsidRPr="00B604C4">
          <w:rPr>
            <w:rStyle w:val="Hyperlink"/>
          </w:rPr>
          <w:t>http://www.legislation.gov.uk/ukia/2014/157/pdfs/ukia_20140157_en.pdf</w:t>
        </w:r>
      </w:hyperlink>
      <w:r w:rsidRPr="00AA51F7">
        <w:t>)</w:t>
      </w:r>
      <w:r>
        <w:t>.</w:t>
      </w:r>
    </w:p>
  </w:footnote>
  <w:footnote w:id="401">
    <w:p w:rsidR="004B69C4" w:rsidRDefault="004B69C4" w:rsidP="00041DC6">
      <w:pPr>
        <w:pStyle w:val="FootnoteText"/>
      </w:pPr>
      <w:r w:rsidRPr="0072257F">
        <w:rPr>
          <w:rStyle w:val="FootnoteReference"/>
        </w:rPr>
        <w:footnoteRef/>
      </w:r>
      <w:r w:rsidRPr="0072257F">
        <w:t xml:space="preserve"> </w:t>
      </w:r>
      <w:r w:rsidRPr="0072257F">
        <w:tab/>
      </w:r>
      <w:r>
        <w:t>There are various reasons for such dispersion, for example historical changes in territorial boundaries. Different versions of a work can exist in different MS. There are for example cases of cinematographic works that underwent cuts due to censorship in the country they originate from, which did not affect copies that were held abroad.</w:t>
      </w:r>
    </w:p>
  </w:footnote>
  <w:footnote w:id="402">
    <w:p w:rsidR="004B69C4" w:rsidRPr="008012CB" w:rsidRDefault="004B69C4" w:rsidP="008C0F9E">
      <w:pPr>
        <w:pStyle w:val="FootnoteText"/>
        <w:ind w:left="709" w:hanging="709"/>
        <w:rPr>
          <w:rFonts w:eastAsiaTheme="minorHAnsi"/>
          <w:lang w:eastAsia="en-US"/>
        </w:rPr>
      </w:pPr>
      <w:r w:rsidRPr="008012CB">
        <w:rPr>
          <w:rStyle w:val="FootnoteReference"/>
        </w:rPr>
        <w:footnoteRef/>
      </w:r>
      <w:r w:rsidRPr="008012CB">
        <w:t xml:space="preserve"> </w:t>
      </w:r>
      <w:r w:rsidRPr="008012CB">
        <w:tab/>
      </w:r>
      <w:r>
        <w:t xml:space="preserve">Commission </w:t>
      </w:r>
      <w:r w:rsidRPr="008012CB">
        <w:t xml:space="preserve">Communication on Online Platforms and the Digital Single Market Opportunities and Challenges for Europe, </w:t>
      </w:r>
      <w:r>
        <w:rPr>
          <w:rFonts w:cs="Arial"/>
        </w:rPr>
        <w:t xml:space="preserve">(COM(2016) 288/2), </w:t>
      </w:r>
      <w:hyperlink r:id="rId68" w:history="1">
        <w:r w:rsidRPr="008012CB">
          <w:rPr>
            <w:rStyle w:val="Hyperlink"/>
          </w:rPr>
          <w:t>http://europa.eu/rapid/press-release_IP-16-1873_en.htm</w:t>
        </w:r>
      </w:hyperlink>
    </w:p>
    <w:p w:rsidR="004B69C4" w:rsidRPr="008012CB" w:rsidRDefault="004B69C4" w:rsidP="008C0F9E">
      <w:pPr>
        <w:pStyle w:val="FootnoteText"/>
        <w:rPr>
          <w:rFonts w:asciiTheme="minorHAnsi" w:hAnsiTheme="minorHAnsi" w:cstheme="minorBidi"/>
        </w:rPr>
      </w:pPr>
    </w:p>
  </w:footnote>
  <w:footnote w:id="403">
    <w:p w:rsidR="004B69C4" w:rsidRPr="00F7354D" w:rsidRDefault="004B69C4" w:rsidP="00D67123">
      <w:pPr>
        <w:pStyle w:val="FootnoteText"/>
      </w:pPr>
      <w:r>
        <w:rPr>
          <w:rStyle w:val="FootnoteReference"/>
        </w:rPr>
        <w:footnoteRef/>
      </w:r>
      <w:r>
        <w:t xml:space="preserve"> </w:t>
      </w:r>
      <w:r>
        <w:tab/>
      </w:r>
      <w:r w:rsidRPr="00F7354D">
        <w:t>Directive 2006/115/EC of the European Parliament and of the Council of 12 December 2006 on rental right and lending right and on certain rights related to copyright in the field of intellectual property</w:t>
      </w:r>
      <w:r>
        <w:t xml:space="preserve"> </w:t>
      </w:r>
      <w:r>
        <w:rPr>
          <w:rFonts w:eastAsia="Arial Unicode MS"/>
        </w:rPr>
        <w:t>(</w:t>
      </w:r>
      <w:r w:rsidRPr="00496A96">
        <w:rPr>
          <w:rFonts w:eastAsia="Arial Unicode MS"/>
        </w:rPr>
        <w:t>OJ L 376, 27.12.2006, p. 28–35</w:t>
      </w:r>
      <w:r>
        <w:rPr>
          <w:rFonts w:eastAsia="Arial Unicode MS"/>
        </w:rPr>
        <w:t>)</w:t>
      </w:r>
    </w:p>
  </w:footnote>
  <w:footnote w:id="404">
    <w:p w:rsidR="004B69C4" w:rsidRPr="00F7354D" w:rsidRDefault="004B69C4" w:rsidP="00D67123">
      <w:pPr>
        <w:pStyle w:val="Default"/>
        <w:ind w:left="709" w:hanging="709"/>
        <w:jc w:val="both"/>
        <w:rPr>
          <w:rFonts w:eastAsia="Calibri"/>
          <w:color w:val="auto"/>
          <w:sz w:val="20"/>
          <w:szCs w:val="20"/>
          <w:lang w:eastAsia="en-GB"/>
        </w:rPr>
      </w:pPr>
      <w:r w:rsidRPr="00F7354D">
        <w:rPr>
          <w:rStyle w:val="FootnoteReference"/>
          <w:rFonts w:eastAsia="Calibri"/>
          <w:color w:val="auto"/>
          <w:sz w:val="20"/>
          <w:szCs w:val="20"/>
          <w:lang w:eastAsia="en-GB"/>
        </w:rPr>
        <w:footnoteRef/>
      </w:r>
      <w:r>
        <w:t xml:space="preserve"> </w:t>
      </w:r>
      <w:r>
        <w:tab/>
      </w:r>
      <w:r w:rsidRPr="00F7354D">
        <w:rPr>
          <w:rFonts w:eastAsia="Calibri"/>
          <w:color w:val="auto"/>
          <w:sz w:val="20"/>
          <w:szCs w:val="20"/>
          <w:lang w:eastAsia="en-GB"/>
        </w:rPr>
        <w:t>Directive 2011/77/EU of the European Parliament and of the Council of 27 September 2011 amending Directive 2006/116/EC on the term protection of copyright and certain related rights</w:t>
      </w:r>
      <w:r>
        <w:rPr>
          <w:rFonts w:eastAsia="Calibri"/>
          <w:color w:val="auto"/>
          <w:sz w:val="20"/>
          <w:szCs w:val="20"/>
          <w:lang w:eastAsia="en-GB"/>
        </w:rPr>
        <w:t xml:space="preserve"> (OJ L265, 11.10.2011, p.1-5)</w:t>
      </w:r>
    </w:p>
  </w:footnote>
  <w:footnote w:id="405">
    <w:p w:rsidR="004B69C4" w:rsidRPr="008350EF" w:rsidRDefault="004B69C4">
      <w:pPr>
        <w:pStyle w:val="FootnoteText"/>
      </w:pPr>
      <w:r>
        <w:rPr>
          <w:rStyle w:val="FootnoteReference"/>
        </w:rPr>
        <w:footnoteRef/>
      </w:r>
      <w:r>
        <w:t xml:space="preserve"> </w:t>
      </w:r>
      <w:r>
        <w:tab/>
        <w:t xml:space="preserve">This is based on the views expressed by MS in the public consultation on the role of publishers in the copyright value chain. </w:t>
      </w:r>
    </w:p>
  </w:footnote>
  <w:footnote w:id="406">
    <w:p w:rsidR="004B69C4" w:rsidRPr="008012CB" w:rsidRDefault="004B69C4" w:rsidP="008C0F9E">
      <w:pPr>
        <w:pStyle w:val="FootnoteText"/>
        <w:ind w:left="709" w:hanging="709"/>
      </w:pPr>
      <w:r w:rsidRPr="008012CB">
        <w:rPr>
          <w:rStyle w:val="FootnoteReference"/>
        </w:rPr>
        <w:footnoteRef/>
      </w:r>
      <w:r w:rsidRPr="008012CB">
        <w:t xml:space="preserve"> </w:t>
      </w:r>
      <w:r w:rsidRPr="008012CB">
        <w:tab/>
        <w:t xml:space="preserve">Source: Eurostat, Structural Business Statistics, 2013 data for publishing of books, periodicals and other publishing activities (J581); motion picture, video and television programme production, sound recording and music publishing activities (J59); data processing, hosting and related activities; web portals (J631). </w:t>
      </w:r>
    </w:p>
  </w:footnote>
  <w:footnote w:id="407">
    <w:p w:rsidR="004B69C4" w:rsidRPr="00BC2C89" w:rsidRDefault="004B69C4" w:rsidP="002A7940">
      <w:pPr>
        <w:pStyle w:val="FootnoteText"/>
      </w:pPr>
      <w:r w:rsidRPr="004C5704">
        <w:rPr>
          <w:rStyle w:val="FootnoteReference"/>
        </w:rPr>
        <w:footnoteRef/>
      </w:r>
      <w:r w:rsidRPr="00891C05">
        <w:t xml:space="preserve"> </w:t>
      </w:r>
      <w:r>
        <w:tab/>
      </w:r>
      <w:r w:rsidRPr="00891C05">
        <w:t>See, for example, r</w:t>
      </w:r>
      <w:r w:rsidRPr="004C5704">
        <w:t>esults from a study commissioned by GESAC showing that cultural content could represent up to 66</w:t>
      </w:r>
      <w:r>
        <w:t xml:space="preserve"> </w:t>
      </w:r>
      <w:r w:rsidRPr="004C5704">
        <w:t xml:space="preserve">% of YouTube views and that </w:t>
      </w:r>
      <w:r>
        <w:t>music videos</w:t>
      </w:r>
      <w:r w:rsidRPr="004C5704">
        <w:t xml:space="preserve"> received 59</w:t>
      </w:r>
      <w:r>
        <w:t xml:space="preserve"> </w:t>
      </w:r>
      <w:r w:rsidRPr="004C5704">
        <w:t xml:space="preserve">% of total views: </w:t>
      </w:r>
      <w:hyperlink r:id="rId69" w:history="1">
        <w:r w:rsidRPr="00D67123">
          <w:rPr>
            <w:rStyle w:val="Hyperlink"/>
          </w:rPr>
          <w:t>http://www.rolandberger.com/gallery/pdf/Report_for_GESAC_Online_Intermediaries_2015_Nov_EUR.pdf</w:t>
        </w:r>
      </w:hyperlink>
      <w:r w:rsidRPr="005C3EF1">
        <w:rPr>
          <w:i/>
        </w:rPr>
        <w:t>.</w:t>
      </w:r>
      <w:r w:rsidRPr="005C3EF1">
        <w:t xml:space="preserve"> </w:t>
      </w:r>
    </w:p>
  </w:footnote>
  <w:footnote w:id="408">
    <w:p w:rsidR="004B69C4" w:rsidRPr="00D67123" w:rsidRDefault="004B69C4" w:rsidP="00D1507D">
      <w:pPr>
        <w:pStyle w:val="table-text"/>
        <w:spacing w:line="240" w:lineRule="auto"/>
        <w:ind w:left="709" w:hanging="709"/>
      </w:pPr>
      <w:r w:rsidRPr="00BC2C89">
        <w:rPr>
          <w:rStyle w:val="FootnoteReference"/>
        </w:rPr>
        <w:footnoteRef/>
      </w:r>
      <w:r w:rsidRPr="00BC2C89">
        <w:rPr>
          <w:rStyle w:val="FootnoteReference"/>
        </w:rPr>
        <w:t xml:space="preserve"> </w:t>
      </w:r>
      <w:r>
        <w:tab/>
      </w:r>
      <w:r w:rsidRPr="00D1507D">
        <w:rPr>
          <w:sz w:val="20"/>
          <w:lang w:val="en-US"/>
        </w:rPr>
        <w:t>As of October 2015, Youtube had 1.3 billion users, i.e. 33</w:t>
      </w:r>
      <w:r>
        <w:rPr>
          <w:sz w:val="20"/>
          <w:lang w:val="en-US"/>
        </w:rPr>
        <w:t xml:space="preserve"> </w:t>
      </w:r>
      <w:r w:rsidRPr="00D1507D">
        <w:rPr>
          <w:sz w:val="20"/>
          <w:lang w:val="en-US"/>
        </w:rPr>
        <w:t xml:space="preserve">% of internet users. It is the world’s largest online video platform with </w:t>
      </w:r>
      <w:r w:rsidRPr="00BC2C89">
        <w:rPr>
          <w:rStyle w:val="FootnoteTextChar"/>
        </w:rPr>
        <w:t xml:space="preserve">400 hours of video content uploaded every minute, </w:t>
      </w:r>
      <w:hyperlink r:id="rId70" w:history="1">
        <w:r w:rsidRPr="00D67123">
          <w:rPr>
            <w:rStyle w:val="Hyperlink"/>
            <w:rFonts w:eastAsia="Calibri"/>
            <w:sz w:val="20"/>
            <w:szCs w:val="20"/>
            <w:lang w:eastAsia="en-GB"/>
          </w:rPr>
          <w:t>https://www.youtube.com/yt/press/statistics.html</w:t>
        </w:r>
      </w:hyperlink>
      <w:r w:rsidRPr="00D67123">
        <w:rPr>
          <w:rStyle w:val="Hyperlink"/>
          <w:rFonts w:eastAsia="Calibri"/>
          <w:sz w:val="20"/>
          <w:szCs w:val="20"/>
          <w:lang w:eastAsia="en-GB"/>
        </w:rPr>
        <w:t xml:space="preserve"> and </w:t>
      </w:r>
      <w:hyperlink r:id="rId71" w:history="1">
        <w:r w:rsidRPr="00D67123">
          <w:rPr>
            <w:rStyle w:val="Hyperlink"/>
            <w:rFonts w:eastAsia="Calibri"/>
            <w:sz w:val="20"/>
            <w:szCs w:val="20"/>
            <w:lang w:eastAsia="en-GB"/>
          </w:rPr>
          <w:t>http://www.statisticbrain.com/youtube-statistics/</w:t>
        </w:r>
      </w:hyperlink>
      <w:r w:rsidRPr="00D1507D">
        <w:rPr>
          <w:sz w:val="20"/>
        </w:rPr>
        <w:t xml:space="preserve">. </w:t>
      </w:r>
      <w:r w:rsidRPr="0003243D">
        <w:rPr>
          <w:rStyle w:val="FootnoteTextChar"/>
        </w:rPr>
        <w:t xml:space="preserve">Daily Motion </w:t>
      </w:r>
      <w:r>
        <w:rPr>
          <w:rStyle w:val="FootnoteTextChar"/>
        </w:rPr>
        <w:t xml:space="preserve">advertises itself as </w:t>
      </w:r>
      <w:r w:rsidRPr="00BC2C89">
        <w:rPr>
          <w:rStyle w:val="FootnoteTextChar"/>
        </w:rPr>
        <w:t xml:space="preserve">one of the biggest video platforms and most popular European sites </w:t>
      </w:r>
      <w:r>
        <w:rPr>
          <w:rStyle w:val="FootnoteTextChar"/>
        </w:rPr>
        <w:t>attracting 300</w:t>
      </w:r>
      <w:r w:rsidRPr="00BC2C89">
        <w:rPr>
          <w:rStyle w:val="FootnoteTextChar"/>
        </w:rPr>
        <w:t xml:space="preserve"> million u</w:t>
      </w:r>
      <w:r>
        <w:rPr>
          <w:rStyle w:val="FootnoteTextChar"/>
        </w:rPr>
        <w:t>se</w:t>
      </w:r>
      <w:r w:rsidRPr="00BC2C89">
        <w:rPr>
          <w:rStyle w:val="FootnoteTextChar"/>
        </w:rPr>
        <w:t>rs</w:t>
      </w:r>
      <w:r>
        <w:rPr>
          <w:rStyle w:val="FootnoteTextChar"/>
        </w:rPr>
        <w:t xml:space="preserve"> watching</w:t>
      </w:r>
      <w:r w:rsidRPr="00BC2C89">
        <w:rPr>
          <w:rStyle w:val="FootnoteTextChar"/>
        </w:rPr>
        <w:t xml:space="preserve"> </w:t>
      </w:r>
      <w:r>
        <w:rPr>
          <w:rStyle w:val="FootnoteTextChar"/>
        </w:rPr>
        <w:t>3</w:t>
      </w:r>
      <w:r w:rsidRPr="00BC2C89">
        <w:rPr>
          <w:rStyle w:val="FootnoteTextChar"/>
        </w:rPr>
        <w:t xml:space="preserve">.5 billion video views every month, </w:t>
      </w:r>
      <w:hyperlink r:id="rId72" w:history="1">
        <w:r w:rsidRPr="00D67123">
          <w:rPr>
            <w:rStyle w:val="Hyperlink"/>
            <w:rFonts w:eastAsia="Calibri"/>
            <w:sz w:val="20"/>
            <w:szCs w:val="20"/>
            <w:lang w:eastAsia="en-GB"/>
          </w:rPr>
          <w:t>http://www.dailymotion.com/be-fr/about</w:t>
        </w:r>
      </w:hyperlink>
      <w:r w:rsidRPr="00BC2C89">
        <w:rPr>
          <w:rStyle w:val="FootnoteTextChar"/>
        </w:rPr>
        <w:t xml:space="preserve">. </w:t>
      </w:r>
      <w:r w:rsidRPr="0003243D">
        <w:rPr>
          <w:rStyle w:val="FootnoteTextChar"/>
        </w:rPr>
        <w:t>Vimeo</w:t>
      </w:r>
      <w:r w:rsidRPr="00BC2C89">
        <w:rPr>
          <w:rStyle w:val="FootnoteTextChar"/>
        </w:rPr>
        <w:t xml:space="preserve">, another global online video platform, has a monthly audience of more than 170 million people and 35 million registered users, </w:t>
      </w:r>
      <w:hyperlink r:id="rId73" w:history="1">
        <w:r w:rsidRPr="00D67123">
          <w:rPr>
            <w:rStyle w:val="Hyperlink"/>
            <w:rFonts w:eastAsia="Calibri"/>
            <w:sz w:val="20"/>
            <w:szCs w:val="20"/>
          </w:rPr>
          <w:t>http://iac.com/brand/vimeo</w:t>
        </w:r>
      </w:hyperlink>
      <w:r w:rsidRPr="00D67123">
        <w:rPr>
          <w:rStyle w:val="FootnoteTextChar"/>
        </w:rPr>
        <w:t xml:space="preserve">.  </w:t>
      </w:r>
      <w:r w:rsidRPr="00D67123">
        <w:rPr>
          <w:sz w:val="20"/>
          <w:lang w:val="en-US"/>
        </w:rPr>
        <w:t xml:space="preserve">SoundCloud currently has approximately 250 million registered users while it had about 150 million registered users in 2015 (and 11 million in 2011), </w:t>
      </w:r>
      <w:hyperlink r:id="rId74" w:history="1">
        <w:r w:rsidRPr="00D67123">
          <w:rPr>
            <w:rStyle w:val="Hyperlink"/>
            <w:rFonts w:eastAsia="Calibri"/>
            <w:sz w:val="20"/>
            <w:szCs w:val="20"/>
            <w:lang w:eastAsia="en-GB"/>
          </w:rPr>
          <w:t>http://www.bloomberg.com/news/features/2015-07-10/can-soundcloud-be-the-facebook-of-music-</w:t>
        </w:r>
      </w:hyperlink>
      <w:r w:rsidRPr="00D67123">
        <w:rPr>
          <w:rStyle w:val="Hyperlink"/>
          <w:color w:val="auto"/>
          <w:sz w:val="20"/>
          <w:u w:val="none"/>
        </w:rPr>
        <w:t>.</w:t>
      </w:r>
      <w:r w:rsidRPr="00D67123">
        <w:rPr>
          <w:sz w:val="20"/>
          <w:lang w:val="en-US"/>
        </w:rPr>
        <w:t xml:space="preserve"> </w:t>
      </w:r>
      <w:r w:rsidRPr="00D67123">
        <w:rPr>
          <w:rStyle w:val="FootnoteTextChar"/>
        </w:rPr>
        <w:t>Pinterest</w:t>
      </w:r>
      <w:r w:rsidRPr="00D67123">
        <w:rPr>
          <w:sz w:val="20"/>
        </w:rPr>
        <w:t xml:space="preserve"> </w:t>
      </w:r>
      <w:r w:rsidRPr="00D67123">
        <w:rPr>
          <w:sz w:val="20"/>
          <w:lang w:val="en-US"/>
        </w:rPr>
        <w:t xml:space="preserve">states that it has more than 100 million monthly active users, </w:t>
      </w:r>
      <w:hyperlink r:id="rId75" w:history="1">
        <w:r w:rsidRPr="00D67123">
          <w:rPr>
            <w:rStyle w:val="Hyperlink"/>
            <w:rFonts w:eastAsia="Calibri"/>
            <w:sz w:val="20"/>
            <w:szCs w:val="20"/>
            <w:lang w:eastAsia="en-GB"/>
          </w:rPr>
          <w:t>http://venturebeat.com/2015/09/16/pinterest-finally-shares-its-size-100m-monthly-active-users-and-counting/</w:t>
        </w:r>
      </w:hyperlink>
      <w:r w:rsidRPr="00D67123">
        <w:rPr>
          <w:sz w:val="20"/>
          <w:lang w:val="en-US"/>
        </w:rPr>
        <w:t xml:space="preserve">. </w:t>
      </w:r>
    </w:p>
  </w:footnote>
  <w:footnote w:id="409">
    <w:p w:rsidR="004B69C4" w:rsidRPr="00D67123" w:rsidRDefault="004B69C4" w:rsidP="00D1507D">
      <w:pPr>
        <w:pStyle w:val="PlainText"/>
        <w:ind w:left="709" w:hanging="709"/>
        <w:jc w:val="both"/>
        <w:rPr>
          <w:rFonts w:ascii="Consolas" w:hAnsi="Consolas"/>
          <w:b/>
          <w:sz w:val="21"/>
        </w:rPr>
      </w:pPr>
      <w:r w:rsidRPr="00D67123">
        <w:rPr>
          <w:rStyle w:val="FootnoteReference"/>
          <w:rFonts w:ascii="Times New Roman" w:hAnsi="Times New Roman"/>
        </w:rPr>
        <w:footnoteRef/>
      </w:r>
      <w:r w:rsidRPr="00D67123">
        <w:rPr>
          <w:rFonts w:ascii="Times New Roman" w:hAnsi="Times New Roman"/>
          <w:sz w:val="20"/>
        </w:rPr>
        <w:t xml:space="preserve"> </w:t>
      </w:r>
      <w:r w:rsidRPr="00D67123">
        <w:rPr>
          <w:rFonts w:ascii="Times New Roman" w:hAnsi="Times New Roman"/>
          <w:sz w:val="20"/>
        </w:rPr>
        <w:tab/>
        <w:t xml:space="preserve">Youtube is estimated to be worth more than $70 billion, and its revenues are reported to have reached $9billion </w:t>
      </w:r>
      <w:r w:rsidRPr="00D67123">
        <w:rPr>
          <w:rFonts w:ascii="Times New Roman" w:hAnsi="Times New Roman" w:cs="Times New Roman"/>
          <w:sz w:val="20"/>
          <w:szCs w:val="20"/>
        </w:rPr>
        <w:t xml:space="preserve">  </w:t>
      </w:r>
      <w:r w:rsidRPr="00D67123">
        <w:rPr>
          <w:rFonts w:ascii="Times New Roman" w:hAnsi="Times New Roman"/>
          <w:sz w:val="20"/>
        </w:rPr>
        <w:t xml:space="preserve">in 2015, </w:t>
      </w:r>
      <w:r w:rsidRPr="00D67123">
        <w:rPr>
          <w:rStyle w:val="Hyperlink"/>
          <w:rFonts w:ascii="Times New Roman" w:hAnsi="Times New Roman" w:cs="Times New Roman"/>
          <w:sz w:val="20"/>
          <w:szCs w:val="20"/>
          <w:lang w:eastAsia="en-GB"/>
        </w:rPr>
        <w:t>h</w:t>
      </w:r>
      <w:hyperlink r:id="rId76" w:history="1">
        <w:r w:rsidRPr="00D67123">
          <w:rPr>
            <w:rStyle w:val="Hyperlink"/>
            <w:rFonts w:ascii="Times New Roman" w:hAnsi="Times New Roman" w:cs="Times New Roman"/>
            <w:sz w:val="20"/>
            <w:szCs w:val="20"/>
            <w:lang w:eastAsia="en-GB"/>
          </w:rPr>
          <w:t>ttp://www.bloomberg.com/news/articles/2015-05-27/a-bank-of-america-analysis-says-youtube-is-worth-more-than-85-percent-of-companies-in-the-s-p-500, http://www.musicbusinessworldwide.com/youtube-will-earn-9bn-in-revenue-this-year-towering-over-spotify/.</w:t>
        </w:r>
      </w:hyperlink>
      <w:r w:rsidRPr="00D67123">
        <w:rPr>
          <w:rFonts w:ascii="Times New Roman" w:hAnsi="Times New Roman"/>
          <w:sz w:val="20"/>
        </w:rPr>
        <w:t xml:space="preserve"> Pinterest has been valued at $12 billion in 2015, </w:t>
      </w:r>
      <w:hyperlink r:id="rId77" w:history="1">
        <w:r w:rsidRPr="00D67123">
          <w:rPr>
            <w:rStyle w:val="Hyperlink"/>
            <w:rFonts w:ascii="Times New Roman" w:hAnsi="Times New Roman" w:cs="Times New Roman"/>
            <w:sz w:val="20"/>
            <w:szCs w:val="20"/>
            <w:lang w:eastAsia="en-GB"/>
          </w:rPr>
          <w:t>http://expandedramblings.com/index.php/pinterest-stats/</w:t>
        </w:r>
      </w:hyperlink>
      <w:r w:rsidRPr="00D67123">
        <w:rPr>
          <w:rFonts w:ascii="Times New Roman" w:hAnsi="Times New Roman"/>
          <w:sz w:val="20"/>
        </w:rPr>
        <w:t xml:space="preserve">. </w:t>
      </w:r>
      <w:r w:rsidRPr="00D67123">
        <w:rPr>
          <w:rFonts w:ascii="Times New Roman" w:hAnsi="Times New Roman"/>
          <w:sz w:val="20"/>
          <w:lang w:val="en-US"/>
        </w:rPr>
        <w:t xml:space="preserve">Soundcloud has been valued at $700 million in 2014 </w:t>
      </w:r>
      <w:r w:rsidRPr="00D67123">
        <w:rPr>
          <w:rStyle w:val="Hyperlink"/>
          <w:rFonts w:ascii="Times New Roman" w:hAnsi="Times New Roman" w:cs="Times New Roman"/>
          <w:sz w:val="20"/>
          <w:szCs w:val="20"/>
          <w:lang w:eastAsia="en-GB"/>
        </w:rPr>
        <w:t>http://www.businessinsider.com/soundcloud-valuation-2014-1?IR=T</w:t>
      </w:r>
      <w:r w:rsidRPr="00D67123">
        <w:rPr>
          <w:rFonts w:ascii="Times New Roman" w:hAnsi="Times New Roman"/>
          <w:sz w:val="20"/>
          <w:lang w:val="en-US"/>
        </w:rPr>
        <w:t xml:space="preserve">. Dailymotion was valued at $295 million in 2015, see </w:t>
      </w:r>
      <w:r w:rsidRPr="00D67123">
        <w:rPr>
          <w:rStyle w:val="Hyperlink"/>
          <w:rFonts w:ascii="Times New Roman" w:hAnsi="Times New Roman" w:cs="Times New Roman"/>
          <w:sz w:val="20"/>
          <w:szCs w:val="20"/>
          <w:lang w:eastAsia="en-GB"/>
        </w:rPr>
        <w:t>http://techcrunch.com/2015/06/30/vivendi-buys-80-of-frances-dailymotion-valuing-the-youtube-rival-at-295m/</w:t>
      </w:r>
      <w:r w:rsidRPr="00D67123">
        <w:rPr>
          <w:rFonts w:ascii="Times New Roman" w:hAnsi="Times New Roman"/>
          <w:sz w:val="20"/>
          <w:lang w:val="en-US"/>
        </w:rPr>
        <w:t>.</w:t>
      </w:r>
    </w:p>
  </w:footnote>
  <w:footnote w:id="410">
    <w:p w:rsidR="004B69C4" w:rsidRPr="00D67123" w:rsidRDefault="004B69C4" w:rsidP="002A7940">
      <w:pPr>
        <w:pStyle w:val="FootnoteText"/>
      </w:pPr>
      <w:r w:rsidRPr="00D67123">
        <w:rPr>
          <w:rStyle w:val="FootnoteReference"/>
          <w:rFonts w:eastAsiaTheme="majorEastAsia"/>
        </w:rPr>
        <w:footnoteRef/>
      </w:r>
      <w:r w:rsidRPr="00D67123">
        <w:t xml:space="preserve"> </w:t>
      </w:r>
      <w:r w:rsidRPr="00D67123">
        <w:tab/>
        <w:t xml:space="preserve">See for example the letter sent by 186 artists to the US Congress in June 2016, </w:t>
      </w:r>
      <w:hyperlink r:id="rId78" w:history="1">
        <w:r w:rsidRPr="00D67123">
          <w:rPr>
            <w:rStyle w:val="Hyperlink"/>
          </w:rPr>
          <w:t>http://www.musicbusinessworldwide.com/revealed-the-186-artists-protesting-against-youtube-shielding-dmca-laws/</w:t>
        </w:r>
      </w:hyperlink>
      <w:r w:rsidRPr="00D67123">
        <w:t xml:space="preserve">. See also the position of Impala, the independent music companies' association, regarding the situation on the market, </w:t>
      </w:r>
      <w:r w:rsidRPr="00D67123">
        <w:rPr>
          <w:rStyle w:val="Hyperlink"/>
        </w:rPr>
        <w:t>http://www.thedigitalpost.eu/2015/channel-digital-single-market/copyright-birds-eye-view-independent-music-sector</w:t>
      </w:r>
      <w:r w:rsidRPr="00D67123">
        <w:t>.</w:t>
      </w:r>
    </w:p>
  </w:footnote>
  <w:footnote w:id="411">
    <w:p w:rsidR="004B69C4" w:rsidRPr="00D67123" w:rsidRDefault="004B69C4" w:rsidP="002A7940">
      <w:pPr>
        <w:pStyle w:val="FootnoteText"/>
      </w:pPr>
      <w:r w:rsidRPr="008012CB">
        <w:rPr>
          <w:rStyle w:val="FootnoteReference"/>
        </w:rPr>
        <w:footnoteRef/>
      </w:r>
      <w:r w:rsidRPr="008012CB">
        <w:t xml:space="preserve"> </w:t>
      </w:r>
      <w:r w:rsidRPr="008012CB">
        <w:tab/>
      </w:r>
      <w:r w:rsidRPr="00D67123">
        <w:t xml:space="preserve">Collective management organisations representing authors in the music sector have reported failures to obtain licences with services like Dailymotion, Vimeo or Myspace. Besides refusals of licences, renewals of contracts may also fail, as reported by GEMA, the German authors' collecting society, </w:t>
      </w:r>
      <w:hyperlink r:id="rId79" w:history="1">
        <w:r w:rsidRPr="00D67123">
          <w:rPr>
            <w:rStyle w:val="Hyperlink"/>
          </w:rPr>
          <w:t>http://www.dw.com/en/german-battle-over-youtube-royalties-wages-on/a-5951245</w:t>
        </w:r>
      </w:hyperlink>
      <w:r w:rsidRPr="00D67123">
        <w:t xml:space="preserve">. For images, CEPIC has reported in their reply to the public consultation on online platforms that 80 %-90 % of their images used online are unlicensed, </w:t>
      </w:r>
      <w:hyperlink r:id="rId80" w:history="1">
        <w:r w:rsidRPr="00D67123">
          <w:rPr>
            <w:rStyle w:val="Hyperlink"/>
          </w:rPr>
          <w:t>https://ec.europa.eu/eusurvey/pdf/answer/6b37d157-1c33-44f8-893e-af86b3c96aa1</w:t>
        </w:r>
      </w:hyperlink>
      <w:r w:rsidRPr="00D67123">
        <w:t>. Services mentioned include Pinterest, Flickr and Tumblr. In submissions to the Commission from July 2015, Getty Images indicates that "it has been frustratingly difficult to enter into licensing arrangements with online platforms in respect of images that have been uploaded by unlicensed third parties".</w:t>
      </w:r>
    </w:p>
  </w:footnote>
  <w:footnote w:id="412">
    <w:p w:rsidR="004B69C4" w:rsidRPr="00D67123" w:rsidRDefault="004B69C4" w:rsidP="002A7940">
      <w:pPr>
        <w:pStyle w:val="FootnoteText"/>
      </w:pPr>
      <w:r w:rsidRPr="00D67123">
        <w:rPr>
          <w:rStyle w:val="FootnoteReference"/>
        </w:rPr>
        <w:footnoteRef/>
      </w:r>
      <w:r w:rsidRPr="00D67123">
        <w:t xml:space="preserve"> </w:t>
      </w:r>
      <w:r w:rsidRPr="00D67123">
        <w:tab/>
        <w:t xml:space="preserve">See the reply by Soundcloud to the public consultation on online platforms, </w:t>
      </w:r>
      <w:r w:rsidRPr="00D67123">
        <w:rPr>
          <w:rStyle w:val="Hyperlink"/>
        </w:rPr>
        <w:t>https://ec.europa.eu/eusurvey/pdf/answer/6acf2b21-865a-402c-876a-e2b67c0ceef9</w:t>
      </w:r>
      <w:r w:rsidRPr="00D67123">
        <w:t>.  Despite initial failures to reach agreements in certain cases, Soundcloud has by now concluded agreements with rightholders.</w:t>
      </w:r>
    </w:p>
  </w:footnote>
  <w:footnote w:id="413">
    <w:p w:rsidR="004B69C4" w:rsidRPr="00D67123" w:rsidRDefault="004B69C4" w:rsidP="002A7940">
      <w:pPr>
        <w:pStyle w:val="FootnoteText"/>
        <w:rPr>
          <w:rFonts w:eastAsiaTheme="minorHAnsi"/>
        </w:rPr>
      </w:pPr>
      <w:r w:rsidRPr="00D67123">
        <w:rPr>
          <w:rStyle w:val="FootnoteReference"/>
        </w:rPr>
        <w:footnoteRef/>
      </w:r>
      <w:r w:rsidRPr="00D67123">
        <w:t xml:space="preserve"> </w:t>
      </w:r>
      <w:r w:rsidRPr="00D67123">
        <w:tab/>
        <w:t>The information provided by rightholders, including in their replies to the public consultation on online platforms, shows the existence of some agreements on the market - see for example the reply by GESAC</w:t>
      </w:r>
      <w:r w:rsidRPr="00D67123">
        <w:rPr>
          <w:rFonts w:eastAsiaTheme="minorHAnsi"/>
        </w:rPr>
        <w:t>,</w:t>
      </w:r>
      <w:r w:rsidRPr="00D67123">
        <w:t xml:space="preserve"> </w:t>
      </w:r>
      <w:r w:rsidRPr="00D67123">
        <w:rPr>
          <w:rStyle w:val="Hyperlink"/>
        </w:rPr>
        <w:t>https://ec.europa.eu/eusurvey/pdf/answer/4ebd8857-927d-411f-9ff1-282e9f822ff3</w:t>
      </w:r>
      <w:r w:rsidRPr="00D67123">
        <w:t>.</w:t>
      </w:r>
    </w:p>
  </w:footnote>
  <w:footnote w:id="414">
    <w:p w:rsidR="004B69C4" w:rsidRPr="00D67123" w:rsidRDefault="004B69C4" w:rsidP="002A7940">
      <w:pPr>
        <w:pStyle w:val="FootnoteText"/>
      </w:pPr>
      <w:r w:rsidRPr="00D67123">
        <w:rPr>
          <w:rStyle w:val="FootnoteReference"/>
        </w:rPr>
        <w:footnoteRef/>
      </w:r>
      <w:r w:rsidRPr="00D67123">
        <w:t xml:space="preserve"> </w:t>
      </w:r>
      <w:r w:rsidRPr="00D67123">
        <w:tab/>
        <w:t xml:space="preserve">For the music sector, see for example a report published by the Music Managers Forum in 2015, "Dissecting the digital dollar", at p. 67, </w:t>
      </w:r>
      <w:hyperlink r:id="rId81" w:history="1">
        <w:r w:rsidRPr="00D67123">
          <w:rPr>
            <w:rStyle w:val="Hyperlink"/>
          </w:rPr>
          <w:t>http://themmf.net/digitaldollar/</w:t>
        </w:r>
      </w:hyperlink>
      <w:r w:rsidRPr="00D67123">
        <w:rPr>
          <w:rStyle w:val="Hyperlink"/>
        </w:rPr>
        <w:t>.</w:t>
      </w:r>
      <w:r w:rsidRPr="00D67123">
        <w:t xml:space="preserve"> Youtube has argued that its service rather creates additional value - where no value at all could be obtained - for rightholders through the possibility to generate revenues from user uploaded content, and a greater exposure of artists. According to Youtube, fan-uploaded content accounts for roughly 50</w:t>
      </w:r>
      <w:r>
        <w:t xml:space="preserve"> </w:t>
      </w:r>
      <w:r w:rsidRPr="00D67123">
        <w:t xml:space="preserve">% of the music industry’s revenue from YouTube. See article in the Guardian where Youtube's point of view on the value gap is described, </w:t>
      </w:r>
      <w:hyperlink r:id="rId82" w:history="1">
        <w:r w:rsidRPr="00D67123">
          <w:rPr>
            <w:rStyle w:val="Hyperlink"/>
          </w:rPr>
          <w:t>http://www.theguardian.com/music/musicblog/2016/apr/28/youtube-no-other-platform-gives-as-much-money-back-to-creators</w:t>
        </w:r>
      </w:hyperlink>
      <w:r w:rsidRPr="00D67123">
        <w:t xml:space="preserve">. Youtube also argues that their average user spends just one hour watching music on Youtube a month (as opposed to the 55 hours a month the average Spotify subscriber consumes), </w:t>
      </w:r>
      <w:hyperlink r:id="rId83" w:history="1">
        <w:r w:rsidRPr="00D67123">
          <w:rPr>
            <w:rStyle w:val="Hyperlink"/>
          </w:rPr>
          <w:t>http://youtubecreator.blogspot.be/2016/04/setting-record-straight.html</w:t>
        </w:r>
      </w:hyperlink>
      <w:r w:rsidRPr="00D67123">
        <w:t>.</w:t>
      </w:r>
    </w:p>
  </w:footnote>
  <w:footnote w:id="415">
    <w:p w:rsidR="004B69C4" w:rsidRPr="00D67123" w:rsidRDefault="004B69C4" w:rsidP="002A7940">
      <w:pPr>
        <w:pStyle w:val="FootnoteText"/>
      </w:pPr>
      <w:r w:rsidRPr="00D67123">
        <w:rPr>
          <w:rStyle w:val="FootnoteReference"/>
        </w:rPr>
        <w:footnoteRef/>
      </w:r>
      <w:r w:rsidRPr="00D67123">
        <w:t xml:space="preserve"> </w:t>
      </w:r>
      <w:r w:rsidRPr="00D67123">
        <w:tab/>
        <w:t xml:space="preserve">IFPI digital music report 2016, available at </w:t>
      </w:r>
      <w:r w:rsidRPr="00D67123">
        <w:rPr>
          <w:rStyle w:val="Hyperlink"/>
        </w:rPr>
        <w:t>http://www.ifpi.org/news/IFPI-GLOBAL-MUSIC-REPORT-2016</w:t>
      </w:r>
      <w:r w:rsidRPr="00D67123">
        <w:t xml:space="preserve">. </w:t>
      </w:r>
    </w:p>
  </w:footnote>
  <w:footnote w:id="416">
    <w:p w:rsidR="004B69C4" w:rsidRPr="00D67123" w:rsidRDefault="004B69C4" w:rsidP="002A7940">
      <w:pPr>
        <w:pStyle w:val="FootnoteText"/>
        <w:rPr>
          <w:i/>
        </w:rPr>
      </w:pPr>
      <w:r w:rsidRPr="00D67123">
        <w:rPr>
          <w:rStyle w:val="FootnoteReference"/>
        </w:rPr>
        <w:footnoteRef/>
      </w:r>
      <w:r w:rsidRPr="00D67123">
        <w:t xml:space="preserve"> </w:t>
      </w:r>
      <w:r w:rsidRPr="00D67123">
        <w:tab/>
        <w:t xml:space="preserve">The recording industry points to $2 billion having been paid by subscription services that had an estimated user base of 68 million in 2015. See IFPI Digital Music Report 2016. Artists have also voiced concerns about the level of payments, see for example </w:t>
      </w:r>
      <w:r w:rsidRPr="00D67123">
        <w:rPr>
          <w:rStyle w:val="Hyperlink"/>
        </w:rPr>
        <w:t>https://www.theguardian.com/music/musicblog/2016/may/02/nelly-furtado-youtube-artist-royalties-fair-pay</w:t>
      </w:r>
      <w:r w:rsidRPr="00D67123">
        <w:t>.</w:t>
      </w:r>
    </w:p>
  </w:footnote>
  <w:footnote w:id="417">
    <w:p w:rsidR="004B69C4" w:rsidRPr="00D67123" w:rsidRDefault="004B69C4" w:rsidP="002A7940">
      <w:pPr>
        <w:pStyle w:val="FootnoteText"/>
      </w:pPr>
      <w:r w:rsidRPr="008012CB">
        <w:rPr>
          <w:rStyle w:val="FootnoteReference"/>
        </w:rPr>
        <w:footnoteRef/>
      </w:r>
      <w:r w:rsidRPr="008012CB">
        <w:t xml:space="preserve"> </w:t>
      </w:r>
      <w:r w:rsidRPr="008012CB">
        <w:tab/>
        <w:t xml:space="preserve">See the position of Youtube, indicating the amount it has paid to the music industry since its foundation available at </w:t>
      </w:r>
      <w:hyperlink r:id="rId84" w:history="1">
        <w:r w:rsidRPr="00D67123">
          <w:rPr>
            <w:rStyle w:val="Hyperlink"/>
          </w:rPr>
          <w:t>http://www.musicbusinessworldwide.com/youtube-and-google-play-have-paid-out-3bn-to-record-industry/</w:t>
        </w:r>
      </w:hyperlink>
      <w:r w:rsidRPr="00D67123">
        <w:t xml:space="preserve"> and </w:t>
      </w:r>
      <w:r w:rsidRPr="00D67123">
        <w:rPr>
          <w:rStyle w:val="Hyperlink"/>
        </w:rPr>
        <w:t>http://www.digitalmusicnews.com/2016/06/14/youtube-responds-artists-fair-pay/.</w:t>
      </w:r>
    </w:p>
  </w:footnote>
  <w:footnote w:id="418">
    <w:p w:rsidR="004B69C4" w:rsidRPr="00D67123" w:rsidRDefault="004B69C4" w:rsidP="002A7940">
      <w:pPr>
        <w:pStyle w:val="FootnoteText"/>
      </w:pPr>
      <w:r w:rsidRPr="00D67123">
        <w:rPr>
          <w:rStyle w:val="FootnoteReference"/>
        </w:rPr>
        <w:footnoteRef/>
      </w:r>
      <w:r w:rsidRPr="00D67123">
        <w:t xml:space="preserve"> </w:t>
      </w:r>
      <w:r w:rsidRPr="00D67123">
        <w:tab/>
        <w:t xml:space="preserve">See sections 4.3 and 4.4 of the public consultation on online platforms, </w:t>
      </w:r>
      <w:r w:rsidRPr="00D67123">
        <w:rPr>
          <w:rStyle w:val="Hyperlink"/>
        </w:rPr>
        <w:t xml:space="preserve">https://ec.europa.eu/digital-single-market/en/news/full-report-results-public-consultation-regulatory-environment-platforms-online-intermediaries </w:t>
      </w:r>
      <w:r w:rsidRPr="00D67123">
        <w:t xml:space="preserve">as well as the replies of the music community to the US Copyright Office related to the section 512 study, </w:t>
      </w:r>
      <w:r w:rsidRPr="00D67123">
        <w:rPr>
          <w:rStyle w:val="Hyperlink"/>
        </w:rPr>
        <w:t>http://www.riaa.com/wp-content/uploads/2016/03/Music-Community-Submission-in-re-DMCA-512-FINAL-7559445.pdf</w:t>
      </w:r>
      <w:r w:rsidRPr="00D67123">
        <w:t xml:space="preserve">. Sony Music Entertainment has provided some evidence on this issue before the US Copyright Office: "… prior to reaching a licensing agreement with the popular music focused uploaded content service Soundcloud from April 1, 2015 to April 2016, Sony spent hundreds of thousands of dollars to manually </w:t>
      </w:r>
      <w:r w:rsidRPr="00F55E93">
        <w:t>review 1.5</w:t>
      </w:r>
      <w:r w:rsidRPr="00D67123">
        <w:t xml:space="preserve"> million metadata matches and to send takedown notices to remove approximatively 218</w:t>
      </w:r>
      <w:r>
        <w:t>,</w:t>
      </w:r>
      <w:r w:rsidRPr="00D67123">
        <w:t xml:space="preserve">000 infringing copies of Sony recordings from the soundcloud platform. Despite the scale of this enormous effort, it was only sufficient to monitor approximatively 15% of Sony's catalog on this single platform", see </w:t>
      </w:r>
      <w:hyperlink r:id="rId85" w:history="1">
        <w:r w:rsidRPr="00D67123">
          <w:rPr>
            <w:rStyle w:val="Hyperlink"/>
          </w:rPr>
          <w:t>https://www.regulations.gov/document?D=COLC-2015-0013-90111</w:t>
        </w:r>
      </w:hyperlink>
      <w:r w:rsidRPr="00D67123">
        <w:rPr>
          <w:rStyle w:val="Hyperlink"/>
        </w:rPr>
        <w:t>.</w:t>
      </w:r>
      <w:r w:rsidRPr="00D67123">
        <w:t xml:space="preserve"> See also IFPI reply to the public consultation on online platforms stating that: "around 90% of infringements that IFPI locates and addresses with a takedown request could have been avoided if the relevant services had taken measures to avoid that infringing content reappears after the first notification. For example, in 2015, One Direction’s “Drag Me Down” reappeared over 2,700 times on YouTube following the first notice", see </w:t>
      </w:r>
      <w:r w:rsidRPr="00D67123">
        <w:rPr>
          <w:rStyle w:val="Hyperlink"/>
        </w:rPr>
        <w:t>https://ec.europa.eu/eusurvey/pdf/answer/138c7b30-556b-4b7b-adf1-fe5ab8406f4c</w:t>
      </w:r>
      <w:r w:rsidRPr="00D67123">
        <w:t>.</w:t>
      </w:r>
    </w:p>
  </w:footnote>
  <w:footnote w:id="419">
    <w:p w:rsidR="004B69C4" w:rsidRPr="00D67123" w:rsidRDefault="004B69C4" w:rsidP="002A7940">
      <w:pPr>
        <w:spacing w:after="0"/>
        <w:jc w:val="both"/>
        <w:rPr>
          <w:rFonts w:ascii="Times New Roman" w:hAnsi="Times New Roman" w:cs="Times New Roman"/>
          <w:sz w:val="20"/>
          <w:szCs w:val="20"/>
          <w:lang w:eastAsia="en-GB"/>
        </w:rPr>
      </w:pPr>
      <w:r w:rsidRPr="00D67123">
        <w:rPr>
          <w:rStyle w:val="FootnoteReference"/>
        </w:rPr>
        <w:footnoteRef/>
      </w:r>
      <w:r w:rsidRPr="00D67123">
        <w:t xml:space="preserve"> </w:t>
      </w:r>
      <w:r w:rsidRPr="00D67123">
        <w:tab/>
      </w:r>
      <w:r w:rsidRPr="00D67123">
        <w:rPr>
          <w:rFonts w:ascii="Times New Roman" w:hAnsi="Times New Roman" w:cs="Times New Roman"/>
          <w:sz w:val="20"/>
          <w:szCs w:val="20"/>
        </w:rPr>
        <w:t xml:space="preserve">See some illustrative examples in Annex 12A. </w:t>
      </w:r>
      <w:r w:rsidRPr="00D67123">
        <w:rPr>
          <w:rFonts w:ascii="Times New Roman" w:hAnsi="Times New Roman" w:cs="Times New Roman"/>
          <w:sz w:val="20"/>
          <w:szCs w:val="20"/>
          <w:lang w:eastAsia="en-GB"/>
        </w:rPr>
        <w:t xml:space="preserve"> </w:t>
      </w:r>
    </w:p>
  </w:footnote>
  <w:footnote w:id="420">
    <w:p w:rsidR="004B69C4" w:rsidRPr="00814C3A" w:rsidRDefault="004B69C4" w:rsidP="002A7940">
      <w:pPr>
        <w:pStyle w:val="FootnoteText"/>
      </w:pPr>
      <w:r w:rsidRPr="00D67123">
        <w:rPr>
          <w:rStyle w:val="FootnoteReference"/>
        </w:rPr>
        <w:footnoteRef/>
      </w:r>
      <w:r w:rsidRPr="00D67123">
        <w:t xml:space="preserve"> </w:t>
      </w:r>
      <w:r w:rsidRPr="00D67123">
        <w:tab/>
        <w:t>See Annex 12A for more informat</w:t>
      </w:r>
      <w:r w:rsidRPr="00814C3A">
        <w:t xml:space="preserve">ion on the functioning of different technologies depending on the type of content. </w:t>
      </w:r>
    </w:p>
  </w:footnote>
  <w:footnote w:id="421">
    <w:p w:rsidR="004B69C4" w:rsidRPr="00814C3A" w:rsidRDefault="004B69C4" w:rsidP="002A7940">
      <w:pPr>
        <w:pStyle w:val="FootnoteText"/>
        <w:rPr>
          <w:rFonts w:eastAsiaTheme="minorHAnsi"/>
        </w:rPr>
      </w:pPr>
      <w:r w:rsidRPr="00814C3A">
        <w:rPr>
          <w:rStyle w:val="FootnoteReference"/>
        </w:rPr>
        <w:footnoteRef/>
      </w:r>
      <w:r w:rsidRPr="00814C3A">
        <w:t xml:space="preserve"> </w:t>
      </w:r>
      <w:r w:rsidRPr="00814C3A">
        <w:tab/>
        <w:t>Youtube for example indicates that only 0.5</w:t>
      </w:r>
      <w:r>
        <w:t xml:space="preserve"> </w:t>
      </w:r>
      <w:r w:rsidRPr="00814C3A">
        <w:t xml:space="preserve">% of all music claims are issued manually and that they handle the remaining 99.5% with 99.7% accuracy (through Content ID), </w:t>
      </w:r>
      <w:hyperlink r:id="rId86" w:history="1">
        <w:r w:rsidRPr="00814C3A">
          <w:rPr>
            <w:rStyle w:val="Hyperlink"/>
            <w:i/>
          </w:rPr>
          <w:t>https://www.theguardian.com/music/musicblog/2016/apr/28/youtube-no-other-platform-gives-as-much-money-back-to-creators</w:t>
        </w:r>
      </w:hyperlink>
      <w:r w:rsidRPr="00814C3A">
        <w:t xml:space="preserve">. This is contested by creators, see above. Audible Magic - the content identification technology and service provider - has indicated positive identification rates that exceed 99%, </w:t>
      </w:r>
      <w:r w:rsidRPr="00D67123">
        <w:rPr>
          <w:rStyle w:val="Hyperlink"/>
          <w:i/>
        </w:rPr>
        <w:t>http://www.audiblemagic.com/why-audible-magic/</w:t>
      </w:r>
      <w:r w:rsidRPr="00814C3A">
        <w:t>.</w:t>
      </w:r>
    </w:p>
  </w:footnote>
  <w:footnote w:id="422">
    <w:p w:rsidR="004B69C4" w:rsidRPr="00531146" w:rsidRDefault="004B69C4" w:rsidP="00D1507D">
      <w:pPr>
        <w:spacing w:after="0" w:line="240" w:lineRule="auto"/>
        <w:ind w:left="720" w:hanging="720"/>
        <w:jc w:val="both"/>
        <w:rPr>
          <w:bdr w:val="none" w:sz="0" w:space="0" w:color="auto" w:frame="1"/>
        </w:rPr>
      </w:pPr>
      <w:r w:rsidRPr="00D1507D">
        <w:rPr>
          <w:rStyle w:val="FootnoteReference"/>
          <w:rFonts w:ascii="Times New Roman" w:hAnsi="Times New Roman"/>
          <w:sz w:val="20"/>
        </w:rPr>
        <w:footnoteRef/>
      </w:r>
      <w:r w:rsidRPr="00D1507D">
        <w:rPr>
          <w:rFonts w:ascii="Times New Roman" w:hAnsi="Times New Roman"/>
          <w:sz w:val="20"/>
        </w:rPr>
        <w:t xml:space="preserve"> </w:t>
      </w:r>
      <w:r w:rsidRPr="00D1507D">
        <w:rPr>
          <w:rFonts w:ascii="Times New Roman" w:hAnsi="Times New Roman"/>
          <w:sz w:val="20"/>
        </w:rPr>
        <w:tab/>
      </w:r>
      <w:hyperlink r:id="rId87" w:anchor="axzz4AEnEjaF4" w:history="1">
        <w:r w:rsidRPr="00D67123">
          <w:rPr>
            <w:rStyle w:val="Hyperlink"/>
            <w:rFonts w:ascii="Times New Roman" w:eastAsia="Calibri" w:hAnsi="Times New Roman" w:cs="Times New Roman"/>
            <w:i/>
            <w:sz w:val="20"/>
            <w:szCs w:val="20"/>
            <w:lang w:eastAsia="en-GB"/>
          </w:rPr>
          <w:t>http://www.ft.com/intl/cms/s/0/0e2abaa2-f58d-11e5-96db-fc683b5e52db.html#axzz4AEnEjaF4</w:t>
        </w:r>
      </w:hyperlink>
      <w:r w:rsidRPr="00D1507D">
        <w:rPr>
          <w:rFonts w:ascii="Times New Roman" w:hAnsi="Times New Roman"/>
          <w:sz w:val="20"/>
        </w:rPr>
        <w:t xml:space="preserve">. See for instance the statement made by the French start up Blue Efficience regarding Google's Content ID </w:t>
      </w:r>
      <w:r w:rsidRPr="00D1507D">
        <w:rPr>
          <w:rFonts w:ascii="Times New Roman" w:hAnsi="Times New Roman"/>
          <w:i/>
          <w:sz w:val="20"/>
        </w:rPr>
        <w:t>technology</w:t>
      </w:r>
      <w:r w:rsidRPr="00D1507D">
        <w:rPr>
          <w:rFonts w:ascii="Times New Roman" w:hAnsi="Times New Roman"/>
          <w:sz w:val="20"/>
        </w:rPr>
        <w:t xml:space="preserve"> (regarding the identification of films): </w:t>
      </w:r>
      <w:r w:rsidRPr="00D1507D">
        <w:rPr>
          <w:rFonts w:ascii="Times New Roman" w:hAnsi="Times New Roman"/>
          <w:i/>
          <w:sz w:val="20"/>
        </w:rPr>
        <w:t>"The Content ID robot does not enable to identify content that has been skilfully modified with a view to slip through the tracks"</w:t>
      </w:r>
      <w:r w:rsidRPr="00D1507D">
        <w:rPr>
          <w:rFonts w:ascii="Times New Roman" w:hAnsi="Times New Roman"/>
          <w:sz w:val="20"/>
        </w:rPr>
        <w:t>,</w:t>
      </w:r>
      <w:r w:rsidRPr="00D1507D">
        <w:rPr>
          <w:rFonts w:ascii="Times New Roman" w:hAnsi="Times New Roman"/>
          <w:i/>
          <w:sz w:val="20"/>
        </w:rPr>
        <w:t xml:space="preserve"> </w:t>
      </w:r>
      <w:r w:rsidRPr="00D67123">
        <w:rPr>
          <w:rStyle w:val="Hyperlink"/>
          <w:rFonts w:ascii="Times New Roman" w:eastAsia="Calibri" w:hAnsi="Times New Roman" w:cs="Times New Roman"/>
          <w:i/>
          <w:sz w:val="20"/>
          <w:szCs w:val="20"/>
          <w:lang w:eastAsia="en-GB"/>
        </w:rPr>
        <w:t>http://www.pressreader.com/france/edition-multim%C3%A9di/20160215/28150075030257</w:t>
      </w:r>
      <w:r w:rsidRPr="00D1507D">
        <w:rPr>
          <w:rFonts w:ascii="Times New Roman" w:hAnsi="Times New Roman"/>
          <w:sz w:val="20"/>
        </w:rPr>
        <w:t xml:space="preserve">.  </w:t>
      </w:r>
      <w:r w:rsidRPr="00814C3A">
        <w:rPr>
          <w:rFonts w:ascii="Times New Roman" w:hAnsi="Times New Roman" w:cs="Times New Roman"/>
          <w:sz w:val="20"/>
          <w:szCs w:val="20"/>
        </w:rPr>
        <w:t>See however recent statements made by Google saying that content ID "</w:t>
      </w:r>
      <w:r w:rsidRPr="00814C3A">
        <w:rPr>
          <w:rFonts w:ascii="Times New Roman" w:hAnsi="Times New Roman" w:cs="Times New Roman"/>
          <w:i/>
          <w:sz w:val="20"/>
          <w:szCs w:val="20"/>
        </w:rPr>
        <w:t>can now even detect melodies, helping further stymie bad actors' efforts to fool the system</w:t>
      </w:r>
      <w:r w:rsidRPr="00814C3A">
        <w:rPr>
          <w:rFonts w:ascii="Times New Roman" w:hAnsi="Times New Roman" w:cs="Times New Roman"/>
          <w:sz w:val="20"/>
          <w:szCs w:val="20"/>
        </w:rPr>
        <w:t>" (</w:t>
      </w:r>
      <w:r w:rsidRPr="00814C3A">
        <w:rPr>
          <w:rFonts w:ascii="Times New Roman" w:hAnsi="Times New Roman" w:cs="Times New Roman"/>
          <w:i/>
          <w:sz w:val="20"/>
          <w:szCs w:val="20"/>
        </w:rPr>
        <w:t>How Google fights piracy</w:t>
      </w:r>
      <w:r w:rsidRPr="00814C3A">
        <w:rPr>
          <w:rFonts w:ascii="Times New Roman" w:hAnsi="Times New Roman" w:cs="Times New Roman"/>
          <w:sz w:val="20"/>
          <w:szCs w:val="20"/>
        </w:rPr>
        <w:t xml:space="preserve">, </w:t>
      </w:r>
      <w:hyperlink r:id="rId88" w:history="1">
        <w:r w:rsidRPr="00814C3A">
          <w:rPr>
            <w:rFonts w:ascii="Times New Roman" w:hAnsi="Times New Roman" w:cs="Times New Roman"/>
            <w:sz w:val="20"/>
            <w:szCs w:val="20"/>
          </w:rPr>
          <w:t>http://googlepolicyeurope.blogspot.be/2016/07/continuing-to-create-value-while.html</w:t>
        </w:r>
      </w:hyperlink>
      <w:r w:rsidRPr="00814C3A">
        <w:rPr>
          <w:rFonts w:ascii="Times New Roman" w:hAnsi="Times New Roman" w:cs="Times New Roman"/>
          <w:sz w:val="20"/>
          <w:szCs w:val="20"/>
        </w:rPr>
        <w:t xml:space="preserve">). See also for example the service </w:t>
      </w:r>
      <w:r>
        <w:rPr>
          <w:rFonts w:ascii="Times New Roman" w:hAnsi="Times New Roman" w:cs="Times New Roman"/>
          <w:sz w:val="20"/>
          <w:szCs w:val="20"/>
        </w:rPr>
        <w:t xml:space="preserve">provided by Dubset, </w:t>
      </w:r>
      <w:r w:rsidRPr="00814C3A">
        <w:rPr>
          <w:rFonts w:ascii="Times New Roman" w:hAnsi="Times New Roman" w:cs="Times New Roman"/>
          <w:sz w:val="20"/>
          <w:szCs w:val="20"/>
        </w:rPr>
        <w:t xml:space="preserve">which specializes in the identification of DJ mixes &amp; remixes and holds a related rights management database, </w:t>
      </w:r>
      <w:hyperlink r:id="rId89" w:anchor="intro-to-dubset-" w:history="1">
        <w:r w:rsidRPr="00814C3A">
          <w:rPr>
            <w:rStyle w:val="Hyperlink"/>
            <w:rFonts w:ascii="Times New Roman" w:hAnsi="Times New Roman" w:cs="Times New Roman"/>
            <w:sz w:val="20"/>
            <w:szCs w:val="20"/>
          </w:rPr>
          <w:t>http://www.dubset.com/#intro-to-dubset-</w:t>
        </w:r>
      </w:hyperlink>
      <w:r w:rsidRPr="00814C3A">
        <w:rPr>
          <w:rFonts w:ascii="Times New Roman" w:hAnsi="Times New Roman" w:cs="Times New Roman"/>
          <w:sz w:val="20"/>
          <w:szCs w:val="20"/>
        </w:rPr>
        <w:t>.</w:t>
      </w:r>
    </w:p>
  </w:footnote>
  <w:footnote w:id="423">
    <w:p w:rsidR="004B69C4" w:rsidRPr="008012CB" w:rsidRDefault="004B69C4" w:rsidP="002A7940">
      <w:pPr>
        <w:pStyle w:val="FootnoteText"/>
      </w:pPr>
      <w:r w:rsidRPr="008012CB">
        <w:rPr>
          <w:rStyle w:val="FootnoteReference"/>
        </w:rPr>
        <w:footnoteRef/>
      </w:r>
      <w:r w:rsidRPr="008012CB">
        <w:t xml:space="preserve"> </w:t>
      </w:r>
      <w:r w:rsidRPr="008012CB">
        <w:tab/>
        <w:t xml:space="preserve">This risk is put forward in particular in respect to automated notifications. See the Chilling Effects Clearinghouse, a collaborative archive founded by several law school clinics in the US which </w:t>
      </w:r>
      <w:r w:rsidRPr="008012CB">
        <w:rPr>
          <w:rFonts w:ascii="Open Sans" w:hAnsi="Open Sans" w:cs="Arial"/>
        </w:rPr>
        <w:t>collects and analyses legal complaints and requests for removal of online materials</w:t>
      </w:r>
      <w:r w:rsidRPr="008012CB">
        <w:t xml:space="preserve">, </w:t>
      </w:r>
      <w:hyperlink r:id="rId90" w:history="1">
        <w:r w:rsidRPr="00D67123">
          <w:rPr>
            <w:rStyle w:val="Hyperlink"/>
            <w:rFonts w:eastAsiaTheme="minorHAnsi"/>
            <w:lang w:eastAsia="en-US"/>
          </w:rPr>
          <w:t>http://chillingeffects.org/</w:t>
        </w:r>
      </w:hyperlink>
      <w:r w:rsidRPr="008012CB">
        <w:rPr>
          <w:rStyle w:val="Hyperlink"/>
          <w:i/>
        </w:rPr>
        <w:t>.</w:t>
      </w:r>
    </w:p>
  </w:footnote>
  <w:footnote w:id="424">
    <w:p w:rsidR="004B69C4" w:rsidRPr="008012CB" w:rsidRDefault="004B69C4" w:rsidP="002A7940">
      <w:pPr>
        <w:pStyle w:val="FootnoteText"/>
      </w:pPr>
      <w:r w:rsidRPr="008012CB">
        <w:rPr>
          <w:rStyle w:val="FootnoteReference"/>
        </w:rPr>
        <w:footnoteRef/>
      </w:r>
      <w:r w:rsidRPr="008012CB">
        <w:t xml:space="preserve"> </w:t>
      </w:r>
      <w:r w:rsidRPr="008012CB">
        <w:tab/>
        <w:t>See for example the mission launched by the French CNC (</w:t>
      </w:r>
      <w:r w:rsidRPr="008012CB">
        <w:rPr>
          <w:i/>
        </w:rPr>
        <w:t>Centre national de la cinématographie</w:t>
      </w:r>
      <w:r w:rsidRPr="008012CB">
        <w:t xml:space="preserve">) in 2016 with the objective, inter alia, to encourage rights holders to understand better and use more the functionalities offered by content recognition technologies (see letter of the CNC n°127 – 29 February 2016). Already in 2013 the Lescure report commissioned by the French government concluded: </w:t>
      </w:r>
      <w:r w:rsidRPr="008012CB">
        <w:rPr>
          <w:i/>
        </w:rPr>
        <w:t>"they [the content identification tools] remain insufficiently used by the rights holders who do not always master the modus operandi and the functioning (it is particularly the case of the small players)",</w:t>
      </w:r>
      <w:r w:rsidRPr="008012CB">
        <w:t xml:space="preserve"> see Lescure report, page 404 </w:t>
      </w:r>
      <w:hyperlink r:id="rId91" w:history="1">
        <w:r w:rsidRPr="007761EF">
          <w:rPr>
            <w:rStyle w:val="Hyperlink"/>
            <w:rFonts w:eastAsiaTheme="majorEastAsia"/>
          </w:rPr>
          <w:t>http://www.culturecommunication.gouv.fr/var/culture/storage/culture_mag/rapport_lescure/index.htm</w:t>
        </w:r>
      </w:hyperlink>
      <w:r w:rsidRPr="008012CB">
        <w:rPr>
          <w:i/>
        </w:rPr>
        <w:t>.</w:t>
      </w:r>
    </w:p>
  </w:footnote>
  <w:footnote w:id="425">
    <w:p w:rsidR="004B69C4" w:rsidRPr="008012CB" w:rsidRDefault="004B69C4" w:rsidP="002A7940">
      <w:pPr>
        <w:pStyle w:val="FootnoteText"/>
      </w:pPr>
      <w:r w:rsidRPr="008012CB">
        <w:rPr>
          <w:rStyle w:val="FootnoteReference"/>
        </w:rPr>
        <w:footnoteRef/>
      </w:r>
      <w:r w:rsidRPr="008012CB">
        <w:t xml:space="preserve"> </w:t>
      </w:r>
      <w:r w:rsidRPr="008012CB">
        <w:tab/>
        <w:t>See e.g. the recent case against Break.com in Italy (</w:t>
      </w:r>
      <w:r w:rsidRPr="008012CB">
        <w:rPr>
          <w:bCs/>
        </w:rPr>
        <w:t>R.T.I vs TMFT Enterprises LLC/Break Media</w:t>
      </w:r>
      <w:r w:rsidRPr="008012CB">
        <w:t xml:space="preserve">, N. 8437/2016), TF1 et autres / Dailymotion, Cour d’appel de Paris, Pôle 5 - Chambre 1, arrêt du 2 décembre 2014. See also the long lasting litigation between Youtube and TF1 that ended in 2014 by an agreement after several court decisions. </w:t>
      </w:r>
    </w:p>
  </w:footnote>
  <w:footnote w:id="426">
    <w:p w:rsidR="004B69C4" w:rsidRPr="008012CB" w:rsidRDefault="004B69C4" w:rsidP="002A7940">
      <w:pPr>
        <w:pStyle w:val="FootnoteText"/>
      </w:pPr>
      <w:r w:rsidRPr="008012CB">
        <w:rPr>
          <w:rStyle w:val="FootnoteReference"/>
        </w:rPr>
        <w:footnoteRef/>
      </w:r>
      <w:r w:rsidRPr="008012CB">
        <w:t xml:space="preserve"> </w:t>
      </w:r>
      <w:r w:rsidRPr="008012CB">
        <w:tab/>
        <w:t xml:space="preserve">According to Mediaset, an imbalance is created in the market with digital platforms gaining an increasing percentage of advertising revenues. See the 2016 LEAR report prepared for Mediaset; </w:t>
      </w:r>
      <w:r w:rsidRPr="008012CB">
        <w:rPr>
          <w:i/>
        </w:rPr>
        <w:t xml:space="preserve">Developments of the audiovisual markets and creation of original contents </w:t>
      </w:r>
      <w:r>
        <w:rPr>
          <w:i/>
        </w:rPr>
        <w:t xml:space="preserve">- </w:t>
      </w:r>
      <w:hyperlink r:id="rId92" w:history="1">
        <w:r w:rsidRPr="00A1078D">
          <w:rPr>
            <w:rStyle w:val="Hyperlink"/>
            <w:rFonts w:eastAsiaTheme="majorEastAsia"/>
          </w:rPr>
          <w:t>http://www.learlab.com/wp-content/uploads/2016/09/Report-Mediaset_EN_03_06_16.pdf</w:t>
        </w:r>
      </w:hyperlink>
      <w:r w:rsidRPr="00A1078D">
        <w:t>.</w:t>
      </w:r>
    </w:p>
  </w:footnote>
  <w:footnote w:id="427">
    <w:p w:rsidR="004B69C4" w:rsidRPr="008012CB" w:rsidRDefault="004B69C4" w:rsidP="002A7940">
      <w:pPr>
        <w:pStyle w:val="FootnoteText"/>
        <w:rPr>
          <w:lang w:eastAsia="zh-TW"/>
        </w:rPr>
      </w:pPr>
      <w:r w:rsidRPr="008012CB">
        <w:rPr>
          <w:rStyle w:val="FootnoteReference"/>
        </w:rPr>
        <w:footnoteRef/>
      </w:r>
      <w:r w:rsidRPr="008012CB">
        <w:t xml:space="preserve"> </w:t>
      </w:r>
      <w:r w:rsidRPr="008012CB">
        <w:tab/>
        <w:t xml:space="preserve">In the case of Spotify or Deezer, the payments to </w:t>
      </w:r>
      <w:r>
        <w:t>rightholders</w:t>
      </w:r>
      <w:r w:rsidRPr="008012CB">
        <w:t xml:space="preserve"> for the rights in the content they distribute represent around 70</w:t>
      </w:r>
      <w:r>
        <w:t xml:space="preserve"> </w:t>
      </w:r>
      <w:r w:rsidRPr="008012CB">
        <w:t xml:space="preserve">% of the services' revenues. See Deezer's CEO statement on the impact of Youtube at </w:t>
      </w:r>
      <w:r w:rsidRPr="007761EF">
        <w:rPr>
          <w:rStyle w:val="Hyperlink"/>
          <w:rFonts w:eastAsiaTheme="minorHAnsi"/>
          <w:lang w:eastAsia="en-US"/>
        </w:rPr>
        <w:t>http://www.cnbc.com/2016/04/19/blame-taylor-swift-youtube-for-low-artist-pay-from-streaming-deezer-ceo.html</w:t>
      </w:r>
      <w:r w:rsidRPr="008012CB">
        <w:rPr>
          <w:rStyle w:val="Hyperlink"/>
          <w:i/>
        </w:rPr>
        <w:t>.</w:t>
      </w:r>
      <w:r w:rsidRPr="008012CB">
        <w:rPr>
          <w:rStyle w:val="Hyperlink"/>
          <w:lang w:eastAsia="zh-TW"/>
        </w:rPr>
        <w:t xml:space="preserve"> </w:t>
      </w:r>
    </w:p>
  </w:footnote>
  <w:footnote w:id="428">
    <w:p w:rsidR="004B69C4" w:rsidRPr="008012CB" w:rsidRDefault="004B69C4" w:rsidP="002A7940">
      <w:pPr>
        <w:pStyle w:val="FootnoteText"/>
      </w:pPr>
      <w:r w:rsidRPr="008012CB">
        <w:rPr>
          <w:rStyle w:val="FootnoteReference"/>
        </w:rPr>
        <w:footnoteRef/>
      </w:r>
      <w:r w:rsidRPr="008012CB">
        <w:t xml:space="preserve"> </w:t>
      </w:r>
      <w:r w:rsidRPr="008012CB">
        <w:tab/>
        <w:t xml:space="preserve">See the statement by indie labels at </w:t>
      </w:r>
      <w:hyperlink r:id="rId93" w:tgtFrame="_blank" w:history="1">
        <w:r w:rsidRPr="007761EF">
          <w:rPr>
            <w:rStyle w:val="Hyperlink"/>
          </w:rPr>
          <w:t>http://www.digitalmusicnews.com/permalink/2014/05/22/19-indie-label-organizations-speak-youtube</w:t>
        </w:r>
      </w:hyperlink>
      <w:r w:rsidRPr="008012CB">
        <w:t xml:space="preserve">, according to which: </w:t>
      </w:r>
      <w:r w:rsidRPr="008012CB">
        <w:rPr>
          <w:b/>
          <w:bCs/>
        </w:rPr>
        <w:t>“</w:t>
      </w:r>
      <w:r w:rsidRPr="008012CB">
        <w:rPr>
          <w:bCs/>
          <w:i/>
        </w:rPr>
        <w:t>the contracts currently on offer to independent labels from YouTube are on highly unfavourable, and non-negotiable terms, and undervalue existing rates in the marketplace from existing music streaming partners such as Spotify, Rdio, Deezer and others</w:t>
      </w:r>
      <w:r w:rsidRPr="008012CB">
        <w:rPr>
          <w:bCs/>
        </w:rPr>
        <w:t>”.</w:t>
      </w:r>
      <w:r w:rsidRPr="008012CB">
        <w:rPr>
          <w:b/>
          <w:bCs/>
        </w:rPr>
        <w:t xml:space="preserve"> </w:t>
      </w:r>
    </w:p>
  </w:footnote>
  <w:footnote w:id="429">
    <w:p w:rsidR="004B69C4" w:rsidRPr="008012CB" w:rsidRDefault="004B69C4" w:rsidP="002A7940">
      <w:pPr>
        <w:pStyle w:val="FootnoteText"/>
      </w:pPr>
      <w:r w:rsidRPr="008012CB">
        <w:rPr>
          <w:rStyle w:val="FootnoteReference"/>
        </w:rPr>
        <w:footnoteRef/>
      </w:r>
      <w:r w:rsidRPr="008012CB">
        <w:t xml:space="preserve"> </w:t>
      </w:r>
      <w:r w:rsidRPr="008012CB">
        <w:tab/>
        <w:t>See the 2015 JRC technical report "Let the music play? Free streaming, product discovery, and digital music consumption", page 8, footnote 11: "</w:t>
      </w:r>
      <w:r w:rsidRPr="008012CB">
        <w:rPr>
          <w:i/>
        </w:rPr>
        <w:t>Youtube offers a different music consumption experience than interactive streaming services like Deezer or Spotify. However,</w:t>
      </w:r>
      <w:r w:rsidRPr="008012CB">
        <w:rPr>
          <w:b/>
          <w:i/>
        </w:rPr>
        <w:t xml:space="preserve"> </w:t>
      </w:r>
      <w:r w:rsidRPr="008012CB">
        <w:rPr>
          <w:i/>
        </w:rPr>
        <w:t>it allows users to access music in an almost unrestricted way, making this service rather similar to the premium subscriptions offered by fully interactive streaming services</w:t>
      </w:r>
      <w:r w:rsidRPr="008012CB">
        <w:t>". See also the report published by the Music Managers Forum (p. 66) cited above indicating that "…</w:t>
      </w:r>
      <w:r w:rsidRPr="008012CB">
        <w:rPr>
          <w:i/>
        </w:rPr>
        <w:t>sites like Youtube and Soundcloud soon boast music libraries very similar (and often larger) to those of services like Spotify and therefore compete with those platforms</w:t>
      </w:r>
      <w:r w:rsidRPr="008012CB">
        <w:t>"</w:t>
      </w:r>
      <w:r w:rsidRPr="008012CB">
        <w:rPr>
          <w:i/>
        </w:rPr>
        <w:t>.</w:t>
      </w:r>
    </w:p>
  </w:footnote>
  <w:footnote w:id="430">
    <w:p w:rsidR="004B69C4" w:rsidRPr="008012CB" w:rsidRDefault="004B69C4" w:rsidP="002A7940">
      <w:pPr>
        <w:pStyle w:val="FootnoteText"/>
      </w:pPr>
      <w:r w:rsidRPr="008012CB">
        <w:rPr>
          <w:rStyle w:val="FootnoteReference"/>
        </w:rPr>
        <w:footnoteRef/>
      </w:r>
      <w:r w:rsidRPr="008012CB">
        <w:t xml:space="preserve"> </w:t>
      </w:r>
      <w:r w:rsidRPr="008012CB">
        <w:tab/>
        <w:t>Professional music streaming services come second with 22% of respondents indicating that they use such services most often. See the results from Flash Eurobarometer 437</w:t>
      </w:r>
      <w:r w:rsidRPr="00087898">
        <w:rPr>
          <w:rStyle w:val="DefaultTextChar"/>
          <w:rFonts w:eastAsia="Calibri"/>
        </w:rPr>
        <w:t xml:space="preserve">, </w:t>
      </w:r>
      <w:r w:rsidRPr="00D1507D">
        <w:t>Internet</w:t>
      </w:r>
      <w:r w:rsidRPr="00087898">
        <w:rPr>
          <w:rStyle w:val="DefaultTextChar"/>
          <w:rFonts w:eastAsia="Calibri"/>
          <w:i/>
        </w:rPr>
        <w:t xml:space="preserve"> </w:t>
      </w:r>
      <w:r w:rsidRPr="00D1507D">
        <w:t>users’ preferences for accessing content online (Annex 12B).</w:t>
      </w:r>
    </w:p>
  </w:footnote>
  <w:footnote w:id="431">
    <w:p w:rsidR="004B69C4" w:rsidRPr="008012CB" w:rsidRDefault="004B69C4" w:rsidP="002A7940">
      <w:pPr>
        <w:pStyle w:val="FootnoteText"/>
      </w:pPr>
      <w:r w:rsidRPr="008012CB">
        <w:rPr>
          <w:rStyle w:val="FootnoteReference"/>
        </w:rPr>
        <w:footnoteRef/>
      </w:r>
      <w:r w:rsidRPr="008012CB">
        <w:t xml:space="preserve"> </w:t>
      </w:r>
      <w:r w:rsidRPr="008012CB">
        <w:tab/>
      </w:r>
      <w:r w:rsidRPr="008012CB">
        <w:rPr>
          <w:rFonts w:eastAsiaTheme="minorHAnsi"/>
        </w:rPr>
        <w:t>S</w:t>
      </w:r>
      <w:r w:rsidRPr="008012CB">
        <w:t xml:space="preserve">ee the synopsis report to the online consultation on public consultation, section 3.6.1, </w:t>
      </w:r>
      <w:r w:rsidRPr="007761EF">
        <w:rPr>
          <w:rStyle w:val="Hyperlink"/>
        </w:rPr>
        <w:t>https://ec.europa.eu/digital-single-market/en/news/full-report-results-public-consultation-regulatory-environment-platforms-online-intermediaries</w:t>
      </w:r>
      <w:r w:rsidRPr="008012CB">
        <w:rPr>
          <w:i/>
        </w:rPr>
        <w:t>.</w:t>
      </w:r>
    </w:p>
  </w:footnote>
  <w:footnote w:id="432">
    <w:p w:rsidR="004B69C4" w:rsidRPr="000B03D9" w:rsidRDefault="004B69C4" w:rsidP="002A7940">
      <w:pPr>
        <w:pStyle w:val="FootnoteText"/>
      </w:pPr>
      <w:r>
        <w:rPr>
          <w:rStyle w:val="FootnoteReference"/>
        </w:rPr>
        <w:footnoteRef/>
      </w:r>
      <w:r>
        <w:t xml:space="preserve"> </w:t>
      </w:r>
      <w:r>
        <w:tab/>
      </w:r>
      <w:r w:rsidRPr="000B03D9">
        <w:t xml:space="preserve">See </w:t>
      </w:r>
      <w:r>
        <w:t xml:space="preserve">for example the reply of </w:t>
      </w:r>
      <w:r w:rsidRPr="000B03D9">
        <w:t>Impala, representing independent record labels</w:t>
      </w:r>
      <w:r>
        <w:t>,</w:t>
      </w:r>
      <w:r w:rsidRPr="000B03D9">
        <w:t xml:space="preserve"> to the public consultation on online platforms stating that </w:t>
      </w:r>
      <w:r>
        <w:t>"</w:t>
      </w:r>
      <w:r w:rsidRPr="000B03D9">
        <w:rPr>
          <w:i/>
        </w:rPr>
        <w:t>Excessive market power repeatedly leads to unfair trading practices in the digital market. Independent record labels are often presented with “take it or leave it” terms which do not meet acceptable standards</w:t>
      </w:r>
      <w:r>
        <w:rPr>
          <w:i/>
        </w:rPr>
        <w:t>"</w:t>
      </w:r>
      <w:r w:rsidRPr="000B03D9">
        <w:rPr>
          <w:i/>
        </w:rPr>
        <w:t xml:space="preserve">, </w:t>
      </w:r>
      <w:r w:rsidRPr="007761EF">
        <w:rPr>
          <w:rStyle w:val="Hyperlink"/>
        </w:rPr>
        <w:t>https://ec.europa.eu/eusurvey/pdf/answer/85514243-17b3-47b2-8df4-60d966679921</w:t>
      </w:r>
    </w:p>
  </w:footnote>
  <w:footnote w:id="433">
    <w:p w:rsidR="004B69C4" w:rsidRPr="008012CB" w:rsidRDefault="004B69C4" w:rsidP="002A7940">
      <w:pPr>
        <w:pStyle w:val="FootnoteText"/>
      </w:pPr>
      <w:r w:rsidRPr="008012CB">
        <w:rPr>
          <w:rStyle w:val="FootnoteReference"/>
        </w:rPr>
        <w:footnoteRef/>
      </w:r>
      <w:r w:rsidRPr="008012CB">
        <w:t xml:space="preserve"> </w:t>
      </w:r>
      <w:r w:rsidRPr="008012CB">
        <w:tab/>
        <w:t>See Annex 12A for examples of content identification technologies used by certain services.</w:t>
      </w:r>
    </w:p>
  </w:footnote>
  <w:footnote w:id="434">
    <w:p w:rsidR="004B69C4" w:rsidRPr="00FB3FB4" w:rsidRDefault="004B69C4" w:rsidP="00D1507D">
      <w:pPr>
        <w:pStyle w:val="FootnoteText"/>
      </w:pPr>
      <w:r w:rsidRPr="008012CB">
        <w:rPr>
          <w:rStyle w:val="FootnoteReference"/>
        </w:rPr>
        <w:footnoteRef/>
      </w:r>
      <w:r w:rsidRPr="008012CB">
        <w:t xml:space="preserve"> </w:t>
      </w:r>
      <w:r w:rsidRPr="008012CB">
        <w:tab/>
      </w:r>
      <w:r w:rsidRPr="00FB3FB4">
        <w:t xml:space="preserve">See for instance </w:t>
      </w:r>
      <w:r>
        <w:t xml:space="preserve">Judgment of 4 October 2011 in </w:t>
      </w:r>
      <w:r w:rsidRPr="007761EF">
        <w:rPr>
          <w:i/>
        </w:rPr>
        <w:t>Football Association Premier League and Others</w:t>
      </w:r>
      <w:r>
        <w:t xml:space="preserve"> (C-403 and C-429/08, EU:C:2011:631, paragraph 107)</w:t>
      </w:r>
      <w:r w:rsidRPr="00FB3FB4">
        <w:t>.</w:t>
      </w:r>
    </w:p>
  </w:footnote>
  <w:footnote w:id="435">
    <w:p w:rsidR="004B69C4" w:rsidRPr="008012CB" w:rsidRDefault="004B69C4" w:rsidP="00D1507D">
      <w:pPr>
        <w:spacing w:after="0" w:line="240" w:lineRule="auto"/>
        <w:ind w:left="720" w:hanging="720"/>
        <w:jc w:val="both"/>
      </w:pPr>
      <w:r w:rsidRPr="00D1507D">
        <w:rPr>
          <w:rStyle w:val="FootnoteReference"/>
          <w:rFonts w:ascii="Times New Roman" w:hAnsi="Times New Roman"/>
          <w:sz w:val="20"/>
        </w:rPr>
        <w:footnoteRef/>
      </w:r>
      <w:r w:rsidRPr="00D1507D">
        <w:rPr>
          <w:rFonts w:ascii="Times New Roman" w:hAnsi="Times New Roman"/>
          <w:sz w:val="20"/>
        </w:rPr>
        <w:t xml:space="preserve">  </w:t>
      </w:r>
      <w:r w:rsidRPr="00D1507D">
        <w:rPr>
          <w:rFonts w:ascii="Times New Roman" w:hAnsi="Times New Roman"/>
          <w:sz w:val="20"/>
        </w:rPr>
        <w:tab/>
        <w:t>A copyright licen</w:t>
      </w:r>
      <w:r>
        <w:rPr>
          <w:rFonts w:ascii="Times New Roman" w:hAnsi="Times New Roman"/>
          <w:sz w:val="20"/>
        </w:rPr>
        <w:t>c</w:t>
      </w:r>
      <w:r w:rsidRPr="00D1507D">
        <w:rPr>
          <w:rFonts w:ascii="Times New Roman" w:hAnsi="Times New Roman"/>
          <w:sz w:val="20"/>
        </w:rPr>
        <w:t xml:space="preserve">e can be given for free. Instances where </w:t>
      </w:r>
      <w:r>
        <w:rPr>
          <w:rFonts w:ascii="Times New Roman" w:hAnsi="Times New Roman"/>
          <w:sz w:val="20"/>
        </w:rPr>
        <w:t>rightholders</w:t>
      </w:r>
      <w:r w:rsidRPr="00D1507D">
        <w:rPr>
          <w:rFonts w:ascii="Times New Roman" w:hAnsi="Times New Roman"/>
          <w:sz w:val="20"/>
        </w:rPr>
        <w:t xml:space="preserve"> may decide to do so include the case of </w:t>
      </w:r>
      <w:r w:rsidRPr="00814C3A">
        <w:rPr>
          <w:rFonts w:ascii="Times New Roman" w:hAnsi="Times New Roman" w:cs="Times New Roman"/>
          <w:sz w:val="20"/>
          <w:szCs w:val="20"/>
        </w:rPr>
        <w:t>new</w:t>
      </w:r>
      <w:r w:rsidRPr="00D1507D">
        <w:rPr>
          <w:rFonts w:ascii="Times New Roman" w:hAnsi="Times New Roman"/>
          <w:sz w:val="20"/>
        </w:rPr>
        <w:t xml:space="preserve"> authors or artists seeking exposure for their works or performances (services, such as </w:t>
      </w:r>
      <w:r w:rsidRPr="00814C3A">
        <w:rPr>
          <w:rFonts w:ascii="Times New Roman" w:hAnsi="Times New Roman" w:cs="Times New Roman"/>
          <w:sz w:val="20"/>
          <w:szCs w:val="20"/>
        </w:rPr>
        <w:t xml:space="preserve">YouTube and </w:t>
      </w:r>
      <w:r w:rsidRPr="00D1507D">
        <w:rPr>
          <w:rFonts w:ascii="Times New Roman" w:hAnsi="Times New Roman"/>
          <w:sz w:val="20"/>
        </w:rPr>
        <w:t>Myspace, have launched the careers of unknown artists, see</w:t>
      </w:r>
      <w:r w:rsidRPr="00814C3A">
        <w:rPr>
          <w:rFonts w:ascii="Times New Roman" w:hAnsi="Times New Roman" w:cs="Times New Roman"/>
          <w:sz w:val="20"/>
          <w:szCs w:val="20"/>
        </w:rPr>
        <w:t xml:space="preserve"> for example </w:t>
      </w:r>
      <w:hyperlink r:id="rId94" w:history="1">
        <w:r w:rsidRPr="00814C3A">
          <w:rPr>
            <w:rStyle w:val="Hyperlink"/>
            <w:rFonts w:ascii="Times New Roman" w:hAnsi="Times New Roman" w:cs="Times New Roman"/>
            <w:sz w:val="20"/>
            <w:szCs w:val="20"/>
          </w:rPr>
          <w:t>http://youtubecreator.blogspot.be/2016/04/setting-record-straight.html</w:t>
        </w:r>
      </w:hyperlink>
      <w:r w:rsidRPr="00814C3A">
        <w:rPr>
          <w:rFonts w:ascii="Times New Roman" w:hAnsi="Times New Roman" w:cs="Times New Roman"/>
          <w:sz w:val="20"/>
          <w:szCs w:val="20"/>
        </w:rPr>
        <w:t>,</w:t>
      </w:r>
      <w:r w:rsidRPr="00D1507D">
        <w:rPr>
          <w:rFonts w:ascii="Times New Roman" w:hAnsi="Times New Roman"/>
          <w:sz w:val="20"/>
        </w:rPr>
        <w:t xml:space="preserve"> </w:t>
      </w:r>
      <w:hyperlink r:id="rId95" w:anchor="56cce0f56364" w:history="1">
        <w:r w:rsidRPr="007761EF">
          <w:rPr>
            <w:rStyle w:val="Hyperlink"/>
            <w:rFonts w:ascii="Times New Roman" w:hAnsi="Times New Roman"/>
            <w:sz w:val="20"/>
          </w:rPr>
          <w:t>http://www.forbes.com/sites/lorikozlowski/2012/05/15/how-myspace-spawned-a-startup-ecosystem/#56cce0f56364</w:t>
        </w:r>
      </w:hyperlink>
      <w:r w:rsidRPr="007761EF">
        <w:rPr>
          <w:rStyle w:val="Hyperlink"/>
          <w:rFonts w:ascii="Times New Roman" w:hAnsi="Times New Roman"/>
          <w:sz w:val="20"/>
        </w:rPr>
        <w:t>)</w:t>
      </w:r>
      <w:r w:rsidRPr="007761EF">
        <w:rPr>
          <w:rFonts w:ascii="Times New Roman" w:hAnsi="Times New Roman"/>
          <w:sz w:val="20"/>
        </w:rPr>
        <w:t>.</w:t>
      </w:r>
      <w:r w:rsidRPr="00D1507D">
        <w:rPr>
          <w:rFonts w:ascii="Times New Roman" w:hAnsi="Times New Roman"/>
          <w:sz w:val="20"/>
        </w:rPr>
        <w:t xml:space="preserve"> Soundcloud's objective at the beginning was to provide an open platform that directly connected, on a free basis, creators with their audience. </w:t>
      </w:r>
    </w:p>
  </w:footnote>
  <w:footnote w:id="436">
    <w:p w:rsidR="004B69C4" w:rsidRPr="008012CB" w:rsidRDefault="004B69C4" w:rsidP="002A7940">
      <w:pPr>
        <w:pStyle w:val="FootnoteText"/>
      </w:pPr>
      <w:r w:rsidRPr="008012CB">
        <w:rPr>
          <w:rStyle w:val="FootnoteReference"/>
        </w:rPr>
        <w:footnoteRef/>
      </w:r>
      <w:r w:rsidRPr="008012CB">
        <w:t xml:space="preserve"> </w:t>
      </w:r>
      <w:r w:rsidRPr="008012CB">
        <w:tab/>
        <w:t>When dealing with broadcasting which involved two actors in the chain of communication (broadcasters and distributors), the CJEU has taken different positions. In one instance, it has indicated that there can be two parties involved in one single act of communication to the public, i.e. the broadcaster and the distributor (</w:t>
      </w:r>
      <w:r>
        <w:t xml:space="preserve">see judgment of 13 October 2011, in </w:t>
      </w:r>
      <w:r w:rsidRPr="007761EF">
        <w:rPr>
          <w:i/>
        </w:rPr>
        <w:t>Airfields and others</w:t>
      </w:r>
      <w:r>
        <w:t xml:space="preserve"> (C-431/09 and </w:t>
      </w:r>
      <w:r w:rsidRPr="008012CB">
        <w:t>C-432/09,</w:t>
      </w:r>
      <w:r>
        <w:t>(EU:C:2011:648)</w:t>
      </w:r>
      <w:r w:rsidRPr="008012CB">
        <w:t>) while in another instance, it has ruled that only one party is communicating to the public, suggesting that it was likely to be the distributor (see</w:t>
      </w:r>
      <w:r>
        <w:t xml:space="preserve"> judgment of 13 November 2015, in </w:t>
      </w:r>
      <w:r w:rsidRPr="00131C6F">
        <w:rPr>
          <w:i/>
        </w:rPr>
        <w:t>SBS Belgium and Others</w:t>
      </w:r>
      <w:r>
        <w:t xml:space="preserve"> (</w:t>
      </w:r>
      <w:r w:rsidRPr="008012CB">
        <w:t>C-325/14</w:t>
      </w:r>
      <w:r>
        <w:t>, EU:C:2015:764)</w:t>
      </w:r>
      <w:r w:rsidRPr="008012CB">
        <w:t>).</w:t>
      </w:r>
    </w:p>
  </w:footnote>
  <w:footnote w:id="437">
    <w:p w:rsidR="004B69C4" w:rsidRPr="008012CB" w:rsidRDefault="004B69C4" w:rsidP="002A7940">
      <w:pPr>
        <w:pStyle w:val="FootnoteText"/>
      </w:pPr>
      <w:r w:rsidRPr="008012CB">
        <w:rPr>
          <w:rStyle w:val="FootnoteReference"/>
        </w:rPr>
        <w:footnoteRef/>
      </w:r>
      <w:r w:rsidRPr="008012CB">
        <w:t xml:space="preserve"> </w:t>
      </w:r>
      <w:r w:rsidRPr="008012CB">
        <w:tab/>
        <w:t xml:space="preserve">In the context of the GEMA vs Youtube cases in Germany (Higher Regional Court Hamburg, July 2015; Higher Regional Court Munich, January 2016, file number 29 U 2798/15), the courts considered that while a service like Youtube increasingly takes over the function of an attractive and competitive music service and presents itself as a comprehensive alternative to Spotify and similar services, it does not carry out an act of communication to the public pursuant to Article 3 of </w:t>
      </w:r>
      <w:r>
        <w:t>the Infosoc Directive</w:t>
      </w:r>
      <w:r w:rsidRPr="008012CB">
        <w:t xml:space="preserve"> (which is carried out by the uploaders). </w:t>
      </w:r>
      <w:r>
        <w:t xml:space="preserve"> </w:t>
      </w:r>
      <w:r w:rsidRPr="006E748E">
        <w:t>See also the ruling of the first instance Court of Paris 29 January 2015 Kare productions/Youtube.</w:t>
      </w:r>
      <w:r>
        <w:t xml:space="preserve"> </w:t>
      </w:r>
    </w:p>
  </w:footnote>
  <w:footnote w:id="438">
    <w:p w:rsidR="004B69C4" w:rsidRPr="00131C6F" w:rsidRDefault="004B69C4">
      <w:pPr>
        <w:pStyle w:val="FootnoteText"/>
      </w:pPr>
      <w:r>
        <w:rPr>
          <w:rStyle w:val="FootnoteReference"/>
        </w:rPr>
        <w:footnoteRef/>
      </w:r>
      <w:r>
        <w:t xml:space="preserve"> </w:t>
      </w:r>
      <w:r>
        <w:tab/>
      </w:r>
      <w:r w:rsidRPr="00131C6F">
        <w:t>Directive 2000/31/EC of the European Parliament and of the Council</w:t>
      </w:r>
      <w:r>
        <w:t xml:space="preserve"> </w:t>
      </w:r>
      <w:r w:rsidRPr="00131C6F">
        <w:t>of 8 June 2000</w:t>
      </w:r>
      <w:r>
        <w:t xml:space="preserve"> </w:t>
      </w:r>
      <w:r w:rsidRPr="00131C6F">
        <w:t>on certain legal aspects of information society services, in particular electronic commerce, in the Internal Market</w:t>
      </w:r>
      <w:r>
        <w:t xml:space="preserve"> (OJ L 178, 17/07/2000, p.</w:t>
      </w:r>
      <w:r w:rsidRPr="00131C6F">
        <w:t>1</w:t>
      </w:r>
      <w:r>
        <w:t>-</w:t>
      </w:r>
      <w:r w:rsidRPr="00131C6F">
        <w:t>16</w:t>
      </w:r>
      <w:r>
        <w:t>).</w:t>
      </w:r>
    </w:p>
  </w:footnote>
  <w:footnote w:id="439">
    <w:p w:rsidR="004B69C4" w:rsidRPr="00D1507D" w:rsidRDefault="004B69C4" w:rsidP="002A7940">
      <w:pPr>
        <w:pStyle w:val="FootnoteText"/>
      </w:pPr>
      <w:r w:rsidRPr="008012CB">
        <w:rPr>
          <w:rStyle w:val="FootnoteReference"/>
        </w:rPr>
        <w:footnoteRef/>
      </w:r>
      <w:r w:rsidRPr="008012CB">
        <w:t xml:space="preserve"> </w:t>
      </w:r>
      <w:r w:rsidRPr="008012CB">
        <w:tab/>
        <w:t>Article</w:t>
      </w:r>
      <w:r w:rsidRPr="00D1507D">
        <w:t xml:space="preserve"> 14 ECD limits the liability of "hosting service providers" provided that they are not aware of illegal content and that, on gaining such knowledge, they take expeditious action to remove or disable access to it. The CJEU has clarified that the status of hosting provider can be claimed only by a provider whose activity is of a mere technical, automatic and passive nature (see for example </w:t>
      </w:r>
      <w:r>
        <w:t xml:space="preserve">judgment of 12 July 2011, in </w:t>
      </w:r>
      <w:r w:rsidRPr="006F4EE2">
        <w:rPr>
          <w:i/>
        </w:rPr>
        <w:t>L'Oréal and Others</w:t>
      </w:r>
      <w:r>
        <w:t xml:space="preserve"> (</w:t>
      </w:r>
      <w:r w:rsidRPr="00D1507D">
        <w:t>C</w:t>
      </w:r>
      <w:r w:rsidRPr="00D1507D">
        <w:noBreakHyphen/>
        <w:t xml:space="preserve">324/09, </w:t>
      </w:r>
      <w:r>
        <w:t>EU:C:2011:474</w:t>
      </w:r>
      <w:r w:rsidRPr="008012CB">
        <w:t>)</w:t>
      </w:r>
      <w:r>
        <w:t>)</w:t>
      </w:r>
      <w:r w:rsidRPr="008012CB">
        <w:t>.</w:t>
      </w:r>
    </w:p>
  </w:footnote>
  <w:footnote w:id="440">
    <w:p w:rsidR="004B69C4" w:rsidRPr="000C01B7" w:rsidRDefault="004B69C4" w:rsidP="002A7940">
      <w:pPr>
        <w:pStyle w:val="FootnoteText"/>
      </w:pPr>
      <w:r>
        <w:rPr>
          <w:rStyle w:val="FootnoteReference"/>
        </w:rPr>
        <w:footnoteRef/>
      </w:r>
      <w:r>
        <w:t xml:space="preserve"> </w:t>
      </w:r>
      <w:r>
        <w:tab/>
      </w:r>
      <w:r w:rsidRPr="000C01B7">
        <w:t xml:space="preserve">See for example in </w:t>
      </w:r>
      <w:r>
        <w:t>FR</w:t>
      </w:r>
      <w:r w:rsidRPr="000C01B7">
        <w:t xml:space="preserve">, the ruling of the Court of Cassation, 17 February 2011 </w:t>
      </w:r>
      <w:r w:rsidRPr="000C01B7">
        <w:rPr>
          <w:lang w:val="en-US"/>
        </w:rPr>
        <w:t>Societe Nord-Ouest/UGC image vs Dailymotion </w:t>
      </w:r>
    </w:p>
  </w:footnote>
  <w:footnote w:id="441">
    <w:p w:rsidR="004B69C4" w:rsidRPr="008012CB" w:rsidRDefault="004B69C4" w:rsidP="002A7940">
      <w:pPr>
        <w:pStyle w:val="FootnoteText"/>
      </w:pPr>
      <w:r w:rsidRPr="000C01B7">
        <w:rPr>
          <w:rStyle w:val="FootnoteReference"/>
        </w:rPr>
        <w:footnoteRef/>
      </w:r>
      <w:r w:rsidRPr="000C01B7">
        <w:t xml:space="preserve"> </w:t>
      </w:r>
      <w:r w:rsidRPr="000C01B7">
        <w:tab/>
        <w:t>See for example the GEMA vs Youtube case in Hamburg; the Decision by the Court of Rome in case RTI vs TMFT/Break Media of 27 April 2016 and the Decision by the Court of Rome of 15 July 2016 in case RTI/Megavideo.</w:t>
      </w:r>
    </w:p>
  </w:footnote>
  <w:footnote w:id="442">
    <w:p w:rsidR="004B69C4" w:rsidRPr="00320C50" w:rsidRDefault="004B69C4" w:rsidP="00D1507D">
      <w:pPr>
        <w:pStyle w:val="DefaultText"/>
        <w:spacing w:line="240" w:lineRule="auto"/>
        <w:ind w:left="709" w:hanging="709"/>
        <w:rPr>
          <w:i/>
        </w:rPr>
      </w:pPr>
      <w:r w:rsidRPr="00F170B0">
        <w:rPr>
          <w:rStyle w:val="FootnoteReference"/>
        </w:rPr>
        <w:footnoteRef/>
      </w:r>
      <w:r w:rsidRPr="00D1507D">
        <w:rPr>
          <w:sz w:val="20"/>
        </w:rPr>
        <w:t xml:space="preserve"> </w:t>
      </w:r>
      <w:r w:rsidRPr="00D1507D">
        <w:rPr>
          <w:sz w:val="20"/>
        </w:rPr>
        <w:tab/>
      </w:r>
      <w:r w:rsidRPr="00D1507D">
        <w:rPr>
          <w:sz w:val="20"/>
          <w:lang w:val="en-US"/>
        </w:rPr>
        <w:t xml:space="preserve">According to the 2015 Yearbook of the British Phonographic Industry (BPI), Vevo and YouTube were responsible for more than </w:t>
      </w:r>
      <w:r w:rsidRPr="00D1507D">
        <w:rPr>
          <w:rStyle w:val="Strong"/>
          <w:b w:val="0"/>
          <w:sz w:val="20"/>
          <w:lang w:val="en-US"/>
        </w:rPr>
        <w:t>50</w:t>
      </w:r>
      <w:r>
        <w:rPr>
          <w:rStyle w:val="Strong"/>
          <w:b w:val="0"/>
          <w:sz w:val="20"/>
          <w:lang w:val="en-US"/>
        </w:rPr>
        <w:t xml:space="preserve"> </w:t>
      </w:r>
      <w:r w:rsidRPr="00D1507D">
        <w:rPr>
          <w:rStyle w:val="Strong"/>
          <w:b w:val="0"/>
          <w:sz w:val="20"/>
          <w:lang w:val="en-US"/>
        </w:rPr>
        <w:t>%</w:t>
      </w:r>
      <w:r w:rsidRPr="00D1507D">
        <w:rPr>
          <w:sz w:val="20"/>
          <w:lang w:val="en-US"/>
        </w:rPr>
        <w:t xml:space="preserve"> of all on-demand music streams in the UK.</w:t>
      </w:r>
      <w:r w:rsidRPr="00D1507D">
        <w:rPr>
          <w:sz w:val="20"/>
        </w:rPr>
        <w:t xml:space="preserve"> Despite an </w:t>
      </w:r>
      <w:r w:rsidRPr="00D1507D">
        <w:rPr>
          <w:rStyle w:val="Strong"/>
          <w:b w:val="0"/>
          <w:sz w:val="20"/>
          <w:lang w:val="en-US"/>
        </w:rPr>
        <w:t>88</w:t>
      </w:r>
      <w:r>
        <w:rPr>
          <w:rStyle w:val="Strong"/>
          <w:b w:val="0"/>
          <w:sz w:val="20"/>
          <w:lang w:val="en-US"/>
        </w:rPr>
        <w:t xml:space="preserve"> </w:t>
      </w:r>
      <w:r w:rsidRPr="00D1507D">
        <w:rPr>
          <w:rStyle w:val="Strong"/>
          <w:b w:val="0"/>
          <w:sz w:val="20"/>
          <w:lang w:val="en-US"/>
        </w:rPr>
        <w:t>%</w:t>
      </w:r>
      <w:r w:rsidRPr="00D1507D">
        <w:rPr>
          <w:sz w:val="20"/>
          <w:lang w:val="en-US"/>
        </w:rPr>
        <w:t xml:space="preserve"> rise in YouTube and Vevo plays, money coming into labels from ‘pure ad-supported’ platforms rose by just </w:t>
      </w:r>
      <w:r w:rsidRPr="00D1507D">
        <w:rPr>
          <w:rStyle w:val="Strong"/>
          <w:b w:val="0"/>
          <w:sz w:val="20"/>
          <w:lang w:val="en-US"/>
        </w:rPr>
        <w:t>4%</w:t>
      </w:r>
      <w:r w:rsidRPr="00D1507D">
        <w:rPr>
          <w:rStyle w:val="Strong"/>
          <w:sz w:val="20"/>
          <w:lang w:val="en-US"/>
        </w:rPr>
        <w:t xml:space="preserve">, </w:t>
      </w:r>
      <w:r w:rsidRPr="00D1507D">
        <w:rPr>
          <w:rStyle w:val="Strong"/>
          <w:b w:val="0"/>
          <w:sz w:val="20"/>
          <w:lang w:val="en-US"/>
        </w:rPr>
        <w:t xml:space="preserve">see </w:t>
      </w:r>
      <w:hyperlink r:id="rId96" w:history="1">
        <w:r w:rsidRPr="00131B94">
          <w:rPr>
            <w:rStyle w:val="Hyperlink"/>
            <w:rFonts w:eastAsiaTheme="minorHAnsi" w:cstheme="minorBidi"/>
            <w:sz w:val="20"/>
            <w:szCs w:val="22"/>
            <w:lang w:eastAsia="en-US"/>
          </w:rPr>
          <w:t>http://www.musicbusinessworldwide.com/youtube-is-paying-less-than-0-0009-per-stream-to-uk-record-labels/</w:t>
        </w:r>
      </w:hyperlink>
      <w:r w:rsidRPr="00D1507D">
        <w:rPr>
          <w:rStyle w:val="Strong"/>
          <w:b w:val="0"/>
          <w:i/>
          <w:sz w:val="20"/>
          <w:lang w:val="en-US"/>
        </w:rPr>
        <w:t xml:space="preserve">. </w:t>
      </w:r>
      <w:r w:rsidRPr="00D1507D">
        <w:rPr>
          <w:rStyle w:val="Strong"/>
          <w:b w:val="0"/>
          <w:sz w:val="20"/>
          <w:lang w:val="en-US"/>
        </w:rPr>
        <w:t xml:space="preserve">In </w:t>
      </w:r>
      <w:r>
        <w:rPr>
          <w:rStyle w:val="Strong"/>
          <w:b w:val="0"/>
          <w:sz w:val="20"/>
          <w:lang w:val="en-US"/>
        </w:rPr>
        <w:t>FR</w:t>
      </w:r>
      <w:r w:rsidRPr="00D1507D">
        <w:rPr>
          <w:rStyle w:val="Strong"/>
          <w:b w:val="0"/>
          <w:sz w:val="20"/>
          <w:lang w:val="en-US"/>
        </w:rPr>
        <w:t xml:space="preserve">, Snep has reported </w:t>
      </w:r>
      <w:r w:rsidRPr="00D1507D">
        <w:rPr>
          <w:sz w:val="20"/>
          <w:lang w:val="en-US"/>
        </w:rPr>
        <w:t xml:space="preserve">that income from ad-funded </w:t>
      </w:r>
      <w:r w:rsidRPr="00D1507D">
        <w:rPr>
          <w:rStyle w:val="Emphasis"/>
          <w:sz w:val="20"/>
        </w:rPr>
        <w:t>video</w:t>
      </w:r>
      <w:r w:rsidRPr="00D1507D">
        <w:rPr>
          <w:i/>
          <w:sz w:val="20"/>
          <w:lang w:val="en-US"/>
        </w:rPr>
        <w:t xml:space="preserve"> </w:t>
      </w:r>
      <w:r w:rsidRPr="00D1507D">
        <w:rPr>
          <w:sz w:val="20"/>
          <w:lang w:val="en-US"/>
        </w:rPr>
        <w:t xml:space="preserve">services </w:t>
      </w:r>
      <w:r w:rsidRPr="00D1507D">
        <w:rPr>
          <w:rFonts w:hint="eastAsia"/>
          <w:sz w:val="20"/>
          <w:lang w:val="en-US"/>
        </w:rPr>
        <w:t>–</w:t>
      </w:r>
      <w:r w:rsidRPr="00D1507D">
        <w:rPr>
          <w:sz w:val="20"/>
          <w:lang w:val="en-US"/>
        </w:rPr>
        <w:t xml:space="preserve"> including the likes of DailyMotion, Vevo and YouTube </w:t>
      </w:r>
      <w:r w:rsidRPr="00D1507D">
        <w:rPr>
          <w:rFonts w:hint="eastAsia"/>
          <w:sz w:val="20"/>
          <w:lang w:val="en-US"/>
        </w:rPr>
        <w:t>–</w:t>
      </w:r>
      <w:r w:rsidRPr="00D1507D">
        <w:rPr>
          <w:sz w:val="20"/>
          <w:lang w:val="en-US"/>
        </w:rPr>
        <w:t xml:space="preserve"> dropped by </w:t>
      </w:r>
      <w:r w:rsidRPr="00D1507D">
        <w:rPr>
          <w:rStyle w:val="Strong"/>
          <w:b w:val="0"/>
          <w:sz w:val="20"/>
          <w:lang w:val="en-US"/>
        </w:rPr>
        <w:t>8.8</w:t>
      </w:r>
      <w:r>
        <w:rPr>
          <w:rStyle w:val="Strong"/>
          <w:b w:val="0"/>
          <w:sz w:val="20"/>
          <w:lang w:val="en-US"/>
        </w:rPr>
        <w:t xml:space="preserve"> </w:t>
      </w:r>
      <w:r w:rsidRPr="00D1507D">
        <w:rPr>
          <w:rStyle w:val="Strong"/>
          <w:b w:val="0"/>
          <w:sz w:val="20"/>
          <w:lang w:val="en-US"/>
        </w:rPr>
        <w:t>%</w:t>
      </w:r>
      <w:r w:rsidRPr="00D1507D">
        <w:rPr>
          <w:sz w:val="20"/>
          <w:lang w:val="en-US"/>
        </w:rPr>
        <w:t xml:space="preserve"> year-on-year. </w:t>
      </w:r>
      <w:r w:rsidRPr="00D1507D">
        <w:rPr>
          <w:rStyle w:val="Strong"/>
          <w:b w:val="0"/>
          <w:i/>
          <w:sz w:val="20"/>
          <w:lang w:val="en-US"/>
        </w:rPr>
        <w:t xml:space="preserve"> </w:t>
      </w:r>
      <w:r w:rsidRPr="00D1507D">
        <w:rPr>
          <w:rStyle w:val="Strong"/>
          <w:b w:val="0"/>
          <w:sz w:val="20"/>
          <w:lang w:val="en-US"/>
        </w:rPr>
        <w:t xml:space="preserve">In </w:t>
      </w:r>
      <w:r w:rsidRPr="00D1507D">
        <w:rPr>
          <w:sz w:val="20"/>
        </w:rPr>
        <w:t>the US: according to</w:t>
      </w:r>
      <w:r w:rsidRPr="00D1507D">
        <w:rPr>
          <w:b/>
          <w:sz w:val="20"/>
        </w:rPr>
        <w:t xml:space="preserve"> </w:t>
      </w:r>
      <w:r w:rsidRPr="00D1507D">
        <w:rPr>
          <w:sz w:val="20"/>
        </w:rPr>
        <w:t xml:space="preserve">the </w:t>
      </w:r>
      <w:r w:rsidRPr="00D1507D">
        <w:rPr>
          <w:rStyle w:val="Strong"/>
          <w:b w:val="0"/>
          <w:sz w:val="20"/>
          <w:lang w:val="en-US"/>
        </w:rPr>
        <w:t>Recording Industry Association of America</w:t>
      </w:r>
      <w:r w:rsidRPr="00D1507D">
        <w:rPr>
          <w:sz w:val="20"/>
        </w:rPr>
        <w:t xml:space="preserve"> </w:t>
      </w:r>
      <w:r w:rsidRPr="00704C29">
        <w:rPr>
          <w:rStyle w:val="Heading1Char"/>
          <w:rFonts w:eastAsia="Arial Unicode MS"/>
          <w:b w:val="0"/>
          <w:sz w:val="20"/>
          <w:szCs w:val="20"/>
        </w:rPr>
        <w:t>(</w:t>
      </w:r>
      <w:r w:rsidRPr="00D1507D">
        <w:rPr>
          <w:sz w:val="20"/>
        </w:rPr>
        <w:t>RIAA</w:t>
      </w:r>
      <w:r w:rsidRPr="00D1507D">
        <w:rPr>
          <w:rStyle w:val="Strong"/>
          <w:b w:val="0"/>
          <w:sz w:val="20"/>
        </w:rPr>
        <w:t>)</w:t>
      </w:r>
      <w:r w:rsidRPr="00D1507D">
        <w:rPr>
          <w:sz w:val="20"/>
        </w:rPr>
        <w:t xml:space="preserve"> report, in 2014, </w:t>
      </w:r>
      <w:hyperlink r:id="rId97" w:history="1">
        <w:r w:rsidRPr="00D1507D">
          <w:rPr>
            <w:rStyle w:val="Hyperlink"/>
            <w:color w:val="auto"/>
            <w:sz w:val="20"/>
            <w:u w:val="none"/>
          </w:rPr>
          <w:t>ad-supported, on-demand streaming grew 63 percent year on year</w:t>
        </w:r>
      </w:hyperlink>
      <w:r w:rsidRPr="00D1507D">
        <w:rPr>
          <w:sz w:val="20"/>
        </w:rPr>
        <w:t>, while revenue rose just 34 percent. See an article in the New York Post citing the report</w:t>
      </w:r>
      <w:r w:rsidRPr="00D1507D">
        <w:rPr>
          <w:i/>
          <w:sz w:val="20"/>
        </w:rPr>
        <w:t xml:space="preserve"> </w:t>
      </w:r>
      <w:hyperlink r:id="rId98" w:history="1">
        <w:r w:rsidRPr="006F4EE2">
          <w:rPr>
            <w:rStyle w:val="Hyperlink"/>
            <w:rFonts w:eastAsiaTheme="minorHAnsi" w:cstheme="minorBidi"/>
            <w:sz w:val="20"/>
            <w:szCs w:val="22"/>
            <w:lang w:eastAsia="en-US"/>
          </w:rPr>
          <w:t>http://nypost.com/2016/03/22/record-labels-slam-youtube-ad-supported-streaming-services/</w:t>
        </w:r>
      </w:hyperlink>
      <w:r w:rsidRPr="00D1507D">
        <w:rPr>
          <w:rStyle w:val="Hyperlink"/>
          <w:i/>
          <w:color w:val="auto"/>
          <w:sz w:val="20"/>
          <w:u w:val="none"/>
        </w:rPr>
        <w:t>.</w:t>
      </w:r>
    </w:p>
  </w:footnote>
  <w:footnote w:id="443">
    <w:p w:rsidR="004B69C4" w:rsidRDefault="004B69C4" w:rsidP="002A7940">
      <w:pPr>
        <w:pStyle w:val="FootnoteText"/>
      </w:pPr>
      <w:r w:rsidRPr="0055729D">
        <w:rPr>
          <w:rStyle w:val="FootnoteReference"/>
        </w:rPr>
        <w:footnoteRef/>
      </w:r>
      <w:r w:rsidRPr="0055729D">
        <w:t xml:space="preserve"> </w:t>
      </w:r>
      <w:r>
        <w:tab/>
      </w:r>
      <w:r w:rsidRPr="0055729D">
        <w:t xml:space="preserve">See article describing the agreement into which Soundcloud has entered with PRS, the UK authors' collecting society: </w:t>
      </w:r>
      <w:hyperlink r:id="rId99" w:history="1">
        <w:r w:rsidRPr="006F4EE2">
          <w:rPr>
            <w:rStyle w:val="Hyperlink"/>
            <w:rFonts w:eastAsiaTheme="minorHAnsi" w:cstheme="minorBidi"/>
            <w:szCs w:val="22"/>
            <w:lang w:eastAsia="en-US"/>
          </w:rPr>
          <w:t>http://www.musicbusinessworldwide.com/soundcloud-signs-legal-settlement-with-prs-in-time-for-christmas/</w:t>
        </w:r>
      </w:hyperlink>
      <w:r w:rsidRPr="0055729D">
        <w:rPr>
          <w:i/>
        </w:rPr>
        <w:t xml:space="preserve">. </w:t>
      </w:r>
      <w:r w:rsidRPr="0055729D">
        <w:t xml:space="preserve">Besides SoundCloud, Youtube has launched a new paid service called Youtube Red (so far only in the US), </w:t>
      </w:r>
      <w:hyperlink r:id="rId100" w:history="1">
        <w:r w:rsidRPr="006F4EE2">
          <w:rPr>
            <w:rStyle w:val="Hyperlink"/>
            <w:rFonts w:eastAsiaTheme="minorHAnsi" w:cstheme="minorBidi"/>
            <w:szCs w:val="22"/>
            <w:lang w:eastAsia="en-US"/>
          </w:rPr>
          <w:t>http://www.cnet.com/how-to/youtube-red-details/</w:t>
        </w:r>
      </w:hyperlink>
      <w:r w:rsidRPr="0055729D">
        <w:t xml:space="preserve">. Pinterest has signed a partnership agreement with Getty images, see article </w:t>
      </w:r>
      <w:r w:rsidRPr="006F4EE2">
        <w:rPr>
          <w:rStyle w:val="Hyperlink"/>
          <w:rFonts w:eastAsiaTheme="minorHAnsi" w:cstheme="minorBidi"/>
          <w:szCs w:val="22"/>
          <w:lang w:eastAsia="en-US"/>
        </w:rPr>
        <w:t>https://techcrunch.com/2013/10/25/pinterest-inks-deal-with-getty-images-will-pay-a-fee-for-the-photo-agencys-metadata/</w:t>
      </w:r>
      <w:r w:rsidRPr="0055729D">
        <w:rPr>
          <w:i/>
        </w:rPr>
        <w:t>.</w:t>
      </w:r>
    </w:p>
  </w:footnote>
  <w:footnote w:id="444">
    <w:p w:rsidR="004B69C4" w:rsidRPr="008012CB" w:rsidRDefault="004B69C4" w:rsidP="002A7940">
      <w:pPr>
        <w:pStyle w:val="FootnoteText"/>
      </w:pPr>
      <w:r w:rsidRPr="008012CB">
        <w:rPr>
          <w:rStyle w:val="FootnoteReference"/>
          <w:rFonts w:eastAsiaTheme="majorEastAsia"/>
        </w:rPr>
        <w:footnoteRef/>
      </w:r>
      <w:r w:rsidRPr="008012CB">
        <w:t xml:space="preserve"> </w:t>
      </w:r>
      <w:r w:rsidRPr="008012CB">
        <w:tab/>
        <w:t xml:space="preserve">For example, the music service provider Soundcloud, founded in 2008, has entered into its first licensing deal with independent labels in 2015, six years after its foundation: </w:t>
      </w:r>
      <w:hyperlink r:id="rId101" w:history="1">
        <w:r w:rsidRPr="006F4EE2">
          <w:rPr>
            <w:rStyle w:val="Hyperlink"/>
            <w:rFonts w:eastAsiaTheme="minorHAnsi" w:cstheme="minorBidi"/>
            <w:szCs w:val="22"/>
            <w:lang w:eastAsia="en-US"/>
          </w:rPr>
          <w:t>http://www.theguardian.com/technology/2015/jun/04/soundcloud-signs-licensing-deal-independent-labels</w:t>
        </w:r>
      </w:hyperlink>
      <w:r w:rsidRPr="008012CB">
        <w:t xml:space="preserve">. See also the deal that Soundcloud recently concluded with SACEM, the French authors' collecting society, and UMPI (Universal Music Publishing International): </w:t>
      </w:r>
      <w:r w:rsidRPr="006F4EE2">
        <w:rPr>
          <w:rStyle w:val="Hyperlink"/>
          <w:rFonts w:eastAsiaTheme="minorHAnsi" w:cstheme="minorBidi"/>
          <w:szCs w:val="22"/>
          <w:lang w:eastAsia="en-US"/>
        </w:rPr>
        <w:t>https://societe.sacem.fr/en/press-resources/per-publication/Press+releases/a-new-deal-license-sacem-universal-music-publishing-international-and-soundcloud-strike-new-european-deal</w:t>
      </w:r>
      <w:r w:rsidRPr="008012CB">
        <w:rPr>
          <w:i/>
        </w:rPr>
        <w:t>.</w:t>
      </w:r>
    </w:p>
  </w:footnote>
  <w:footnote w:id="445">
    <w:p w:rsidR="004B69C4" w:rsidRPr="0055729D" w:rsidRDefault="004B69C4" w:rsidP="002A7940">
      <w:pPr>
        <w:pStyle w:val="FootnoteText"/>
      </w:pPr>
      <w:r>
        <w:rPr>
          <w:rStyle w:val="FootnoteReference"/>
        </w:rPr>
        <w:footnoteRef/>
      </w:r>
      <w:r>
        <w:t xml:space="preserve"> </w:t>
      </w:r>
      <w:r>
        <w:tab/>
      </w:r>
      <w:r w:rsidRPr="008827BB">
        <w:t xml:space="preserve">See the synopsis report </w:t>
      </w:r>
      <w:r w:rsidRPr="00F170B0">
        <w:rPr>
          <w:rFonts w:eastAsiaTheme="minorHAnsi"/>
        </w:rPr>
        <w:t>on the public consultation on the regulatory environment for platforms, online intermediaries and the collaborative economy</w:t>
      </w:r>
      <w:r w:rsidRPr="008827BB">
        <w:t xml:space="preserve">, sections 3.6 and 4, </w:t>
      </w:r>
      <w:r w:rsidRPr="006F4EE2">
        <w:rPr>
          <w:rStyle w:val="Hyperlink"/>
          <w:rFonts w:eastAsiaTheme="minorHAnsi" w:cstheme="minorBidi"/>
          <w:szCs w:val="22"/>
          <w:lang w:eastAsia="en-US"/>
        </w:rPr>
        <w:t>https://ec.europa.eu/digital-single-market/en/news/full-report-results-public-consultation-regulatory-environment-platforms-online-intermediaries</w:t>
      </w:r>
      <w:r w:rsidRPr="003D78BC">
        <w:t>.</w:t>
      </w:r>
    </w:p>
  </w:footnote>
  <w:footnote w:id="446">
    <w:p w:rsidR="004B69C4" w:rsidRPr="00E34FC9" w:rsidRDefault="004B69C4" w:rsidP="002A7940">
      <w:pPr>
        <w:pStyle w:val="FootnoteText"/>
      </w:pPr>
      <w:r w:rsidRPr="00E34FC9">
        <w:rPr>
          <w:rStyle w:val="FootnoteReference"/>
        </w:rPr>
        <w:footnoteRef/>
      </w:r>
      <w:r w:rsidRPr="00E34FC9">
        <w:t xml:space="preserve">  </w:t>
      </w:r>
      <w:r>
        <w:tab/>
      </w:r>
      <w:r w:rsidRPr="00E34FC9">
        <w:t>In</w:t>
      </w:r>
      <w:r w:rsidRPr="00BD5580">
        <w:t xml:space="preserve"> their replies to the public consultation on online platforms, individual users expressed their views on the relations between </w:t>
      </w:r>
      <w:r>
        <w:t>rightholders</w:t>
      </w:r>
      <w:r w:rsidRPr="00BD5580">
        <w:t xml:space="preserve"> and platforms and</w:t>
      </w:r>
      <w:r w:rsidRPr="008827BB" w:rsidDel="00B00983">
        <w:t xml:space="preserve"> </w:t>
      </w:r>
      <w:r w:rsidRPr="008827BB">
        <w:t xml:space="preserve">on the possible duty of care on online platforms with regard to tackling (all) illegal content (not only copyright infringing content). See the synopsis report </w:t>
      </w:r>
      <w:r w:rsidRPr="00F170B0">
        <w:rPr>
          <w:rFonts w:eastAsiaTheme="minorHAnsi"/>
        </w:rPr>
        <w:t>on the public consultation on the regulatory environment for platforms, online intermediaries and the collaborative economy</w:t>
      </w:r>
      <w:r w:rsidRPr="008827BB">
        <w:t xml:space="preserve">, </w:t>
      </w:r>
      <w:r w:rsidRPr="006F4EE2">
        <w:rPr>
          <w:rStyle w:val="Hyperlink"/>
          <w:rFonts w:eastAsiaTheme="minorHAnsi" w:cstheme="minorBidi"/>
          <w:szCs w:val="22"/>
          <w:lang w:eastAsia="en-US"/>
        </w:rPr>
        <w:t>https://ec.europa.eu/digital-single-market/en/news/full-report-results-public-consultation-regulatory-environment-platforms-online-intermediaries</w:t>
      </w:r>
      <w:r w:rsidRPr="00E34FC9">
        <w:t>.</w:t>
      </w:r>
    </w:p>
  </w:footnote>
  <w:footnote w:id="447">
    <w:p w:rsidR="004B69C4" w:rsidRPr="00A603D9" w:rsidRDefault="004B69C4" w:rsidP="002A7940">
      <w:pPr>
        <w:pStyle w:val="FootnoteText"/>
      </w:pPr>
      <w:r>
        <w:rPr>
          <w:rStyle w:val="FootnoteReference"/>
        </w:rPr>
        <w:footnoteRef/>
      </w:r>
      <w:r>
        <w:t xml:space="preserve"> </w:t>
      </w:r>
      <w:r>
        <w:tab/>
      </w:r>
      <w:r w:rsidRPr="00A603D9">
        <w:t xml:space="preserve">See the </w:t>
      </w:r>
      <w:r>
        <w:t xml:space="preserve">above cited </w:t>
      </w:r>
      <w:r w:rsidRPr="00A603D9">
        <w:t xml:space="preserve">synopsis report </w:t>
      </w:r>
      <w:r w:rsidRPr="0055729D">
        <w:t>on the public consultation on online platforms</w:t>
      </w:r>
      <w:r>
        <w:t>.</w:t>
      </w:r>
    </w:p>
  </w:footnote>
  <w:footnote w:id="448">
    <w:p w:rsidR="004B69C4" w:rsidRDefault="004B69C4" w:rsidP="00B812A2">
      <w:pPr>
        <w:pStyle w:val="Default"/>
        <w:ind w:left="709" w:hanging="709"/>
        <w:jc w:val="both"/>
      </w:pPr>
      <w:r w:rsidRPr="00A434D7">
        <w:rPr>
          <w:rStyle w:val="FootnoteReference"/>
        </w:rPr>
        <w:footnoteRef/>
      </w:r>
      <w:r>
        <w:rPr>
          <w:sz w:val="20"/>
          <w:szCs w:val="20"/>
        </w:rPr>
        <w:t xml:space="preserve"> </w:t>
      </w:r>
      <w:r>
        <w:rPr>
          <w:sz w:val="20"/>
          <w:szCs w:val="20"/>
        </w:rPr>
        <w:tab/>
      </w:r>
      <w:r w:rsidRPr="00D1507D">
        <w:rPr>
          <w:sz w:val="20"/>
        </w:rPr>
        <w:t xml:space="preserve">See the reply by BEUC to the public consultation on online platforms, </w:t>
      </w:r>
      <w:r w:rsidRPr="00B812A2">
        <w:rPr>
          <w:rStyle w:val="Hyperlink"/>
          <w:rFonts w:cstheme="minorBidi"/>
          <w:sz w:val="20"/>
          <w:szCs w:val="22"/>
        </w:rPr>
        <w:t>https://ec.europa.eu/eusurvey/pdf/answer/452cd1fc-7e4f-4102-aae3-254d219876e8</w:t>
      </w:r>
      <w:r w:rsidRPr="00D1507D">
        <w:rPr>
          <w:i/>
          <w:sz w:val="20"/>
        </w:rPr>
        <w:t>.</w:t>
      </w:r>
    </w:p>
  </w:footnote>
  <w:footnote w:id="449">
    <w:p w:rsidR="004B69C4" w:rsidRPr="007517D5" w:rsidRDefault="004B69C4" w:rsidP="002A7940">
      <w:pPr>
        <w:spacing w:after="0" w:line="240" w:lineRule="auto"/>
        <w:ind w:left="709" w:hanging="709"/>
        <w:jc w:val="both"/>
        <w:rPr>
          <w:sz w:val="20"/>
          <w:szCs w:val="20"/>
        </w:rPr>
      </w:pPr>
      <w:r w:rsidRPr="00327A3F">
        <w:rPr>
          <w:rStyle w:val="FootnoteReference"/>
        </w:rPr>
        <w:footnoteRef/>
      </w:r>
      <w:r w:rsidRPr="00327A3F">
        <w:t xml:space="preserve"> </w:t>
      </w:r>
      <w:r>
        <w:tab/>
      </w:r>
      <w:r w:rsidRPr="0055729D">
        <w:rPr>
          <w:rFonts w:ascii="Times New Roman" w:hAnsi="Times New Roman" w:cs="Times New Roman"/>
          <w:sz w:val="20"/>
          <w:szCs w:val="20"/>
        </w:rPr>
        <w:t xml:space="preserve">It can be difficult to quantify the exact amount of copyright protected content uploaded by users due to the diversity of content which in many cases may not be copyright relevant (such as family pictures) or be uploaded by </w:t>
      </w:r>
      <w:r>
        <w:rPr>
          <w:rFonts w:ascii="Times New Roman" w:hAnsi="Times New Roman" w:cs="Times New Roman"/>
          <w:sz w:val="20"/>
          <w:szCs w:val="20"/>
        </w:rPr>
        <w:t>rightholders</w:t>
      </w:r>
      <w:r w:rsidRPr="0055729D">
        <w:rPr>
          <w:rFonts w:ascii="Times New Roman" w:hAnsi="Times New Roman" w:cs="Times New Roman"/>
          <w:sz w:val="20"/>
          <w:szCs w:val="20"/>
        </w:rPr>
        <w:t xml:space="preserve"> themselves. See for instance the Hadopi study regarding an estimated quantification of content and types of content on YouTube and Daily Motion </w:t>
      </w:r>
      <w:hyperlink r:id="rId102" w:history="1">
        <w:r w:rsidRPr="00B812A2">
          <w:rPr>
            <w:rStyle w:val="Hyperlink"/>
            <w:rFonts w:ascii="Times New Roman" w:hAnsi="Times New Roman"/>
            <w:sz w:val="20"/>
          </w:rPr>
          <w:t>https://www.hadopi.fr/observation/publications/qualification-et-quantification-des-contenus-sur-youtube</w:t>
        </w:r>
      </w:hyperlink>
      <w:r w:rsidRPr="0055729D">
        <w:rPr>
          <w:rFonts w:ascii="Times New Roman" w:hAnsi="Times New Roman" w:cs="Times New Roman"/>
          <w:i/>
          <w:sz w:val="20"/>
          <w:szCs w:val="20"/>
        </w:rPr>
        <w:t xml:space="preserve">; </w:t>
      </w:r>
      <w:hyperlink r:id="rId103" w:history="1">
        <w:r w:rsidRPr="00B812A2">
          <w:rPr>
            <w:rStyle w:val="Hyperlink"/>
            <w:rFonts w:ascii="Times New Roman" w:hAnsi="Times New Roman"/>
            <w:sz w:val="20"/>
          </w:rPr>
          <w:t>https://www.hadopi.fr/actualites/actualites/qualification-et-quantification-des-contenus-sur-dailymotion</w:t>
        </w:r>
      </w:hyperlink>
      <w:r w:rsidRPr="0055729D">
        <w:rPr>
          <w:rFonts w:ascii="Times New Roman" w:hAnsi="Times New Roman" w:cs="Times New Roman"/>
          <w:sz w:val="20"/>
          <w:szCs w:val="20"/>
        </w:rPr>
        <w:t>. It seems however clear that even if protected content available on user uploaded content services was to represent only a part of the overall content available on these services, the amount would still be very significant due to the scale many of these services have reached.</w:t>
      </w:r>
    </w:p>
  </w:footnote>
  <w:footnote w:id="450">
    <w:p w:rsidR="004B69C4" w:rsidRDefault="004B69C4" w:rsidP="002A7940">
      <w:pPr>
        <w:pStyle w:val="FootnoteText"/>
      </w:pPr>
      <w:r>
        <w:rPr>
          <w:rStyle w:val="FootnoteReference"/>
        </w:rPr>
        <w:footnoteRef/>
      </w:r>
      <w:r>
        <w:t xml:space="preserve"> </w:t>
      </w:r>
      <w:r>
        <w:tab/>
        <w:t xml:space="preserve">Related to the technologies, see the synopsis report </w:t>
      </w:r>
      <w:r w:rsidRPr="0060577D">
        <w:rPr>
          <w:rFonts w:eastAsiaTheme="minorHAnsi"/>
          <w:bCs/>
          <w:sz w:val="19"/>
          <w:szCs w:val="19"/>
        </w:rPr>
        <w:t>on the public consultation on the regulatory environment for platforms</w:t>
      </w:r>
      <w:r w:rsidRPr="0060577D">
        <w:rPr>
          <w:rFonts w:eastAsiaTheme="minorHAnsi"/>
          <w:bCs/>
        </w:rPr>
        <w:t xml:space="preserve">, </w:t>
      </w:r>
      <w:r w:rsidRPr="0060577D">
        <w:rPr>
          <w:rFonts w:eastAsiaTheme="minorHAnsi"/>
          <w:bCs/>
          <w:sz w:val="19"/>
          <w:szCs w:val="19"/>
        </w:rPr>
        <w:t>online intermediaries and the collaborative economy</w:t>
      </w:r>
      <w:r>
        <w:t xml:space="preserve">, sections 4.4 and 4.5, </w:t>
      </w:r>
      <w:r w:rsidRPr="00B853C3">
        <w:t>https://ec.europa.eu/digital-single-market/en/news/full-report-results-public-consultation-regulatory-environment-platforms-online-intermediaries</w:t>
      </w:r>
      <w:r>
        <w:t>.</w:t>
      </w:r>
    </w:p>
  </w:footnote>
  <w:footnote w:id="451">
    <w:p w:rsidR="004B69C4" w:rsidRPr="0055729D" w:rsidRDefault="004B69C4" w:rsidP="002A7940">
      <w:pPr>
        <w:pStyle w:val="FootnoteText"/>
      </w:pPr>
      <w:r>
        <w:rPr>
          <w:rStyle w:val="FootnoteReference"/>
        </w:rPr>
        <w:footnoteRef/>
      </w:r>
      <w:r>
        <w:t xml:space="preserve"> </w:t>
      </w:r>
      <w:r>
        <w:tab/>
      </w:r>
      <w:r w:rsidRPr="008012CB">
        <w:t xml:space="preserve">See also the open letter sent to the Commission in April 2016, co-signed by a number of associations representing internet companies (e.g. CCIA, EuroISPA, Digitaleurope) and other stakeholders: </w:t>
      </w:r>
      <w:r w:rsidRPr="00131B94">
        <w:rPr>
          <w:rStyle w:val="Hyperlink"/>
          <w:rFonts w:eastAsiaTheme="minorHAnsi" w:cstheme="minorBidi"/>
          <w:szCs w:val="22"/>
          <w:lang w:eastAsia="en-US"/>
        </w:rPr>
        <w:t>http://libereurope.eu/wp-content/uploads/2016/04/Open-letter-Copyright-Reform.pdf</w:t>
      </w:r>
      <w:r w:rsidRPr="008012CB">
        <w:t xml:space="preserve">. Youtube has also expressed its opinion on the issue of the value gap in the press, arguing that the service creates additional value for </w:t>
      </w:r>
      <w:r>
        <w:t>rightholders</w:t>
      </w:r>
      <w:r w:rsidRPr="008012CB">
        <w:t xml:space="preserve"> through monetization of fan videos as well as providing additional value through user data. See article in Financial Times: </w:t>
      </w:r>
      <w:hyperlink r:id="rId104" w:anchor="axzz47ANNJ4A4" w:history="1">
        <w:r w:rsidRPr="00B812A2">
          <w:rPr>
            <w:rStyle w:val="Hyperlink"/>
            <w:rFonts w:eastAsiaTheme="minorHAnsi" w:cstheme="minorBidi"/>
            <w:szCs w:val="22"/>
            <w:lang w:eastAsia="en-US"/>
          </w:rPr>
          <w:t>http://www.ft.com/intl/cms/s/0/37dcc5fc-0ca3-11e6-ad80-67655613c2d6.html#axzz47ANNJ4A4</w:t>
        </w:r>
      </w:hyperlink>
      <w:r w:rsidRPr="00D1507D">
        <w:t>.</w:t>
      </w:r>
      <w:r w:rsidRPr="0071266F">
        <w:tab/>
      </w:r>
    </w:p>
  </w:footnote>
  <w:footnote w:id="452">
    <w:p w:rsidR="004B69C4" w:rsidRPr="00FB5996" w:rsidRDefault="004B69C4" w:rsidP="00D1507D">
      <w:pPr>
        <w:pStyle w:val="Default"/>
        <w:ind w:left="709" w:hanging="709"/>
        <w:jc w:val="both"/>
      </w:pPr>
      <w:r w:rsidRPr="00F170B0">
        <w:rPr>
          <w:rStyle w:val="FootnoteReference"/>
          <w:rFonts w:cs="Arial"/>
        </w:rPr>
        <w:footnoteRef/>
      </w:r>
      <w:r w:rsidRPr="00D1507D">
        <w:rPr>
          <w:sz w:val="20"/>
        </w:rPr>
        <w:t xml:space="preserve"> </w:t>
      </w:r>
      <w:r w:rsidRPr="00D1507D">
        <w:rPr>
          <w:sz w:val="20"/>
        </w:rPr>
        <w:tab/>
        <w:t>BEUC has co-signed the open letter cited above. See also the reply by BEUC to the public consultation on online platforms referred to above.</w:t>
      </w:r>
    </w:p>
  </w:footnote>
  <w:footnote w:id="453">
    <w:p w:rsidR="004B69C4" w:rsidRPr="00BE13A4" w:rsidRDefault="004B69C4" w:rsidP="002A7940">
      <w:pPr>
        <w:pStyle w:val="FootnoteText"/>
      </w:pPr>
      <w:r>
        <w:rPr>
          <w:rStyle w:val="FootnoteReference"/>
        </w:rPr>
        <w:footnoteRef/>
      </w:r>
      <w:r>
        <w:rPr>
          <w:i/>
        </w:rPr>
        <w:tab/>
      </w:r>
      <w:r w:rsidRPr="00B812A2">
        <w:rPr>
          <w:rStyle w:val="Hyperlink"/>
          <w:rFonts w:eastAsiaTheme="minorHAnsi" w:cstheme="minorBidi"/>
          <w:szCs w:val="22"/>
          <w:lang w:eastAsia="en-US"/>
        </w:rPr>
        <w:t>https://ec.europa.eu/digital-single-market/en/news/full-report-results-public-consultation-regulatory-environment-platforms-online-intermediaries</w:t>
      </w:r>
      <w:r w:rsidRPr="0055729D">
        <w:rPr>
          <w:i/>
        </w:rPr>
        <w:t>.</w:t>
      </w:r>
    </w:p>
  </w:footnote>
  <w:footnote w:id="454">
    <w:p w:rsidR="004B69C4" w:rsidRPr="006B14A0" w:rsidRDefault="004B69C4" w:rsidP="002A7940">
      <w:pPr>
        <w:pStyle w:val="FootnoteText"/>
      </w:pPr>
      <w:r w:rsidRPr="00BE13A4">
        <w:rPr>
          <w:rStyle w:val="FootnoteReference"/>
        </w:rPr>
        <w:footnoteRef/>
      </w:r>
      <w:r w:rsidRPr="00BE13A4">
        <w:t xml:space="preserve"> </w:t>
      </w:r>
      <w:r>
        <w:tab/>
      </w:r>
      <w:r w:rsidRPr="006B14A0">
        <w:t>See problem description.</w:t>
      </w:r>
    </w:p>
  </w:footnote>
  <w:footnote w:id="455">
    <w:p w:rsidR="004B69C4" w:rsidRPr="00B307FD" w:rsidRDefault="004B69C4" w:rsidP="002A7940">
      <w:pPr>
        <w:pStyle w:val="FootnoteText"/>
      </w:pPr>
      <w:r w:rsidRPr="00BE13A4">
        <w:rPr>
          <w:rStyle w:val="FootnoteReference"/>
        </w:rPr>
        <w:footnoteRef/>
      </w:r>
      <w:r w:rsidRPr="00BE13A4">
        <w:t xml:space="preserve"> </w:t>
      </w:r>
      <w:r>
        <w:tab/>
      </w:r>
      <w:r w:rsidRPr="006B14A0">
        <w:t>See problem description quoting a letter sent by a</w:t>
      </w:r>
      <w:r w:rsidRPr="00CB37F5">
        <w:t xml:space="preserve">rtists to the US Congress in June 2016 asking for a reform </w:t>
      </w:r>
      <w:r w:rsidRPr="00360741">
        <w:rPr>
          <w:i/>
        </w:rPr>
        <w:t>'that balances the interests of creators with t</w:t>
      </w:r>
      <w:r w:rsidRPr="002169CA">
        <w:rPr>
          <w:i/>
        </w:rPr>
        <w:t>he interests of the companies who exploit music'</w:t>
      </w:r>
      <w:r w:rsidRPr="00B307FD">
        <w:t>.</w:t>
      </w:r>
    </w:p>
  </w:footnote>
  <w:footnote w:id="456">
    <w:p w:rsidR="004B69C4" w:rsidRPr="006D6270" w:rsidRDefault="004B69C4" w:rsidP="00D1507D">
      <w:pPr>
        <w:autoSpaceDE w:val="0"/>
        <w:autoSpaceDN w:val="0"/>
        <w:adjustRightInd w:val="0"/>
        <w:spacing w:after="0" w:line="240" w:lineRule="auto"/>
        <w:ind w:left="709" w:hanging="709"/>
        <w:jc w:val="both"/>
        <w:rPr>
          <w:color w:val="00002E"/>
        </w:rPr>
      </w:pPr>
      <w:r w:rsidRPr="00D1507D">
        <w:rPr>
          <w:rStyle w:val="FootnoteReference"/>
          <w:rFonts w:ascii="Times New Roman" w:hAnsi="Times New Roman"/>
          <w:sz w:val="20"/>
        </w:rPr>
        <w:footnoteRef/>
      </w:r>
      <w:r w:rsidRPr="00D1507D">
        <w:rPr>
          <w:rFonts w:ascii="Times New Roman" w:hAnsi="Times New Roman"/>
          <w:sz w:val="20"/>
        </w:rPr>
        <w:t xml:space="preserve"> </w:t>
      </w:r>
      <w:r w:rsidRPr="00D1507D">
        <w:rPr>
          <w:rFonts w:ascii="Times New Roman" w:hAnsi="Times New Roman"/>
          <w:sz w:val="20"/>
        </w:rPr>
        <w:tab/>
        <w:t xml:space="preserve">See problem description regarding the litigation between PRS and Soundcloud that resulted into the conclusion of an agreement after five years. See also the announcement in October 2015 of a collaborative agreement by Google/YouTube and Mediaset España, putting an end to 8 years of legal disputes, </w:t>
      </w:r>
      <w:hyperlink r:id="rId105" w:history="1">
        <w:r w:rsidRPr="00B812A2">
          <w:rPr>
            <w:rStyle w:val="Hyperlink"/>
            <w:rFonts w:ascii="Times New Roman" w:hAnsi="Times New Roman"/>
            <w:sz w:val="20"/>
          </w:rPr>
          <w:t>http://www.mediaset.es/inversores/en/GoogleYouTube-Mediaset-Espana-collaborative-agreement_MDSFIL20151021_0005.pdf</w:t>
        </w:r>
      </w:hyperlink>
      <w:r w:rsidRPr="00D1507D">
        <w:rPr>
          <w:rFonts w:ascii="Times New Roman" w:hAnsi="Times New Roman"/>
          <w:i/>
          <w:sz w:val="20"/>
        </w:rPr>
        <w:t>,</w:t>
      </w:r>
      <w:r w:rsidRPr="00D1507D">
        <w:rPr>
          <w:rFonts w:ascii="Times New Roman" w:hAnsi="Times New Roman"/>
          <w:sz w:val="20"/>
        </w:rPr>
        <w:t xml:space="preserve"> </w:t>
      </w:r>
      <w:r w:rsidRPr="00B812A2">
        <w:rPr>
          <w:rStyle w:val="Hyperlink"/>
          <w:rFonts w:ascii="Times New Roman" w:hAnsi="Times New Roman" w:cs="Times New Roman"/>
          <w:sz w:val="20"/>
          <w:szCs w:val="20"/>
        </w:rPr>
        <w:t>http://www.panoramaaudiovisual.com/en/2015/10/21/Mediaset-sign-peace-with-google-and-will-circulate-its-content-on-youtube/</w:t>
      </w:r>
      <w:r w:rsidRPr="00D1507D">
        <w:rPr>
          <w:rFonts w:ascii="Times New Roman" w:hAnsi="Times New Roman"/>
          <w:i/>
          <w:sz w:val="20"/>
        </w:rPr>
        <w:t>.</w:t>
      </w:r>
    </w:p>
  </w:footnote>
  <w:footnote w:id="457">
    <w:p w:rsidR="004B69C4" w:rsidRPr="00D1507D" w:rsidRDefault="004B69C4" w:rsidP="002A7940">
      <w:pPr>
        <w:pStyle w:val="FootnoteText"/>
        <w:rPr>
          <w:highlight w:val="yellow"/>
        </w:rPr>
      </w:pPr>
      <w:r w:rsidRPr="00BE13A4">
        <w:rPr>
          <w:rStyle w:val="FootnoteReference"/>
        </w:rPr>
        <w:footnoteRef/>
      </w:r>
      <w:r w:rsidRPr="00BE13A4">
        <w:t xml:space="preserve"> </w:t>
      </w:r>
      <w:r>
        <w:tab/>
      </w:r>
      <w:r w:rsidRPr="006B14A0">
        <w:t>For example, Impala, the association repr</w:t>
      </w:r>
      <w:r w:rsidRPr="00CB37F5">
        <w:t xml:space="preserve">esenting independent labels, has pointed to difficulties in negotiating with Youtube threatening that the content will be blocked if the contract proposed by it is not signed by the independents, see </w:t>
      </w:r>
      <w:r w:rsidRPr="00B812A2">
        <w:rPr>
          <w:rStyle w:val="Hyperlink"/>
          <w:rFonts w:eastAsiaTheme="minorHAnsi"/>
          <w:lang w:eastAsia="en-US"/>
        </w:rPr>
        <w:t>http://www.impalamusic.org/content/youtube-issues-content-blocking-threats-independent-labels-win-and-impala-raise-concerns</w:t>
      </w:r>
      <w:r w:rsidRPr="00E735A1">
        <w:rPr>
          <w:i/>
        </w:rPr>
        <w:t>.</w:t>
      </w:r>
    </w:p>
  </w:footnote>
  <w:footnote w:id="458">
    <w:p w:rsidR="004B69C4" w:rsidRPr="00427E47" w:rsidRDefault="004B69C4" w:rsidP="002A7940">
      <w:pPr>
        <w:pStyle w:val="FootnoteText"/>
      </w:pPr>
      <w:r w:rsidRPr="00BE13A4">
        <w:rPr>
          <w:rStyle w:val="FootnoteReference"/>
        </w:rPr>
        <w:footnoteRef/>
      </w:r>
      <w:r w:rsidRPr="00BE13A4">
        <w:t xml:space="preserve"> </w:t>
      </w:r>
      <w:r>
        <w:tab/>
      </w:r>
      <w:r w:rsidRPr="00BE13A4">
        <w:t>See Annex 12</w:t>
      </w:r>
      <w:r w:rsidRPr="006B14A0">
        <w:t>A</w:t>
      </w:r>
      <w:r w:rsidRPr="00CB37F5">
        <w:t xml:space="preserve"> for the description of different technologies and their usage by major user uploaded content </w:t>
      </w:r>
      <w:r w:rsidRPr="00427E47">
        <w:t>services.</w:t>
      </w:r>
    </w:p>
  </w:footnote>
  <w:footnote w:id="459">
    <w:p w:rsidR="004B69C4" w:rsidRPr="004C1952" w:rsidRDefault="004B69C4" w:rsidP="002A7940">
      <w:pPr>
        <w:pStyle w:val="FootnoteText"/>
      </w:pPr>
      <w:r w:rsidRPr="00BE13A4">
        <w:rPr>
          <w:rStyle w:val="FootnoteReference"/>
        </w:rPr>
        <w:footnoteRef/>
      </w:r>
      <w:r w:rsidRPr="00BE13A4">
        <w:t xml:space="preserve"> </w:t>
      </w:r>
      <w:r>
        <w:tab/>
      </w:r>
      <w:r w:rsidRPr="00BE13A4">
        <w:t>See for instance the Hamburg regional court decision of July 1</w:t>
      </w:r>
      <w:r w:rsidRPr="006B14A0">
        <w:rPr>
          <w:vertAlign w:val="superscript"/>
        </w:rPr>
        <w:t>st</w:t>
      </w:r>
      <w:r w:rsidRPr="00CB37F5">
        <w:t xml:space="preserve"> 2</w:t>
      </w:r>
      <w:r w:rsidRPr="00427E47">
        <w:t xml:space="preserve">015 in which the user uploaded content service is </w:t>
      </w:r>
      <w:r w:rsidRPr="004C1952">
        <w:t xml:space="preserve">imposed to take appropriate measures aimed at avoiding further infringements. </w:t>
      </w:r>
    </w:p>
  </w:footnote>
  <w:footnote w:id="460">
    <w:p w:rsidR="004B69C4" w:rsidRPr="004C1952" w:rsidRDefault="004B69C4" w:rsidP="00B812A2">
      <w:pPr>
        <w:pStyle w:val="FootnoteText"/>
        <w:rPr>
          <w:i/>
        </w:rPr>
      </w:pPr>
      <w:r w:rsidRPr="004C1952">
        <w:rPr>
          <w:rStyle w:val="FootnoteReference"/>
        </w:rPr>
        <w:footnoteRef/>
      </w:r>
      <w:r w:rsidRPr="004C1952">
        <w:t xml:space="preserve"> </w:t>
      </w:r>
      <w:r w:rsidRPr="004C1952">
        <w:tab/>
        <w:t xml:space="preserve">See the above reference to Soundcloud. Youtube has already signed a number of agreements and is said to be renegotiating agreements with music labels, see e.g. </w:t>
      </w:r>
      <w:hyperlink r:id="rId106" w:anchor="axzz4CK050l97" w:history="1">
        <w:r w:rsidRPr="00082356">
          <w:rPr>
            <w:rStyle w:val="Hyperlink"/>
            <w:rFonts w:eastAsiaTheme="minorHAnsi"/>
            <w:lang w:eastAsia="en-US"/>
          </w:rPr>
          <w:t>http://www.ft.com/cms/s/0/2c310ae8-fbc2-11e5-8e04-8600cef2ca75.html#axzz4CK050l97</w:t>
        </w:r>
      </w:hyperlink>
    </w:p>
  </w:footnote>
  <w:footnote w:id="461">
    <w:p w:rsidR="004B69C4" w:rsidRPr="00E728B6" w:rsidRDefault="004B69C4" w:rsidP="00B812A2">
      <w:pPr>
        <w:pStyle w:val="FootnoteText"/>
        <w:ind w:left="0" w:firstLine="0"/>
        <w:rPr>
          <w:sz w:val="4"/>
          <w:szCs w:val="4"/>
        </w:rPr>
      </w:pPr>
    </w:p>
  </w:footnote>
  <w:footnote w:id="462">
    <w:p w:rsidR="004B69C4" w:rsidRPr="00E728B6" w:rsidRDefault="004B69C4" w:rsidP="00E728B6">
      <w:pPr>
        <w:spacing w:after="0" w:line="240" w:lineRule="auto"/>
        <w:ind w:left="709" w:hanging="709"/>
        <w:jc w:val="both"/>
        <w:rPr>
          <w:i/>
        </w:rPr>
      </w:pPr>
      <w:r w:rsidRPr="004C1952">
        <w:rPr>
          <w:rStyle w:val="FootnoteReference"/>
        </w:rPr>
        <w:footnoteRef/>
      </w:r>
      <w:r w:rsidRPr="004C1952">
        <w:t xml:space="preserve"> </w:t>
      </w:r>
      <w:r w:rsidRPr="004C1952">
        <w:tab/>
      </w:r>
      <w:r w:rsidRPr="0002514A">
        <w:rPr>
          <w:rFonts w:ascii="Times New Roman" w:eastAsia="Calibri" w:hAnsi="Times New Roman" w:cs="Times New Roman"/>
          <w:sz w:val="20"/>
          <w:szCs w:val="20"/>
          <w:lang w:eastAsia="en-GB"/>
        </w:rPr>
        <w:t>Having a sustainable business model on today's streaming market has proven to be very difficult, as demonstrated by the losses incurred, the failures by some streaming services (e.g. Deezer), to  raise funds, or by cases of bankruptcy (e.g. the US streaming service Rdio). See</w:t>
      </w:r>
      <w:r w:rsidRPr="004C1952">
        <w:t xml:space="preserve"> </w:t>
      </w:r>
      <w:hyperlink r:id="rId107" w:history="1">
        <w:r w:rsidRPr="00B812A2">
          <w:rPr>
            <w:rStyle w:val="Hyperlink"/>
            <w:rFonts w:ascii="Times New Roman" w:hAnsi="Times New Roman" w:cs="Times New Roman"/>
            <w:sz w:val="20"/>
            <w:szCs w:val="20"/>
          </w:rPr>
          <w:t>https://www.theguardian.com/technology/2015/oct/28/deezer-ipo-music-streaming</w:t>
        </w:r>
      </w:hyperlink>
      <w:r w:rsidRPr="00B812A2">
        <w:rPr>
          <w:rStyle w:val="Hyperlink"/>
        </w:rPr>
        <w:t xml:space="preserve">, </w:t>
      </w:r>
      <w:hyperlink r:id="rId108" w:history="1">
        <w:r w:rsidRPr="00B812A2">
          <w:rPr>
            <w:rStyle w:val="Hyperlink"/>
            <w:rFonts w:ascii="Times New Roman" w:hAnsi="Times New Roman" w:cs="Times New Roman"/>
            <w:sz w:val="20"/>
            <w:szCs w:val="20"/>
          </w:rPr>
          <w:t>http://www.musicbusinessworldwide.com/another-streaming-service-fails-ipo-guvera-move-blocked/</w:t>
        </w:r>
      </w:hyperlink>
      <w:r w:rsidRPr="00B812A2">
        <w:rPr>
          <w:rStyle w:val="Hyperlink"/>
        </w:rPr>
        <w:t xml:space="preserve">, </w:t>
      </w:r>
      <w:hyperlink r:id="rId109" w:history="1">
        <w:r w:rsidRPr="00B812A2">
          <w:rPr>
            <w:rStyle w:val="Hyperlink"/>
            <w:rFonts w:ascii="Times New Roman" w:hAnsi="Times New Roman" w:cs="Times New Roman"/>
            <w:sz w:val="20"/>
            <w:szCs w:val="20"/>
          </w:rPr>
          <w:t>http://www.hollywoodreporter.com/thr-esq/rdio-was-losing-2-million-840977</w:t>
        </w:r>
      </w:hyperlink>
    </w:p>
  </w:footnote>
  <w:footnote w:id="463">
    <w:p w:rsidR="004B69C4" w:rsidRPr="00215C2C" w:rsidRDefault="004B69C4" w:rsidP="002A7940">
      <w:pPr>
        <w:pStyle w:val="FootnoteText"/>
      </w:pPr>
      <w:r>
        <w:rPr>
          <w:rStyle w:val="FootnoteReference"/>
        </w:rPr>
        <w:footnoteRef/>
      </w:r>
      <w:r>
        <w:t xml:space="preserve"> </w:t>
      </w:r>
      <w:r>
        <w:tab/>
        <w:t xml:space="preserve">See the above mentioned Hambourg decision. </w:t>
      </w:r>
    </w:p>
  </w:footnote>
  <w:footnote w:id="464">
    <w:p w:rsidR="004B69C4" w:rsidRPr="00874FDD" w:rsidRDefault="004B69C4" w:rsidP="002A7940">
      <w:pPr>
        <w:pStyle w:val="FootnoteText"/>
      </w:pPr>
      <w:r>
        <w:rPr>
          <w:rStyle w:val="FootnoteReference"/>
        </w:rPr>
        <w:footnoteRef/>
      </w:r>
      <w:r>
        <w:t xml:space="preserve"> </w:t>
      </w:r>
      <w:r>
        <w:tab/>
      </w:r>
      <w:r w:rsidRPr="00874FDD">
        <w:t xml:space="preserve">See Annex </w:t>
      </w:r>
      <w:r>
        <w:t>12B</w:t>
      </w:r>
      <w:r w:rsidRPr="00874FDD">
        <w:t xml:space="preserve"> containing the results from the Flash Eurobarometer on Internet users’ preferences for accessing content online showing the predominance of "free" for accessing content online</w:t>
      </w:r>
      <w:r>
        <w:t>.</w:t>
      </w:r>
    </w:p>
  </w:footnote>
  <w:footnote w:id="465">
    <w:p w:rsidR="004B69C4" w:rsidRPr="009E4C29" w:rsidRDefault="004B69C4" w:rsidP="002A7940">
      <w:pPr>
        <w:pStyle w:val="FootnoteText"/>
      </w:pPr>
      <w:r>
        <w:rPr>
          <w:rStyle w:val="FootnoteReference"/>
        </w:rPr>
        <w:footnoteRef/>
      </w:r>
      <w:r>
        <w:t xml:space="preserve"> </w:t>
      </w:r>
      <w:r>
        <w:tab/>
      </w:r>
      <w:r w:rsidRPr="00F449FC">
        <w:t xml:space="preserve">See for </w:t>
      </w:r>
      <w:r w:rsidRPr="00F61D1C">
        <w:t xml:space="preserve">example an article at </w:t>
      </w:r>
      <w:r w:rsidRPr="00B812A2">
        <w:rPr>
          <w:rStyle w:val="Hyperlink"/>
          <w:rFonts w:eastAsiaTheme="minorHAnsi"/>
          <w:lang w:eastAsia="en-US"/>
        </w:rPr>
        <w:t>http://www.musicbusinessworldwide.com/youtube-are-under-paying-exploiting-creators-and-getting-away-with-it</w:t>
      </w:r>
      <w:r w:rsidRPr="00F61D1C">
        <w:t xml:space="preserve"> where the independent community is asking for a minimum per-view guarantee at least as great as existing services that have a free tier.</w:t>
      </w:r>
      <w:r w:rsidRPr="00CC7E66">
        <w:rPr>
          <w:rFonts w:eastAsia="Arial Unicode MS"/>
          <w:sz w:val="24"/>
          <w:szCs w:val="24"/>
          <w:lang w:eastAsia="en-US"/>
        </w:rPr>
        <w:t xml:space="preserve"> </w:t>
      </w:r>
      <w:r w:rsidRPr="00CC7E66">
        <w:t xml:space="preserve">At the same time, it should be acknowledged </w:t>
      </w:r>
      <w:r w:rsidRPr="00773A44">
        <w:t>that the payment resulting from the free tier</w:t>
      </w:r>
      <w:r w:rsidRPr="009E4C29">
        <w:t xml:space="preserve"> is linked to the coexistence of freemium and premium pricing. </w:t>
      </w:r>
    </w:p>
  </w:footnote>
  <w:footnote w:id="466">
    <w:p w:rsidR="004B69C4" w:rsidRPr="00BE13A4" w:rsidRDefault="004B69C4" w:rsidP="002A7940">
      <w:pPr>
        <w:pStyle w:val="FootnoteText"/>
      </w:pPr>
      <w:r>
        <w:rPr>
          <w:rStyle w:val="FootnoteReference"/>
        </w:rPr>
        <w:footnoteRef/>
      </w:r>
      <w:r w:rsidRPr="0055729D">
        <w:t xml:space="preserve"> </w:t>
      </w:r>
      <w:r>
        <w:tab/>
      </w:r>
      <w:r w:rsidRPr="0055729D">
        <w:t xml:space="preserve">See Annex 12A on content identification technologies. </w:t>
      </w:r>
    </w:p>
  </w:footnote>
  <w:footnote w:id="467">
    <w:p w:rsidR="004B69C4" w:rsidRPr="007C666C" w:rsidRDefault="004B69C4" w:rsidP="002A7940">
      <w:pPr>
        <w:pStyle w:val="FootnoteText"/>
      </w:pPr>
      <w:r w:rsidRPr="00B25BBE">
        <w:rPr>
          <w:rStyle w:val="FootnoteReference"/>
        </w:rPr>
        <w:footnoteRef/>
      </w:r>
      <w:r w:rsidRPr="00B25BBE">
        <w:t xml:space="preserve"> </w:t>
      </w:r>
      <w:r>
        <w:tab/>
      </w:r>
      <w:r w:rsidRPr="00B25BBE">
        <w:t xml:space="preserve">Based on the current market situation (and the examples of services cited by the respondents to the Flash Eurobarometer), it is estimated that the number of services affected would be </w:t>
      </w:r>
      <w:r w:rsidRPr="007C666C">
        <w:t>those that have</w:t>
      </w:r>
      <w:r>
        <w:t xml:space="preserve"> a</w:t>
      </w:r>
      <w:r w:rsidRPr="007C666C">
        <w:t xml:space="preserve"> high number of users (from several millions to over a billion) and daily uploads ranging from hundreds to millions of files</w:t>
      </w:r>
      <w:r>
        <w:t>.</w:t>
      </w:r>
      <w:r w:rsidRPr="00B25BBE">
        <w:t xml:space="preserve"> This category includes services which may differ significantly in </w:t>
      </w:r>
      <w:r w:rsidRPr="00647C04">
        <w:t>terms of size: Youtube is clearly the</w:t>
      </w:r>
      <w:r w:rsidRPr="007C666C">
        <w:t xml:space="preserve"> biggest service but services such as Dailymotion, Vimeo, Pinterest are also likely to fall into this category.</w:t>
      </w:r>
      <w:r w:rsidRPr="009E4C29">
        <w:t xml:space="preserve">  </w:t>
      </w:r>
    </w:p>
  </w:footnote>
  <w:footnote w:id="468">
    <w:p w:rsidR="004B69C4" w:rsidRPr="00A24222" w:rsidRDefault="004B69C4" w:rsidP="002A7940">
      <w:pPr>
        <w:pStyle w:val="FootnoteText"/>
        <w:rPr>
          <w:lang w:val="en-US"/>
        </w:rPr>
      </w:pPr>
      <w:r>
        <w:rPr>
          <w:rStyle w:val="FootnoteReference"/>
        </w:rPr>
        <w:footnoteRef/>
      </w:r>
      <w:r>
        <w:t xml:space="preserve"> </w:t>
      </w:r>
      <w:r>
        <w:tab/>
      </w:r>
      <w:r w:rsidRPr="0055729D">
        <w:t>See Annex 12A</w:t>
      </w:r>
      <w:r>
        <w:t xml:space="preserve"> for some examples of services with different functionalities and prices.</w:t>
      </w:r>
    </w:p>
  </w:footnote>
  <w:footnote w:id="469">
    <w:p w:rsidR="004B69C4" w:rsidRDefault="004B69C4" w:rsidP="002A7940">
      <w:pPr>
        <w:pStyle w:val="FootnoteText"/>
      </w:pPr>
      <w:r>
        <w:rPr>
          <w:rStyle w:val="FootnoteReference"/>
        </w:rPr>
        <w:footnoteRef/>
      </w:r>
      <w:r w:rsidRPr="0055729D">
        <w:t xml:space="preserve"> </w:t>
      </w:r>
      <w:r w:rsidRPr="008012CB">
        <w:tab/>
      </w:r>
      <w:r w:rsidRPr="0055729D">
        <w:t>An estimation</w:t>
      </w:r>
      <w:r w:rsidRPr="00920848">
        <w:t xml:space="preserve"> of costs </w:t>
      </w:r>
      <w:r>
        <w:t>related to all types of illegal content</w:t>
      </w:r>
      <w:r w:rsidRPr="00920848">
        <w:t xml:space="preserve"> </w:t>
      </w:r>
      <w:r>
        <w:t xml:space="preserve">(and not only copyright) </w:t>
      </w:r>
      <w:r w:rsidRPr="00920848">
        <w:t>ranging from 5-10</w:t>
      </w:r>
      <w:r>
        <w:t xml:space="preserve"> </w:t>
      </w:r>
      <w:r w:rsidRPr="00920848">
        <w:t xml:space="preserve">% of operation costs or several thousand to million euros per year has been put forward by certain </w:t>
      </w:r>
      <w:r>
        <w:t>intermediaries, see</w:t>
      </w:r>
      <w:r w:rsidRPr="00920848">
        <w:t xml:space="preserve"> </w:t>
      </w:r>
      <w:r w:rsidRPr="00B812A2">
        <w:rPr>
          <w:rStyle w:val="Hyperlink"/>
        </w:rPr>
        <w:t>https://ec.europa.eu/digital-single-market/en/news/full-report-results-public-consultation-regulatory-environment-platforms-online-intermediaries</w:t>
      </w:r>
      <w:r>
        <w:rPr>
          <w:i/>
        </w:rPr>
        <w:t>.</w:t>
      </w:r>
    </w:p>
  </w:footnote>
  <w:footnote w:id="470">
    <w:p w:rsidR="004B69C4" w:rsidRDefault="004B69C4" w:rsidP="002A7940">
      <w:pPr>
        <w:pStyle w:val="FootnoteText"/>
      </w:pPr>
      <w:r>
        <w:rPr>
          <w:rStyle w:val="FootnoteReference"/>
        </w:rPr>
        <w:footnoteRef/>
      </w:r>
      <w:r>
        <w:t xml:space="preserve">  </w:t>
      </w:r>
      <w:r>
        <w:tab/>
        <w:t xml:space="preserve">See the submission by Audible Magic to US Copyright Office in the context of the Section 512 study </w:t>
      </w:r>
      <w:hyperlink r:id="rId110" w:anchor="!documentDetail;D=COLC-2015-0013-85992" w:history="1">
        <w:r w:rsidRPr="00B812A2">
          <w:rPr>
            <w:rStyle w:val="Hyperlink"/>
          </w:rPr>
          <w:t>https://www.regulations.gov/#!documentDetail;D=COLC-2015-0013-85992</w:t>
        </w:r>
      </w:hyperlink>
      <w:r w:rsidRPr="00B812A2">
        <w:rPr>
          <w:rStyle w:val="Hyperlink"/>
        </w:rPr>
        <w:t>.</w:t>
      </w:r>
      <w:r w:rsidRPr="00B812A2">
        <w:rPr>
          <w:rStyle w:val="Hyperlink"/>
          <w:u w:val="none"/>
        </w:rPr>
        <w:t xml:space="preserve"> </w:t>
      </w:r>
      <w:r w:rsidRPr="00B812A2">
        <w:rPr>
          <w:rStyle w:val="Hyperlink"/>
          <w:color w:val="auto"/>
          <w:u w:val="none"/>
        </w:rPr>
        <w:t>The above mentioned price applies for music identification for up to 5000 monthly transactions.</w:t>
      </w:r>
      <w:r w:rsidRPr="00B812A2">
        <w:rPr>
          <w:rStyle w:val="Hyperlink"/>
          <w:b/>
          <w:bCs/>
          <w:color w:val="auto"/>
          <w:u w:val="none"/>
        </w:rPr>
        <w:t xml:space="preserve"> </w:t>
      </w:r>
      <w:r w:rsidRPr="00B812A2">
        <w:rPr>
          <w:rStyle w:val="Hyperlink"/>
          <w:color w:val="auto"/>
          <w:u w:val="none"/>
        </w:rPr>
        <w:t xml:space="preserve">See for more details their price list accessible at </w:t>
      </w:r>
      <w:hyperlink r:id="rId111" w:history="1">
        <w:r w:rsidRPr="00B812A2">
          <w:rPr>
            <w:rStyle w:val="Hyperlink"/>
          </w:rPr>
          <w:t>https://www.audiblemagic.com/copyright-compliance-pricing/</w:t>
        </w:r>
      </w:hyperlink>
      <w:r w:rsidRPr="00B812A2">
        <w:rPr>
          <w:rStyle w:val="Hyperlink"/>
          <w:u w:val="none"/>
        </w:rPr>
        <w:t xml:space="preserve">. </w:t>
      </w:r>
    </w:p>
  </w:footnote>
  <w:footnote w:id="471">
    <w:p w:rsidR="004B69C4" w:rsidRDefault="004B69C4" w:rsidP="002A7940">
      <w:pPr>
        <w:pStyle w:val="FootnoteText"/>
      </w:pPr>
      <w:r>
        <w:rPr>
          <w:rStyle w:val="FootnoteReference"/>
        </w:rPr>
        <w:footnoteRef/>
      </w:r>
      <w:r>
        <w:t xml:space="preserve"> </w:t>
      </w:r>
      <w:r>
        <w:tab/>
        <w:t>YouT</w:t>
      </w:r>
      <w:r w:rsidRPr="0054744F">
        <w:t>ube uses</w:t>
      </w:r>
      <w:r>
        <w:t xml:space="preserve"> its</w:t>
      </w:r>
      <w:r w:rsidRPr="0054744F">
        <w:t xml:space="preserve"> own technology – Content ID</w:t>
      </w:r>
      <w:r>
        <w:t xml:space="preserve">; Soundcloud uses a combination of Audible Magic and its own technology; </w:t>
      </w:r>
      <w:r w:rsidRPr="003D4854">
        <w:t>Dai</w:t>
      </w:r>
      <w:r w:rsidRPr="0054744F">
        <w:t>ly</w:t>
      </w:r>
      <w:r>
        <w:t>motion uses the</w:t>
      </w:r>
      <w:r w:rsidRPr="003D4854">
        <w:t xml:space="preserve"> </w:t>
      </w:r>
      <w:r w:rsidRPr="0054744F">
        <w:t>service</w:t>
      </w:r>
      <w:r>
        <w:t>s of</w:t>
      </w:r>
      <w:r w:rsidRPr="003D4854">
        <w:t xml:space="preserve"> </w:t>
      </w:r>
      <w:r w:rsidRPr="0054744F">
        <w:t>third</w:t>
      </w:r>
      <w:r w:rsidRPr="003D4854">
        <w:t xml:space="preserve"> part</w:t>
      </w:r>
      <w:r>
        <w:t>ies</w:t>
      </w:r>
      <w:r w:rsidRPr="003D4854">
        <w:t xml:space="preserve"> - Audible Magic</w:t>
      </w:r>
      <w:r>
        <w:t xml:space="preserve"> and l'Institut National de l'Audiovisuel (INA).</w:t>
      </w:r>
      <w:r w:rsidRPr="00B25BBE">
        <w:t xml:space="preserve"> </w:t>
      </w:r>
      <w:r>
        <w:t xml:space="preserve">When services decide to invest in their own technology the costs are likely to be higher. </w:t>
      </w:r>
      <w:r w:rsidRPr="00506BBF">
        <w:t xml:space="preserve">YouTube has indicated that it has invested more than $60 million to develop its Content ID system Google's submission to US Copyright Office, </w:t>
      </w:r>
      <w:r w:rsidRPr="00B812A2">
        <w:rPr>
          <w:rStyle w:val="Hyperlink"/>
        </w:rPr>
        <w:t>https://www.regulations.gov/#!documentDetail;D=COLC-2015-0013-90806.</w:t>
      </w:r>
      <w:r w:rsidRPr="00506BBF">
        <w:t xml:space="preserve"> </w:t>
      </w:r>
      <w:r w:rsidRPr="0055729D">
        <w:t xml:space="preserve">Soundcloud has estimated in its reply to the public consultation on online platforms that it has spent </w:t>
      </w:r>
      <w:r w:rsidRPr="00CA2062">
        <w:t xml:space="preserve">approximately €5m on such technologies, see; </w:t>
      </w:r>
      <w:hyperlink r:id="rId112" w:history="1">
        <w:r w:rsidRPr="00CA2062">
          <w:rPr>
            <w:rStyle w:val="Hyperlink"/>
          </w:rPr>
          <w:t>https://ec.europa.eu/eusurvey/pdf/answer/6acf2b21-865a-402c-876a-e2b67c0ceef9</w:t>
        </w:r>
      </w:hyperlink>
      <w:r w:rsidRPr="00531146">
        <w:rPr>
          <w:rStyle w:val="Hyperlink"/>
          <w:i/>
          <w:color w:val="auto"/>
          <w:u w:val="none"/>
        </w:rPr>
        <w:t>.</w:t>
      </w:r>
    </w:p>
  </w:footnote>
  <w:footnote w:id="472">
    <w:p w:rsidR="004B69C4" w:rsidRPr="00722E3E" w:rsidRDefault="004B69C4" w:rsidP="002A7940">
      <w:pPr>
        <w:pStyle w:val="FootnoteText"/>
      </w:pPr>
      <w:r>
        <w:rPr>
          <w:rStyle w:val="FootnoteReference"/>
        </w:rPr>
        <w:footnoteRef/>
      </w:r>
      <w:r>
        <w:t xml:space="preserve"> </w:t>
      </w:r>
      <w:r>
        <w:tab/>
      </w:r>
      <w:r w:rsidRPr="00A24222">
        <w:t xml:space="preserve">See the submission of Soundclound to the Commission consultation on online platforms in 2015: " </w:t>
      </w:r>
      <w:r w:rsidRPr="00A24222">
        <w:rPr>
          <w:i/>
        </w:rPr>
        <w:t>Content is removed in response to notifications from rights holders, automatically by content filtering and by rights holders directly using a tool provided by Soundcloud. Anyone whose content is removed in any of these ways may challenge that removal if t they believe the content was wrongly identified, or if the uploader believes that they have the necessary rights to upload the relevant content</w:t>
      </w:r>
      <w:r w:rsidRPr="00A24222">
        <w:t>".</w:t>
      </w:r>
      <w:r>
        <w:t xml:space="preserve"> </w:t>
      </w:r>
    </w:p>
  </w:footnote>
  <w:footnote w:id="473">
    <w:p w:rsidR="004B69C4" w:rsidRPr="00876AF9" w:rsidRDefault="004B69C4" w:rsidP="00C45B70">
      <w:pPr>
        <w:pStyle w:val="FootnoteText"/>
        <w:rPr>
          <w:rFonts w:eastAsiaTheme="minorHAnsi"/>
        </w:rPr>
      </w:pPr>
      <w:r w:rsidRPr="008323C7">
        <w:rPr>
          <w:rStyle w:val="FootnoteReference"/>
        </w:rPr>
        <w:footnoteRef/>
      </w:r>
      <w:r>
        <w:t xml:space="preserve"> </w:t>
      </w:r>
      <w:r>
        <w:tab/>
      </w:r>
      <w:r w:rsidRPr="00D1507D">
        <w:t>See the issues raised with regard to fundamental rights in the</w:t>
      </w:r>
      <w:r w:rsidRPr="008323C7">
        <w:rPr>
          <w:rStyle w:val="Hyperlink"/>
          <w:color w:val="auto"/>
          <w:u w:val="none"/>
        </w:rPr>
        <w:t xml:space="preserve"> </w:t>
      </w:r>
      <w:r w:rsidRPr="00D1507D">
        <w:rPr>
          <w:i/>
        </w:rPr>
        <w:t>Study</w:t>
      </w:r>
      <w:r w:rsidRPr="00D1507D">
        <w:rPr>
          <w:rFonts w:eastAsiaTheme="minorHAnsi"/>
          <w:i/>
        </w:rPr>
        <w:t xml:space="preserve"> of fundamental rights limitations for online enforcement through self-regulation</w:t>
      </w:r>
      <w:r w:rsidRPr="00D1507D">
        <w:t xml:space="preserve">, </w:t>
      </w:r>
      <w:r w:rsidRPr="008323C7">
        <w:rPr>
          <w:rStyle w:val="Hyperlink"/>
        </w:rPr>
        <w:t>http://www.ivir.nl/publicaties/download/1796</w:t>
      </w:r>
      <w:r w:rsidRPr="00D1507D">
        <w:t>.</w:t>
      </w:r>
    </w:p>
    <w:p w:rsidR="004B69C4" w:rsidRDefault="004B69C4" w:rsidP="00D1507D">
      <w:pPr>
        <w:pStyle w:val="DefaultText"/>
        <w:ind w:left="360" w:firstLine="0"/>
      </w:pPr>
    </w:p>
  </w:footnote>
  <w:footnote w:id="474">
    <w:p w:rsidR="004B69C4" w:rsidRDefault="004B69C4" w:rsidP="00D3660C">
      <w:pPr>
        <w:pStyle w:val="FootnoteText"/>
      </w:pPr>
      <w:r w:rsidRPr="008012CB">
        <w:rPr>
          <w:rStyle w:val="FootnoteReference"/>
        </w:rPr>
        <w:footnoteRef/>
      </w:r>
      <w:r w:rsidRPr="008012CB">
        <w:t xml:space="preserve"> </w:t>
      </w:r>
      <w:r w:rsidRPr="008012CB">
        <w:tab/>
        <w:t>See Annex 13A. Data regarding BE, FR, DE, FI, PL, IT, ES, UK</w:t>
      </w:r>
      <w:r>
        <w:t>:</w:t>
      </w:r>
      <w:r w:rsidRPr="008012CB">
        <w:t xml:space="preserve"> decline of daily newspapers range from -8 % in BE to -52 % in IT. Of magazines from -6 % in BE to -39 % in IT. These data have been provided by the </w:t>
      </w:r>
      <w:r w:rsidRPr="008B2D5F">
        <w:t xml:space="preserve">press </w:t>
      </w:r>
      <w:r w:rsidRPr="008012CB">
        <w:t xml:space="preserve">publishing sector (EPC, EMMA, ENPA and NME after carrying out an internal survey among their members). Other sources show similar trends: according to </w:t>
      </w:r>
      <w:r>
        <w:t xml:space="preserve">a </w:t>
      </w:r>
      <w:r w:rsidRPr="008012CB">
        <w:t>Deloitte</w:t>
      </w:r>
      <w:r>
        <w:t xml:space="preserve"> study commissioned by Google</w:t>
      </w:r>
      <w:r w:rsidRPr="008012CB">
        <w:t>, the circulation of traditional print journalism decreased in DE by 41 % between 2001 and 2014; FR -10 % between 2001 and 2011. Source: “The impact of web traffic on revenues of traditional newspaper publishers. A study for France, Germany, Spain and the UK”, Deloitte, March 2016</w:t>
      </w:r>
      <w:r>
        <w:t>.</w:t>
      </w:r>
    </w:p>
    <w:p w:rsidR="004B69C4" w:rsidRPr="00D1507D" w:rsidRDefault="001A7C0A" w:rsidP="00D3660C">
      <w:pPr>
        <w:pStyle w:val="FootnoteText"/>
        <w:ind w:firstLine="0"/>
        <w:rPr>
          <w:rStyle w:val="Hyperlink"/>
          <w:rFonts w:asciiTheme="minorHAnsi" w:hAnsiTheme="minorHAnsi"/>
          <w:sz w:val="22"/>
        </w:rPr>
      </w:pPr>
      <w:hyperlink r:id="rId113" w:history="1">
        <w:r w:rsidR="004B69C4" w:rsidRPr="008012CB">
          <w:rPr>
            <w:rStyle w:val="Hyperlink"/>
          </w:rPr>
          <w:t>http://www2.deloitte.com/content/dam/Deloitte/uk/Documents/technology-media-telecommunications/deloitte-uk-impact-of-web-traffic-on-newspaper-revenues-2016.pdf</w:t>
        </w:r>
      </w:hyperlink>
    </w:p>
  </w:footnote>
  <w:footnote w:id="475">
    <w:p w:rsidR="004B69C4" w:rsidRPr="008012CB" w:rsidRDefault="004B69C4" w:rsidP="00D3660C">
      <w:pPr>
        <w:pStyle w:val="FootnoteText"/>
      </w:pPr>
      <w:r w:rsidRPr="008012CB">
        <w:rPr>
          <w:rStyle w:val="FootnoteReference"/>
        </w:rPr>
        <w:footnoteRef/>
      </w:r>
      <w:r w:rsidRPr="008012CB">
        <w:t xml:space="preserve"> </w:t>
      </w:r>
      <w:r w:rsidRPr="008012CB">
        <w:tab/>
        <w:t xml:space="preserve">Source: Reuters Institute Digital News Report 2015, p.10. </w:t>
      </w:r>
      <w:hyperlink r:id="rId114" w:history="1">
        <w:r w:rsidRPr="008012CB">
          <w:rPr>
            <w:rStyle w:val="Hyperlink"/>
          </w:rPr>
          <w:t>http://www.digitalnewsreport.org</w:t>
        </w:r>
      </w:hyperlink>
      <w:r w:rsidRPr="00D1507D">
        <w:t>. In some MS</w:t>
      </w:r>
      <w:r>
        <w:t>,</w:t>
      </w:r>
      <w:r w:rsidRPr="00D1507D">
        <w:t xml:space="preserve"> online is the first source of news, in others this is TV. Se</w:t>
      </w:r>
      <w:r w:rsidRPr="008012CB">
        <w:t>e Annex 13A for further details.</w:t>
      </w:r>
    </w:p>
  </w:footnote>
  <w:footnote w:id="476">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13A. Data provided by the </w:t>
      </w:r>
      <w:r w:rsidRPr="008B2D5F">
        <w:t xml:space="preserve">press </w:t>
      </w:r>
      <w:r w:rsidRPr="008012CB">
        <w:t>publishing sector</w:t>
      </w:r>
      <w:r>
        <w:t xml:space="preserve"> as regards </w:t>
      </w:r>
      <w:r w:rsidRPr="008012CB">
        <w:t>BE, FR, DE, FI, PL, IT, ES, UK</w:t>
      </w:r>
      <w:r>
        <w:t>.</w:t>
      </w:r>
      <w:r w:rsidRPr="008012CB">
        <w:t xml:space="preserve"> </w:t>
      </w:r>
    </w:p>
  </w:footnote>
  <w:footnote w:id="477">
    <w:p w:rsidR="004B69C4" w:rsidRPr="008012CB" w:rsidRDefault="004B69C4" w:rsidP="00D3660C">
      <w:pPr>
        <w:pStyle w:val="FootnoteText"/>
      </w:pPr>
      <w:r w:rsidRPr="008012CB">
        <w:rPr>
          <w:rStyle w:val="FootnoteReference"/>
        </w:rPr>
        <w:footnoteRef/>
      </w:r>
      <w:r w:rsidRPr="008012CB">
        <w:t xml:space="preserve"> </w:t>
      </w:r>
      <w:r w:rsidRPr="008012CB">
        <w:tab/>
        <w:t xml:space="preserve">Source: Eurobarometer on Internet users' preferences for accessing content online (n° 437/ March 2016) – </w:t>
      </w:r>
      <w:r w:rsidRPr="008012CB">
        <w:rPr>
          <w:i/>
        </w:rPr>
        <w:t>Types of services used to access the news online</w:t>
      </w:r>
      <w:r w:rsidRPr="008012CB">
        <w:t>. See Annex 13A.</w:t>
      </w:r>
    </w:p>
  </w:footnote>
  <w:footnote w:id="478">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13A. The decrease of print revenues </w:t>
      </w:r>
      <w:r>
        <w:t>is</w:t>
      </w:r>
      <w:r w:rsidRPr="008012CB">
        <w:t xml:space="preserve"> caused by a decline of both sales and advertising revenues</w:t>
      </w:r>
      <w:r>
        <w:t>;</w:t>
      </w:r>
      <w:r w:rsidRPr="008012CB">
        <w:t xml:space="preserve"> the latter have declined by €7 billion between 2010 and 2014. Source: PwC Entertainment and Media Outlook 2015-2019.</w:t>
      </w:r>
    </w:p>
  </w:footnote>
  <w:footnote w:id="479">
    <w:p w:rsidR="004B69C4" w:rsidRPr="008012CB" w:rsidRDefault="004B69C4" w:rsidP="00D3660C">
      <w:pPr>
        <w:pStyle w:val="FootnoteText"/>
      </w:pPr>
      <w:r w:rsidRPr="008012CB">
        <w:rPr>
          <w:rStyle w:val="FootnoteReference"/>
        </w:rPr>
        <w:footnoteRef/>
      </w:r>
      <w:r w:rsidRPr="008012CB">
        <w:t xml:space="preserve"> </w:t>
      </w:r>
      <w:r w:rsidRPr="008012CB">
        <w:tab/>
        <w:t>Source: PwC Entertainment and Media Outlook 2015-2019</w:t>
      </w:r>
      <w:r>
        <w:t xml:space="preserve">. </w:t>
      </w:r>
      <w:r w:rsidRPr="008012CB">
        <w:t xml:space="preserve">For country specific figures data provided by the </w:t>
      </w:r>
      <w:r w:rsidRPr="008B2D5F">
        <w:t xml:space="preserve">press </w:t>
      </w:r>
      <w:r w:rsidRPr="008012CB">
        <w:t xml:space="preserve">publishing sector see </w:t>
      </w:r>
      <w:r>
        <w:t xml:space="preserve">also </w:t>
      </w:r>
      <w:r w:rsidRPr="008012CB">
        <w:t xml:space="preserve">Annex 13A. </w:t>
      </w:r>
    </w:p>
  </w:footnote>
  <w:footnote w:id="480">
    <w:p w:rsidR="004B69C4" w:rsidRPr="00560761" w:rsidRDefault="004B69C4" w:rsidP="00D3660C">
      <w:pPr>
        <w:pStyle w:val="FootnoteText"/>
      </w:pPr>
      <w:r>
        <w:rPr>
          <w:rStyle w:val="FootnoteReference"/>
        </w:rPr>
        <w:footnoteRef/>
      </w:r>
      <w:r>
        <w:t xml:space="preserve"> </w:t>
      </w:r>
      <w:r>
        <w:tab/>
        <w:t>2016 public consultation on the role of publishers in the copyright value chain.</w:t>
      </w:r>
    </w:p>
  </w:footnote>
  <w:footnote w:id="481">
    <w:p w:rsidR="004B69C4" w:rsidRPr="008012CB" w:rsidRDefault="004B69C4" w:rsidP="00D3660C">
      <w:pPr>
        <w:pStyle w:val="FootnoteText"/>
      </w:pPr>
      <w:r w:rsidRPr="008012CB">
        <w:rPr>
          <w:rStyle w:val="FootnoteReference"/>
        </w:rPr>
        <w:footnoteRef/>
      </w:r>
      <w:r w:rsidRPr="008012CB">
        <w:t xml:space="preserve"> </w:t>
      </w:r>
      <w:r w:rsidRPr="008012CB">
        <w:tab/>
        <w:t xml:space="preserve">Source: Deloitte, 2016, p.12-13. For example, according to this study, advertising revenues captured by newspaper publishers in the UK were estimated to reach €285 million or 11 % of the total local display advertising market in 2014. </w:t>
      </w:r>
    </w:p>
  </w:footnote>
  <w:footnote w:id="482">
    <w:p w:rsidR="004B69C4" w:rsidRPr="008012CB" w:rsidRDefault="004B69C4" w:rsidP="00D3660C">
      <w:pPr>
        <w:pStyle w:val="FootnoteText"/>
      </w:pPr>
      <w:r w:rsidRPr="008012CB">
        <w:rPr>
          <w:rStyle w:val="FootnoteReference"/>
        </w:rPr>
        <w:footnoteRef/>
      </w:r>
      <w:r w:rsidRPr="008012CB">
        <w:tab/>
        <w:t xml:space="preserve">See Annex 13A. Source: Eurobarometer Flash 437- </w:t>
      </w:r>
      <w:r w:rsidRPr="008012CB">
        <w:rPr>
          <w:i/>
        </w:rPr>
        <w:t>Types of services used to access the news online.</w:t>
      </w:r>
    </w:p>
  </w:footnote>
  <w:footnote w:id="483">
    <w:p w:rsidR="004B69C4" w:rsidRPr="008012CB" w:rsidRDefault="004B69C4" w:rsidP="00D3660C">
      <w:pPr>
        <w:pStyle w:val="FootnoteText"/>
      </w:pPr>
      <w:r w:rsidRPr="008012CB">
        <w:rPr>
          <w:rStyle w:val="FootnoteReference"/>
        </w:rPr>
        <w:footnoteRef/>
      </w:r>
      <w:r w:rsidRPr="008012CB">
        <w:t xml:space="preserve"> </w:t>
      </w:r>
      <w:r w:rsidRPr="008012CB">
        <w:tab/>
        <w:t>According to Google, their services alone send 10 billion clicks worth of traffic to news publisher</w:t>
      </w:r>
      <w:r>
        <w:t>s'</w:t>
      </w:r>
      <w:r w:rsidRPr="008012CB">
        <w:t xml:space="preserve"> websites each month, and each visit is for them an opportunity to earn revenue through advertising and subscription. They state that in 2015 their partners around the world earned more than $10 billion using their AdSense products. Source: Google's answer to the 2016 public consultation.</w:t>
      </w:r>
    </w:p>
  </w:footnote>
  <w:footnote w:id="484">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Source: </w:t>
      </w:r>
      <w:r w:rsidRPr="008012CB">
        <w:t>Deloitte, 2016.</w:t>
      </w:r>
    </w:p>
  </w:footnote>
  <w:footnote w:id="485">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13A. Source: Eurobarometer Flash 437 - </w:t>
      </w:r>
      <w:r w:rsidRPr="008012CB">
        <w:rPr>
          <w:i/>
        </w:rPr>
        <w:t xml:space="preserve">Use of news aggregators, online social media or search engines to access the news online. </w:t>
      </w:r>
    </w:p>
  </w:footnote>
  <w:footnote w:id="486">
    <w:p w:rsidR="004B69C4" w:rsidRPr="008012CB" w:rsidRDefault="004B69C4" w:rsidP="00D3660C">
      <w:pPr>
        <w:pStyle w:val="FootnoteText"/>
      </w:pPr>
      <w:r w:rsidRPr="008012CB">
        <w:rPr>
          <w:rStyle w:val="FootnoteReference"/>
        </w:rPr>
        <w:footnoteRef/>
      </w:r>
      <w:r w:rsidRPr="008012CB">
        <w:t xml:space="preserve"> </w:t>
      </w:r>
      <w:r w:rsidRPr="008012CB">
        <w:tab/>
        <w:t>According to the case-law of the CJEU, c</w:t>
      </w:r>
      <w:r w:rsidRPr="008012CB">
        <w:rPr>
          <w:lang w:val="en-AU"/>
        </w:rPr>
        <w:t>opying parts of newspaper articles is copyright relevant (covered by the exclusive right of reproduction) in all cases where these parts are original, in the sense that they are their author's intellectual creation</w:t>
      </w:r>
      <w:r w:rsidRPr="008012CB">
        <w:t xml:space="preserve"> (see Case </w:t>
      </w:r>
      <w:r>
        <w:t>C-</w:t>
      </w:r>
      <w:r w:rsidRPr="008012CB">
        <w:t xml:space="preserve">5/08, </w:t>
      </w:r>
      <w:r w:rsidRPr="00D1507D">
        <w:rPr>
          <w:i/>
        </w:rPr>
        <w:t>Infopaq</w:t>
      </w:r>
      <w:r w:rsidRPr="008012CB">
        <w:t>).</w:t>
      </w:r>
    </w:p>
  </w:footnote>
  <w:footnote w:id="487">
    <w:p w:rsidR="004B69C4" w:rsidRPr="008012CB" w:rsidRDefault="004B69C4" w:rsidP="00D3660C">
      <w:pPr>
        <w:pStyle w:val="FootnoteText"/>
      </w:pPr>
      <w:r w:rsidRPr="008012CB">
        <w:rPr>
          <w:rStyle w:val="FootnoteReference"/>
        </w:rPr>
        <w:footnoteRef/>
      </w:r>
      <w:r w:rsidRPr="008012CB">
        <w:t xml:space="preserve"> </w:t>
      </w:r>
      <w:r w:rsidRPr="008012CB">
        <w:tab/>
      </w:r>
      <w:r w:rsidRPr="008012CB">
        <w:rPr>
          <w:lang w:val="en-AU"/>
        </w:rPr>
        <w:t xml:space="preserve">At </w:t>
      </w:r>
      <w:r w:rsidRPr="008012CB">
        <w:t xml:space="preserve">the </w:t>
      </w:r>
      <w:r w:rsidRPr="008012CB">
        <w:rPr>
          <w:lang w:val="en-AU"/>
        </w:rPr>
        <w:t xml:space="preserve">moment, a B2B licensing market for digital publishing content appears to have only emerged in the area </w:t>
      </w:r>
      <w:r w:rsidRPr="008012CB">
        <w:t>of</w:t>
      </w:r>
      <w:r w:rsidRPr="008012CB">
        <w:rPr>
          <w:lang w:val="en-AU"/>
        </w:rPr>
        <w:t xml:space="preserve"> media monitoring. Licences have brought revenues to publishers amounting to €6 million in FR and £26 million in the UK in 2015 according to media monitoring industry. Source: AMEC-FIBEP's </w:t>
      </w:r>
      <w:r w:rsidRPr="008012CB">
        <w:t>answer to the 2016 public consultation.</w:t>
      </w:r>
    </w:p>
  </w:footnote>
  <w:footnote w:id="488">
    <w:p w:rsidR="004B69C4" w:rsidRPr="008012CB" w:rsidRDefault="004B69C4" w:rsidP="00D3660C">
      <w:pPr>
        <w:pStyle w:val="FootnoteText"/>
      </w:pPr>
      <w:r w:rsidRPr="008012CB">
        <w:rPr>
          <w:rStyle w:val="FootnoteReference"/>
        </w:rPr>
        <w:footnoteRef/>
      </w:r>
      <w:r w:rsidRPr="008012CB">
        <w:t xml:space="preserve"> </w:t>
      </w:r>
      <w:r w:rsidRPr="008012CB">
        <w:tab/>
        <w:t>Notably the Dutch based company Blendle. See Annex 13C.</w:t>
      </w:r>
    </w:p>
  </w:footnote>
  <w:footnote w:id="489">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13C. In 2015 and 2016, Facebook (Instant Articles), Google (AMP) and Apple (Apple News) developed three platforms aimed at delivering news to mobile users in an optimised (easier/faster) way, so as to increase exposure of publishers' content while allowing them to achieve a better monetisation of their content, notably through advertising. Yahoo also established mechanisms to facilitate the monetisation of news content, based on a share of advertising revenues when portions of </w:t>
      </w:r>
      <w:r w:rsidRPr="004E6167">
        <w:t>publishers' articles</w:t>
      </w:r>
      <w:r w:rsidRPr="008012CB">
        <w:t xml:space="preserve"> are included within their service and/or payment of a fee for inclusion of articles as a whole (source</w:t>
      </w:r>
      <w:r>
        <w:t>:</w:t>
      </w:r>
      <w:r w:rsidRPr="008012CB">
        <w:t xml:space="preserve"> Yahoo's answer to the 2016 public consultation). On a wider scale, Google's Digital News Initiative (DNI) – of which AMP is part - is an ongoing collaboration/forum with publishers based on granting funds or technology support to innovative projects in online news.</w:t>
      </w:r>
    </w:p>
  </w:footnote>
  <w:footnote w:id="490">
    <w:p w:rsidR="004B69C4" w:rsidRPr="008012CB" w:rsidRDefault="004B69C4" w:rsidP="00D3660C">
      <w:pPr>
        <w:pStyle w:val="DefaultText"/>
        <w:spacing w:line="240" w:lineRule="auto"/>
        <w:ind w:left="0" w:firstLine="0"/>
      </w:pPr>
      <w:r w:rsidRPr="008012CB">
        <w:rPr>
          <w:rStyle w:val="FootnoteReference"/>
        </w:rPr>
        <w:footnoteRef/>
      </w:r>
      <w:r w:rsidRPr="008012CB">
        <w:t xml:space="preserve"> </w:t>
      </w:r>
      <w:r w:rsidRPr="008012CB">
        <w:tab/>
      </w:r>
      <w:r>
        <w:rPr>
          <w:rFonts w:eastAsia="Calibri"/>
          <w:sz w:val="20"/>
          <w:szCs w:val="20"/>
          <w:lang w:eastAsia="en-GB"/>
        </w:rPr>
        <w:t>Judg</w:t>
      </w:r>
      <w:r w:rsidRPr="008323C7">
        <w:rPr>
          <w:rFonts w:eastAsia="Calibri"/>
          <w:sz w:val="20"/>
          <w:szCs w:val="20"/>
          <w:lang w:eastAsia="en-GB"/>
        </w:rPr>
        <w:t xml:space="preserve">ment of 12 November 2015 in </w:t>
      </w:r>
      <w:r w:rsidRPr="008323C7">
        <w:rPr>
          <w:rFonts w:eastAsia="Calibri"/>
          <w:i/>
          <w:sz w:val="20"/>
          <w:szCs w:val="20"/>
          <w:lang w:eastAsia="en-GB"/>
        </w:rPr>
        <w:t>Hewlett-Packard and others</w:t>
      </w:r>
      <w:r w:rsidRPr="008323C7">
        <w:rPr>
          <w:rFonts w:eastAsia="Calibri"/>
          <w:sz w:val="20"/>
          <w:szCs w:val="20"/>
          <w:lang w:eastAsia="en-GB"/>
        </w:rPr>
        <w:t xml:space="preserve"> (C-572/13.</w:t>
      </w:r>
      <w:r>
        <w:rPr>
          <w:rFonts w:eastAsia="Calibri"/>
          <w:sz w:val="20"/>
          <w:szCs w:val="20"/>
          <w:lang w:eastAsia="en-GB"/>
        </w:rPr>
        <w:t xml:space="preserve"> EU:C:2015:750)</w:t>
      </w:r>
    </w:p>
  </w:footnote>
  <w:footnote w:id="491">
    <w:p w:rsidR="004B69C4" w:rsidRPr="00A234E3" w:rsidRDefault="004B69C4" w:rsidP="00C801D5">
      <w:pPr>
        <w:pStyle w:val="FootnoteText"/>
      </w:pPr>
      <w:r>
        <w:rPr>
          <w:rStyle w:val="FootnoteReference"/>
        </w:rPr>
        <w:footnoteRef/>
      </w:r>
      <w:r>
        <w:t xml:space="preserve"> </w:t>
      </w:r>
      <w:r>
        <w:tab/>
      </w:r>
      <w:r w:rsidRPr="00A234E3">
        <w:t>The overview over national practices provided here is indicative. It is based on the Commission's best effort based on information available at the time of writing.</w:t>
      </w:r>
      <w:r>
        <w:t xml:space="preserve"> </w:t>
      </w:r>
      <w:r w:rsidRPr="00A234E3">
        <w:t>MS on which detailed data is available in Annex 13D are presented in bold</w:t>
      </w:r>
      <w:r>
        <w:t>.</w:t>
      </w:r>
    </w:p>
  </w:footnote>
  <w:footnote w:id="492">
    <w:p w:rsidR="004B69C4" w:rsidRPr="00864F3F" w:rsidRDefault="004B69C4" w:rsidP="00C801D5">
      <w:pPr>
        <w:pStyle w:val="FootnoteText"/>
      </w:pPr>
      <w:r w:rsidRPr="00A234E3">
        <w:rPr>
          <w:rStyle w:val="FootnoteReference"/>
        </w:rPr>
        <w:footnoteRef/>
      </w:r>
      <w:r w:rsidRPr="00A234E3">
        <w:t xml:space="preserve"> </w:t>
      </w:r>
      <w:r w:rsidRPr="00A234E3">
        <w:tab/>
        <w:t>Available information concerning the NL</w:t>
      </w:r>
      <w:r>
        <w:t xml:space="preserve"> was inconclusive as to the actual payment of compensation to publishers. </w:t>
      </w:r>
    </w:p>
  </w:footnote>
  <w:footnote w:id="493">
    <w:p w:rsidR="004B69C4" w:rsidRPr="00864F3F" w:rsidRDefault="004B69C4" w:rsidP="00D3660C">
      <w:pPr>
        <w:pStyle w:val="FootnoteText"/>
      </w:pPr>
      <w:r>
        <w:rPr>
          <w:rStyle w:val="FootnoteReference"/>
        </w:rPr>
        <w:footnoteRef/>
      </w:r>
      <w:r>
        <w:t xml:space="preserve"> </w:t>
      </w:r>
      <w:r w:rsidRPr="00864F3F">
        <w:tab/>
        <w:t xml:space="preserve">BE and DE in particular. </w:t>
      </w:r>
    </w:p>
  </w:footnote>
  <w:footnote w:id="494">
    <w:p w:rsidR="004B69C4" w:rsidRPr="008012CB" w:rsidRDefault="004B69C4" w:rsidP="00D3660C">
      <w:pPr>
        <w:pStyle w:val="FootnoteText"/>
      </w:pPr>
      <w:r w:rsidRPr="008012CB">
        <w:rPr>
          <w:rStyle w:val="FootnoteReference"/>
        </w:rPr>
        <w:footnoteRef/>
      </w:r>
      <w:r w:rsidRPr="008012CB">
        <w:t xml:space="preserve"> </w:t>
      </w:r>
      <w:r w:rsidRPr="008012CB">
        <w:tab/>
        <w:t>2014</w:t>
      </w:r>
      <w:r>
        <w:t>-</w:t>
      </w:r>
      <w:r w:rsidRPr="008012CB">
        <w:t xml:space="preserve">2015. See International Survey on Text and Image Copyright Levies 2014, available </w:t>
      </w:r>
      <w:hyperlink r:id="rId115" w:history="1">
        <w:r w:rsidRPr="008012CB">
          <w:rPr>
            <w:rStyle w:val="Hyperlink"/>
          </w:rPr>
          <w:t>http://www.ifrro.org/sites/default/files/levies_2014_online.pdf</w:t>
        </w:r>
      </w:hyperlink>
      <w:r w:rsidRPr="008012CB">
        <w:t xml:space="preserve"> and also Annex 13D. </w:t>
      </w:r>
    </w:p>
  </w:footnote>
  <w:footnote w:id="495">
    <w:p w:rsidR="004B69C4" w:rsidRPr="006D21E9" w:rsidRDefault="004B69C4" w:rsidP="00D3660C">
      <w:pPr>
        <w:pStyle w:val="FootnoteText"/>
      </w:pPr>
      <w:r>
        <w:rPr>
          <w:rStyle w:val="FootnoteReference"/>
        </w:rPr>
        <w:footnoteRef/>
      </w:r>
      <w:r>
        <w:t xml:space="preserve"> </w:t>
      </w:r>
      <w:r w:rsidRPr="00AD57F7">
        <w:tab/>
        <w:t xml:space="preserve">In the analogue era, press publishers had a stronger control of the exploitation of their </w:t>
      </w:r>
      <w:r w:rsidRPr="008B2D5F">
        <w:t xml:space="preserve">press </w:t>
      </w:r>
      <w:r w:rsidRPr="00AD57F7">
        <w:t xml:space="preserve">publications, </w:t>
      </w:r>
      <w:r w:rsidRPr="006F79C1">
        <w:t>as the main</w:t>
      </w:r>
      <w:r w:rsidRPr="00AD57F7">
        <w:t xml:space="preserve"> means of dissemination of their content was the distribution of tangible copies of newspapers and magazines. Licensing out their content to third parties was </w:t>
      </w:r>
      <w:r w:rsidRPr="004B59A1">
        <w:t xml:space="preserve">generally </w:t>
      </w:r>
      <w:r w:rsidRPr="00AD57F7">
        <w:t xml:space="preserve">not needed to further disseminate it once published. </w:t>
      </w:r>
    </w:p>
  </w:footnote>
  <w:footnote w:id="496">
    <w:p w:rsidR="004B69C4" w:rsidRPr="008012CB" w:rsidRDefault="004B69C4" w:rsidP="00D3660C">
      <w:pPr>
        <w:pStyle w:val="FootnoteText"/>
      </w:pPr>
      <w:r w:rsidRPr="008012CB">
        <w:rPr>
          <w:rStyle w:val="FootnoteReference"/>
        </w:rPr>
        <w:footnoteRef/>
      </w:r>
      <w:r w:rsidRPr="008012CB">
        <w:t xml:space="preserve"> </w:t>
      </w:r>
      <w:r w:rsidRPr="008012CB">
        <w:tab/>
      </w:r>
      <w:r w:rsidRPr="008012CB">
        <w:rPr>
          <w:lang w:val="en-AU"/>
        </w:rPr>
        <w:t>EU copyright law provides exclusive rights of reproduction and making available to the public to film producers, phonogram producers and broadcasting organisations. In contrast, under EU law publishers do not hold such rights in respect of their publications.</w:t>
      </w:r>
    </w:p>
  </w:footnote>
  <w:footnote w:id="497">
    <w:p w:rsidR="004B69C4" w:rsidRPr="008012CB" w:rsidRDefault="004B69C4" w:rsidP="00D3660C">
      <w:pPr>
        <w:pStyle w:val="FootnoteText"/>
      </w:pPr>
      <w:r w:rsidRPr="008012CB">
        <w:rPr>
          <w:rStyle w:val="FootnoteReference"/>
        </w:rPr>
        <w:footnoteRef/>
      </w:r>
      <w:r w:rsidRPr="008012CB">
        <w:t xml:space="preserve"> </w:t>
      </w:r>
      <w:r w:rsidRPr="008012CB">
        <w:tab/>
        <w:t xml:space="preserve">The </w:t>
      </w:r>
      <w:r w:rsidRPr="008012CB">
        <w:rPr>
          <w:lang w:val="en-AU"/>
        </w:rPr>
        <w:t>transfer</w:t>
      </w:r>
      <w:r w:rsidRPr="008012CB">
        <w:t xml:space="preserve"> of journalists' rights to publishers is governed in MS by copyright law and contract law. A publisher is typically transferred the journalists' rights against the payment of remuneration (as part of his salary or as an addition; or independently in the case of freelancers). The scope of the transfer is set out in the contract (normally what is needed for the exploitation of the newspaper or magazine, but it may go beyond). It can also be established in a legal presumption in copyright law. For further details on the industry practices, see 2016 study on the </w:t>
      </w:r>
      <w:r>
        <w:t>“</w:t>
      </w:r>
      <w:r w:rsidRPr="008012CB">
        <w:t>Remuneration of authors of books and scientific journals, translators, journalists and visual artists for the use of their works</w:t>
      </w:r>
      <w:r>
        <w:t>”,</w:t>
      </w:r>
      <w:r w:rsidRPr="008012CB">
        <w:rPr>
          <w:rFonts w:eastAsiaTheme="minorHAnsi"/>
          <w:sz w:val="22"/>
          <w:szCs w:val="22"/>
          <w:lang w:eastAsia="en-US"/>
        </w:rPr>
        <w:t xml:space="preserve"> </w:t>
      </w:r>
      <w:r w:rsidRPr="008012CB">
        <w:t>Institute for Information Law (</w:t>
      </w:r>
      <w:hyperlink r:id="rId116" w:history="1">
        <w:r w:rsidRPr="008012CB">
          <w:t>IViR</w:t>
        </w:r>
      </w:hyperlink>
      <w:r w:rsidRPr="008012CB">
        <w:t xml:space="preserve">) of the University of Amsterdam, together with </w:t>
      </w:r>
      <w:hyperlink r:id="rId117" w:history="1">
        <w:r w:rsidRPr="008012CB">
          <w:t>Europe Economics</w:t>
        </w:r>
      </w:hyperlink>
      <w:r w:rsidRPr="008012CB">
        <w:t xml:space="preserve">, PLS. </w:t>
      </w:r>
    </w:p>
  </w:footnote>
  <w:footnote w:id="498">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13B for an overview of provisions in MS copyright law granting specific protection to publishers. </w:t>
      </w:r>
    </w:p>
  </w:footnote>
  <w:footnote w:id="499">
    <w:p w:rsidR="004B69C4" w:rsidRPr="008012CB" w:rsidRDefault="004B69C4" w:rsidP="00D3660C">
      <w:pPr>
        <w:pStyle w:val="FootnoteText"/>
      </w:pPr>
      <w:r w:rsidRPr="008012CB">
        <w:rPr>
          <w:rStyle w:val="FootnoteReference"/>
        </w:rPr>
        <w:footnoteRef/>
      </w:r>
      <w:r w:rsidRPr="008012CB">
        <w:t xml:space="preserve"> </w:t>
      </w:r>
      <w:r w:rsidRPr="008012CB">
        <w:tab/>
        <w:t>Legally</w:t>
      </w:r>
      <w:r w:rsidRPr="008012CB">
        <w:rPr>
          <w:lang w:val="en-AU"/>
        </w:rPr>
        <w:t>, the ES law is an exception allowing certain uses of news content online, coupled with an unwaivable compensation, subject to compulsory collective management, to be paid to the publishers or authors of the original press article.</w:t>
      </w:r>
      <w:r w:rsidRPr="008012CB">
        <w:t xml:space="preserve"> </w:t>
      </w:r>
    </w:p>
  </w:footnote>
  <w:footnote w:id="500">
    <w:p w:rsidR="004B69C4" w:rsidRPr="008012CB" w:rsidRDefault="004B69C4" w:rsidP="00D3660C">
      <w:pPr>
        <w:pStyle w:val="FootnoteText"/>
        <w:rPr>
          <w:lang w:val="fr-BE"/>
        </w:rPr>
      </w:pPr>
      <w:r w:rsidRPr="008012CB">
        <w:rPr>
          <w:rStyle w:val="FootnoteReference"/>
          <w:lang w:val="en-AU"/>
        </w:rPr>
        <w:footnoteRef/>
      </w:r>
      <w:r w:rsidRPr="008012CB">
        <w:rPr>
          <w:lang w:val="en-AU"/>
        </w:rPr>
        <w:t xml:space="preserve"> </w:t>
      </w:r>
      <w:r w:rsidRPr="008012CB">
        <w:rPr>
          <w:lang w:val="en-AU"/>
        </w:rPr>
        <w:tab/>
        <w:t xml:space="preserve">Today, </w:t>
      </w:r>
      <w:r w:rsidRPr="008012CB">
        <w:t>publications</w:t>
      </w:r>
      <w:r w:rsidRPr="008012CB">
        <w:rPr>
          <w:lang w:val="en-AU"/>
        </w:rPr>
        <w:t xml:space="preserve"> comprise a large variety of content including text, images and videos. In the news sector, these are created and updated constantly by hundreds of creators. Traditional news publishers like Trinity Mirror in the UK and Bild in Germany have gained audience and advertising revenue through creating a range of video output for their own websites and for distribution through social media. The video news consumption online is increasing in the EU (e.g. in 2015: 27 % of users accessing online news in ES; 25 % in IT; 18 % in DE and DK). </w:t>
      </w:r>
      <w:r w:rsidRPr="008012CB">
        <w:rPr>
          <w:lang w:val="fr-BE"/>
        </w:rPr>
        <w:t>Source: Reuters Institute Digital News Report 2015.</w:t>
      </w:r>
    </w:p>
  </w:footnote>
  <w:footnote w:id="501">
    <w:p w:rsidR="004B69C4" w:rsidRPr="00D1507D" w:rsidRDefault="004B69C4" w:rsidP="00D3660C">
      <w:pPr>
        <w:pStyle w:val="FootnoteText"/>
      </w:pPr>
      <w:r w:rsidRPr="008012CB">
        <w:rPr>
          <w:rStyle w:val="FootnoteReference"/>
        </w:rPr>
        <w:footnoteRef/>
      </w:r>
      <w:r w:rsidRPr="008012CB">
        <w:rPr>
          <w:lang w:val="fr-BE"/>
        </w:rPr>
        <w:t xml:space="preserve"> </w:t>
      </w:r>
      <w:r w:rsidRPr="008012CB">
        <w:rPr>
          <w:lang w:val="fr-BE"/>
        </w:rPr>
        <w:tab/>
        <w:t>Source: “Vers un modèle économique durable pour les éditeurs belges de journaux et de magazines: aperçu de l'importance des licences”</w:t>
      </w:r>
      <w:r>
        <w:rPr>
          <w:lang w:val="fr-BE"/>
        </w:rPr>
        <w:t>, 2014, p.10-11</w:t>
      </w:r>
      <w:r w:rsidRPr="008012CB">
        <w:rPr>
          <w:lang w:val="fr-BE"/>
        </w:rPr>
        <w:t xml:space="preserve">. </w:t>
      </w:r>
      <w:r w:rsidRPr="00F37797">
        <w:t>This r</w:t>
      </w:r>
      <w:r>
        <w:t xml:space="preserve">eport was published by </w:t>
      </w:r>
      <w:r w:rsidRPr="003A5C34">
        <w:t>Journaux Francophones Belges</w:t>
      </w:r>
      <w:r>
        <w:t xml:space="preserve"> (</w:t>
      </w:r>
      <w:r w:rsidRPr="00D1507D">
        <w:t>JFB</w:t>
      </w:r>
      <w:r>
        <w:t>)</w:t>
      </w:r>
      <w:r w:rsidRPr="003A5C34">
        <w:t xml:space="preserve">, The Ppress and </w:t>
      </w:r>
      <w:r w:rsidRPr="00D1507D">
        <w:t>Vlaamse Nieuwsmedia.</w:t>
      </w:r>
    </w:p>
    <w:p w:rsidR="004B69C4" w:rsidRPr="00D1507D" w:rsidRDefault="001A7C0A" w:rsidP="00D3660C">
      <w:pPr>
        <w:pStyle w:val="FootnoteText"/>
        <w:ind w:left="142" w:firstLine="567"/>
      </w:pPr>
      <w:hyperlink r:id="rId118" w:history="1">
        <w:r w:rsidR="004B69C4" w:rsidRPr="00D1507D">
          <w:rPr>
            <w:rStyle w:val="Hyperlink"/>
          </w:rPr>
          <w:t>https://www.mediaspecs.be/files/upload/file/etude-d-impact-licences-fr.pdf</w:t>
        </w:r>
      </w:hyperlink>
      <w:r w:rsidR="004B69C4" w:rsidRPr="00657C48">
        <w:t>.</w:t>
      </w:r>
    </w:p>
  </w:footnote>
  <w:footnote w:id="502">
    <w:p w:rsidR="004B69C4" w:rsidRPr="008012CB" w:rsidRDefault="004B69C4" w:rsidP="00D3660C">
      <w:pPr>
        <w:pStyle w:val="FootnoteText"/>
      </w:pPr>
      <w:r w:rsidRPr="008012CB">
        <w:rPr>
          <w:rStyle w:val="FootnoteReference"/>
        </w:rPr>
        <w:footnoteRef/>
      </w:r>
      <w:r w:rsidRPr="008012CB">
        <w:t xml:space="preserve"> </w:t>
      </w:r>
      <w:r w:rsidRPr="008012CB">
        <w:tab/>
        <w:t xml:space="preserve">See Annex 13C for an overview of market-led solutions in the </w:t>
      </w:r>
      <w:r w:rsidRPr="008B2D5F">
        <w:t xml:space="preserve">press </w:t>
      </w:r>
      <w:r w:rsidRPr="008012CB">
        <w:t xml:space="preserve">sector. </w:t>
      </w:r>
    </w:p>
  </w:footnote>
  <w:footnote w:id="503">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See </w:t>
      </w:r>
      <w:r w:rsidRPr="008012CB">
        <w:t>Annex 13C.</w:t>
      </w:r>
    </w:p>
  </w:footnote>
  <w:footnote w:id="504">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See judgment of 13 February 2014, in </w:t>
      </w:r>
      <w:r w:rsidRPr="009012D8">
        <w:rPr>
          <w:i/>
        </w:rPr>
        <w:t>Svensson and others</w:t>
      </w:r>
      <w:r>
        <w:t xml:space="preserve"> (</w:t>
      </w:r>
      <w:r w:rsidRPr="008012CB">
        <w:t>C-466/12</w:t>
      </w:r>
      <w:r>
        <w:t>, EU:C:2014:76)</w:t>
      </w:r>
      <w:r w:rsidRPr="008012CB">
        <w:t>.</w:t>
      </w:r>
    </w:p>
  </w:footnote>
  <w:footnote w:id="505">
    <w:p w:rsidR="004B69C4" w:rsidRPr="009012D8" w:rsidRDefault="004B69C4" w:rsidP="00D3660C">
      <w:pPr>
        <w:pStyle w:val="FootnoteText"/>
      </w:pPr>
      <w:r>
        <w:rPr>
          <w:rStyle w:val="FootnoteReference"/>
        </w:rPr>
        <w:footnoteRef/>
      </w:r>
      <w:r>
        <w:t xml:space="preserve"> </w:t>
      </w:r>
      <w:r w:rsidRPr="009012D8">
        <w:tab/>
      </w:r>
      <w:r>
        <w:t xml:space="preserve">Directive 2004/48/EC of the European Parliament and of the Council </w:t>
      </w:r>
      <w:r w:rsidRPr="009012D8">
        <w:t>of 29 April 2004 on the enforcement of intellectual property rights, OJ L 57, 30.4.2004, p. 45–86</w:t>
      </w:r>
      <w:r>
        <w:t>.</w:t>
      </w:r>
    </w:p>
    <w:p w:rsidR="004B69C4" w:rsidRPr="009012D8" w:rsidRDefault="004B69C4" w:rsidP="00D3660C">
      <w:pPr>
        <w:pStyle w:val="FootnoteText"/>
      </w:pPr>
    </w:p>
  </w:footnote>
  <w:footnote w:id="506">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See Annex 13A. </w:t>
      </w:r>
      <w:r w:rsidRPr="008012CB">
        <w:t>Source: PwC Entertainment and Media Outlook 2015-2019.</w:t>
      </w:r>
    </w:p>
  </w:footnote>
  <w:footnote w:id="507">
    <w:p w:rsidR="004B69C4" w:rsidRPr="008012CB" w:rsidRDefault="004B69C4" w:rsidP="00D3660C">
      <w:pPr>
        <w:pStyle w:val="FootnoteText"/>
      </w:pPr>
      <w:r w:rsidRPr="008012CB">
        <w:rPr>
          <w:rStyle w:val="FootnoteReference"/>
        </w:rPr>
        <w:footnoteRef/>
      </w:r>
      <w:r w:rsidRPr="008012CB">
        <w:t xml:space="preserve"> </w:t>
      </w:r>
      <w:r w:rsidRPr="008012CB">
        <w:tab/>
        <w:t>Source: Reuters Institute Digital News report 2014, p.58.</w:t>
      </w:r>
    </w:p>
  </w:footnote>
  <w:footnote w:id="508">
    <w:p w:rsidR="004B69C4" w:rsidRPr="008012CB" w:rsidRDefault="004B69C4" w:rsidP="00D3660C">
      <w:pPr>
        <w:pStyle w:val="FootnoteText"/>
      </w:pPr>
      <w:r w:rsidRPr="008012CB">
        <w:rPr>
          <w:rStyle w:val="FootnoteReference"/>
        </w:rPr>
        <w:footnoteRef/>
      </w:r>
      <w:r w:rsidRPr="008012CB">
        <w:t xml:space="preserve"> </w:t>
      </w:r>
      <w:r w:rsidRPr="008012CB">
        <w:tab/>
      </w:r>
      <w:r w:rsidRPr="00EB4864">
        <w:t>Source: Reuters Institute Digital News report 2015</w:t>
      </w:r>
      <w:r>
        <w:t>, p.68.</w:t>
      </w:r>
    </w:p>
  </w:footnote>
  <w:footnote w:id="509">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See Annex 13A. </w:t>
      </w:r>
      <w:r w:rsidRPr="008012CB">
        <w:t>Source: PwC Entertainment and Media Outlook 2015-2019.</w:t>
      </w:r>
    </w:p>
  </w:footnote>
  <w:footnote w:id="510">
    <w:p w:rsidR="004B69C4" w:rsidRPr="008012CB" w:rsidRDefault="004B69C4" w:rsidP="00D3660C">
      <w:pPr>
        <w:pStyle w:val="FootnoteText"/>
      </w:pPr>
      <w:r w:rsidRPr="008012CB">
        <w:rPr>
          <w:rStyle w:val="FootnoteReference"/>
        </w:rPr>
        <w:footnoteRef/>
      </w:r>
      <w:r w:rsidRPr="008012CB">
        <w:t xml:space="preserve"> </w:t>
      </w:r>
      <w:r w:rsidRPr="008012CB">
        <w:tab/>
        <w:t xml:space="preserve">Xavier Grangier, Head of Digital / CTO at Libération sets out the positive impacts of using Facebook's Instant Articles: </w:t>
      </w:r>
      <w:hyperlink r:id="rId119" w:history="1">
        <w:r w:rsidRPr="008012CB">
          <w:rPr>
            <w:rStyle w:val="Hyperlink"/>
          </w:rPr>
          <w:t>https://www.linkedin.com/pulse/lib%C3%A9ration-facebooks-instant-articles-xavier-grangier</w:t>
        </w:r>
      </w:hyperlink>
    </w:p>
  </w:footnote>
  <w:footnote w:id="511">
    <w:p w:rsidR="004B69C4" w:rsidRPr="008012CB" w:rsidRDefault="004B69C4" w:rsidP="00D3660C">
      <w:pPr>
        <w:pStyle w:val="FootnoteText"/>
      </w:pPr>
      <w:r w:rsidRPr="008012CB">
        <w:rPr>
          <w:rStyle w:val="FootnoteReference"/>
        </w:rPr>
        <w:footnoteRef/>
      </w:r>
      <w:r w:rsidRPr="008012CB">
        <w:t xml:space="preserve"> </w:t>
      </w:r>
      <w:r w:rsidRPr="008012CB">
        <w:tab/>
        <w:t>Source</w:t>
      </w:r>
      <w:r w:rsidRPr="008012CB">
        <w:rPr>
          <w:lang w:val="en-AU"/>
        </w:rPr>
        <w:t>: AMEC-FIBEP's answer to the 2016 public consultation.</w:t>
      </w:r>
    </w:p>
    <w:p w:rsidR="004B69C4" w:rsidRPr="008012CB" w:rsidRDefault="004B69C4" w:rsidP="00D3660C">
      <w:pPr>
        <w:pStyle w:val="FootnoteText"/>
      </w:pPr>
    </w:p>
  </w:footnote>
  <w:footnote w:id="512">
    <w:p w:rsidR="004B69C4" w:rsidRPr="008012CB" w:rsidRDefault="004B69C4" w:rsidP="00D3660C">
      <w:pPr>
        <w:pStyle w:val="FootnoteText"/>
      </w:pPr>
      <w:r w:rsidRPr="001A6765">
        <w:rPr>
          <w:rStyle w:val="FootnoteReference"/>
        </w:rPr>
        <w:footnoteRef/>
      </w:r>
      <w:r w:rsidRPr="001A6765">
        <w:rPr>
          <w:rStyle w:val="FootnoteReference"/>
        </w:rPr>
        <w:t xml:space="preserve"> </w:t>
      </w:r>
      <w:r w:rsidRPr="001A6765">
        <w:rPr>
          <w:rStyle w:val="FootnoteReference"/>
        </w:rPr>
        <w:tab/>
      </w:r>
      <w:r w:rsidRPr="009B28C5">
        <w:rPr>
          <w:rStyle w:val="FootnoteReference"/>
          <w:vertAlign w:val="baseline"/>
        </w:rPr>
        <w:t>Subject to provisions in national law regarding presumption of transfer of rights, which would not be affected.</w:t>
      </w:r>
    </w:p>
  </w:footnote>
  <w:footnote w:id="513">
    <w:p w:rsidR="004B69C4" w:rsidRPr="0032743B" w:rsidRDefault="004B69C4" w:rsidP="00D3660C">
      <w:pPr>
        <w:pStyle w:val="FootnoteText"/>
      </w:pPr>
      <w:r>
        <w:rPr>
          <w:rStyle w:val="FootnoteReference"/>
        </w:rPr>
        <w:footnoteRef/>
      </w:r>
      <w:r>
        <w:t xml:space="preserve"> </w:t>
      </w:r>
      <w:r>
        <w:tab/>
        <w:t xml:space="preserve">In particular </w:t>
      </w:r>
      <w:r w:rsidRPr="0032743B">
        <w:t xml:space="preserve">the presumption of ownership pursuant to Article 5(b) of Directive 2004/48/EC, which only applies to </w:t>
      </w:r>
      <w:r>
        <w:t>rightholders</w:t>
      </w:r>
      <w:r w:rsidRPr="0032743B">
        <w:t xml:space="preserve">, would also apply to </w:t>
      </w:r>
      <w:r>
        <w:t>press</w:t>
      </w:r>
      <w:r w:rsidRPr="0032743B">
        <w:t xml:space="preserve"> publishers</w:t>
      </w:r>
      <w:r>
        <w:t>.</w:t>
      </w:r>
    </w:p>
  </w:footnote>
  <w:footnote w:id="514">
    <w:p w:rsidR="004B69C4" w:rsidRPr="00C801D5" w:rsidRDefault="004B69C4" w:rsidP="00D3660C">
      <w:pPr>
        <w:pStyle w:val="FootnoteText"/>
        <w:rPr>
          <w:rStyle w:val="FootnoteReference"/>
          <w:rFonts w:asciiTheme="minorHAnsi" w:eastAsiaTheme="minorHAnsi" w:hAnsiTheme="minorHAnsi" w:cstheme="minorBidi"/>
          <w:sz w:val="22"/>
          <w:szCs w:val="22"/>
          <w:lang w:eastAsia="en-US"/>
        </w:rPr>
      </w:pPr>
      <w:r w:rsidRPr="001A6765">
        <w:rPr>
          <w:rStyle w:val="FootnoteReference"/>
        </w:rPr>
        <w:footnoteRef/>
      </w:r>
      <w:r w:rsidRPr="00C801D5">
        <w:rPr>
          <w:rStyle w:val="FootnoteReference"/>
        </w:rPr>
        <w:t xml:space="preserve"> </w:t>
      </w:r>
      <w:r w:rsidRPr="00C801D5">
        <w:tab/>
        <w:t>Source: “</w:t>
      </w:r>
      <w:r w:rsidRPr="00C801D5">
        <w:rPr>
          <w:rStyle w:val="FootnoteReference"/>
          <w:vertAlign w:val="baseline"/>
        </w:rPr>
        <w:t>Vers un modèle économique</w:t>
      </w:r>
      <w:r w:rsidRPr="00C801D5">
        <w:t xml:space="preserve">…”, </w:t>
      </w:r>
      <w:r w:rsidRPr="00C801D5">
        <w:rPr>
          <w:i/>
        </w:rPr>
        <w:t>op.cit</w:t>
      </w:r>
      <w:r w:rsidRPr="00C801D5">
        <w:t>.</w:t>
      </w:r>
      <w:r w:rsidRPr="00C801D5">
        <w:rPr>
          <w:rStyle w:val="FootnoteReference"/>
          <w:vertAlign w:val="baseline"/>
        </w:rPr>
        <w:t>, p.19.</w:t>
      </w:r>
      <w:hyperlink w:history="1"/>
    </w:p>
  </w:footnote>
  <w:footnote w:id="515">
    <w:p w:rsidR="004B69C4" w:rsidRPr="008012CB" w:rsidRDefault="004B69C4" w:rsidP="00D3660C">
      <w:pPr>
        <w:pStyle w:val="FootnoteText"/>
      </w:pPr>
      <w:r w:rsidRPr="008012CB">
        <w:rPr>
          <w:rStyle w:val="FootnoteReference"/>
        </w:rPr>
        <w:footnoteRef/>
      </w:r>
      <w:r w:rsidRPr="008012CB">
        <w:t xml:space="preserve"> </w:t>
      </w:r>
      <w:r w:rsidRPr="008012CB">
        <w:tab/>
        <w:t xml:space="preserve">Data provided by the </w:t>
      </w:r>
      <w:r>
        <w:t>press</w:t>
      </w:r>
      <w:r w:rsidRPr="008012CB">
        <w:t xml:space="preserve"> publishing sector</w:t>
      </w:r>
      <w:r w:rsidRPr="008012CB" w:rsidDel="00C31085">
        <w:t xml:space="preserve"> </w:t>
      </w:r>
      <w:r w:rsidRPr="008012CB">
        <w:t>as regards BE, FR, DE, FI, PL, IT, ES, UK.</w:t>
      </w:r>
    </w:p>
  </w:footnote>
  <w:footnote w:id="516">
    <w:p w:rsidR="004B69C4" w:rsidRPr="008012CB" w:rsidRDefault="004B69C4" w:rsidP="00D3660C">
      <w:pPr>
        <w:pStyle w:val="FootnoteText"/>
        <w:rPr>
          <w:lang w:val="fr-BE"/>
        </w:rPr>
      </w:pPr>
      <w:r w:rsidRPr="008012CB">
        <w:rPr>
          <w:rStyle w:val="FootnoteReference"/>
        </w:rPr>
        <w:footnoteRef/>
      </w:r>
      <w:r w:rsidRPr="008012CB">
        <w:rPr>
          <w:lang w:val="fr-BE"/>
        </w:rPr>
        <w:t xml:space="preserve"> </w:t>
      </w:r>
      <w:r w:rsidRPr="008012CB">
        <w:rPr>
          <w:lang w:val="fr-BE"/>
        </w:rPr>
        <w:tab/>
        <w:t>Source: Syndicat de la Presse Quotidienne Nationale</w:t>
      </w:r>
      <w:r>
        <w:rPr>
          <w:lang w:val="fr-BE"/>
        </w:rPr>
        <w:t>'s</w:t>
      </w:r>
      <w:r w:rsidRPr="008012CB">
        <w:rPr>
          <w:lang w:val="fr-BE"/>
        </w:rPr>
        <w:t xml:space="preserve"> answer to the 2016 public consultation.</w:t>
      </w:r>
    </w:p>
  </w:footnote>
  <w:footnote w:id="517">
    <w:p w:rsidR="004B69C4" w:rsidRPr="008012CB" w:rsidRDefault="004B69C4" w:rsidP="00D3660C">
      <w:pPr>
        <w:pStyle w:val="FootnoteText"/>
      </w:pPr>
      <w:r w:rsidRPr="008012CB">
        <w:rPr>
          <w:rStyle w:val="FootnoteReference"/>
        </w:rPr>
        <w:footnoteRef/>
      </w:r>
      <w:r w:rsidRPr="008012CB">
        <w:t xml:space="preserve"> </w:t>
      </w:r>
      <w:r w:rsidRPr="008012CB">
        <w:tab/>
        <w:t>See Annex 13B.</w:t>
      </w:r>
    </w:p>
  </w:footnote>
  <w:footnote w:id="518">
    <w:p w:rsidR="004B69C4" w:rsidRPr="008012CB" w:rsidRDefault="004B69C4" w:rsidP="00D3660C">
      <w:pPr>
        <w:pStyle w:val="FootnoteText"/>
      </w:pPr>
      <w:r w:rsidRPr="008012CB">
        <w:rPr>
          <w:rStyle w:val="FootnoteReference"/>
        </w:rPr>
        <w:footnoteRef/>
      </w:r>
      <w:r w:rsidRPr="008012CB">
        <w:t xml:space="preserve"> </w:t>
      </w:r>
      <w:r w:rsidRPr="008012CB">
        <w:tab/>
        <w:t xml:space="preserve">In the context of a contract (e.g. licence or employment relation).  </w:t>
      </w:r>
    </w:p>
  </w:footnote>
  <w:footnote w:id="519">
    <w:p w:rsidR="004B69C4" w:rsidRPr="008012CB" w:rsidRDefault="004B69C4" w:rsidP="00D3660C">
      <w:pPr>
        <w:pStyle w:val="FootnoteText"/>
      </w:pPr>
      <w:r w:rsidRPr="008012CB">
        <w:rPr>
          <w:rStyle w:val="FootnoteReference"/>
        </w:rPr>
        <w:footnoteRef/>
      </w:r>
      <w:r w:rsidRPr="008012CB">
        <w:t xml:space="preserve"> </w:t>
      </w:r>
      <w:r w:rsidRPr="008012CB">
        <w:tab/>
        <w:t>ES, IE, IT, RO and other MS provide for similar provisions in their current national laws. See Annex 13B.</w:t>
      </w:r>
    </w:p>
  </w:footnote>
  <w:footnote w:id="520">
    <w:p w:rsidR="004B69C4" w:rsidRPr="008012CB" w:rsidRDefault="004B69C4" w:rsidP="00D3660C">
      <w:pPr>
        <w:pStyle w:val="FootnoteText"/>
      </w:pPr>
      <w:r w:rsidRPr="008012CB">
        <w:rPr>
          <w:rStyle w:val="FootnoteReference"/>
        </w:rPr>
        <w:footnoteRef/>
      </w:r>
      <w:r w:rsidRPr="008012CB">
        <w:t xml:space="preserve"> </w:t>
      </w:r>
      <w:r w:rsidRPr="008012CB">
        <w:tab/>
        <w:t xml:space="preserve">Source: </w:t>
      </w:r>
      <w:r w:rsidRPr="008012CB">
        <w:rPr>
          <w:lang w:val="en-AU"/>
        </w:rPr>
        <w:t xml:space="preserve">AMEC-FIBEP's </w:t>
      </w:r>
      <w:r>
        <w:rPr>
          <w:lang w:val="en-AU"/>
        </w:rPr>
        <w:t>answer</w:t>
      </w:r>
      <w:r w:rsidRPr="008012CB">
        <w:rPr>
          <w:lang w:val="en-AU"/>
        </w:rPr>
        <w:t xml:space="preserve"> to the 2016 public consultation</w:t>
      </w:r>
      <w:r w:rsidRPr="008012CB">
        <w:t>.</w:t>
      </w:r>
    </w:p>
  </w:footnote>
  <w:footnote w:id="521">
    <w:p w:rsidR="004B69C4" w:rsidRPr="008012CB" w:rsidRDefault="004B69C4" w:rsidP="00D3660C">
      <w:pPr>
        <w:pStyle w:val="FootnoteText"/>
      </w:pPr>
      <w:r w:rsidRPr="008012CB">
        <w:rPr>
          <w:rStyle w:val="FootnoteReference"/>
        </w:rPr>
        <w:footnoteRef/>
      </w:r>
      <w:r w:rsidRPr="008012CB">
        <w:t xml:space="preserve"> </w:t>
      </w:r>
      <w:r w:rsidRPr="008012CB">
        <w:tab/>
        <w:t xml:space="preserve">As mentioned above, differently from music and films, where streaming services have now become mainstream of the last few years with brands such as Spotify, Deezer, Netflix, etc, in the </w:t>
      </w:r>
      <w:r>
        <w:t>press</w:t>
      </w:r>
      <w:r w:rsidRPr="008012CB">
        <w:t xml:space="preserve"> publishing sector these business models have not emerged as consolidated offers yet (one example of service trying this business model is Blendle - see Annex). </w:t>
      </w:r>
    </w:p>
  </w:footnote>
  <w:footnote w:id="522">
    <w:p w:rsidR="004B69C4" w:rsidRPr="008012CB" w:rsidRDefault="004B69C4" w:rsidP="00D3660C">
      <w:pPr>
        <w:pStyle w:val="FootnoteText"/>
      </w:pPr>
      <w:r w:rsidRPr="008012CB">
        <w:rPr>
          <w:rStyle w:val="FootnoteReference"/>
        </w:rPr>
        <w:footnoteRef/>
      </w:r>
      <w:r w:rsidRPr="008012CB">
        <w:t xml:space="preserve"> </w:t>
      </w:r>
      <w:r w:rsidRPr="008012CB">
        <w:tab/>
      </w:r>
      <w:r>
        <w:t xml:space="preserve">Press </w:t>
      </w:r>
      <w:r w:rsidRPr="008012CB">
        <w:t>publishers would be able to rely on the new related right for compensation claims regarding online uses of their works under an exception. However, since the new related right covers only online uses, they would not be able to claim compensation under the reprography exception under Option 2 but they would be able to do so under Option 3.</w:t>
      </w:r>
    </w:p>
  </w:footnote>
  <w:footnote w:id="523">
    <w:p w:rsidR="004B69C4" w:rsidRDefault="004B69C4" w:rsidP="00D3660C">
      <w:pPr>
        <w:pStyle w:val="FootnoteText"/>
        <w:rPr>
          <w:lang w:val="de-DE"/>
        </w:rPr>
      </w:pPr>
      <w:r w:rsidRPr="008012CB">
        <w:rPr>
          <w:rStyle w:val="FootnoteReference"/>
        </w:rPr>
        <w:footnoteRef/>
      </w:r>
      <w:r w:rsidRPr="008012CB">
        <w:rPr>
          <w:lang w:val="de-DE"/>
        </w:rPr>
        <w:t xml:space="preserve"> </w:t>
      </w:r>
      <w:r w:rsidRPr="008012CB">
        <w:rPr>
          <w:lang w:val="de-DE"/>
        </w:rPr>
        <w:tab/>
        <w:t xml:space="preserve">See e.g. Verwertungsgesellschaft Wort, Bericht des Vorstands über das Geschäftsjahr 2013, </w:t>
      </w:r>
      <w:hyperlink r:id="rId120" w:history="1">
        <w:r w:rsidRPr="008012CB">
          <w:rPr>
            <w:rStyle w:val="Hyperlink"/>
            <w:lang w:val="de-DE"/>
          </w:rPr>
          <w:t>http://www.vgwort.de/fileadmin/pdf/geschaeftsberichte/Geschaeftsbericht_2013.pdf</w:t>
        </w:r>
      </w:hyperlink>
      <w:r w:rsidRPr="008012CB">
        <w:rPr>
          <w:lang w:val="de-DE"/>
        </w:rPr>
        <w:t>, p. 6 and Bericht des Vorstands über das Geschäftsjahr 2012,</w:t>
      </w:r>
    </w:p>
    <w:p w:rsidR="004B69C4" w:rsidRPr="008012CB" w:rsidRDefault="004B69C4" w:rsidP="00D3660C">
      <w:pPr>
        <w:pStyle w:val="FootnoteText"/>
        <w:rPr>
          <w:lang w:val="de-DE"/>
        </w:rPr>
      </w:pPr>
      <w:r w:rsidRPr="008012CB">
        <w:rPr>
          <w:lang w:val="de-DE"/>
        </w:rPr>
        <w:t xml:space="preserve"> </w:t>
      </w:r>
      <w:r>
        <w:rPr>
          <w:lang w:val="de-DE"/>
        </w:rPr>
        <w:tab/>
      </w:r>
      <w:hyperlink r:id="rId121" w:history="1">
        <w:r w:rsidRPr="008012CB">
          <w:rPr>
            <w:rStyle w:val="Hyperlink"/>
            <w:lang w:val="de-DE"/>
          </w:rPr>
          <w:t>http://www.vgwort.de/fileadmin/pdf/geschaeftsberichte/entwurf-final-ende-R.pdf</w:t>
        </w:r>
      </w:hyperlink>
      <w:r w:rsidRPr="008012CB">
        <w:rPr>
          <w:lang w:val="de-DE"/>
        </w:rPr>
        <w:t>, p. 7.</w:t>
      </w:r>
    </w:p>
  </w:footnote>
  <w:footnote w:id="524">
    <w:p w:rsidR="004B69C4" w:rsidRPr="008012CB" w:rsidRDefault="004B69C4" w:rsidP="00D3660C">
      <w:pPr>
        <w:pStyle w:val="FootnoteText"/>
        <w:rPr>
          <w:lang w:val="de-DE"/>
        </w:rPr>
      </w:pPr>
      <w:r w:rsidRPr="008012CB">
        <w:rPr>
          <w:rStyle w:val="FootnoteReference"/>
        </w:rPr>
        <w:footnoteRef/>
      </w:r>
      <w:r w:rsidRPr="008012CB">
        <w:rPr>
          <w:lang w:val="de-DE"/>
        </w:rPr>
        <w:t xml:space="preserve"> </w:t>
      </w:r>
      <w:r w:rsidRPr="008012CB">
        <w:rPr>
          <w:lang w:val="de-DE"/>
        </w:rPr>
        <w:tab/>
        <w:t>See Verwertungsgesellschaft Wort, Bericht des Vorstands über das Geschäftsjahr 2013, p. 7.</w:t>
      </w:r>
    </w:p>
  </w:footnote>
  <w:footnote w:id="525">
    <w:p w:rsidR="004B69C4" w:rsidRPr="007D428E" w:rsidRDefault="004B69C4" w:rsidP="00D3660C">
      <w:pPr>
        <w:pStyle w:val="FootnoteText"/>
      </w:pPr>
      <w:r w:rsidRPr="008012CB">
        <w:rPr>
          <w:rStyle w:val="FootnoteReference"/>
        </w:rPr>
        <w:footnoteRef/>
      </w:r>
      <w:r w:rsidRPr="007D428E">
        <w:t xml:space="preserve"> </w:t>
      </w:r>
      <w:r w:rsidRPr="007D428E">
        <w:tab/>
        <w:t>Ibid.</w:t>
      </w:r>
    </w:p>
  </w:footnote>
  <w:footnote w:id="526">
    <w:p w:rsidR="004B69C4" w:rsidRPr="007D428E" w:rsidRDefault="004B69C4" w:rsidP="00D3660C">
      <w:pPr>
        <w:pStyle w:val="FootnoteText"/>
      </w:pPr>
      <w:r w:rsidRPr="008012CB">
        <w:rPr>
          <w:rStyle w:val="FootnoteReference"/>
        </w:rPr>
        <w:footnoteRef/>
      </w:r>
      <w:r w:rsidRPr="007D428E">
        <w:t xml:space="preserve"> </w:t>
      </w:r>
      <w:r w:rsidRPr="007D428E">
        <w:tab/>
        <w:t>According to information provided by the book publishing industry: AT, BE, BG, CZ, EE, ES, FR, DE, EL, HU, LV, LT, NL, PL, PT, RO, SI, SK.</w:t>
      </w:r>
    </w:p>
  </w:footnote>
  <w:footnote w:id="527">
    <w:p w:rsidR="004B69C4" w:rsidRPr="008012CB" w:rsidRDefault="004B69C4" w:rsidP="00D3660C">
      <w:pPr>
        <w:pStyle w:val="FootnoteText"/>
      </w:pPr>
      <w:r w:rsidRPr="008012CB">
        <w:rPr>
          <w:rStyle w:val="FootnoteReference"/>
        </w:rPr>
        <w:footnoteRef/>
      </w:r>
      <w:r w:rsidRPr="008012CB">
        <w:t xml:space="preserve"> </w:t>
      </w:r>
      <w:r w:rsidRPr="008012CB">
        <w:tab/>
        <w:t>See Annex 13D.</w:t>
      </w:r>
    </w:p>
  </w:footnote>
  <w:footnote w:id="528">
    <w:p w:rsidR="004B69C4" w:rsidRPr="008012CB" w:rsidRDefault="004B69C4" w:rsidP="00A05FE0">
      <w:pPr>
        <w:pStyle w:val="FootnoteText"/>
      </w:pPr>
      <w:r w:rsidRPr="008012CB">
        <w:rPr>
          <w:rStyle w:val="FootnoteReference"/>
        </w:rPr>
        <w:footnoteRef/>
      </w:r>
      <w:r w:rsidRPr="008012CB">
        <w:t xml:space="preserve"> </w:t>
      </w:r>
      <w:r w:rsidRPr="008012CB">
        <w:tab/>
      </w:r>
      <w:r>
        <w:t xml:space="preserve">Judgment of 4 October 2011 in </w:t>
      </w:r>
      <w:r w:rsidRPr="007761EF">
        <w:rPr>
          <w:i/>
        </w:rPr>
        <w:t>Football Association Premier League and Others</w:t>
      </w:r>
      <w:r>
        <w:t xml:space="preserve"> (C-403 and C-429/08, EU:C:2011:631, paragraph </w:t>
      </w:r>
      <w:r w:rsidRPr="008012CB">
        <w:t>107-108</w:t>
      </w:r>
      <w:r>
        <w:t>)</w:t>
      </w:r>
      <w:r w:rsidRPr="008012CB">
        <w:t xml:space="preserve">; </w:t>
      </w:r>
      <w:r>
        <w:t xml:space="preserve">Judgment of 27 February 2014 in </w:t>
      </w:r>
      <w:r w:rsidRPr="00EA701F">
        <w:rPr>
          <w:i/>
        </w:rPr>
        <w:t>OSA and others</w:t>
      </w:r>
      <w:r>
        <w:t xml:space="preserve"> (C-</w:t>
      </w:r>
      <w:r w:rsidRPr="008012CB">
        <w:t>351/12,</w:t>
      </w:r>
      <w:r>
        <w:t xml:space="preserve"> EU:C:2014:110, paragraph </w:t>
      </w:r>
      <w:r w:rsidRPr="008012CB">
        <w:t>23</w:t>
      </w:r>
      <w:r>
        <w:t>)</w:t>
      </w:r>
      <w:r w:rsidRPr="008012CB">
        <w:t xml:space="preserve">; </w:t>
      </w:r>
      <w:r>
        <w:t xml:space="preserve">Judgment of 20 October 1993, in </w:t>
      </w:r>
      <w:r w:rsidRPr="00EA701F">
        <w:rPr>
          <w:i/>
        </w:rPr>
        <w:t>Phil Collins and others</w:t>
      </w:r>
      <w:r>
        <w:t xml:space="preserve"> (</w:t>
      </w:r>
      <w:r w:rsidRPr="008012CB">
        <w:t>C-92/92,</w:t>
      </w:r>
      <w:r>
        <w:t xml:space="preserve"> EU:C:1993:847, </w:t>
      </w:r>
      <w:r w:rsidRPr="008012CB">
        <w:t>p</w:t>
      </w:r>
      <w:r>
        <w:t>aragraphs</w:t>
      </w:r>
      <w:r w:rsidRPr="008012CB">
        <w:t xml:space="preserve"> 12, 21</w:t>
      </w:r>
      <w:r>
        <w:t>)</w:t>
      </w:r>
      <w:r w:rsidRPr="008012CB">
        <w:t xml:space="preserve">; </w:t>
      </w:r>
      <w:r>
        <w:t xml:space="preserve">Judgment of 18 March 1980, in </w:t>
      </w:r>
      <w:r w:rsidRPr="00EA701F">
        <w:rPr>
          <w:i/>
        </w:rPr>
        <w:t>Coditel and others</w:t>
      </w:r>
      <w:r>
        <w:t>, (</w:t>
      </w:r>
      <w:r w:rsidRPr="008012CB">
        <w:t>C-62/79,</w:t>
      </w:r>
      <w:r>
        <w:t xml:space="preserve"> EU:C:1980:84, paragraph </w:t>
      </w:r>
      <w:r w:rsidRPr="008012CB">
        <w:t>14</w:t>
      </w:r>
      <w:r>
        <w:t>)</w:t>
      </w:r>
    </w:p>
  </w:footnote>
  <w:footnote w:id="529">
    <w:p w:rsidR="004B69C4" w:rsidRDefault="004B69C4" w:rsidP="00A05FE0">
      <w:pPr>
        <w:pStyle w:val="FootnoteText"/>
      </w:pPr>
      <w:r>
        <w:rPr>
          <w:rStyle w:val="FootnoteReference"/>
        </w:rPr>
        <w:footnoteRef/>
      </w:r>
      <w:r>
        <w:t xml:space="preserve"> </w:t>
      </w:r>
      <w:r>
        <w:tab/>
        <w:t xml:space="preserve">Recital </w:t>
      </w:r>
      <w:r w:rsidRPr="00E5622D">
        <w:t>(10)</w:t>
      </w:r>
      <w:r>
        <w:t xml:space="preserve"> of the InfoSoc Directive: "</w:t>
      </w:r>
      <w:r w:rsidRPr="00997353">
        <w:rPr>
          <w:i/>
        </w:rPr>
        <w:t>If authors or performers are to continue their creative and artistic work, they have to receive an appropriate reward for the use of their work.</w:t>
      </w:r>
      <w:r>
        <w:t>"</w:t>
      </w:r>
    </w:p>
  </w:footnote>
  <w:footnote w:id="530">
    <w:p w:rsidR="004B69C4" w:rsidRDefault="004B69C4" w:rsidP="00A05FE0">
      <w:pPr>
        <w:pStyle w:val="FootnoteText"/>
      </w:pPr>
      <w:r>
        <w:rPr>
          <w:rStyle w:val="FootnoteReference"/>
        </w:rPr>
        <w:footnoteRef/>
      </w:r>
      <w:r>
        <w:t xml:space="preserve"> </w:t>
      </w:r>
      <w:r>
        <w:tab/>
      </w:r>
      <w:r w:rsidRPr="008012CB">
        <w:t xml:space="preserve">See, for example, in the </w:t>
      </w:r>
      <w:hyperlink r:id="rId122" w:history="1">
        <w:r w:rsidRPr="008012CB">
          <w:t>"</w:t>
        </w:r>
        <w:hyperlink r:id="rId123" w:history="1">
          <w:r w:rsidRPr="008012CB">
            <w:rPr>
              <w:rStyle w:val="Hyperlink"/>
              <w:i/>
            </w:rPr>
            <w:t>Declaration towards a modern, more European copyright framework and the necessity of fair contracts for creators</w:t>
          </w:r>
        </w:hyperlink>
        <w:r w:rsidRPr="008012CB">
          <w:t>"</w:t>
        </w:r>
      </w:hyperlink>
      <w:r>
        <w:t xml:space="preserve"> by the </w:t>
      </w:r>
      <w:r w:rsidRPr="00446CC1">
        <w:t>Authors' Group, an umbrella organisation of ECSA, EFJ, EWC, FERA and FSE</w:t>
      </w:r>
      <w:r w:rsidRPr="008012CB">
        <w:rPr>
          <w:rStyle w:val="Hyperlink"/>
        </w:rPr>
        <w:t>;</w:t>
      </w:r>
      <w:r>
        <w:rPr>
          <w:rStyle w:val="Hyperlink"/>
        </w:rPr>
        <w:t xml:space="preserve"> </w:t>
      </w:r>
      <w:r w:rsidRPr="008012CB">
        <w:t xml:space="preserve">the </w:t>
      </w:r>
      <w:hyperlink r:id="rId124" w:history="1">
        <w:r w:rsidRPr="008012CB">
          <w:rPr>
            <w:rStyle w:val="Hyperlink"/>
          </w:rPr>
          <w:t>Paying Artist Campaign</w:t>
        </w:r>
      </w:hyperlink>
      <w:r w:rsidRPr="008012CB">
        <w:t xml:space="preserve"> launched in the UK by visual artists or the </w:t>
      </w:r>
      <w:hyperlink r:id="rId125" w:history="1">
        <w:r w:rsidRPr="008012CB">
          <w:rPr>
            <w:rStyle w:val="Hyperlink"/>
          </w:rPr>
          <w:t>Fair terms for creators</w:t>
        </w:r>
      </w:hyperlink>
      <w:r w:rsidRPr="008012CB">
        <w:t xml:space="preserve"> campaign coordinated by the Creators Rights Alliance.</w:t>
      </w:r>
    </w:p>
  </w:footnote>
  <w:footnote w:id="531">
    <w:p w:rsidR="004B69C4" w:rsidRPr="008012CB" w:rsidRDefault="004B69C4" w:rsidP="00A05FE0">
      <w:pPr>
        <w:pStyle w:val="FootnoteText"/>
      </w:pPr>
      <w:r w:rsidRPr="008012CB">
        <w:rPr>
          <w:rStyle w:val="FootnoteReference"/>
        </w:rPr>
        <w:footnoteRef/>
      </w:r>
      <w:r w:rsidRPr="008012CB">
        <w:t xml:space="preserve"> </w:t>
      </w:r>
      <w:r w:rsidRPr="008012CB">
        <w:tab/>
      </w:r>
      <w:r>
        <w:t>See, for example,</w:t>
      </w:r>
      <w:r w:rsidRPr="008012CB">
        <w:t xml:space="preserve"> the </w:t>
      </w:r>
      <w:hyperlink r:id="rId126" w:history="1">
        <w:r w:rsidRPr="008012CB">
          <w:rPr>
            <w:rStyle w:val="Hyperlink"/>
          </w:rPr>
          <w:t>replies to the July 2014 public consultation on the review of the EU copyright rules</w:t>
        </w:r>
      </w:hyperlink>
      <w:r w:rsidRPr="008012CB">
        <w:t xml:space="preserve"> (hereafter the 'Public Consultation'), where the issues raised included poor quality and/or lack of accounts and reporting by publishers and producers with regards to the use of the rights transferred by the author or the performer. </w:t>
      </w:r>
    </w:p>
  </w:footnote>
  <w:footnote w:id="532">
    <w:p w:rsidR="004B69C4" w:rsidRPr="008012CB" w:rsidRDefault="004B69C4" w:rsidP="00A05FE0">
      <w:pPr>
        <w:pStyle w:val="FootnoteText"/>
      </w:pPr>
      <w:r w:rsidRPr="008012CB">
        <w:rPr>
          <w:rStyle w:val="FootnoteReference"/>
        </w:rPr>
        <w:footnoteRef/>
      </w:r>
      <w:r w:rsidRPr="008012CB">
        <w:t xml:space="preserve"> </w:t>
      </w:r>
      <w:r w:rsidRPr="008012CB">
        <w:tab/>
        <w:t>For example, the 2015 study on the "</w:t>
      </w:r>
      <w:hyperlink r:id="rId127" w:history="1">
        <w:r w:rsidRPr="008012CB">
          <w:rPr>
            <w:rStyle w:val="Hyperlink"/>
          </w:rPr>
          <w:t>Remuneration of authors and performers for the use of their works and the fixations of their performances</w:t>
        </w:r>
      </w:hyperlink>
      <w:r w:rsidRPr="008012CB">
        <w:t xml:space="preserve">" concerning the audiovisual and music sectors (hereafter: 'AV/M Study'), </w:t>
      </w:r>
      <w:hyperlink r:id="rId128" w:history="1">
        <w:r w:rsidRPr="008012CB">
          <w:rPr>
            <w:rStyle w:val="Hyperlink"/>
          </w:rPr>
          <w:t>Institute for Information Law</w:t>
        </w:r>
      </w:hyperlink>
      <w:r w:rsidRPr="008012CB">
        <w:t xml:space="preserve"> of the University of Amsterdam, together with </w:t>
      </w:r>
      <w:hyperlink r:id="rId129" w:history="1">
        <w:r w:rsidRPr="008012CB">
          <w:rPr>
            <w:rStyle w:val="Hyperlink"/>
          </w:rPr>
          <w:t>Europe Economics</w:t>
        </w:r>
      </w:hyperlink>
      <w:r w:rsidRPr="008012CB">
        <w:t xml:space="preserve">, PLS, and the 2016 study on the "Remuneration of authors of books and scientific journals, translators, journalists and visual artists for the use of their works" (hereafter: 'Print Study') from the same authors to be published (copy available on request). See also </w:t>
      </w:r>
      <w:r w:rsidRPr="008012CB">
        <w:rPr>
          <w:i/>
        </w:rPr>
        <w:t>infra</w:t>
      </w:r>
      <w:r w:rsidRPr="008012CB">
        <w:t xml:space="preserve"> the study of the European Parliament</w:t>
      </w:r>
      <w:r w:rsidRPr="008012CB">
        <w:rPr>
          <w:i/>
        </w:rPr>
        <w:t>.</w:t>
      </w:r>
    </w:p>
  </w:footnote>
  <w:footnote w:id="533">
    <w:p w:rsidR="004B69C4" w:rsidRPr="008012CB" w:rsidRDefault="004B69C4" w:rsidP="001F1005">
      <w:pPr>
        <w:pStyle w:val="FootnoteText"/>
      </w:pPr>
      <w:r w:rsidRPr="008012CB">
        <w:rPr>
          <w:rStyle w:val="FootnoteReference"/>
        </w:rPr>
        <w:footnoteRef/>
      </w:r>
      <w:r w:rsidRPr="008012CB">
        <w:t xml:space="preserve"> </w:t>
      </w:r>
      <w:r w:rsidRPr="008012CB">
        <w:tab/>
        <w:t>Even when there is reporting, the provided information may be unclear or inconclusive according to creators' testimonies. See Annex 14B for examples of the contents of reporting statements. See "</w:t>
      </w:r>
      <w:r w:rsidRPr="008012CB">
        <w:rPr>
          <w:i/>
        </w:rPr>
        <w:t>Contractual arrangements applicable to creators: law and practice of selected Member States</w:t>
      </w:r>
      <w:r w:rsidRPr="008012CB">
        <w:t>" (2014), a study commissioned by the European Parliament, S. Dusollier, C. Ker, M. Iglesias and Y.Smits, p.76, 164.</w:t>
      </w:r>
    </w:p>
  </w:footnote>
  <w:footnote w:id="534">
    <w:p w:rsidR="004B69C4" w:rsidRPr="008012CB" w:rsidRDefault="004B69C4" w:rsidP="001F1005">
      <w:pPr>
        <w:pStyle w:val="FootnoteText"/>
      </w:pPr>
      <w:r w:rsidRPr="008012CB">
        <w:rPr>
          <w:rStyle w:val="FootnoteReference"/>
        </w:rPr>
        <w:footnoteRef/>
      </w:r>
      <w:r w:rsidRPr="008012CB">
        <w:t xml:space="preserve"> </w:t>
      </w:r>
      <w:r w:rsidRPr="008012CB">
        <w:tab/>
        <w:t xml:space="preserve">As reported by authors and performers in the 2014 Public Consultation, </w:t>
      </w:r>
      <w:r w:rsidRPr="00EA701F">
        <w:rPr>
          <w:i/>
        </w:rPr>
        <w:t>ibid</w:t>
      </w:r>
      <w:r w:rsidRPr="008012CB">
        <w:t>.</w:t>
      </w:r>
    </w:p>
  </w:footnote>
  <w:footnote w:id="535">
    <w:p w:rsidR="004B69C4" w:rsidRPr="008012CB" w:rsidRDefault="004B69C4" w:rsidP="001F1005">
      <w:pPr>
        <w:pStyle w:val="FootnoteText"/>
      </w:pPr>
      <w:r w:rsidRPr="008012CB">
        <w:rPr>
          <w:rStyle w:val="FootnoteReference"/>
        </w:rPr>
        <w:footnoteRef/>
      </w:r>
      <w:r w:rsidRPr="008012CB">
        <w:t xml:space="preserve"> </w:t>
      </w:r>
      <w:r w:rsidRPr="008012CB">
        <w:tab/>
        <w:t xml:space="preserve">In </w:t>
      </w:r>
      <w:r>
        <w:t>FR</w:t>
      </w:r>
      <w:r w:rsidRPr="008012CB">
        <w:t>, the adaptation of the publishing contract to digital which provides increased transparency safeguards to the authors was negotiated by the main publishing stakeholders and constitutes a good example, Also see for the US: O'Rourke, M. (2003), "Bargaining in the Shadow of Copyright Law after Tasini", Case Western Reserve Law Review, Vol. 53, Issue 3</w:t>
      </w:r>
    </w:p>
  </w:footnote>
  <w:footnote w:id="536">
    <w:p w:rsidR="004B69C4" w:rsidRPr="008012CB" w:rsidRDefault="004B69C4" w:rsidP="001F1005">
      <w:pPr>
        <w:pStyle w:val="FootnoteText"/>
      </w:pPr>
      <w:r w:rsidRPr="008012CB">
        <w:rPr>
          <w:rStyle w:val="FootnoteReference"/>
        </w:rPr>
        <w:footnoteRef/>
      </w:r>
      <w:r w:rsidRPr="008012CB">
        <w:t xml:space="preserve"> </w:t>
      </w:r>
      <w:r w:rsidRPr="008012CB">
        <w:tab/>
        <w:t>The Council of the European Union in its conclusions on "</w:t>
      </w:r>
      <w:hyperlink r:id="rId130" w:history="1">
        <w:r w:rsidRPr="008012CB">
          <w:rPr>
            <w:rStyle w:val="Hyperlink"/>
          </w:rPr>
          <w:t>The transition towards an Open Science system</w:t>
        </w:r>
      </w:hyperlink>
      <w:r w:rsidRPr="008012CB">
        <w:t>" (adopted on 27/05/2016) also stressed the importance of clarity in scientific publishing agreements.</w:t>
      </w:r>
    </w:p>
  </w:footnote>
  <w:footnote w:id="537">
    <w:p w:rsidR="004B69C4" w:rsidRPr="008012CB" w:rsidRDefault="004B69C4" w:rsidP="00EC509F">
      <w:pPr>
        <w:pStyle w:val="FootnoteText"/>
      </w:pPr>
      <w:r w:rsidRPr="008012CB">
        <w:rPr>
          <w:rStyle w:val="FootnoteReference"/>
        </w:rPr>
        <w:footnoteRef/>
      </w:r>
      <w:r w:rsidRPr="008012CB">
        <w:t xml:space="preserve"> </w:t>
      </w:r>
      <w:r w:rsidRPr="008012CB">
        <w:tab/>
        <w:t>In the music sector, a recent study shows that the share of non-local EU repertoires in radio airplay / digital download song sales is 34</w:t>
      </w:r>
      <w:r>
        <w:t xml:space="preserve"> </w:t>
      </w:r>
      <w:r w:rsidRPr="008012CB">
        <w:t>%/29</w:t>
      </w:r>
      <w:r>
        <w:t xml:space="preserve"> </w:t>
      </w:r>
      <w:r w:rsidRPr="008012CB">
        <w:t>% in DE, 39</w:t>
      </w:r>
      <w:r>
        <w:t xml:space="preserve"> </w:t>
      </w:r>
      <w:r w:rsidRPr="008012CB">
        <w:t>%/21</w:t>
      </w:r>
      <w:r>
        <w:t xml:space="preserve"> </w:t>
      </w:r>
      <w:r w:rsidRPr="008012CB">
        <w:t>% in PL, 33</w:t>
      </w:r>
      <w:r>
        <w:t xml:space="preserve"> </w:t>
      </w:r>
      <w:r w:rsidRPr="008012CB">
        <w:t>%/32</w:t>
      </w:r>
      <w:r>
        <w:t xml:space="preserve"> </w:t>
      </w:r>
      <w:r w:rsidRPr="008012CB">
        <w:t>% in NL, 22</w:t>
      </w:r>
      <w:r>
        <w:t xml:space="preserve"> </w:t>
      </w:r>
      <w:r w:rsidRPr="008012CB">
        <w:t>%/18</w:t>
      </w:r>
      <w:r>
        <w:t xml:space="preserve"> </w:t>
      </w:r>
      <w:r w:rsidRPr="008012CB">
        <w:t>% in FR, 22</w:t>
      </w:r>
      <w:r>
        <w:t xml:space="preserve"> </w:t>
      </w:r>
      <w:r w:rsidRPr="008012CB">
        <w:t>%/17</w:t>
      </w:r>
      <w:r>
        <w:t xml:space="preserve"> </w:t>
      </w:r>
      <w:r w:rsidRPr="008012CB">
        <w:t>% in ES and 20</w:t>
      </w:r>
      <w:r>
        <w:t xml:space="preserve"> </w:t>
      </w:r>
      <w:r w:rsidRPr="008012CB">
        <w:t>%/15</w:t>
      </w:r>
      <w:r>
        <w:t xml:space="preserve"> </w:t>
      </w:r>
      <w:r w:rsidRPr="008012CB">
        <w:t>% in SE. [</w:t>
      </w:r>
      <w:hyperlink r:id="rId131" w:history="1">
        <w:r w:rsidRPr="008012CB">
          <w:rPr>
            <w:rStyle w:val="Hyperlink"/>
          </w:rPr>
          <w:t>E. Legrand, Monitoring the cross-border circulation of European music repertoire within the European Union, Report commissioned by EMO &amp; Eurosonic Noordeslag, in partnership with Nielsen, January 2012.</w:t>
        </w:r>
      </w:hyperlink>
      <w:r w:rsidRPr="008012CB">
        <w:t>] In the audiovisual sector, on the basis of data collected by the European Audiovisual Observatory between 2011 and 2015, 25</w:t>
      </w:r>
      <w:r>
        <w:t xml:space="preserve"> </w:t>
      </w:r>
      <w:r w:rsidRPr="008012CB">
        <w:t>% of European feature films (between 260-300 films/year) are co-productions</w:t>
      </w:r>
      <w:r>
        <w:t>, and the recent increase in production activity is primarily linked to the growing number of co-productions</w:t>
      </w:r>
      <w:r w:rsidRPr="008012CB">
        <w:t>. The Eurimages support scheme which is a cornerstone of European film financing (supporting 92 European co-productions in 2015) requires the financial, technical and artistic co-operation of the co-producing European countries which entails creators working in multiple MS.</w:t>
      </w:r>
    </w:p>
  </w:footnote>
  <w:footnote w:id="538">
    <w:p w:rsidR="004B69C4" w:rsidRPr="008012CB" w:rsidRDefault="004B69C4" w:rsidP="00EC509F">
      <w:pPr>
        <w:pStyle w:val="FootnoteText"/>
      </w:pPr>
      <w:r w:rsidRPr="008012CB">
        <w:rPr>
          <w:rStyle w:val="FootnoteReference"/>
        </w:rPr>
        <w:footnoteRef/>
      </w:r>
      <w:r w:rsidRPr="008012CB">
        <w:t xml:space="preserve"> </w:t>
      </w:r>
      <w:r w:rsidRPr="008012CB">
        <w:tab/>
        <w:t>Laffont J.J., Tirole, J., 1988,"The dynamics of incentive contracts", Econometrica, Vol 56, No 5, p.1153</w:t>
      </w:r>
    </w:p>
  </w:footnote>
  <w:footnote w:id="539">
    <w:p w:rsidR="004B69C4" w:rsidRPr="0082250E" w:rsidRDefault="004B69C4" w:rsidP="00EC509F">
      <w:pPr>
        <w:pStyle w:val="FootnoteText"/>
      </w:pPr>
      <w:r>
        <w:rPr>
          <w:rStyle w:val="FootnoteReference"/>
        </w:rPr>
        <w:footnoteRef/>
      </w:r>
      <w:r>
        <w:t xml:space="preserve"> </w:t>
      </w:r>
      <w:r>
        <w:tab/>
      </w:r>
      <w:r w:rsidRPr="00AD57F7">
        <w:t>Recent figures suggest that creators face difficulties in securing stable working conditions: in 2014, nearly half (49 %) of all artists and writers in the EU were self-employed (vs 15</w:t>
      </w:r>
      <w:r>
        <w:t xml:space="preserve"> </w:t>
      </w:r>
      <w:r w:rsidRPr="00AD57F7">
        <w:t>% in total employment). Compared to the total workforce, artists are less likely to have full-time job (70</w:t>
      </w:r>
      <w:r>
        <w:t xml:space="preserve"> </w:t>
      </w:r>
      <w:r w:rsidRPr="00AD57F7">
        <w:t>% vs 80</w:t>
      </w:r>
      <w:r>
        <w:t xml:space="preserve"> </w:t>
      </w:r>
      <w:r w:rsidRPr="00AD57F7">
        <w:t>%), and are more in the need to find a second job (90</w:t>
      </w:r>
      <w:r>
        <w:t xml:space="preserve"> </w:t>
      </w:r>
      <w:r w:rsidRPr="00AD57F7">
        <w:t>% held one job vs. 96</w:t>
      </w:r>
      <w:r>
        <w:t xml:space="preserve"> </w:t>
      </w:r>
      <w:r w:rsidRPr="00AD57F7">
        <w:t>% for total workforce). In addition, artists and writers stood less chance of securing a contract than employees as a whole (76</w:t>
      </w:r>
      <w:r>
        <w:t xml:space="preserve"> </w:t>
      </w:r>
      <w:r w:rsidRPr="00AD57F7">
        <w:t>% vs 86</w:t>
      </w:r>
      <w:r>
        <w:t xml:space="preserve"> </w:t>
      </w:r>
      <w:r w:rsidRPr="00AD57F7">
        <w:t xml:space="preserve">%) [Eurostat, Cultural statistics, 2016 edition]. </w:t>
      </w:r>
      <w:r w:rsidRPr="008012CB">
        <w:t>In the UK, it is reported that on an individual standpoint "</w:t>
      </w:r>
      <w:r w:rsidRPr="008012CB">
        <w:rPr>
          <w:i/>
        </w:rPr>
        <w:t>36</w:t>
      </w:r>
      <w:r>
        <w:rPr>
          <w:i/>
        </w:rPr>
        <w:t xml:space="preserve"> </w:t>
      </w:r>
      <w:r w:rsidRPr="008012CB">
        <w:rPr>
          <w:i/>
        </w:rPr>
        <w:t>% of writers thought their own bargaining position had got worse over the last five years whereas 22</w:t>
      </w:r>
      <w:r>
        <w:rPr>
          <w:i/>
        </w:rPr>
        <w:t xml:space="preserve"> </w:t>
      </w:r>
      <w:r w:rsidRPr="008012CB">
        <w:rPr>
          <w:i/>
        </w:rPr>
        <w:t>% thought it had got better</w:t>
      </w:r>
      <w:r w:rsidRPr="008012CB">
        <w:t>" whereas "</w:t>
      </w:r>
      <w:r w:rsidRPr="008012CB">
        <w:rPr>
          <w:i/>
        </w:rPr>
        <w:t>when considering the industry as a whole 5% of respondents thought that the position for writers had got better over the period whereas 64% thought it had got worse</w:t>
      </w:r>
      <w:r w:rsidRPr="008012CB">
        <w:t xml:space="preserve">", J. Gibson, P. Johnson, and G. Dimita 2015, </w:t>
      </w:r>
      <w:hyperlink r:id="rId132" w:history="1">
        <w:r w:rsidRPr="008012CB">
          <w:rPr>
            <w:rStyle w:val="Hyperlink"/>
          </w:rPr>
          <w:t>"The Business of Being an Author – A Survey of Authors’ Earnings and Contracts</w:t>
        </w:r>
      </w:hyperlink>
      <w:r w:rsidRPr="008012CB">
        <w:t>", London, Queen Mary Intellectual Property Center</w:t>
      </w:r>
    </w:p>
  </w:footnote>
  <w:footnote w:id="540">
    <w:p w:rsidR="004B69C4" w:rsidRPr="008012CB" w:rsidRDefault="004B69C4" w:rsidP="00EC509F">
      <w:pPr>
        <w:pStyle w:val="FootnoteText"/>
      </w:pPr>
      <w:r w:rsidRPr="008012CB">
        <w:rPr>
          <w:rStyle w:val="FootnoteReference"/>
        </w:rPr>
        <w:footnoteRef/>
      </w:r>
      <w:r w:rsidRPr="008012CB">
        <w:t xml:space="preserve"> </w:t>
      </w:r>
      <w:r w:rsidRPr="008012CB">
        <w:tab/>
        <w:t>According to information shared by creators with the Commission, such behaviour can also be experienced in MS and sectors where there are reporting obligations in place if such obligations are not supported by measures that help enforcement and verification of the reporting.</w:t>
      </w:r>
    </w:p>
  </w:footnote>
  <w:footnote w:id="541">
    <w:p w:rsidR="004B69C4" w:rsidRPr="008012CB" w:rsidRDefault="004B69C4" w:rsidP="00EC509F">
      <w:pPr>
        <w:pStyle w:val="FootnoteText"/>
        <w:ind w:left="709" w:hanging="709"/>
      </w:pPr>
      <w:r w:rsidRPr="008012CB">
        <w:rPr>
          <w:rStyle w:val="FootnoteReference"/>
        </w:rPr>
        <w:footnoteRef/>
      </w:r>
      <w:r w:rsidRPr="008012CB">
        <w:t xml:space="preserve"> </w:t>
      </w:r>
      <w:r w:rsidRPr="008012CB">
        <w:tab/>
        <w:t>See Annex 14A for a summary of recent and ongoing transparency initiatives of MS.</w:t>
      </w:r>
      <w:r>
        <w:t xml:space="preserve"> </w:t>
      </w:r>
    </w:p>
  </w:footnote>
  <w:footnote w:id="542">
    <w:p w:rsidR="004B69C4" w:rsidRPr="008012CB" w:rsidRDefault="004B69C4" w:rsidP="00EC509F">
      <w:pPr>
        <w:pStyle w:val="FootnoteText"/>
      </w:pPr>
      <w:r w:rsidRPr="008012CB">
        <w:rPr>
          <w:rStyle w:val="FootnoteReference"/>
        </w:rPr>
        <w:footnoteRef/>
      </w:r>
      <w:r w:rsidRPr="008012CB">
        <w:t xml:space="preserve"> </w:t>
      </w:r>
      <w:r w:rsidRPr="008012CB">
        <w:tab/>
        <w:t>The AV/M Study points out that (i) contract terms and conditions and (ii) sales are the factors that are directly linked to the determination of the remuneration of creators. Yet, these are the two areas where lack of transparency was identified as a major problem (p.114).</w:t>
      </w:r>
    </w:p>
  </w:footnote>
  <w:footnote w:id="543">
    <w:p w:rsidR="004B69C4" w:rsidRPr="008012CB" w:rsidRDefault="004B69C4" w:rsidP="00EC509F">
      <w:pPr>
        <w:pStyle w:val="FootnoteText"/>
      </w:pPr>
      <w:r w:rsidRPr="008012CB">
        <w:rPr>
          <w:rStyle w:val="FootnoteReference"/>
        </w:rPr>
        <w:footnoteRef/>
      </w:r>
      <w:r w:rsidRPr="008012CB">
        <w:t xml:space="preserve"> </w:t>
      </w:r>
      <w:r w:rsidRPr="008012CB">
        <w:tab/>
        <w:t xml:space="preserve">See </w:t>
      </w:r>
      <w:hyperlink r:id="rId133" w:history="1">
        <w:r w:rsidRPr="008012CB">
          <w:rPr>
            <w:rStyle w:val="Hyperlink"/>
          </w:rPr>
          <w:t>Public Consultation results</w:t>
        </w:r>
      </w:hyperlink>
      <w:r w:rsidRPr="008012CB">
        <w:t xml:space="preserve"> that mention lack of "adequate or fair remuneration" and underline that "online exploitation, especially in a cross-border context, makes it particularly difficult to ensure that there is a relationship between the use and success of the work or performance and the remuneration provided to the creator".</w:t>
      </w:r>
    </w:p>
  </w:footnote>
  <w:footnote w:id="544">
    <w:p w:rsidR="004B69C4" w:rsidRPr="008012CB" w:rsidRDefault="004B69C4" w:rsidP="00EC509F">
      <w:pPr>
        <w:pStyle w:val="FootnoteText"/>
      </w:pPr>
      <w:r w:rsidRPr="008012CB">
        <w:rPr>
          <w:rStyle w:val="FootnoteReference"/>
        </w:rPr>
        <w:footnoteRef/>
      </w:r>
      <w:r w:rsidRPr="008012CB">
        <w:t xml:space="preserve"> </w:t>
      </w:r>
      <w:r w:rsidRPr="008012CB">
        <w:tab/>
        <w:t xml:space="preserve">See, for example: "What are words worth now", a survey conducted in the UK by ALCS (2014) </w:t>
      </w:r>
      <w:hyperlink r:id="rId134" w:history="1">
        <w:r w:rsidRPr="008012CB">
          <w:rPr>
            <w:rStyle w:val="Hyperlink"/>
          </w:rPr>
          <w:t>http://www.alcs.co.uk/Resources/Research</w:t>
        </w:r>
      </w:hyperlink>
      <w:r w:rsidRPr="008012CB">
        <w:rPr>
          <w:rStyle w:val="Hyperlink"/>
        </w:rPr>
        <w:t>;</w:t>
      </w:r>
      <w:r w:rsidRPr="008012CB">
        <w:t xml:space="preserve"> "</w:t>
      </w:r>
      <w:r w:rsidRPr="008012CB">
        <w:rPr>
          <w:i/>
        </w:rPr>
        <w:t>Économies des droits d’auteur Place et rôle de la propriété littéraire et artistique dans le fonctionnement économique des filières d’industrie culturelle</w:t>
      </w:r>
      <w:r w:rsidRPr="008012CB">
        <w:t xml:space="preserve">", conducted in France by Françoise Benhamou et Dominique Sagot-Duvauroux for the French Ministry of Culture, </w:t>
      </w:r>
      <w:hyperlink r:id="rId135" w:history="1">
        <w:r w:rsidRPr="008012CB">
          <w:rPr>
            <w:rStyle w:val="Hyperlink"/>
          </w:rPr>
          <w:t>http://books.openedition.org/deps/440</w:t>
        </w:r>
      </w:hyperlink>
    </w:p>
  </w:footnote>
  <w:footnote w:id="545">
    <w:p w:rsidR="004B69C4" w:rsidRPr="008012CB" w:rsidRDefault="004B69C4" w:rsidP="00EC509F">
      <w:pPr>
        <w:pStyle w:val="FootnoteText"/>
      </w:pPr>
      <w:r w:rsidRPr="008012CB">
        <w:rPr>
          <w:rStyle w:val="FootnoteReference"/>
        </w:rPr>
        <w:footnoteRef/>
      </w:r>
      <w:r w:rsidRPr="008012CB">
        <w:t xml:space="preserve"> </w:t>
      </w:r>
      <w:r w:rsidRPr="008012CB">
        <w:tab/>
        <w:t>Differences between national legislations may seem unclear for creators and limit their ability to understand their remuneration in different MS.</w:t>
      </w:r>
    </w:p>
  </w:footnote>
  <w:footnote w:id="546">
    <w:p w:rsidR="004B69C4" w:rsidRPr="000615BE" w:rsidRDefault="004B69C4" w:rsidP="00EC509F">
      <w:pPr>
        <w:pStyle w:val="FootnoteText"/>
      </w:pPr>
      <w:r>
        <w:rPr>
          <w:rStyle w:val="FootnoteReference"/>
        </w:rPr>
        <w:footnoteRef/>
      </w:r>
      <w:r>
        <w:t xml:space="preserve"> </w:t>
      </w:r>
      <w:r>
        <w:tab/>
      </w:r>
      <w:r w:rsidRPr="000615BE">
        <w:t>According to the AV/M Study, the "absence of information represents an implicit barrier to their movement across jurisdictions (non-tariff trade barrier)"</w:t>
      </w:r>
      <w:r>
        <w:t>.</w:t>
      </w:r>
    </w:p>
  </w:footnote>
  <w:footnote w:id="547">
    <w:p w:rsidR="004B69C4" w:rsidRPr="008012CB" w:rsidRDefault="004B69C4" w:rsidP="00EC509F">
      <w:pPr>
        <w:pStyle w:val="FootnoteText"/>
      </w:pPr>
      <w:r w:rsidRPr="008012CB">
        <w:rPr>
          <w:rStyle w:val="FootnoteReference"/>
        </w:rPr>
        <w:footnoteRef/>
      </w:r>
      <w:r w:rsidRPr="008012CB">
        <w:t xml:space="preserve"> </w:t>
      </w:r>
      <w:r w:rsidRPr="008012CB">
        <w:tab/>
        <w:t xml:space="preserve">Different transparency obligations exist in </w:t>
      </w:r>
      <w:r>
        <w:t>at least 20</w:t>
      </w:r>
      <w:r w:rsidRPr="008012CB">
        <w:t xml:space="preserve"> MS. See Annex 14A for an overview of national legislation and soft-law on transparency.</w:t>
      </w:r>
    </w:p>
  </w:footnote>
  <w:footnote w:id="548">
    <w:p w:rsidR="004B69C4" w:rsidRPr="008012CB" w:rsidRDefault="004B69C4" w:rsidP="001F1005">
      <w:pPr>
        <w:pStyle w:val="FootnoteText"/>
      </w:pPr>
      <w:r w:rsidRPr="008012CB">
        <w:rPr>
          <w:rStyle w:val="FootnoteReference"/>
        </w:rPr>
        <w:footnoteRef/>
      </w:r>
      <w:r w:rsidRPr="008012CB">
        <w:t xml:space="preserve"> </w:t>
      </w:r>
      <w:r w:rsidRPr="008012CB">
        <w:tab/>
        <w:t>An increasing number of music stakeholders such as record companies and online service providers develop online royalty portals which enable artists to have a complete overview of revenues generated by the exploitation of their works and received royalties.</w:t>
      </w:r>
    </w:p>
  </w:footnote>
  <w:footnote w:id="549">
    <w:p w:rsidR="004B69C4" w:rsidRPr="008012CB" w:rsidRDefault="004B69C4" w:rsidP="001F1005">
      <w:pPr>
        <w:pStyle w:val="FootnoteText"/>
      </w:pPr>
      <w:r w:rsidRPr="008012CB">
        <w:rPr>
          <w:rStyle w:val="FootnoteReference"/>
        </w:rPr>
        <w:footnoteRef/>
      </w:r>
      <w:r w:rsidRPr="008012CB">
        <w:t xml:space="preserve"> </w:t>
      </w:r>
      <w:r w:rsidRPr="008012CB">
        <w:tab/>
        <w:t>See p. 59 of the AV/M Study and policy options 1 and 3 on p.142.</w:t>
      </w:r>
    </w:p>
  </w:footnote>
  <w:footnote w:id="550">
    <w:p w:rsidR="004B69C4" w:rsidRPr="008012CB" w:rsidRDefault="004B69C4" w:rsidP="00420DDB">
      <w:pPr>
        <w:pStyle w:val="FootnoteText"/>
      </w:pPr>
      <w:r w:rsidRPr="008012CB">
        <w:rPr>
          <w:rStyle w:val="FootnoteReference"/>
        </w:rPr>
        <w:footnoteRef/>
      </w:r>
      <w:r w:rsidRPr="008012CB">
        <w:t xml:space="preserve"> </w:t>
      </w:r>
      <w:r w:rsidRPr="008012CB">
        <w:tab/>
        <w:t>See Annex 14A for examples.</w:t>
      </w:r>
    </w:p>
  </w:footnote>
  <w:footnote w:id="551">
    <w:p w:rsidR="004B69C4" w:rsidRPr="008012CB" w:rsidRDefault="004B69C4" w:rsidP="00420DDB">
      <w:pPr>
        <w:pStyle w:val="FootnoteText"/>
      </w:pPr>
      <w:r w:rsidRPr="008012CB">
        <w:rPr>
          <w:rStyle w:val="FootnoteReference"/>
        </w:rPr>
        <w:footnoteRef/>
      </w:r>
      <w:r w:rsidRPr="008012CB">
        <w:t xml:space="preserve"> </w:t>
      </w:r>
      <w:r w:rsidRPr="008012CB">
        <w:tab/>
        <w:t xml:space="preserve">A reporting obligation in EU legislation to ensure more transparency has been consistently advocated for by creators, including the </w:t>
      </w:r>
      <w:r w:rsidRPr="008012CB">
        <w:rPr>
          <w:i/>
        </w:rPr>
        <w:t>Authors' Group</w:t>
      </w:r>
      <w:r w:rsidRPr="008012CB">
        <w:t>, in their recent "</w:t>
      </w:r>
      <w:hyperlink r:id="rId136" w:history="1">
        <w:r w:rsidRPr="008012CB">
          <w:rPr>
            <w:rStyle w:val="Hyperlink"/>
            <w:i/>
          </w:rPr>
          <w:t>Declaration towards a modern, more European copyright framework and the necessity of fair contracts for creators</w:t>
        </w:r>
      </w:hyperlink>
      <w:r w:rsidRPr="008012CB">
        <w:t>" and their "</w:t>
      </w:r>
      <w:hyperlink r:id="rId137" w:history="1">
        <w:r w:rsidRPr="008012CB">
          <w:rPr>
            <w:rStyle w:val="Hyperlink"/>
            <w:i/>
          </w:rPr>
          <w:t>Information note for President Martin Schulz</w:t>
        </w:r>
      </w:hyperlink>
      <w:r w:rsidRPr="008012CB">
        <w:t>".</w:t>
      </w:r>
    </w:p>
  </w:footnote>
  <w:footnote w:id="552">
    <w:p w:rsidR="004B69C4" w:rsidRPr="008012CB" w:rsidRDefault="004B69C4" w:rsidP="00420DDB">
      <w:pPr>
        <w:pStyle w:val="FootnoteText"/>
      </w:pPr>
      <w:r w:rsidRPr="008012CB">
        <w:rPr>
          <w:rStyle w:val="FootnoteReference"/>
        </w:rPr>
        <w:footnoteRef/>
      </w:r>
      <w:r w:rsidRPr="008012CB">
        <w:t xml:space="preserve"> </w:t>
      </w:r>
      <w:r w:rsidRPr="008012CB">
        <w:tab/>
        <w:t>Creators point out that an "on demand" obligation would not be effective as they would seldom request reporting due to their weaker bargaining position.</w:t>
      </w:r>
    </w:p>
  </w:footnote>
  <w:footnote w:id="553">
    <w:p w:rsidR="004B69C4" w:rsidRPr="008012CB" w:rsidRDefault="004B69C4" w:rsidP="00420DDB">
      <w:pPr>
        <w:pStyle w:val="FootnoteText"/>
      </w:pPr>
      <w:r w:rsidRPr="008012CB">
        <w:rPr>
          <w:rStyle w:val="FootnoteReference"/>
        </w:rPr>
        <w:footnoteRef/>
      </w:r>
      <w:r w:rsidRPr="008012CB">
        <w:t xml:space="preserve"> </w:t>
      </w:r>
      <w:r w:rsidRPr="008012CB">
        <w:tab/>
        <w:t xml:space="preserve">Frequency of reporting would depend on the sector, and if it is not agreed otherwise in stakeholder dialogue it should occur at least once a year as this is the general minimum standard across sectors. </w:t>
      </w:r>
    </w:p>
  </w:footnote>
  <w:footnote w:id="554">
    <w:p w:rsidR="004B69C4" w:rsidRPr="008012CB" w:rsidRDefault="004B69C4" w:rsidP="00EC509F">
      <w:pPr>
        <w:pStyle w:val="FootnoteText"/>
      </w:pPr>
      <w:r w:rsidRPr="008012CB">
        <w:rPr>
          <w:rStyle w:val="FootnoteReference"/>
        </w:rPr>
        <w:footnoteRef/>
      </w:r>
      <w:r w:rsidRPr="008012CB">
        <w:t xml:space="preserve"> </w:t>
      </w:r>
      <w:r w:rsidRPr="008012CB">
        <w:tab/>
        <w:t>Sectors will have different methods of reporting as their value chain structures and models of exploitation vary. For example, final cost of the film production could be relevant as part of the reporting in the audiovisual sector, whereas in the print sector data on the number of copies printed, sold and on stock would have to be included. See Annex 14C for a selection of potential sector specific impacts.</w:t>
      </w:r>
    </w:p>
  </w:footnote>
  <w:footnote w:id="555">
    <w:p w:rsidR="004B69C4" w:rsidRPr="008012CB" w:rsidRDefault="004B69C4" w:rsidP="00EC509F">
      <w:pPr>
        <w:pStyle w:val="FootnoteText"/>
      </w:pPr>
      <w:r w:rsidRPr="008012CB">
        <w:rPr>
          <w:rStyle w:val="FootnoteReference"/>
        </w:rPr>
        <w:footnoteRef/>
      </w:r>
      <w:r w:rsidRPr="008012CB">
        <w:t xml:space="preserve"> </w:t>
      </w:r>
      <w:r w:rsidRPr="008012CB">
        <w:tab/>
        <w:t>Reporting in these cases is practically non-existent. Nevertheless, lump-sum payments are based on the anticipated commercial success of a work and information on use and generated revenues is required to assess the commercial value, therefore, excluding lump-sum payments would be an unjustified discrimination among creators. Moreover, it would incentivise contractual counterparties to offer more lump-sum deals which are already considered by creators unfair and too commonly used in some sectors. In the UK, a study reported that 69</w:t>
      </w:r>
      <w:r>
        <w:t xml:space="preserve"> </w:t>
      </w:r>
      <w:r w:rsidRPr="008012CB">
        <w:t>% of writers have mentioned that at least 40</w:t>
      </w:r>
      <w:r>
        <w:t xml:space="preserve"> </w:t>
      </w:r>
      <w:r w:rsidRPr="008012CB">
        <w:t>% of the contracts they have signed were buy-out contracts (</w:t>
      </w:r>
      <w:hyperlink r:id="rId138" w:history="1">
        <w:r w:rsidRPr="008012CB">
          <w:rPr>
            <w:rStyle w:val="Hyperlink"/>
          </w:rPr>
          <w:t>The Business of Being an Author, A Survey of Author’s Earnings and Contracts</w:t>
        </w:r>
      </w:hyperlink>
      <w:r w:rsidRPr="008012CB">
        <w:t>, Queen Mary University of London, April 2015). Also p.91 AV/M study</w:t>
      </w:r>
    </w:p>
  </w:footnote>
  <w:footnote w:id="556">
    <w:p w:rsidR="004B69C4" w:rsidRPr="008012CB" w:rsidRDefault="004B69C4" w:rsidP="00EC509F">
      <w:pPr>
        <w:pStyle w:val="FootnoteText"/>
      </w:pPr>
      <w:r w:rsidRPr="008012CB">
        <w:rPr>
          <w:rStyle w:val="FootnoteReference"/>
        </w:rPr>
        <w:footnoteRef/>
      </w:r>
      <w:r w:rsidRPr="008012CB">
        <w:t xml:space="preserve"> </w:t>
      </w:r>
      <w:r w:rsidRPr="008012CB">
        <w:tab/>
        <w:t>For instance, in sectors like press publishing, reporting on all works to all creators may not be proportionate considering the large number of works used in their daily output. Nevertheless, specific proportionate transparency requirements should be determined even for these sectors through the stakeholder dialogue.</w:t>
      </w:r>
    </w:p>
  </w:footnote>
  <w:footnote w:id="557">
    <w:p w:rsidR="004B69C4" w:rsidRPr="008012CB" w:rsidRDefault="004B69C4" w:rsidP="00EC509F">
      <w:pPr>
        <w:pStyle w:val="FootnoteText"/>
      </w:pPr>
      <w:r w:rsidRPr="008012CB">
        <w:rPr>
          <w:rStyle w:val="FootnoteReference"/>
        </w:rPr>
        <w:footnoteRef/>
      </w:r>
      <w:r w:rsidRPr="008012CB">
        <w:t xml:space="preserve"> </w:t>
      </w:r>
      <w:r w:rsidRPr="008012CB">
        <w:tab/>
        <w:t>Article 17 of the CRM Directive</w:t>
      </w:r>
      <w:r>
        <w:t>.</w:t>
      </w:r>
    </w:p>
  </w:footnote>
  <w:footnote w:id="558">
    <w:p w:rsidR="004B69C4" w:rsidRPr="008012CB" w:rsidRDefault="004B69C4" w:rsidP="00420DDB">
      <w:pPr>
        <w:pStyle w:val="FootnoteText"/>
      </w:pPr>
      <w:r w:rsidRPr="008012CB">
        <w:rPr>
          <w:rStyle w:val="FootnoteReference"/>
        </w:rPr>
        <w:footnoteRef/>
      </w:r>
      <w:r w:rsidRPr="008012CB">
        <w:t xml:space="preserve"> </w:t>
      </w:r>
      <w:r w:rsidRPr="008012CB">
        <w:tab/>
        <w:t>Some stakeholders claim that intervention into contracts is needed to strengthen the creators' rights and that an unwaivable right for remuneration is necessary to ensure a minimum appropriate remuneration to creators. See the position of SAA (</w:t>
      </w:r>
      <w:hyperlink r:id="rId139" w:history="1">
        <w:r w:rsidRPr="008012CB">
          <w:rPr>
            <w:rStyle w:val="Hyperlink"/>
          </w:rPr>
          <w:t>SAA White Paper 2015</w:t>
        </w:r>
      </w:hyperlink>
      <w:r w:rsidRPr="008012CB">
        <w:t>) and of AEPO-ARTIS, EuroFIA, FIM and IAO (</w:t>
      </w:r>
      <w:hyperlink r:id="rId140" w:history="1">
        <w:r w:rsidRPr="008012CB">
          <w:rPr>
            <w:rStyle w:val="Hyperlink"/>
          </w:rPr>
          <w:t>Fair internet for performers campaign</w:t>
        </w:r>
      </w:hyperlink>
      <w:r w:rsidRPr="008012CB">
        <w:t>).</w:t>
      </w:r>
    </w:p>
  </w:footnote>
  <w:footnote w:id="559">
    <w:p w:rsidR="004B69C4" w:rsidRPr="008012CB" w:rsidRDefault="004B69C4" w:rsidP="00420DDB">
      <w:pPr>
        <w:pStyle w:val="FootnoteText"/>
      </w:pPr>
      <w:r w:rsidRPr="008012CB">
        <w:rPr>
          <w:rStyle w:val="FootnoteReference"/>
        </w:rPr>
        <w:footnoteRef/>
      </w:r>
      <w:r w:rsidRPr="008012CB">
        <w:t xml:space="preserve"> </w:t>
      </w:r>
      <w:r w:rsidRPr="008012CB">
        <w:tab/>
        <w:t xml:space="preserve">See </w:t>
      </w:r>
      <w:hyperlink r:id="rId141" w:history="1">
        <w:r w:rsidRPr="008012CB">
          <w:rPr>
            <w:rStyle w:val="Hyperlink"/>
          </w:rPr>
          <w:t>Public Consultation results</w:t>
        </w:r>
      </w:hyperlink>
      <w:r w:rsidRPr="008012CB">
        <w:rPr>
          <w:rStyle w:val="Hyperlink"/>
        </w:rPr>
        <w:t xml:space="preserve"> </w:t>
      </w:r>
      <w:r w:rsidRPr="008012CB">
        <w:t>where contractual counterparties expressed a need for a healthy competition to ensure fair remuneration for creators, also referring to the possibilities in reporting offered by technological developments.</w:t>
      </w:r>
    </w:p>
  </w:footnote>
  <w:footnote w:id="560">
    <w:p w:rsidR="004B69C4" w:rsidRPr="008012CB" w:rsidRDefault="004B69C4" w:rsidP="00420DDB">
      <w:pPr>
        <w:pStyle w:val="FootnoteText"/>
      </w:pPr>
      <w:r w:rsidRPr="008012CB">
        <w:rPr>
          <w:rStyle w:val="FootnoteReference"/>
        </w:rPr>
        <w:footnoteRef/>
      </w:r>
      <w:r w:rsidRPr="008012CB">
        <w:t xml:space="preserve"> </w:t>
      </w:r>
      <w:r w:rsidRPr="008012CB">
        <w:tab/>
        <w:t>The contract adjustment mechanism for unforeseen revenues is usually called a “best-seller clause”. This expression may be somewhat misleading because it suggests that it only applies to actual best-sellers, which constitute the top 5-10</w:t>
      </w:r>
      <w:r>
        <w:t xml:space="preserve"> </w:t>
      </w:r>
      <w:r w:rsidRPr="008012CB">
        <w:t>% of sales lists, while in theory the clause should trigger when there is a significant disproportion between the agreed remuneration and the actual revenues (i.e. the commercial value) which can happen to any kind of work, even of low/medium success provided that such success (revenue) had been unforeseen and is not in proportion to the agreed remuneration. Therefore, “better-seller clause” would be a more appropriate name for a contract adjustment mechanism that applies when a work sells better that expected. Such clause exists, among others, in the legislation of DE, FR, HU, PL, ES and SL. See Annex 14D for more details.</w:t>
      </w:r>
    </w:p>
  </w:footnote>
  <w:footnote w:id="561">
    <w:p w:rsidR="004B69C4" w:rsidRPr="008012CB" w:rsidRDefault="004B69C4" w:rsidP="00420DDB">
      <w:pPr>
        <w:pStyle w:val="FootnoteText"/>
      </w:pPr>
      <w:r w:rsidRPr="008012CB">
        <w:rPr>
          <w:rStyle w:val="FootnoteReference"/>
        </w:rPr>
        <w:footnoteRef/>
      </w:r>
      <w:r w:rsidRPr="008012CB">
        <w:t xml:space="preserve"> </w:t>
      </w:r>
      <w:r w:rsidRPr="008012CB">
        <w:tab/>
        <w:t xml:space="preserve">A similar mechanism can be found in NL where the June 2015 amendment of the Author's Right Act introduced a new dispute resolution committee (see article 25g of the </w:t>
      </w:r>
      <w:hyperlink r:id="rId142" w:history="1">
        <w:r w:rsidRPr="008012CB">
          <w:rPr>
            <w:rStyle w:val="Hyperlink"/>
          </w:rPr>
          <w:t>Dutch Author's Right Act</w:t>
        </w:r>
      </w:hyperlink>
      <w:r w:rsidRPr="008012CB">
        <w:t xml:space="preserve">). </w:t>
      </w:r>
      <w:r w:rsidRPr="008012CB" w:rsidDel="00CC56A2">
        <w:t xml:space="preserve">See also in the UK the mechanisms managed by </w:t>
      </w:r>
      <w:hyperlink r:id="rId143" w:history="1">
        <w:r w:rsidRPr="008012CB" w:rsidDel="00CC56A2">
          <w:rPr>
            <w:rStyle w:val="Hyperlink"/>
          </w:rPr>
          <w:t>The Publishers Association</w:t>
        </w:r>
      </w:hyperlink>
      <w:r w:rsidRPr="008012CB" w:rsidDel="00CC56A2">
        <w:t>.</w:t>
      </w:r>
    </w:p>
  </w:footnote>
  <w:footnote w:id="562">
    <w:p w:rsidR="004B69C4" w:rsidRPr="008012CB" w:rsidRDefault="004B69C4" w:rsidP="00420DDB">
      <w:pPr>
        <w:pStyle w:val="FootnoteText"/>
      </w:pPr>
      <w:r w:rsidRPr="008012CB">
        <w:rPr>
          <w:rStyle w:val="FootnoteReference"/>
        </w:rPr>
        <w:footnoteRef/>
      </w:r>
      <w:r w:rsidRPr="008012CB">
        <w:t xml:space="preserve"> </w:t>
      </w:r>
      <w:r w:rsidRPr="008012CB">
        <w:tab/>
        <w:t xml:space="preserve">Under current national legislations (see Annex 14D), when proceedings are initiated on the basis of a better-seller clause, courts conduct, in most of the cases, a judicial revision of the contract. For lump-sums, it often results in damages granted to the creator corresponding to the difference between the agreed remuneration and the remuneration that s/he should have received (such remuneration is for instance often calculated in </w:t>
      </w:r>
      <w:r>
        <w:t xml:space="preserve">FR </w:t>
      </w:r>
      <w:r w:rsidRPr="008012CB">
        <w:t xml:space="preserve">taking into account the professional usages). In the less common case where a better-seller clause would be enforced for proportional remuneration (as opposed to lump-sum based), courts would be able to revise the royalty percentage taking into account the exploitation of the work. </w:t>
      </w:r>
    </w:p>
  </w:footnote>
  <w:footnote w:id="563">
    <w:p w:rsidR="004B69C4" w:rsidRPr="008012CB" w:rsidRDefault="004B69C4" w:rsidP="00420DDB">
      <w:pPr>
        <w:pStyle w:val="FootnoteText"/>
      </w:pPr>
      <w:r w:rsidRPr="008012CB">
        <w:rPr>
          <w:rStyle w:val="FootnoteReference"/>
        </w:rPr>
        <w:footnoteRef/>
      </w:r>
      <w:r w:rsidRPr="008012CB">
        <w:t xml:space="preserve"> </w:t>
      </w:r>
      <w:r w:rsidRPr="008012CB">
        <w:tab/>
        <w:t>In the Public Consultation, they often mentioned that a buy-out contract “</w:t>
      </w:r>
      <w:r w:rsidRPr="008012CB">
        <w:rPr>
          <w:i/>
        </w:rPr>
        <w:t>prevents their adequate or fair remuneration as the payment does not relate to use, and even less so to the success, of their work or performance</w:t>
      </w:r>
      <w:r w:rsidRPr="008012CB">
        <w:t xml:space="preserve">”. The </w:t>
      </w:r>
      <w:hyperlink r:id="rId144" w:history="1">
        <w:r w:rsidRPr="008012CB">
          <w:rPr>
            <w:rStyle w:val="Hyperlink"/>
          </w:rPr>
          <w:t>Authors' Group's recent "</w:t>
        </w:r>
        <w:hyperlink r:id="rId145" w:history="1">
          <w:r w:rsidRPr="008012CB">
            <w:rPr>
              <w:rStyle w:val="Hyperlink"/>
              <w:i/>
            </w:rPr>
            <w:t>Declaration towards a modern, more European copyright framework and the necessity of fair contracts for creators</w:t>
          </w:r>
        </w:hyperlink>
        <w:r w:rsidRPr="008012CB">
          <w:t>"</w:t>
        </w:r>
      </w:hyperlink>
      <w:r w:rsidRPr="008012CB">
        <w:t xml:space="preserve"> highlights that "</w:t>
      </w:r>
      <w:r w:rsidRPr="008012CB">
        <w:rPr>
          <w:i/>
        </w:rPr>
        <w:t>authors’ contracts lack provisions allowing them to renegotiate their terms, particularly in case of use of the work in additional formats and commercial success beyond expectations</w:t>
      </w:r>
      <w:r w:rsidRPr="008012CB">
        <w:t>".</w:t>
      </w:r>
    </w:p>
  </w:footnote>
  <w:footnote w:id="564">
    <w:p w:rsidR="004B69C4" w:rsidRPr="008012CB" w:rsidRDefault="004B69C4" w:rsidP="00420DDB">
      <w:pPr>
        <w:pStyle w:val="FootnoteText"/>
      </w:pPr>
      <w:r w:rsidRPr="008012CB">
        <w:rPr>
          <w:rStyle w:val="FootnoteReference"/>
        </w:rPr>
        <w:footnoteRef/>
      </w:r>
      <w:r w:rsidRPr="008012CB">
        <w:t xml:space="preserve"> </w:t>
      </w:r>
      <w:r w:rsidRPr="008012CB">
        <w:tab/>
        <w:t>While the majority of affected first licensees/transferees will be producers, publishers and broadcasters, it is to note that creators may enter into contractual relationships directly with platforms or other distributors in which case these will be the affected contractual counterparties.</w:t>
      </w:r>
    </w:p>
  </w:footnote>
  <w:footnote w:id="565">
    <w:p w:rsidR="004B69C4" w:rsidRPr="008012CB" w:rsidRDefault="004B69C4" w:rsidP="00EC509F">
      <w:pPr>
        <w:pStyle w:val="FootnoteText"/>
      </w:pPr>
      <w:r w:rsidRPr="008012CB">
        <w:rPr>
          <w:rStyle w:val="FootnoteReference"/>
        </w:rPr>
        <w:footnoteRef/>
      </w:r>
      <w:r w:rsidRPr="008012CB">
        <w:t xml:space="preserve"> </w:t>
      </w:r>
      <w:r w:rsidRPr="008012CB">
        <w:tab/>
        <w:t xml:space="preserve">In the music sector, for example, Worldwide Independent Network (WIN), the international association representing independent labels established the principles of revenue sharing with artists and more transparency in contracts with digital platforms in their </w:t>
      </w:r>
      <w:hyperlink r:id="rId146" w:history="1">
        <w:r w:rsidRPr="008012CB">
          <w:t>Fair Digital Deals Declaration</w:t>
        </w:r>
      </w:hyperlink>
      <w:r w:rsidRPr="008012CB">
        <w:t xml:space="preserve">. Also, in their </w:t>
      </w:r>
      <w:hyperlink r:id="rId147" w:history="1">
        <w:r w:rsidRPr="008012CB">
          <w:t>"Recommendation for the licensing of broadcast-related online activities</w:t>
        </w:r>
      </w:hyperlink>
      <w:r w:rsidRPr="008012CB">
        <w:t>", several stakeholders, including public broadcasters (EBU) and music publishers (ICMP), have agreed on the necessity of transparency of licence agreements. The French publishers association (SNE) also provides detailed practical guidelines on reporting to its members in view of promoting transparency.</w:t>
      </w:r>
    </w:p>
  </w:footnote>
  <w:footnote w:id="566">
    <w:p w:rsidR="004B69C4" w:rsidRPr="008012CB" w:rsidRDefault="004B69C4" w:rsidP="00EC509F">
      <w:pPr>
        <w:pStyle w:val="FootnoteText"/>
      </w:pPr>
      <w:r w:rsidRPr="008012CB">
        <w:rPr>
          <w:rStyle w:val="FootnoteReference"/>
        </w:rPr>
        <w:footnoteRef/>
      </w:r>
      <w:r w:rsidRPr="008012CB">
        <w:t xml:space="preserve"> </w:t>
      </w:r>
      <w:r w:rsidRPr="008012CB">
        <w:tab/>
        <w:t xml:space="preserve">For example, distribution of music via </w:t>
      </w:r>
      <w:r>
        <w:t>user uploaded content</w:t>
      </w:r>
      <w:r w:rsidRPr="008012CB">
        <w:t xml:space="preserve"> platforms or of newspaper articles via social media.</w:t>
      </w:r>
    </w:p>
  </w:footnote>
  <w:footnote w:id="567">
    <w:p w:rsidR="004B69C4" w:rsidRPr="008012CB" w:rsidRDefault="004B69C4" w:rsidP="002C6E3F">
      <w:pPr>
        <w:pStyle w:val="FootnoteText"/>
      </w:pPr>
      <w:r w:rsidRPr="008012CB">
        <w:rPr>
          <w:rStyle w:val="FootnoteReference"/>
        </w:rPr>
        <w:footnoteRef/>
      </w:r>
      <w:r w:rsidRPr="008012CB">
        <w:t xml:space="preserve"> </w:t>
      </w:r>
      <w:r w:rsidRPr="008012CB">
        <w:tab/>
        <w:t xml:space="preserve">For instance, a book publisher operating in </w:t>
      </w:r>
      <w:r>
        <w:t>FR</w:t>
      </w:r>
      <w:r w:rsidRPr="008012CB">
        <w:t xml:space="preserve">, </w:t>
      </w:r>
      <w:r>
        <w:t>LT</w:t>
      </w:r>
      <w:r w:rsidRPr="008012CB">
        <w:t xml:space="preserve"> and </w:t>
      </w:r>
      <w:r>
        <w:t>LU</w:t>
      </w:r>
      <w:r w:rsidRPr="008012CB">
        <w:t xml:space="preserve"> would have to comply with very different transparency obligations: in </w:t>
      </w:r>
      <w:r>
        <w:t>FR</w:t>
      </w:r>
      <w:r w:rsidRPr="008012CB">
        <w:t xml:space="preserve">, a detailed mandatory reporting obligation based on co-regulation (Art. L.132-17-3 and the underlying industrial agreement); in </w:t>
      </w:r>
      <w:r>
        <w:t>LT</w:t>
      </w:r>
      <w:r w:rsidRPr="008012CB">
        <w:t xml:space="preserve">, a more generic obligation to provide information and only at the author's request; whereas in </w:t>
      </w:r>
      <w:r>
        <w:t>LU</w:t>
      </w:r>
      <w:r w:rsidRPr="008012CB">
        <w:t>, the publisher would not have to comply with any transparency obligations.</w:t>
      </w:r>
    </w:p>
  </w:footnote>
  <w:footnote w:id="568">
    <w:p w:rsidR="004B69C4" w:rsidRPr="008012CB" w:rsidRDefault="004B69C4" w:rsidP="002C6E3F">
      <w:pPr>
        <w:pStyle w:val="FootnoteText"/>
      </w:pPr>
      <w:r w:rsidRPr="008012CB">
        <w:rPr>
          <w:rStyle w:val="FootnoteReference"/>
        </w:rPr>
        <w:footnoteRef/>
      </w:r>
      <w:r w:rsidRPr="008012CB">
        <w:t xml:space="preserve"> </w:t>
      </w:r>
      <w:r w:rsidRPr="008012CB">
        <w:tab/>
        <w:t xml:space="preserve">According to the findings of the survey "What are words worth now" </w:t>
      </w:r>
      <w:r w:rsidRPr="008012CB">
        <w:rPr>
          <w:i/>
        </w:rPr>
        <w:t>ibid</w:t>
      </w:r>
      <w:r w:rsidRPr="008012CB">
        <w:t>, the percentage of authors earning their income solely from writing dropped from 40</w:t>
      </w:r>
      <w:r>
        <w:t xml:space="preserve"> </w:t>
      </w:r>
      <w:r w:rsidRPr="008012CB">
        <w:t>% to just 11.5</w:t>
      </w:r>
      <w:r>
        <w:t xml:space="preserve"> </w:t>
      </w:r>
      <w:r w:rsidRPr="008012CB">
        <w:t>% between 2005 and 2013.</w:t>
      </w:r>
    </w:p>
  </w:footnote>
  <w:footnote w:id="569">
    <w:p w:rsidR="004B69C4" w:rsidRPr="008012CB" w:rsidRDefault="004B69C4" w:rsidP="002C6E3F">
      <w:pPr>
        <w:pStyle w:val="FootnoteText"/>
      </w:pPr>
      <w:r w:rsidRPr="008012CB">
        <w:rPr>
          <w:rStyle w:val="FootnoteReference"/>
        </w:rPr>
        <w:footnoteRef/>
      </w:r>
      <w:r w:rsidRPr="008012CB">
        <w:t xml:space="preserve"> </w:t>
      </w:r>
      <w:r w:rsidRPr="008012CB">
        <w:tab/>
        <w:t>It has been shown that specifying the scope of licence/transfer has a direct and positive effect on the remuneration of creators, see Print Study and AV/M Study p.136 and policy recommendations p. 142 and "</w:t>
      </w:r>
      <w:r w:rsidRPr="008012CB">
        <w:rPr>
          <w:i/>
        </w:rPr>
        <w:t xml:space="preserve">Contractual arrangements applicable to creators…", </w:t>
      </w:r>
      <w:r w:rsidRPr="00E07E16">
        <w:rPr>
          <w:i/>
        </w:rPr>
        <w:t>ibid</w:t>
      </w:r>
      <w:r w:rsidRPr="008012CB">
        <w:t>,</w:t>
      </w:r>
      <w:r w:rsidRPr="008012CB">
        <w:rPr>
          <w:i/>
        </w:rPr>
        <w:t xml:space="preserve"> </w:t>
      </w:r>
      <w:r w:rsidRPr="008012CB">
        <w:t>p.103-104.</w:t>
      </w:r>
    </w:p>
  </w:footnote>
  <w:footnote w:id="570">
    <w:p w:rsidR="004B69C4" w:rsidRPr="008012CB" w:rsidRDefault="004B69C4" w:rsidP="002C6E3F">
      <w:pPr>
        <w:pStyle w:val="FootnoteText"/>
      </w:pPr>
      <w:r w:rsidRPr="008012CB">
        <w:rPr>
          <w:rStyle w:val="FootnoteReference"/>
        </w:rPr>
        <w:footnoteRef/>
      </w:r>
      <w:r w:rsidRPr="008012CB">
        <w:t xml:space="preserve"> </w:t>
      </w:r>
      <w:r w:rsidRPr="008012CB">
        <w:tab/>
        <w:t>See Annex 14C for an economic assessment of potential sector specific impacts.</w:t>
      </w:r>
    </w:p>
  </w:footnote>
  <w:footnote w:id="571">
    <w:p w:rsidR="004B69C4" w:rsidRPr="008012CB" w:rsidRDefault="004B69C4" w:rsidP="00FE5D6C">
      <w:pPr>
        <w:pStyle w:val="FootnoteText"/>
      </w:pPr>
      <w:r w:rsidRPr="008012CB">
        <w:rPr>
          <w:rStyle w:val="FootnoteReference"/>
        </w:rPr>
        <w:footnoteRef/>
      </w:r>
      <w:r w:rsidRPr="008012CB">
        <w:t xml:space="preserve"> </w:t>
      </w:r>
      <w:r w:rsidRPr="008012CB">
        <w:tab/>
        <w:t>Article 17 of the CRM Directive.</w:t>
      </w:r>
    </w:p>
  </w:footnote>
  <w:footnote w:id="572">
    <w:p w:rsidR="004B69C4" w:rsidRPr="008012CB" w:rsidRDefault="004B69C4" w:rsidP="002C6E3F">
      <w:pPr>
        <w:pStyle w:val="FootnoteText"/>
      </w:pPr>
      <w:r w:rsidRPr="008012CB">
        <w:rPr>
          <w:rStyle w:val="FootnoteReference"/>
        </w:rPr>
        <w:footnoteRef/>
      </w:r>
      <w:r w:rsidRPr="008012CB">
        <w:t xml:space="preserve"> </w:t>
      </w:r>
      <w:r w:rsidRPr="008012CB">
        <w:tab/>
        <w:t>For examples see Annex 14A, also for an example of contractual clauses: in Denmark, Sector agreement entered into between Danish producers' association and the Danish writers' association in 1996 or the sector agreement entered into between Danish producers association and Danish actors' association.</w:t>
      </w:r>
      <w:r>
        <w:t xml:space="preserve"> Sectors agreements can be found on the </w:t>
      </w:r>
      <w:hyperlink r:id="rId148" w:history="1">
        <w:r w:rsidRPr="00A12E9F">
          <w:rPr>
            <w:rStyle w:val="Hyperlink"/>
          </w:rPr>
          <w:t>Website</w:t>
        </w:r>
      </w:hyperlink>
      <w:r>
        <w:t xml:space="preserve"> of </w:t>
      </w:r>
      <w:r w:rsidRPr="00A12E9F">
        <w:t>Danske Dramatikere</w:t>
      </w:r>
      <w:r>
        <w:t xml:space="preserve"> </w:t>
      </w:r>
    </w:p>
  </w:footnote>
  <w:footnote w:id="573">
    <w:p w:rsidR="004B69C4" w:rsidRPr="008012CB" w:rsidRDefault="004B69C4" w:rsidP="002C6E3F">
      <w:pPr>
        <w:pStyle w:val="FootnoteText"/>
      </w:pPr>
      <w:r w:rsidRPr="008012CB">
        <w:rPr>
          <w:rStyle w:val="FootnoteReference"/>
        </w:rPr>
        <w:footnoteRef/>
      </w:r>
      <w:r w:rsidRPr="008012CB">
        <w:t xml:space="preserve"> </w:t>
      </w:r>
      <w:r w:rsidRPr="008012CB">
        <w:tab/>
        <w:t>AV/M Study, p.146.</w:t>
      </w:r>
    </w:p>
  </w:footnote>
  <w:footnote w:id="574">
    <w:p w:rsidR="004B69C4" w:rsidRPr="008012CB" w:rsidRDefault="004B69C4" w:rsidP="002C6E3F">
      <w:pPr>
        <w:pStyle w:val="FootnoteText"/>
      </w:pPr>
      <w:r w:rsidRPr="008012CB">
        <w:rPr>
          <w:rStyle w:val="FootnoteReference"/>
        </w:rPr>
        <w:footnoteRef/>
      </w:r>
      <w:r w:rsidRPr="008012CB">
        <w:t xml:space="preserve"> </w:t>
      </w:r>
      <w:r w:rsidRPr="008012CB">
        <w:tab/>
        <w:t>Article 17 of the CRM Directive.</w:t>
      </w:r>
    </w:p>
  </w:footnote>
  <w:footnote w:id="575">
    <w:p w:rsidR="004B69C4" w:rsidRPr="00F072D0" w:rsidRDefault="004B69C4" w:rsidP="00FE5D6C">
      <w:pPr>
        <w:pStyle w:val="FootnoteText"/>
      </w:pPr>
      <w:r>
        <w:rPr>
          <w:rStyle w:val="FootnoteReference"/>
        </w:rPr>
        <w:footnoteRef/>
      </w:r>
      <w:r>
        <w:t xml:space="preserve"> </w:t>
      </w:r>
      <w:r>
        <w:tab/>
      </w:r>
      <w:r w:rsidRPr="008012CB">
        <w:t>For instance, one company offers business management software for small publishers from €790</w:t>
      </w:r>
      <w:r>
        <w:t>.</w:t>
      </w:r>
    </w:p>
  </w:footnote>
  <w:footnote w:id="576">
    <w:p w:rsidR="004B69C4" w:rsidRPr="008012CB" w:rsidRDefault="004B69C4" w:rsidP="00BC53CF">
      <w:pPr>
        <w:pStyle w:val="FootnoteText"/>
      </w:pPr>
      <w:r w:rsidRPr="008012CB">
        <w:rPr>
          <w:rStyle w:val="FootnoteReference"/>
        </w:rPr>
        <w:footnoteRef/>
      </w:r>
      <w:r w:rsidRPr="008012CB">
        <w:t xml:space="preserve"> </w:t>
      </w:r>
      <w:r w:rsidRPr="008012CB">
        <w:tab/>
        <w:t>As it was reported by a French distributor and a Danish producer on a confidential basis</w:t>
      </w:r>
    </w:p>
  </w:footnote>
  <w:footnote w:id="577">
    <w:p w:rsidR="004B69C4" w:rsidRPr="008012CB" w:rsidRDefault="004B69C4" w:rsidP="00CA4144">
      <w:pPr>
        <w:pStyle w:val="FootnoteText"/>
      </w:pPr>
      <w:r w:rsidRPr="008012CB">
        <w:rPr>
          <w:rStyle w:val="FootnoteReference"/>
        </w:rPr>
        <w:footnoteRef/>
      </w:r>
      <w:r w:rsidRPr="008012CB">
        <w:t xml:space="preserve"> </w:t>
      </w:r>
      <w:r w:rsidRPr="008012CB">
        <w:tab/>
        <w:t>99.4</w:t>
      </w:r>
      <w:r>
        <w:t xml:space="preserve"> </w:t>
      </w:r>
      <w:r w:rsidRPr="008012CB">
        <w:t>% of European companies active in the book publishing sector (books, newspapers, journals) are SMEs, of which 90</w:t>
      </w:r>
      <w:r>
        <w:t xml:space="preserve"> </w:t>
      </w:r>
      <w:r w:rsidRPr="008012CB">
        <w:t>% are micro-companies (0-9 employees). SMEs generate 49</w:t>
      </w:r>
      <w:r>
        <w:t xml:space="preserve"> </w:t>
      </w:r>
      <w:r w:rsidRPr="008012CB">
        <w:t>% of the value added of the sector (including 10</w:t>
      </w:r>
      <w:r>
        <w:t xml:space="preserve"> </w:t>
      </w:r>
      <w:r w:rsidRPr="008012CB">
        <w:t>% from micro-companies). In the sector of film and music production, 99.9</w:t>
      </w:r>
      <w:r>
        <w:t xml:space="preserve"> </w:t>
      </w:r>
      <w:r w:rsidRPr="008012CB">
        <w:t>% of companies are SMEs (96</w:t>
      </w:r>
      <w:r>
        <w:t xml:space="preserve"> </w:t>
      </w:r>
      <w:r w:rsidRPr="008012CB">
        <w:t>% micro-companies) generating 85</w:t>
      </w:r>
      <w:r>
        <w:t xml:space="preserve"> </w:t>
      </w:r>
      <w:r w:rsidRPr="008012CB">
        <w:t>% of the value added of the sector (32</w:t>
      </w:r>
      <w:r>
        <w:t xml:space="preserve"> </w:t>
      </w:r>
      <w:r w:rsidRPr="008012CB">
        <w:t xml:space="preserve">% by micro-companies). Source: Eurostat, Structural Business Statistics, 2013 data for publishing of books, periodicals and other publishing activities. </w:t>
      </w:r>
    </w:p>
  </w:footnote>
  <w:footnote w:id="578">
    <w:p w:rsidR="004B69C4" w:rsidRPr="008012CB" w:rsidRDefault="004B69C4" w:rsidP="00BC53CF">
      <w:pPr>
        <w:pStyle w:val="FootnoteText"/>
      </w:pPr>
      <w:r w:rsidRPr="008012CB">
        <w:rPr>
          <w:rStyle w:val="FootnoteReference"/>
        </w:rPr>
        <w:footnoteRef/>
      </w:r>
      <w:r w:rsidRPr="008012CB">
        <w:t xml:space="preserve"> </w:t>
      </w:r>
      <w:r w:rsidRPr="008012CB">
        <w:tab/>
        <w:t>See Print study, p.121 and p. 105 of the AV/M Study on "ex post accuracy".</w:t>
      </w:r>
    </w:p>
  </w:footnote>
  <w:footnote w:id="579">
    <w:p w:rsidR="004B69C4" w:rsidRPr="008012CB" w:rsidRDefault="004B69C4" w:rsidP="00BC53CF">
      <w:pPr>
        <w:pStyle w:val="FootnoteText"/>
      </w:pPr>
      <w:r w:rsidRPr="008012CB">
        <w:rPr>
          <w:rStyle w:val="FootnoteReference"/>
        </w:rPr>
        <w:footnoteRef/>
      </w:r>
      <w:r w:rsidRPr="008012CB">
        <w:t xml:space="preserve"> </w:t>
      </w:r>
      <w:r w:rsidRPr="008012CB">
        <w:tab/>
      </w:r>
      <w:r w:rsidRPr="008012CB">
        <w:rPr>
          <w:bCs/>
        </w:rPr>
        <w:t xml:space="preserve">See, for example, statements from </w:t>
      </w:r>
      <w:hyperlink r:id="rId149" w:history="1">
        <w:r w:rsidRPr="008012CB">
          <w:rPr>
            <w:rStyle w:val="Hyperlink"/>
            <w:bCs/>
          </w:rPr>
          <w:t>Universal</w:t>
        </w:r>
      </w:hyperlink>
      <w:r w:rsidRPr="008012CB">
        <w:rPr>
          <w:bCs/>
        </w:rPr>
        <w:t>: "</w:t>
      </w:r>
      <w:r w:rsidRPr="008012CB">
        <w:rPr>
          <w:i/>
        </w:rPr>
        <w:t>the flexibility and transparency (…) will be unprecedented for our industry, and set a new standard of service to our important clients</w:t>
      </w:r>
      <w:r w:rsidRPr="008012CB">
        <w:t xml:space="preserve">", </w:t>
      </w:r>
      <w:hyperlink r:id="rId150" w:history="1">
        <w:r w:rsidRPr="008012CB">
          <w:rPr>
            <w:rStyle w:val="Hyperlink"/>
          </w:rPr>
          <w:t>Sony</w:t>
        </w:r>
      </w:hyperlink>
      <w:r w:rsidRPr="008012CB">
        <w:t>: "</w:t>
      </w:r>
      <w:r w:rsidRPr="008012CB">
        <w:rPr>
          <w:i/>
        </w:rPr>
        <w:t>Transparency has been the key word when we developed this</w:t>
      </w:r>
      <w:r w:rsidRPr="008012CB">
        <w:t xml:space="preserve">", or </w:t>
      </w:r>
      <w:hyperlink r:id="rId151" w:anchor="kobalt-portal" w:history="1">
        <w:r w:rsidRPr="008012CB">
          <w:rPr>
            <w:rStyle w:val="Hyperlink"/>
          </w:rPr>
          <w:t>Kobalt</w:t>
        </w:r>
      </w:hyperlink>
      <w:r w:rsidRPr="008012CB">
        <w:t>: "</w:t>
      </w:r>
      <w:r w:rsidRPr="008012CB">
        <w:rPr>
          <w:i/>
          <w:iCs/>
        </w:rPr>
        <w:t>Our industry-defining Kobalt Portal provides full transparency with real-time updates, powerful reporting, and user-friendly analysis tools</w:t>
      </w:r>
      <w:r w:rsidRPr="008012CB">
        <w:t>".</w:t>
      </w:r>
    </w:p>
  </w:footnote>
  <w:footnote w:id="580">
    <w:p w:rsidR="004B69C4" w:rsidRPr="008012CB" w:rsidRDefault="004B69C4" w:rsidP="00BC53CF">
      <w:pPr>
        <w:pStyle w:val="FootnoteText"/>
      </w:pPr>
      <w:r w:rsidRPr="008012CB">
        <w:rPr>
          <w:rStyle w:val="FootnoteReference"/>
        </w:rPr>
        <w:footnoteRef/>
      </w:r>
      <w:r w:rsidRPr="008012CB">
        <w:t xml:space="preserve"> </w:t>
      </w:r>
      <w:r w:rsidRPr="008012CB">
        <w:tab/>
        <w:t>96</w:t>
      </w:r>
      <w:r>
        <w:t xml:space="preserve"> </w:t>
      </w:r>
      <w:r w:rsidRPr="008012CB">
        <w:t>% of Europeans believe that IP is important because it supports innovation and creativity by rewarding inventors, creators and artists, see: "</w:t>
      </w:r>
      <w:hyperlink r:id="rId152" w:history="1">
        <w:r w:rsidRPr="008012CB">
          <w:rPr>
            <w:rStyle w:val="Hyperlink"/>
            <w:i/>
          </w:rPr>
          <w:t>The European citizens and intellectual property: perception, awareness and behaviour</w:t>
        </w:r>
      </w:hyperlink>
      <w:r w:rsidRPr="008012CB">
        <w:t>", 2013, study commissioned by the EUIPO. In the Public Consultation, users also suggest that “</w:t>
      </w:r>
      <w:r w:rsidRPr="008012CB">
        <w:rPr>
          <w:i/>
        </w:rPr>
        <w:t>the way in which new online streaming services are licensed may circumvent the payment of digital royalties to artists</w:t>
      </w:r>
      <w:r w:rsidRPr="008012CB">
        <w:t>”.</w:t>
      </w:r>
    </w:p>
  </w:footnote>
  <w:footnote w:id="581">
    <w:p w:rsidR="004B69C4" w:rsidRPr="008012CB" w:rsidRDefault="004B69C4" w:rsidP="00BC53CF">
      <w:pPr>
        <w:pStyle w:val="FootnoteText"/>
      </w:pPr>
      <w:r w:rsidRPr="008012CB">
        <w:rPr>
          <w:rStyle w:val="FootnoteReference"/>
        </w:rPr>
        <w:footnoteRef/>
      </w:r>
      <w:r w:rsidRPr="008012CB">
        <w:t xml:space="preserve"> </w:t>
      </w:r>
      <w:r w:rsidRPr="008012CB">
        <w:tab/>
        <w:t xml:space="preserve">As </w:t>
      </w:r>
      <w:r w:rsidRPr="008012CB">
        <w:rPr>
          <w:bCs/>
        </w:rPr>
        <w:t>advocated</w:t>
      </w:r>
      <w:r w:rsidRPr="008012CB">
        <w:t xml:space="preserve"> by creators themselves, for example, in the abovementioned </w:t>
      </w:r>
      <w:hyperlink r:id="rId153" w:history="1">
        <w:r w:rsidRPr="008012CB">
          <w:rPr>
            <w:rStyle w:val="Hyperlink"/>
          </w:rPr>
          <w:t>Declaration</w:t>
        </w:r>
      </w:hyperlink>
      <w:r w:rsidRPr="008012CB">
        <w:rPr>
          <w:rStyle w:val="Hyperlink"/>
        </w:rPr>
        <w:t xml:space="preserve"> of the Authors' Group: "In most instances, authors’ contracts lack provisions allowing them to renegotiate their terms, particularly in case of use of the work in additional formats and commercial success beyond expectations".</w:t>
      </w:r>
    </w:p>
  </w:footnote>
  <w:footnote w:id="582">
    <w:p w:rsidR="004B69C4" w:rsidRPr="008012CB" w:rsidRDefault="004B69C4" w:rsidP="00BC53CF">
      <w:pPr>
        <w:pStyle w:val="FootnoteText"/>
        <w:rPr>
          <w:lang w:val="hu-HU"/>
        </w:rPr>
      </w:pPr>
      <w:r w:rsidRPr="008012CB">
        <w:rPr>
          <w:rStyle w:val="FootnoteReference"/>
        </w:rPr>
        <w:footnoteRef/>
      </w:r>
      <w:r w:rsidRPr="008012CB">
        <w:t xml:space="preserve"> </w:t>
      </w:r>
      <w:r w:rsidRPr="008012CB">
        <w:tab/>
        <w:t xml:space="preserve">The mechanism tackles the common problem of assigning all rights, including those to unknown future </w:t>
      </w:r>
      <w:r w:rsidRPr="008012CB">
        <w:rPr>
          <w:bCs/>
        </w:rPr>
        <w:t>modes</w:t>
      </w:r>
      <w:r w:rsidRPr="008012CB">
        <w:t xml:space="preserve"> of exploitation, which is allowed in many MS and can also be applied to pre-digital contracts which have become disproportionate even if they were balanced at signing. AV/M Study,  policy recommendation no. 3; "</w:t>
      </w:r>
      <w:r w:rsidRPr="008012CB">
        <w:rPr>
          <w:i/>
        </w:rPr>
        <w:t xml:space="preserve">Contractual arrangements applicable to creators…", </w:t>
      </w:r>
      <w:r w:rsidRPr="00E07E16">
        <w:rPr>
          <w:i/>
        </w:rPr>
        <w:t>ibid</w:t>
      </w:r>
    </w:p>
  </w:footnote>
  <w:footnote w:id="583">
    <w:p w:rsidR="004B69C4" w:rsidRPr="008012CB" w:rsidRDefault="004B69C4" w:rsidP="00CA4144">
      <w:pPr>
        <w:pStyle w:val="FootnoteText"/>
      </w:pPr>
      <w:r w:rsidRPr="008012CB">
        <w:rPr>
          <w:rStyle w:val="FootnoteReference"/>
        </w:rPr>
        <w:footnoteRef/>
      </w:r>
      <w:r w:rsidRPr="008012CB">
        <w:t xml:space="preserve"> </w:t>
      </w:r>
      <w:r w:rsidRPr="008012CB">
        <w:tab/>
        <w:t>Perhaps the most well-known dispute is the Das Boot case: the creator (the director of photography of a film) first had to raise a claim to obtain information on the exploitation of the work (he faced a lack of transparency on the exploitation of the work and the yielded revenues) before initiating proceedings on the basis of Article 32a of German copyright law which provides for a fairness clause.</w:t>
      </w:r>
    </w:p>
  </w:footnote>
  <w:footnote w:id="584">
    <w:p w:rsidR="004B69C4" w:rsidRPr="008012CB" w:rsidRDefault="004B69C4" w:rsidP="00BC53CF">
      <w:pPr>
        <w:pStyle w:val="FootnoteText"/>
      </w:pPr>
      <w:r w:rsidRPr="008012CB">
        <w:rPr>
          <w:rStyle w:val="FootnoteReference"/>
        </w:rPr>
        <w:footnoteRef/>
      </w:r>
      <w:r w:rsidRPr="008012CB">
        <w:t xml:space="preserve"> </w:t>
      </w:r>
      <w:r w:rsidRPr="008012CB">
        <w:tab/>
        <w:t>It is reported that "litigation cases are rare" under French law, Communication Commerce électronique n° 9, September 2007, comm. 104, C. Caron; also, stakeholders provided very limited data on such cases.</w:t>
      </w:r>
    </w:p>
  </w:footnote>
  <w:footnote w:id="585">
    <w:p w:rsidR="004B69C4" w:rsidRPr="008012CB" w:rsidRDefault="004B69C4" w:rsidP="00181FF9">
      <w:pPr>
        <w:pStyle w:val="FootnoteText"/>
      </w:pPr>
      <w:r w:rsidRPr="008012CB">
        <w:rPr>
          <w:rStyle w:val="FootnoteReference"/>
        </w:rPr>
        <w:footnoteRef/>
      </w:r>
      <w:r w:rsidRPr="008012CB">
        <w:t xml:space="preserve"> </w:t>
      </w:r>
      <w:r w:rsidRPr="008012CB">
        <w:tab/>
        <w:t xml:space="preserve">See the </w:t>
      </w:r>
      <w:hyperlink r:id="rId154" w:history="1">
        <w:r w:rsidRPr="008012CB">
          <w:rPr>
            <w:rStyle w:val="Hyperlink"/>
          </w:rPr>
          <w:t>impact assessment accompanying the document Proposal for a Directive of the European Parliament and of the Council on collective management of copyright and related rights and multi-territorial licensing of rights in musical works for online uses in the internal market</w:t>
        </w:r>
      </w:hyperlink>
      <w:r w:rsidRPr="008012CB">
        <w:t xml:space="preserve"> (p 119, 176)</w:t>
      </w:r>
    </w:p>
  </w:footnote>
  <w:footnote w:id="586">
    <w:p w:rsidR="004B69C4" w:rsidRPr="008012CB" w:rsidRDefault="004B69C4" w:rsidP="00D10065">
      <w:pPr>
        <w:pStyle w:val="FootnoteText"/>
      </w:pPr>
      <w:r w:rsidRPr="008012CB">
        <w:rPr>
          <w:rStyle w:val="FootnoteReference"/>
        </w:rPr>
        <w:footnoteRef/>
      </w:r>
      <w:r w:rsidRPr="008012CB">
        <w:t xml:space="preserve"> </w:t>
      </w:r>
      <w:r w:rsidRPr="008012CB">
        <w:tab/>
      </w:r>
      <w:hyperlink r:id="rId155" w:history="1">
        <w:r w:rsidRPr="008012CB">
          <w:t>Rules</w:t>
        </w:r>
      </w:hyperlink>
      <w:r w:rsidRPr="008012CB">
        <w:t xml:space="preserve"> of Informal Dispute Settlements, the Publishers Association </w:t>
      </w:r>
    </w:p>
  </w:footnote>
  <w:footnote w:id="587">
    <w:p w:rsidR="004B69C4" w:rsidRPr="00A1078D" w:rsidRDefault="004B69C4" w:rsidP="00D10065">
      <w:pPr>
        <w:pStyle w:val="FootnoteText"/>
        <w:rPr>
          <w:lang w:val="pt-PT"/>
        </w:rPr>
      </w:pPr>
      <w:r w:rsidRPr="008012CB">
        <w:rPr>
          <w:rStyle w:val="FootnoteReference"/>
        </w:rPr>
        <w:footnoteRef/>
      </w:r>
      <w:r w:rsidRPr="00A1078D">
        <w:rPr>
          <w:lang w:val="pt-PT"/>
        </w:rPr>
        <w:t xml:space="preserve"> </w:t>
      </w:r>
      <w:r w:rsidRPr="00A1078D">
        <w:rPr>
          <w:lang w:val="pt-PT"/>
        </w:rPr>
        <w:tab/>
        <w:t xml:space="preserve">WIPO, Fees Calculator, </w:t>
      </w:r>
      <w:hyperlink r:id="rId156" w:history="1">
        <w:r w:rsidRPr="00A1078D">
          <w:rPr>
            <w:rStyle w:val="Hyperlink"/>
            <w:lang w:val="pt-PT"/>
          </w:rPr>
          <w:t>http://www.wipo.int/amc/en/calculator/adr.jsp</w:t>
        </w:r>
      </w:hyperlink>
      <w:r w:rsidRPr="00A1078D">
        <w:rPr>
          <w:lang w:val="pt-PT"/>
        </w:rPr>
        <w:t xml:space="preserve"> </w:t>
      </w:r>
    </w:p>
  </w:footnote>
  <w:footnote w:id="588">
    <w:p w:rsidR="004B69C4" w:rsidRPr="00A65239" w:rsidRDefault="004B69C4" w:rsidP="00992DDA">
      <w:pPr>
        <w:pStyle w:val="FootnoteText"/>
        <w:rPr>
          <w:lang w:val="pt-PT"/>
        </w:rPr>
      </w:pPr>
      <w:r>
        <w:rPr>
          <w:rStyle w:val="FootnoteReference"/>
        </w:rPr>
        <w:footnoteRef/>
      </w:r>
      <w:r w:rsidRPr="00A65239">
        <w:rPr>
          <w:lang w:val="pt-PT"/>
        </w:rPr>
        <w:t xml:space="preserve"> </w:t>
      </w:r>
      <w:r w:rsidRPr="00A65239">
        <w:rPr>
          <w:lang w:val="pt-PT"/>
        </w:rPr>
        <w:tab/>
        <w:t>COM(2015) 626 final, cit.</w:t>
      </w:r>
    </w:p>
  </w:footnote>
  <w:footnote w:id="589">
    <w:p w:rsidR="004B69C4" w:rsidRPr="009E4614" w:rsidRDefault="004B69C4" w:rsidP="00F436E4">
      <w:pPr>
        <w:pStyle w:val="FootnoteText"/>
      </w:pPr>
      <w:r>
        <w:rPr>
          <w:rStyle w:val="FootnoteReference"/>
        </w:rPr>
        <w:footnoteRef/>
      </w:r>
      <w:r>
        <w:t xml:space="preserve"> </w:t>
      </w:r>
      <w:r w:rsidRPr="00760BBF">
        <w:tab/>
        <w:t>Source: Standard Eurobarometer 82</w:t>
      </w:r>
      <w:r>
        <w:t xml:space="preserve"> (for TV)</w:t>
      </w:r>
      <w:r w:rsidRPr="00760BBF">
        <w:t xml:space="preserve"> and </w:t>
      </w:r>
      <w:r>
        <w:t>AER (for radio)</w:t>
      </w:r>
      <w:r w:rsidRPr="00760BBF">
        <w:t>. See Annex 6A.</w:t>
      </w:r>
    </w:p>
  </w:footnote>
  <w:footnote w:id="590">
    <w:p w:rsidR="004B69C4" w:rsidRPr="00153CE5" w:rsidRDefault="004B69C4" w:rsidP="00CC5E2E">
      <w:pPr>
        <w:pStyle w:val="FootnoteText"/>
      </w:pPr>
      <w:r>
        <w:rPr>
          <w:rStyle w:val="FootnoteReference"/>
        </w:rPr>
        <w:footnoteRef/>
      </w:r>
      <w:r>
        <w:t xml:space="preserve"> </w:t>
      </w:r>
      <w:r w:rsidRPr="007021A8">
        <w:tab/>
        <w:t xml:space="preserve">Source: </w:t>
      </w:r>
      <w:r w:rsidRPr="00CA298F">
        <w:t>European Audiovisual Observatory Yearbook, 2015</w:t>
      </w:r>
      <w:r>
        <w:t>. See Annex 6A.</w:t>
      </w:r>
    </w:p>
  </w:footnote>
  <w:footnote w:id="591">
    <w:p w:rsidR="004B69C4" w:rsidRPr="00F15FC9" w:rsidRDefault="004B69C4" w:rsidP="00CC5E2E">
      <w:pPr>
        <w:pStyle w:val="FootnoteText"/>
      </w:pPr>
      <w:r>
        <w:rPr>
          <w:rStyle w:val="FootnoteReference"/>
        </w:rPr>
        <w:footnoteRef/>
      </w:r>
      <w:r>
        <w:t xml:space="preserve"> </w:t>
      </w:r>
      <w:r>
        <w:tab/>
        <w:t>Source: European Audiovisual Obs</w:t>
      </w:r>
      <w:r w:rsidRPr="00235A7B">
        <w:t>ervatory, November 2015</w:t>
      </w:r>
      <w:r>
        <w:t>. See Annex 8A.</w:t>
      </w:r>
    </w:p>
  </w:footnote>
  <w:footnote w:id="592">
    <w:p w:rsidR="004B69C4" w:rsidRPr="00235A7B" w:rsidRDefault="004B69C4" w:rsidP="00CC5E2E">
      <w:pPr>
        <w:pStyle w:val="FootnoteText"/>
        <w:ind w:left="709" w:hanging="709"/>
      </w:pPr>
      <w:r w:rsidRPr="00235A7B">
        <w:rPr>
          <w:rStyle w:val="FootnoteReference"/>
        </w:rPr>
        <w:footnoteRef/>
      </w:r>
      <w:r w:rsidRPr="00235A7B">
        <w:t xml:space="preserve"> </w:t>
      </w:r>
      <w:r w:rsidRPr="00235A7B">
        <w:tab/>
      </w:r>
      <w:r>
        <w:t xml:space="preserve">Source: </w:t>
      </w:r>
      <w:r w:rsidRPr="00235A7B">
        <w:t>European Audiovisual Observatory, March 2015.</w:t>
      </w:r>
      <w:r>
        <w:t xml:space="preserve"> See Annex 8A.</w:t>
      </w:r>
    </w:p>
  </w:footnote>
  <w:footnote w:id="593">
    <w:p w:rsidR="004B69C4" w:rsidRPr="00C300ED" w:rsidRDefault="004B69C4" w:rsidP="00CC5E2E">
      <w:pPr>
        <w:pStyle w:val="FootnoteText"/>
      </w:pPr>
      <w:r>
        <w:rPr>
          <w:rStyle w:val="FootnoteReference"/>
        </w:rPr>
        <w:footnoteRef/>
      </w:r>
      <w:r>
        <w:t xml:space="preserve"> </w:t>
      </w:r>
      <w:r>
        <w:tab/>
        <w:t>Source: European University Association. See Annex 10A.</w:t>
      </w:r>
    </w:p>
  </w:footnote>
  <w:footnote w:id="594">
    <w:p w:rsidR="004B69C4" w:rsidRPr="00581F9F" w:rsidRDefault="004B69C4">
      <w:pPr>
        <w:pStyle w:val="FootnoteText"/>
      </w:pPr>
      <w:r>
        <w:rPr>
          <w:rStyle w:val="FootnoteReference"/>
        </w:rPr>
        <w:footnoteRef/>
      </w:r>
      <w:r>
        <w:t xml:space="preserve"> </w:t>
      </w:r>
      <w:r w:rsidRPr="00AD57F7">
        <w:tab/>
        <w:t xml:space="preserve">Source: Lisbon Council, 2016, based on Reed Elsevier Science Direct database. </w:t>
      </w:r>
      <w:r>
        <w:t>S</w:t>
      </w:r>
      <w:r w:rsidRPr="00581F9F">
        <w:t>ee table in Annex 11E.</w:t>
      </w:r>
    </w:p>
  </w:footnote>
  <w:footnote w:id="595">
    <w:p w:rsidR="004B69C4" w:rsidRPr="00D74271" w:rsidRDefault="004B69C4" w:rsidP="00CC5E2E">
      <w:pPr>
        <w:pStyle w:val="FootnoteText"/>
      </w:pPr>
      <w:r>
        <w:rPr>
          <w:rStyle w:val="FootnoteReference"/>
        </w:rPr>
        <w:footnoteRef/>
      </w:r>
      <w:r>
        <w:t xml:space="preserve"> </w:t>
      </w:r>
      <w:r>
        <w:tab/>
        <w:t>Source: Eurobarometer 437, March 2016. See Annex 13A.</w:t>
      </w:r>
    </w:p>
  </w:footnote>
  <w:footnote w:id="596">
    <w:p w:rsidR="004B69C4" w:rsidRPr="00D74271" w:rsidRDefault="004B69C4" w:rsidP="00CC5E2E">
      <w:pPr>
        <w:pStyle w:val="FootnoteText"/>
      </w:pPr>
      <w:r>
        <w:rPr>
          <w:rStyle w:val="FootnoteReference"/>
        </w:rPr>
        <w:footnoteRef/>
      </w:r>
      <w:r>
        <w:t xml:space="preserve"> </w:t>
      </w:r>
      <w:r w:rsidRPr="005E33E5">
        <w:tab/>
        <w:t xml:space="preserve">Source: PwC </w:t>
      </w:r>
      <w:r w:rsidRPr="004751EB">
        <w:t>Global entertainment and media outlook, March 2016</w:t>
      </w:r>
      <w:r w:rsidRPr="005E33E5">
        <w:t>. See Annex 13A</w:t>
      </w:r>
    </w:p>
  </w:footnote>
  <w:footnote w:id="597">
    <w:p w:rsidR="004B69C4" w:rsidRPr="00D74271" w:rsidRDefault="004B69C4" w:rsidP="00CC5E2E">
      <w:pPr>
        <w:pStyle w:val="FootnoteText"/>
      </w:pPr>
      <w:r>
        <w:rPr>
          <w:rStyle w:val="FootnoteReference"/>
        </w:rPr>
        <w:footnoteRef/>
      </w:r>
      <w:r>
        <w:t xml:space="preserve"> </w:t>
      </w:r>
      <w:r w:rsidRPr="00B14708">
        <w:tab/>
        <w:t xml:space="preserve">Source: </w:t>
      </w:r>
      <w:r>
        <w:t>IFRRO.</w:t>
      </w:r>
      <w:r w:rsidRPr="00B14708">
        <w:t xml:space="preserve"> Annex 13</w:t>
      </w:r>
      <w:r>
        <w: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0A" w:rsidRPr="001A7C0A" w:rsidRDefault="001A7C0A" w:rsidP="001A7C0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4" w:rsidRDefault="004B69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4" w:rsidRPr="00E638E1" w:rsidRDefault="004B69C4" w:rsidP="00EA3EB7">
    <w:pPr>
      <w:pStyle w:val="Header"/>
      <w:rPr>
        <w:rFonts w:ascii="Times New Roman" w:hAnsi="Times New Roman" w:cs="Times New Roman"/>
        <w:sz w:val="20"/>
      </w:rPr>
    </w:pP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4" w:rsidRDefault="004B6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C80A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862E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8A6D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C8D7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3E49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1E5C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7040DA"/>
    <w:lvl w:ilvl="0">
      <w:start w:val="1"/>
      <w:numFmt w:val="decimal"/>
      <w:pStyle w:val="ListNumber"/>
      <w:lvlText w:val="%1."/>
      <w:lvlJc w:val="left"/>
      <w:pPr>
        <w:tabs>
          <w:tab w:val="num" w:pos="360"/>
        </w:tabs>
        <w:ind w:left="360" w:hanging="360"/>
      </w:pPr>
    </w:lvl>
  </w:abstractNum>
  <w:abstractNum w:abstractNumId="7">
    <w:nsid w:val="FFFFFF89"/>
    <w:multiLevelType w:val="singleLevel"/>
    <w:tmpl w:val="8B907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377128A"/>
    <w:multiLevelType w:val="hybridMultilevel"/>
    <w:tmpl w:val="DFB6F53A"/>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714D52"/>
    <w:multiLevelType w:val="hybridMultilevel"/>
    <w:tmpl w:val="2256BBFC"/>
    <w:lvl w:ilvl="0" w:tplc="B91881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7630147"/>
    <w:multiLevelType w:val="hybridMultilevel"/>
    <w:tmpl w:val="66AEB85A"/>
    <w:lvl w:ilvl="0" w:tplc="75C6ADD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576DED"/>
    <w:multiLevelType w:val="multilevel"/>
    <w:tmpl w:val="75CA5CDC"/>
    <w:styleLink w:val="NumberedParagraphs"/>
    <w:lvl w:ilvl="0">
      <w:start w:val="1"/>
      <w:numFmt w:val="decimal"/>
      <w:pStyle w:val="BodyTextNumbered"/>
      <w:lvlText w:val="%1."/>
      <w:lvlJc w:val="left"/>
      <w:pPr>
        <w:ind w:left="0" w:hanging="601"/>
      </w:pPr>
      <w:rPr>
        <w:rFonts w:ascii="Arial" w:hAnsi="Arial" w:hint="default"/>
        <w:b w:val="0"/>
        <w:i w:val="0"/>
        <w:color w:val="9B9B9B"/>
        <w:sz w:val="16"/>
      </w:rPr>
    </w:lvl>
    <w:lvl w:ilvl="1">
      <w:start w:val="1"/>
      <w:numFmt w:val="none"/>
      <w:lvlText w:val="%2"/>
      <w:lvlJc w:val="left"/>
      <w:pPr>
        <w:ind w:left="0" w:hanging="601"/>
      </w:pPr>
      <w:rPr>
        <w:rFonts w:hint="default"/>
      </w:rPr>
    </w:lvl>
    <w:lvl w:ilvl="2">
      <w:start w:val="1"/>
      <w:numFmt w:val="none"/>
      <w:lvlText w:val="%3"/>
      <w:lvlJc w:val="left"/>
      <w:pPr>
        <w:ind w:left="0" w:hanging="601"/>
      </w:pPr>
      <w:rPr>
        <w:rFonts w:hint="default"/>
      </w:rPr>
    </w:lvl>
    <w:lvl w:ilvl="3">
      <w:start w:val="1"/>
      <w:numFmt w:val="none"/>
      <w:lvlText w:val="%4"/>
      <w:lvlJc w:val="left"/>
      <w:pPr>
        <w:ind w:left="0" w:hanging="601"/>
      </w:pPr>
      <w:rPr>
        <w:rFonts w:hint="default"/>
      </w:rPr>
    </w:lvl>
    <w:lvl w:ilvl="4">
      <w:start w:val="1"/>
      <w:numFmt w:val="none"/>
      <w:lvlText w:val="%5"/>
      <w:lvlJc w:val="left"/>
      <w:pPr>
        <w:ind w:left="0" w:hanging="601"/>
      </w:pPr>
      <w:rPr>
        <w:rFonts w:hint="default"/>
      </w:rPr>
    </w:lvl>
    <w:lvl w:ilvl="5">
      <w:start w:val="1"/>
      <w:numFmt w:val="none"/>
      <w:lvlText w:val="%6"/>
      <w:lvlJc w:val="left"/>
      <w:pPr>
        <w:ind w:left="0" w:hanging="601"/>
      </w:pPr>
      <w:rPr>
        <w:rFonts w:hint="default"/>
      </w:rPr>
    </w:lvl>
    <w:lvl w:ilvl="6">
      <w:start w:val="1"/>
      <w:numFmt w:val="none"/>
      <w:lvlText w:val="%7"/>
      <w:lvlJc w:val="left"/>
      <w:pPr>
        <w:ind w:left="0" w:hanging="601"/>
      </w:pPr>
      <w:rPr>
        <w:rFonts w:hint="default"/>
      </w:rPr>
    </w:lvl>
    <w:lvl w:ilvl="7">
      <w:start w:val="1"/>
      <w:numFmt w:val="none"/>
      <w:lvlText w:val="%8"/>
      <w:lvlJc w:val="left"/>
      <w:pPr>
        <w:ind w:left="0" w:hanging="601"/>
      </w:pPr>
      <w:rPr>
        <w:rFonts w:hint="default"/>
      </w:rPr>
    </w:lvl>
    <w:lvl w:ilvl="8">
      <w:start w:val="1"/>
      <w:numFmt w:val="none"/>
      <w:lvlText w:val="%9"/>
      <w:lvlJc w:val="left"/>
      <w:pPr>
        <w:ind w:left="0" w:hanging="601"/>
      </w:pPr>
      <w:rPr>
        <w:rFonts w:hint="default"/>
      </w:rPr>
    </w:lvl>
  </w:abstractNum>
  <w:abstractNum w:abstractNumId="12">
    <w:nsid w:val="10D2024B"/>
    <w:multiLevelType w:val="hybridMultilevel"/>
    <w:tmpl w:val="9C8AE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B633FB"/>
    <w:multiLevelType w:val="hybridMultilevel"/>
    <w:tmpl w:val="C626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9E5F70"/>
    <w:multiLevelType w:val="hybridMultilevel"/>
    <w:tmpl w:val="320A1242"/>
    <w:lvl w:ilvl="0" w:tplc="D222F7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06691F"/>
    <w:multiLevelType w:val="hybridMultilevel"/>
    <w:tmpl w:val="06AA0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1B3C78B8"/>
    <w:multiLevelType w:val="multilevel"/>
    <w:tmpl w:val="2BE2CE84"/>
    <w:lvl w:ilvl="0">
      <w:start w:val="1"/>
      <w:numFmt w:val="lowerLett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7">
    <w:nsid w:val="22D7489E"/>
    <w:multiLevelType w:val="hybridMultilevel"/>
    <w:tmpl w:val="5180EB1E"/>
    <w:lvl w:ilvl="0" w:tplc="BB1EE8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88431D"/>
    <w:multiLevelType w:val="hybridMultilevel"/>
    <w:tmpl w:val="C56EBECC"/>
    <w:lvl w:ilvl="0" w:tplc="F774A3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EE6D6A"/>
    <w:multiLevelType w:val="hybridMultilevel"/>
    <w:tmpl w:val="B5DE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25E33853"/>
    <w:multiLevelType w:val="hybridMultilevel"/>
    <w:tmpl w:val="DBBC6E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278562FA"/>
    <w:multiLevelType w:val="hybridMultilevel"/>
    <w:tmpl w:val="C770C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9F13830"/>
    <w:multiLevelType w:val="multilevel"/>
    <w:tmpl w:val="75CA5CDC"/>
    <w:numStyleLink w:val="NumberedParagraphs"/>
  </w:abstractNum>
  <w:abstractNum w:abstractNumId="24">
    <w:nsid w:val="2CA15EE4"/>
    <w:multiLevelType w:val="hybridMultilevel"/>
    <w:tmpl w:val="42203894"/>
    <w:lvl w:ilvl="0" w:tplc="38AEB3E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7">
    <w:nsid w:val="36F50214"/>
    <w:multiLevelType w:val="hybridMultilevel"/>
    <w:tmpl w:val="BBA2EDD4"/>
    <w:lvl w:ilvl="0" w:tplc="50986A3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82D50B0"/>
    <w:multiLevelType w:val="hybridMultilevel"/>
    <w:tmpl w:val="AE8A9282"/>
    <w:lvl w:ilvl="0" w:tplc="DF0C4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8A00EC7"/>
    <w:multiLevelType w:val="hybridMultilevel"/>
    <w:tmpl w:val="D80C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3C3C9E"/>
    <w:multiLevelType w:val="hybridMultilevel"/>
    <w:tmpl w:val="8670F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C7648E"/>
    <w:multiLevelType w:val="multilevel"/>
    <w:tmpl w:val="7282759A"/>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rFonts w:hint="default"/>
        <w:b/>
      </w:rPr>
    </w:lvl>
    <w:lvl w:ilvl="2">
      <w:start w:val="1"/>
      <w:numFmt w:val="decimal"/>
      <w:pStyle w:val="Heading3"/>
      <w:lvlText w:val="%1.%2.%3."/>
      <w:lvlJc w:val="left"/>
      <w:pPr>
        <w:tabs>
          <w:tab w:val="num" w:pos="1418"/>
        </w:tabs>
        <w:ind w:left="1418" w:hanging="850"/>
      </w:pPr>
      <w:rPr>
        <w:rFonts w:hint="default"/>
        <w:b/>
      </w:rPr>
    </w:lvl>
    <w:lvl w:ilvl="3">
      <w:start w:val="1"/>
      <w:numFmt w:val="decimal"/>
      <w:lvlText w:val="%1.%2.%3.%4."/>
      <w:lvlJc w:val="left"/>
      <w:pPr>
        <w:tabs>
          <w:tab w:val="num" w:pos="4210"/>
        </w:tabs>
        <w:ind w:left="421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13E265C"/>
    <w:multiLevelType w:val="multilevel"/>
    <w:tmpl w:val="00561B24"/>
    <w:lvl w:ilvl="0">
      <w:start w:val="3"/>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1418"/>
        </w:tabs>
        <w:ind w:left="1418" w:hanging="850"/>
      </w:pPr>
      <w:rPr>
        <w:rFonts w:hint="default"/>
        <w:b w:val="0"/>
      </w:rPr>
    </w:lvl>
    <w:lvl w:ilvl="3">
      <w:start w:val="1"/>
      <w:numFmt w:val="decimal"/>
      <w:pStyle w:val="Heading4"/>
      <w:lvlText w:val="%1.%2.%3.%4."/>
      <w:lvlJc w:val="left"/>
      <w:pPr>
        <w:tabs>
          <w:tab w:val="num" w:pos="992"/>
        </w:tabs>
        <w:ind w:left="992"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nsid w:val="43641D80"/>
    <w:multiLevelType w:val="hybridMultilevel"/>
    <w:tmpl w:val="F09C122A"/>
    <w:lvl w:ilvl="0" w:tplc="A35A487E">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nsid w:val="4E973612"/>
    <w:multiLevelType w:val="hybridMultilevel"/>
    <w:tmpl w:val="19147D0A"/>
    <w:lvl w:ilvl="0" w:tplc="8FD201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2BF2E7D"/>
    <w:multiLevelType w:val="hybridMultilevel"/>
    <w:tmpl w:val="78B67D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nsid w:val="558524EF"/>
    <w:multiLevelType w:val="hybridMultilevel"/>
    <w:tmpl w:val="3102823A"/>
    <w:lvl w:ilvl="0" w:tplc="08090001">
      <w:start w:val="1"/>
      <w:numFmt w:val="bullet"/>
      <w:lvlText w:val=""/>
      <w:lvlJc w:val="left"/>
      <w:pPr>
        <w:ind w:left="39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8BD0BA3"/>
    <w:multiLevelType w:val="hybridMultilevel"/>
    <w:tmpl w:val="574EC76A"/>
    <w:lvl w:ilvl="0" w:tplc="F774A3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CB961C5"/>
    <w:multiLevelType w:val="hybridMultilevel"/>
    <w:tmpl w:val="A0485DF6"/>
    <w:lvl w:ilvl="0" w:tplc="75C6ADD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0AE2CD3"/>
    <w:multiLevelType w:val="hybridMultilevel"/>
    <w:tmpl w:val="A1D2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nsid w:val="68D61F89"/>
    <w:multiLevelType w:val="hybridMultilevel"/>
    <w:tmpl w:val="659C8C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6B074A11"/>
    <w:multiLevelType w:val="multilevel"/>
    <w:tmpl w:val="75CA5CDC"/>
    <w:numStyleLink w:val="NumberedParagraphs"/>
  </w:abstractNum>
  <w:abstractNum w:abstractNumId="50">
    <w:nsid w:val="6F684AD8"/>
    <w:multiLevelType w:val="hybridMultilevel"/>
    <w:tmpl w:val="E7286594"/>
    <w:lvl w:ilvl="0" w:tplc="9EAE19E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5417F4D"/>
    <w:multiLevelType w:val="hybridMultilevel"/>
    <w:tmpl w:val="E8FE1652"/>
    <w:lvl w:ilvl="0" w:tplc="646AA9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num>
  <w:num w:numId="2">
    <w:abstractNumId w:val="32"/>
  </w:num>
  <w:num w:numId="3">
    <w:abstractNumId w:val="7"/>
  </w:num>
  <w:num w:numId="4">
    <w:abstractNumId w:val="5"/>
  </w:num>
  <w:num w:numId="5">
    <w:abstractNumId w:val="4"/>
  </w:num>
  <w:num w:numId="6">
    <w:abstractNumId w:val="3"/>
  </w:num>
  <w:num w:numId="7">
    <w:abstractNumId w:val="11"/>
  </w:num>
  <w:num w:numId="8">
    <w:abstractNumId w:val="49"/>
  </w:num>
  <w:num w:numId="9">
    <w:abstractNumId w:val="23"/>
  </w:num>
  <w:num w:numId="10">
    <w:abstractNumId w:val="36"/>
  </w:num>
  <w:num w:numId="11">
    <w:abstractNumId w:val="16"/>
  </w:num>
  <w:num w:numId="12">
    <w:abstractNumId w:val="42"/>
    <w:lvlOverride w:ilvl="0">
      <w:startOverride w:val="1"/>
    </w:lvlOverride>
  </w:num>
  <w:num w:numId="13">
    <w:abstractNumId w:val="6"/>
  </w:num>
  <w:num w:numId="14">
    <w:abstractNumId w:val="2"/>
  </w:num>
  <w:num w:numId="15">
    <w:abstractNumId w:val="1"/>
  </w:num>
  <w:num w:numId="16">
    <w:abstractNumId w:val="0"/>
  </w:num>
  <w:num w:numId="17">
    <w:abstractNumId w:val="44"/>
  </w:num>
  <w:num w:numId="18">
    <w:abstractNumId w:val="33"/>
  </w:num>
  <w:num w:numId="19">
    <w:abstractNumId w:val="47"/>
  </w:num>
  <w:num w:numId="20">
    <w:abstractNumId w:val="26"/>
  </w:num>
  <w:num w:numId="21">
    <w:abstractNumId w:val="34"/>
  </w:num>
  <w:num w:numId="22">
    <w:abstractNumId w:val="18"/>
  </w:num>
  <w:num w:numId="23">
    <w:abstractNumId w:val="43"/>
  </w:num>
  <w:num w:numId="24">
    <w:abstractNumId w:val="25"/>
  </w:num>
  <w:num w:numId="25">
    <w:abstractNumId w:val="39"/>
  </w:num>
  <w:num w:numId="26">
    <w:abstractNumId w:val="52"/>
  </w:num>
  <w:num w:numId="27">
    <w:abstractNumId w:val="38"/>
  </w:num>
  <w:num w:numId="28">
    <w:abstractNumId w:val="17"/>
  </w:num>
  <w:num w:numId="29">
    <w:abstractNumId w:val="27"/>
  </w:num>
  <w:num w:numId="30">
    <w:abstractNumId w:val="50"/>
  </w:num>
  <w:num w:numId="31">
    <w:abstractNumId w:val="37"/>
  </w:num>
  <w:num w:numId="32">
    <w:abstractNumId w:val="24"/>
  </w:num>
  <w:num w:numId="33">
    <w:abstractNumId w:val="14"/>
  </w:num>
  <w:num w:numId="34">
    <w:abstractNumId w:val="9"/>
  </w:num>
  <w:num w:numId="35">
    <w:abstractNumId w:val="51"/>
  </w:num>
  <w:num w:numId="36">
    <w:abstractNumId w:val="10"/>
  </w:num>
  <w:num w:numId="37">
    <w:abstractNumId w:val="4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9"/>
  </w:num>
  <w:num w:numId="41">
    <w:abstractNumId w:val="20"/>
  </w:num>
  <w:num w:numId="42">
    <w:abstractNumId w:val="22"/>
  </w:num>
  <w:num w:numId="43">
    <w:abstractNumId w:val="29"/>
  </w:num>
  <w:num w:numId="44">
    <w:abstractNumId w:val="8"/>
  </w:num>
  <w:num w:numId="45">
    <w:abstractNumId w:val="15"/>
  </w:num>
  <w:num w:numId="46">
    <w:abstractNumId w:val="21"/>
  </w:num>
  <w:num w:numId="47">
    <w:abstractNumId w:val="48"/>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2"/>
  </w:num>
  <w:num w:numId="51">
    <w:abstractNumId w:val="30"/>
  </w:num>
  <w:num w:numId="52">
    <w:abstractNumId w:val="46"/>
  </w:num>
  <w:num w:numId="53">
    <w:abstractNumId w:val="13"/>
  </w:num>
  <w:num w:numId="54">
    <w:abstractNumId w:val="28"/>
  </w:num>
  <w:num w:numId="55">
    <w:abstractNumId w:val="31"/>
  </w:num>
  <w:num w:numId="56">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BD57CEA2D5F848A4AEF52C85534A54A9"/>
    <w:docVar w:name="LW_CROSSREFERENCE" w:val="{COM(2016) 593}_x000a_{COM(2016) 594}_x000a_{SWD(2016) 302}"/>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3"/>
    <w:docVar w:name="LW_REF.INST.NEW" w:val="SWD"/>
    <w:docVar w:name="LW_REF.INST.NEW_ADOPTED" w:val="&lt;EMPTY&gt;"/>
    <w:docVar w:name="LW_REF.INST.NEW_TEXT" w:val="(2016) 301 final"/>
    <w:docVar w:name="LW_REF.INTERNE" w:val="&lt;UNUSED&gt;"/>
    <w:docVar w:name="LW_SUPERTITRE" w:val="&lt;UNUSED&gt;"/>
    <w:docVar w:name="LW_TITRE.OBJ.CP" w:val="on the modernisation of EU copyright rules"/>
    <w:docVar w:name="LW_TYPE.DOC.CP" w:val="COMMISSION STAFF WORKING DOCUMENT_x000b__x000b_IMPACT ASSESSMENT_x000b_"/>
    <w:docVar w:name="LW_TYPEACTEPRINCIPAL.CP" w:val="Proposal for a _x000b__x000b_Directive of the European Parliament and of the Council_x000b_on copyright in the Digital Single Market_x000b__x000b_and_x000b__x000b_Proposal for a _x000b__x000b_Regulation of the European Parliament and of the Council _x000b_laying down rules on the exercise of copyright and related rights applicable to certain online transmissions of broadcasting organisations and retransmissions of television and radio programmes"/>
  </w:docVars>
  <w:rsids>
    <w:rsidRoot w:val="0032552E"/>
    <w:rsid w:val="00000246"/>
    <w:rsid w:val="00002B51"/>
    <w:rsid w:val="000051B3"/>
    <w:rsid w:val="00005BCD"/>
    <w:rsid w:val="00007677"/>
    <w:rsid w:val="00010E24"/>
    <w:rsid w:val="00013CBC"/>
    <w:rsid w:val="00020B17"/>
    <w:rsid w:val="00020C06"/>
    <w:rsid w:val="00020E60"/>
    <w:rsid w:val="00021333"/>
    <w:rsid w:val="00023ED9"/>
    <w:rsid w:val="0002514A"/>
    <w:rsid w:val="000263A7"/>
    <w:rsid w:val="00033F6E"/>
    <w:rsid w:val="00034B2D"/>
    <w:rsid w:val="00036141"/>
    <w:rsid w:val="00041BB2"/>
    <w:rsid w:val="00041DC6"/>
    <w:rsid w:val="00042A6E"/>
    <w:rsid w:val="000451DD"/>
    <w:rsid w:val="00045910"/>
    <w:rsid w:val="000510DD"/>
    <w:rsid w:val="00052678"/>
    <w:rsid w:val="00054FE5"/>
    <w:rsid w:val="0005581B"/>
    <w:rsid w:val="00055D4B"/>
    <w:rsid w:val="000603AA"/>
    <w:rsid w:val="0006186A"/>
    <w:rsid w:val="00064930"/>
    <w:rsid w:val="000667CA"/>
    <w:rsid w:val="00067088"/>
    <w:rsid w:val="00073546"/>
    <w:rsid w:val="000747C0"/>
    <w:rsid w:val="0007648B"/>
    <w:rsid w:val="00076554"/>
    <w:rsid w:val="00080D79"/>
    <w:rsid w:val="0008294D"/>
    <w:rsid w:val="00083CE6"/>
    <w:rsid w:val="000852DD"/>
    <w:rsid w:val="00085FB6"/>
    <w:rsid w:val="00086421"/>
    <w:rsid w:val="00087898"/>
    <w:rsid w:val="000903DF"/>
    <w:rsid w:val="00091B64"/>
    <w:rsid w:val="00092223"/>
    <w:rsid w:val="000930E2"/>
    <w:rsid w:val="000938D1"/>
    <w:rsid w:val="0009405A"/>
    <w:rsid w:val="000956D1"/>
    <w:rsid w:val="00097BC0"/>
    <w:rsid w:val="000A0F51"/>
    <w:rsid w:val="000A1F5D"/>
    <w:rsid w:val="000A4909"/>
    <w:rsid w:val="000B17B2"/>
    <w:rsid w:val="000B17FD"/>
    <w:rsid w:val="000B3BD8"/>
    <w:rsid w:val="000B3F38"/>
    <w:rsid w:val="000B42C0"/>
    <w:rsid w:val="000B43DA"/>
    <w:rsid w:val="000B5751"/>
    <w:rsid w:val="000B6179"/>
    <w:rsid w:val="000C01B7"/>
    <w:rsid w:val="000C16DF"/>
    <w:rsid w:val="000C1F49"/>
    <w:rsid w:val="000C55BF"/>
    <w:rsid w:val="000C61CC"/>
    <w:rsid w:val="000C715B"/>
    <w:rsid w:val="000D1EBC"/>
    <w:rsid w:val="000D410A"/>
    <w:rsid w:val="000D43ED"/>
    <w:rsid w:val="000D5614"/>
    <w:rsid w:val="000D5B93"/>
    <w:rsid w:val="000E201B"/>
    <w:rsid w:val="000E306B"/>
    <w:rsid w:val="000E404F"/>
    <w:rsid w:val="000F05D6"/>
    <w:rsid w:val="000F11C6"/>
    <w:rsid w:val="000F250C"/>
    <w:rsid w:val="000F4AB2"/>
    <w:rsid w:val="000F5D06"/>
    <w:rsid w:val="000F63BB"/>
    <w:rsid w:val="000F7E5C"/>
    <w:rsid w:val="00101065"/>
    <w:rsid w:val="00101C38"/>
    <w:rsid w:val="00101F8F"/>
    <w:rsid w:val="001020DF"/>
    <w:rsid w:val="001051F0"/>
    <w:rsid w:val="00111C5F"/>
    <w:rsid w:val="00116894"/>
    <w:rsid w:val="00122650"/>
    <w:rsid w:val="00123CFF"/>
    <w:rsid w:val="00124BBE"/>
    <w:rsid w:val="00126B2F"/>
    <w:rsid w:val="001308D1"/>
    <w:rsid w:val="00131B94"/>
    <w:rsid w:val="00131BA2"/>
    <w:rsid w:val="00131C6F"/>
    <w:rsid w:val="00132E6E"/>
    <w:rsid w:val="00132EC4"/>
    <w:rsid w:val="001344B8"/>
    <w:rsid w:val="00134CF6"/>
    <w:rsid w:val="00135289"/>
    <w:rsid w:val="00141035"/>
    <w:rsid w:val="001417B8"/>
    <w:rsid w:val="00145112"/>
    <w:rsid w:val="001467F6"/>
    <w:rsid w:val="001468B1"/>
    <w:rsid w:val="00146CAD"/>
    <w:rsid w:val="0015168D"/>
    <w:rsid w:val="0015307E"/>
    <w:rsid w:val="00153CE5"/>
    <w:rsid w:val="00157826"/>
    <w:rsid w:val="0016036A"/>
    <w:rsid w:val="001620B3"/>
    <w:rsid w:val="00162FFB"/>
    <w:rsid w:val="00163A75"/>
    <w:rsid w:val="00164F6C"/>
    <w:rsid w:val="00170699"/>
    <w:rsid w:val="001746F4"/>
    <w:rsid w:val="00176A40"/>
    <w:rsid w:val="001779AE"/>
    <w:rsid w:val="00177CF3"/>
    <w:rsid w:val="001805CC"/>
    <w:rsid w:val="001807A5"/>
    <w:rsid w:val="00181FF9"/>
    <w:rsid w:val="00182F88"/>
    <w:rsid w:val="00183FB7"/>
    <w:rsid w:val="00184859"/>
    <w:rsid w:val="00185C5F"/>
    <w:rsid w:val="00190031"/>
    <w:rsid w:val="0019062E"/>
    <w:rsid w:val="00190CFA"/>
    <w:rsid w:val="00191939"/>
    <w:rsid w:val="00191D56"/>
    <w:rsid w:val="0019259B"/>
    <w:rsid w:val="00193044"/>
    <w:rsid w:val="001939F4"/>
    <w:rsid w:val="00195CC6"/>
    <w:rsid w:val="00195F59"/>
    <w:rsid w:val="00197572"/>
    <w:rsid w:val="001A182F"/>
    <w:rsid w:val="001A2962"/>
    <w:rsid w:val="001A62D6"/>
    <w:rsid w:val="001A75F8"/>
    <w:rsid w:val="001A7C0A"/>
    <w:rsid w:val="001B084A"/>
    <w:rsid w:val="001B1E23"/>
    <w:rsid w:val="001B2404"/>
    <w:rsid w:val="001B278D"/>
    <w:rsid w:val="001B4773"/>
    <w:rsid w:val="001C2ABE"/>
    <w:rsid w:val="001C341A"/>
    <w:rsid w:val="001C5348"/>
    <w:rsid w:val="001D22E0"/>
    <w:rsid w:val="001D2C64"/>
    <w:rsid w:val="001D2EC3"/>
    <w:rsid w:val="001D3471"/>
    <w:rsid w:val="001D46A1"/>
    <w:rsid w:val="001D47DA"/>
    <w:rsid w:val="001D5DE0"/>
    <w:rsid w:val="001D7FC5"/>
    <w:rsid w:val="001E43A4"/>
    <w:rsid w:val="001E637F"/>
    <w:rsid w:val="001F1005"/>
    <w:rsid w:val="001F1862"/>
    <w:rsid w:val="001F340C"/>
    <w:rsid w:val="001F36A0"/>
    <w:rsid w:val="001F7EDA"/>
    <w:rsid w:val="00205BE3"/>
    <w:rsid w:val="00211A3E"/>
    <w:rsid w:val="002130C0"/>
    <w:rsid w:val="00213145"/>
    <w:rsid w:val="00213F06"/>
    <w:rsid w:val="00215EAC"/>
    <w:rsid w:val="0021609A"/>
    <w:rsid w:val="002169CA"/>
    <w:rsid w:val="00216B1B"/>
    <w:rsid w:val="00217B45"/>
    <w:rsid w:val="00221CA2"/>
    <w:rsid w:val="00222294"/>
    <w:rsid w:val="00222A69"/>
    <w:rsid w:val="00223749"/>
    <w:rsid w:val="002271F9"/>
    <w:rsid w:val="0023084F"/>
    <w:rsid w:val="0023390C"/>
    <w:rsid w:val="00233BBD"/>
    <w:rsid w:val="00235105"/>
    <w:rsid w:val="0023521F"/>
    <w:rsid w:val="00236159"/>
    <w:rsid w:val="0023786E"/>
    <w:rsid w:val="00241619"/>
    <w:rsid w:val="00242311"/>
    <w:rsid w:val="00242972"/>
    <w:rsid w:val="002432E8"/>
    <w:rsid w:val="00250508"/>
    <w:rsid w:val="00250B4C"/>
    <w:rsid w:val="00252BA3"/>
    <w:rsid w:val="002536E7"/>
    <w:rsid w:val="00254CC0"/>
    <w:rsid w:val="00256231"/>
    <w:rsid w:val="00261EF4"/>
    <w:rsid w:val="00263F70"/>
    <w:rsid w:val="00264289"/>
    <w:rsid w:val="002671AB"/>
    <w:rsid w:val="00270298"/>
    <w:rsid w:val="00271440"/>
    <w:rsid w:val="00273495"/>
    <w:rsid w:val="00273906"/>
    <w:rsid w:val="00273FAD"/>
    <w:rsid w:val="002750A8"/>
    <w:rsid w:val="002770C4"/>
    <w:rsid w:val="00280EEF"/>
    <w:rsid w:val="002821B6"/>
    <w:rsid w:val="00282612"/>
    <w:rsid w:val="00283419"/>
    <w:rsid w:val="002859DE"/>
    <w:rsid w:val="00290EDF"/>
    <w:rsid w:val="0029392A"/>
    <w:rsid w:val="00297D1C"/>
    <w:rsid w:val="002A0F42"/>
    <w:rsid w:val="002A30F1"/>
    <w:rsid w:val="002A38BD"/>
    <w:rsid w:val="002A5D4F"/>
    <w:rsid w:val="002A7940"/>
    <w:rsid w:val="002B1892"/>
    <w:rsid w:val="002B23D5"/>
    <w:rsid w:val="002B2DEE"/>
    <w:rsid w:val="002B3A9F"/>
    <w:rsid w:val="002B3EA5"/>
    <w:rsid w:val="002B42BA"/>
    <w:rsid w:val="002B4731"/>
    <w:rsid w:val="002B4D89"/>
    <w:rsid w:val="002B5528"/>
    <w:rsid w:val="002B691B"/>
    <w:rsid w:val="002B725E"/>
    <w:rsid w:val="002C130A"/>
    <w:rsid w:val="002C38D0"/>
    <w:rsid w:val="002C5DE7"/>
    <w:rsid w:val="002C693F"/>
    <w:rsid w:val="002C6C36"/>
    <w:rsid w:val="002C6E3F"/>
    <w:rsid w:val="002D1307"/>
    <w:rsid w:val="002D1C48"/>
    <w:rsid w:val="002D27D2"/>
    <w:rsid w:val="002D302F"/>
    <w:rsid w:val="002D45CE"/>
    <w:rsid w:val="002E226D"/>
    <w:rsid w:val="002E2670"/>
    <w:rsid w:val="002E45F1"/>
    <w:rsid w:val="002E4D80"/>
    <w:rsid w:val="002E6C72"/>
    <w:rsid w:val="002F102F"/>
    <w:rsid w:val="002F2341"/>
    <w:rsid w:val="002F2D1C"/>
    <w:rsid w:val="002F46F7"/>
    <w:rsid w:val="002F58C9"/>
    <w:rsid w:val="002F6953"/>
    <w:rsid w:val="002F71FB"/>
    <w:rsid w:val="003039AB"/>
    <w:rsid w:val="003042D4"/>
    <w:rsid w:val="00304D5D"/>
    <w:rsid w:val="0030597D"/>
    <w:rsid w:val="00305C10"/>
    <w:rsid w:val="00305D89"/>
    <w:rsid w:val="00312B4F"/>
    <w:rsid w:val="00313020"/>
    <w:rsid w:val="0031698F"/>
    <w:rsid w:val="00321180"/>
    <w:rsid w:val="00322EF5"/>
    <w:rsid w:val="00323082"/>
    <w:rsid w:val="0032447C"/>
    <w:rsid w:val="003244E1"/>
    <w:rsid w:val="00324BF7"/>
    <w:rsid w:val="0032552E"/>
    <w:rsid w:val="00327B08"/>
    <w:rsid w:val="00333CCC"/>
    <w:rsid w:val="00333E57"/>
    <w:rsid w:val="003340AA"/>
    <w:rsid w:val="00340FF6"/>
    <w:rsid w:val="00341D63"/>
    <w:rsid w:val="00342365"/>
    <w:rsid w:val="0034500E"/>
    <w:rsid w:val="00345BDC"/>
    <w:rsid w:val="00347D39"/>
    <w:rsid w:val="0035328D"/>
    <w:rsid w:val="00354978"/>
    <w:rsid w:val="0035498F"/>
    <w:rsid w:val="0035525D"/>
    <w:rsid w:val="0035787D"/>
    <w:rsid w:val="00357AB8"/>
    <w:rsid w:val="00360741"/>
    <w:rsid w:val="00366B0D"/>
    <w:rsid w:val="00367A3A"/>
    <w:rsid w:val="00370EA6"/>
    <w:rsid w:val="003718DC"/>
    <w:rsid w:val="00374331"/>
    <w:rsid w:val="0037547D"/>
    <w:rsid w:val="003803C0"/>
    <w:rsid w:val="00380CF9"/>
    <w:rsid w:val="0038249A"/>
    <w:rsid w:val="0038400D"/>
    <w:rsid w:val="003866C1"/>
    <w:rsid w:val="0039257D"/>
    <w:rsid w:val="00393173"/>
    <w:rsid w:val="0039467D"/>
    <w:rsid w:val="00394BDA"/>
    <w:rsid w:val="003960FE"/>
    <w:rsid w:val="00396A46"/>
    <w:rsid w:val="003A0967"/>
    <w:rsid w:val="003A18B7"/>
    <w:rsid w:val="003A4150"/>
    <w:rsid w:val="003A53C0"/>
    <w:rsid w:val="003A6181"/>
    <w:rsid w:val="003B04A4"/>
    <w:rsid w:val="003B07E4"/>
    <w:rsid w:val="003B210F"/>
    <w:rsid w:val="003B3C0B"/>
    <w:rsid w:val="003B3DD3"/>
    <w:rsid w:val="003B5231"/>
    <w:rsid w:val="003B7A36"/>
    <w:rsid w:val="003C00E4"/>
    <w:rsid w:val="003C2677"/>
    <w:rsid w:val="003C3CEC"/>
    <w:rsid w:val="003C4E8A"/>
    <w:rsid w:val="003C5A90"/>
    <w:rsid w:val="003C5D61"/>
    <w:rsid w:val="003C6AEC"/>
    <w:rsid w:val="003C7857"/>
    <w:rsid w:val="003D174B"/>
    <w:rsid w:val="003D1FA8"/>
    <w:rsid w:val="003D3964"/>
    <w:rsid w:val="003D4053"/>
    <w:rsid w:val="003D564B"/>
    <w:rsid w:val="003D58F8"/>
    <w:rsid w:val="003E0D05"/>
    <w:rsid w:val="003E10DB"/>
    <w:rsid w:val="003E1E7B"/>
    <w:rsid w:val="003E327F"/>
    <w:rsid w:val="003E3297"/>
    <w:rsid w:val="003E4341"/>
    <w:rsid w:val="003E5613"/>
    <w:rsid w:val="003E6DC2"/>
    <w:rsid w:val="003E7CB5"/>
    <w:rsid w:val="003E7F3F"/>
    <w:rsid w:val="003F27FC"/>
    <w:rsid w:val="003F3796"/>
    <w:rsid w:val="003F656B"/>
    <w:rsid w:val="00402DAF"/>
    <w:rsid w:val="00404843"/>
    <w:rsid w:val="0040492A"/>
    <w:rsid w:val="004104C7"/>
    <w:rsid w:val="0041106B"/>
    <w:rsid w:val="00413451"/>
    <w:rsid w:val="004135C6"/>
    <w:rsid w:val="00416A4E"/>
    <w:rsid w:val="00420DDB"/>
    <w:rsid w:val="00422656"/>
    <w:rsid w:val="00424358"/>
    <w:rsid w:val="0042741B"/>
    <w:rsid w:val="00427E47"/>
    <w:rsid w:val="00433028"/>
    <w:rsid w:val="004364DA"/>
    <w:rsid w:val="00436AA6"/>
    <w:rsid w:val="00440553"/>
    <w:rsid w:val="00441DAA"/>
    <w:rsid w:val="004453E1"/>
    <w:rsid w:val="00445C4F"/>
    <w:rsid w:val="00460C56"/>
    <w:rsid w:val="00460C57"/>
    <w:rsid w:val="004611FF"/>
    <w:rsid w:val="00462810"/>
    <w:rsid w:val="00464244"/>
    <w:rsid w:val="00465363"/>
    <w:rsid w:val="00471777"/>
    <w:rsid w:val="00474767"/>
    <w:rsid w:val="004766C5"/>
    <w:rsid w:val="00481C8A"/>
    <w:rsid w:val="0048209F"/>
    <w:rsid w:val="00482354"/>
    <w:rsid w:val="004834A2"/>
    <w:rsid w:val="004844B6"/>
    <w:rsid w:val="004845AA"/>
    <w:rsid w:val="00490192"/>
    <w:rsid w:val="00491365"/>
    <w:rsid w:val="00493C61"/>
    <w:rsid w:val="004A03F2"/>
    <w:rsid w:val="004A069C"/>
    <w:rsid w:val="004A181F"/>
    <w:rsid w:val="004A1C2A"/>
    <w:rsid w:val="004B41BC"/>
    <w:rsid w:val="004B531B"/>
    <w:rsid w:val="004B59A1"/>
    <w:rsid w:val="004B69C4"/>
    <w:rsid w:val="004B754D"/>
    <w:rsid w:val="004B7576"/>
    <w:rsid w:val="004C0C3F"/>
    <w:rsid w:val="004C1952"/>
    <w:rsid w:val="004C29CA"/>
    <w:rsid w:val="004C31F7"/>
    <w:rsid w:val="004D059D"/>
    <w:rsid w:val="004D5FB2"/>
    <w:rsid w:val="004E001B"/>
    <w:rsid w:val="004E092C"/>
    <w:rsid w:val="004E0E24"/>
    <w:rsid w:val="004E2218"/>
    <w:rsid w:val="004E4917"/>
    <w:rsid w:val="004E5307"/>
    <w:rsid w:val="004F2228"/>
    <w:rsid w:val="004F371F"/>
    <w:rsid w:val="004F3E45"/>
    <w:rsid w:val="004F52FD"/>
    <w:rsid w:val="004F6764"/>
    <w:rsid w:val="00500521"/>
    <w:rsid w:val="00501389"/>
    <w:rsid w:val="00506F6D"/>
    <w:rsid w:val="00507948"/>
    <w:rsid w:val="00507AC2"/>
    <w:rsid w:val="00510415"/>
    <w:rsid w:val="00511494"/>
    <w:rsid w:val="00513D48"/>
    <w:rsid w:val="00514A47"/>
    <w:rsid w:val="005151D5"/>
    <w:rsid w:val="0052199D"/>
    <w:rsid w:val="00526766"/>
    <w:rsid w:val="0052681C"/>
    <w:rsid w:val="00531146"/>
    <w:rsid w:val="0053316C"/>
    <w:rsid w:val="0053322E"/>
    <w:rsid w:val="0053486C"/>
    <w:rsid w:val="00534E5B"/>
    <w:rsid w:val="00541F84"/>
    <w:rsid w:val="00547A84"/>
    <w:rsid w:val="0055191B"/>
    <w:rsid w:val="0055238F"/>
    <w:rsid w:val="005530E8"/>
    <w:rsid w:val="005537FE"/>
    <w:rsid w:val="0055729D"/>
    <w:rsid w:val="00557B1A"/>
    <w:rsid w:val="00564856"/>
    <w:rsid w:val="00564CB8"/>
    <w:rsid w:val="0057046A"/>
    <w:rsid w:val="0057091F"/>
    <w:rsid w:val="0057120A"/>
    <w:rsid w:val="0057664F"/>
    <w:rsid w:val="00577F6D"/>
    <w:rsid w:val="00581F9F"/>
    <w:rsid w:val="00582305"/>
    <w:rsid w:val="00591C7E"/>
    <w:rsid w:val="00593AA1"/>
    <w:rsid w:val="005979D5"/>
    <w:rsid w:val="00597CD3"/>
    <w:rsid w:val="005A140D"/>
    <w:rsid w:val="005A282D"/>
    <w:rsid w:val="005A4A16"/>
    <w:rsid w:val="005A6640"/>
    <w:rsid w:val="005A6931"/>
    <w:rsid w:val="005A6C1C"/>
    <w:rsid w:val="005B121A"/>
    <w:rsid w:val="005B3A4B"/>
    <w:rsid w:val="005C004E"/>
    <w:rsid w:val="005C041E"/>
    <w:rsid w:val="005C051E"/>
    <w:rsid w:val="005C05E7"/>
    <w:rsid w:val="005C5A64"/>
    <w:rsid w:val="005C697D"/>
    <w:rsid w:val="005D02CD"/>
    <w:rsid w:val="005D46C1"/>
    <w:rsid w:val="005D47B2"/>
    <w:rsid w:val="005D5D35"/>
    <w:rsid w:val="005D7A30"/>
    <w:rsid w:val="005E03D8"/>
    <w:rsid w:val="005E06F2"/>
    <w:rsid w:val="005E10B7"/>
    <w:rsid w:val="005F120C"/>
    <w:rsid w:val="005F5018"/>
    <w:rsid w:val="00602659"/>
    <w:rsid w:val="00603DAA"/>
    <w:rsid w:val="00603DEB"/>
    <w:rsid w:val="0060401B"/>
    <w:rsid w:val="00604408"/>
    <w:rsid w:val="0060729B"/>
    <w:rsid w:val="0061090F"/>
    <w:rsid w:val="006110F1"/>
    <w:rsid w:val="0061118E"/>
    <w:rsid w:val="0061353F"/>
    <w:rsid w:val="00617E6F"/>
    <w:rsid w:val="00624EAF"/>
    <w:rsid w:val="00627831"/>
    <w:rsid w:val="006448D3"/>
    <w:rsid w:val="00644AC9"/>
    <w:rsid w:val="00645F5C"/>
    <w:rsid w:val="00646ADF"/>
    <w:rsid w:val="0065341D"/>
    <w:rsid w:val="00657C48"/>
    <w:rsid w:val="0066043F"/>
    <w:rsid w:val="00661830"/>
    <w:rsid w:val="006618A0"/>
    <w:rsid w:val="00662B9B"/>
    <w:rsid w:val="00663AAD"/>
    <w:rsid w:val="00667192"/>
    <w:rsid w:val="0066773D"/>
    <w:rsid w:val="00667B95"/>
    <w:rsid w:val="00670F9C"/>
    <w:rsid w:val="00674EA8"/>
    <w:rsid w:val="0067541F"/>
    <w:rsid w:val="00676C75"/>
    <w:rsid w:val="006820FB"/>
    <w:rsid w:val="00683723"/>
    <w:rsid w:val="00683D3B"/>
    <w:rsid w:val="00683F23"/>
    <w:rsid w:val="006842EE"/>
    <w:rsid w:val="00684E62"/>
    <w:rsid w:val="0068707F"/>
    <w:rsid w:val="00687496"/>
    <w:rsid w:val="00691DE8"/>
    <w:rsid w:val="00693D35"/>
    <w:rsid w:val="0069442B"/>
    <w:rsid w:val="006955B8"/>
    <w:rsid w:val="00695C5E"/>
    <w:rsid w:val="006A0AEC"/>
    <w:rsid w:val="006A1031"/>
    <w:rsid w:val="006A3E95"/>
    <w:rsid w:val="006A3FF7"/>
    <w:rsid w:val="006A4982"/>
    <w:rsid w:val="006A694A"/>
    <w:rsid w:val="006A79F9"/>
    <w:rsid w:val="006A7BC8"/>
    <w:rsid w:val="006B0365"/>
    <w:rsid w:val="006B14A0"/>
    <w:rsid w:val="006B18D2"/>
    <w:rsid w:val="006B63D9"/>
    <w:rsid w:val="006B6C00"/>
    <w:rsid w:val="006B72EA"/>
    <w:rsid w:val="006C324B"/>
    <w:rsid w:val="006C4C1F"/>
    <w:rsid w:val="006C71DB"/>
    <w:rsid w:val="006C75B2"/>
    <w:rsid w:val="006C764B"/>
    <w:rsid w:val="006D21E9"/>
    <w:rsid w:val="006D4292"/>
    <w:rsid w:val="006D6407"/>
    <w:rsid w:val="006E0E32"/>
    <w:rsid w:val="006E1230"/>
    <w:rsid w:val="006E15D0"/>
    <w:rsid w:val="006E169B"/>
    <w:rsid w:val="006E748E"/>
    <w:rsid w:val="006F1A06"/>
    <w:rsid w:val="006F4EE2"/>
    <w:rsid w:val="006F79C1"/>
    <w:rsid w:val="00700DA9"/>
    <w:rsid w:val="00702A11"/>
    <w:rsid w:val="007038D9"/>
    <w:rsid w:val="00705E14"/>
    <w:rsid w:val="00707A2F"/>
    <w:rsid w:val="00711E26"/>
    <w:rsid w:val="00713F01"/>
    <w:rsid w:val="00713F3F"/>
    <w:rsid w:val="0071635C"/>
    <w:rsid w:val="007167B5"/>
    <w:rsid w:val="00724C5D"/>
    <w:rsid w:val="00725EA1"/>
    <w:rsid w:val="00726723"/>
    <w:rsid w:val="00730048"/>
    <w:rsid w:val="0073072A"/>
    <w:rsid w:val="0073174C"/>
    <w:rsid w:val="007340D3"/>
    <w:rsid w:val="0073439A"/>
    <w:rsid w:val="00734C0E"/>
    <w:rsid w:val="00734EB6"/>
    <w:rsid w:val="00741673"/>
    <w:rsid w:val="007444B3"/>
    <w:rsid w:val="00746904"/>
    <w:rsid w:val="00750BFB"/>
    <w:rsid w:val="007516B6"/>
    <w:rsid w:val="007548E6"/>
    <w:rsid w:val="00757915"/>
    <w:rsid w:val="00760714"/>
    <w:rsid w:val="00767FEF"/>
    <w:rsid w:val="00773076"/>
    <w:rsid w:val="00774729"/>
    <w:rsid w:val="007761EF"/>
    <w:rsid w:val="00781410"/>
    <w:rsid w:val="00781A95"/>
    <w:rsid w:val="0078317E"/>
    <w:rsid w:val="00784322"/>
    <w:rsid w:val="00790057"/>
    <w:rsid w:val="0079038B"/>
    <w:rsid w:val="00790DDC"/>
    <w:rsid w:val="007911FC"/>
    <w:rsid w:val="00794444"/>
    <w:rsid w:val="00794836"/>
    <w:rsid w:val="00794B63"/>
    <w:rsid w:val="00797D3F"/>
    <w:rsid w:val="007A3F3B"/>
    <w:rsid w:val="007A4294"/>
    <w:rsid w:val="007A48B1"/>
    <w:rsid w:val="007A594F"/>
    <w:rsid w:val="007B272D"/>
    <w:rsid w:val="007B60D7"/>
    <w:rsid w:val="007B61B9"/>
    <w:rsid w:val="007C008A"/>
    <w:rsid w:val="007C1C5A"/>
    <w:rsid w:val="007C2D97"/>
    <w:rsid w:val="007C5117"/>
    <w:rsid w:val="007C7354"/>
    <w:rsid w:val="007D0899"/>
    <w:rsid w:val="007D23B7"/>
    <w:rsid w:val="007D428E"/>
    <w:rsid w:val="007D4E66"/>
    <w:rsid w:val="007D51E8"/>
    <w:rsid w:val="007D6CF3"/>
    <w:rsid w:val="007E0762"/>
    <w:rsid w:val="007E0E6C"/>
    <w:rsid w:val="007E0E82"/>
    <w:rsid w:val="007E1278"/>
    <w:rsid w:val="007E43CD"/>
    <w:rsid w:val="007E45F4"/>
    <w:rsid w:val="007E49BD"/>
    <w:rsid w:val="007F098E"/>
    <w:rsid w:val="007F1410"/>
    <w:rsid w:val="007F25BF"/>
    <w:rsid w:val="007F3587"/>
    <w:rsid w:val="007F508D"/>
    <w:rsid w:val="007F51DE"/>
    <w:rsid w:val="007F597E"/>
    <w:rsid w:val="007F69DB"/>
    <w:rsid w:val="007F70F7"/>
    <w:rsid w:val="007F7F94"/>
    <w:rsid w:val="008012CB"/>
    <w:rsid w:val="008044DF"/>
    <w:rsid w:val="0080624B"/>
    <w:rsid w:val="008066A7"/>
    <w:rsid w:val="00807CA5"/>
    <w:rsid w:val="00810A72"/>
    <w:rsid w:val="0081231B"/>
    <w:rsid w:val="00812AF9"/>
    <w:rsid w:val="00813411"/>
    <w:rsid w:val="00815029"/>
    <w:rsid w:val="00816313"/>
    <w:rsid w:val="00821B41"/>
    <w:rsid w:val="00826531"/>
    <w:rsid w:val="00831409"/>
    <w:rsid w:val="008323C7"/>
    <w:rsid w:val="00832E60"/>
    <w:rsid w:val="00833452"/>
    <w:rsid w:val="008334EC"/>
    <w:rsid w:val="008335E9"/>
    <w:rsid w:val="008350EF"/>
    <w:rsid w:val="00835D97"/>
    <w:rsid w:val="0083659F"/>
    <w:rsid w:val="00842706"/>
    <w:rsid w:val="00842FA1"/>
    <w:rsid w:val="0084395F"/>
    <w:rsid w:val="00843EEB"/>
    <w:rsid w:val="00844A6D"/>
    <w:rsid w:val="00851BF7"/>
    <w:rsid w:val="0085204B"/>
    <w:rsid w:val="0085326B"/>
    <w:rsid w:val="00853A85"/>
    <w:rsid w:val="00856B48"/>
    <w:rsid w:val="0085707C"/>
    <w:rsid w:val="00857F56"/>
    <w:rsid w:val="00860809"/>
    <w:rsid w:val="00860D1D"/>
    <w:rsid w:val="008618BC"/>
    <w:rsid w:val="00867272"/>
    <w:rsid w:val="00870476"/>
    <w:rsid w:val="008719B8"/>
    <w:rsid w:val="00874FF5"/>
    <w:rsid w:val="008801C7"/>
    <w:rsid w:val="00882BDB"/>
    <w:rsid w:val="00883D5D"/>
    <w:rsid w:val="0088674D"/>
    <w:rsid w:val="00890652"/>
    <w:rsid w:val="00890CAD"/>
    <w:rsid w:val="0089193D"/>
    <w:rsid w:val="008923CB"/>
    <w:rsid w:val="00893610"/>
    <w:rsid w:val="00894434"/>
    <w:rsid w:val="008A00C3"/>
    <w:rsid w:val="008A0F9E"/>
    <w:rsid w:val="008A3004"/>
    <w:rsid w:val="008A47B8"/>
    <w:rsid w:val="008A587E"/>
    <w:rsid w:val="008A7AAC"/>
    <w:rsid w:val="008B2380"/>
    <w:rsid w:val="008B323F"/>
    <w:rsid w:val="008B5793"/>
    <w:rsid w:val="008B710A"/>
    <w:rsid w:val="008B75A8"/>
    <w:rsid w:val="008C0F9E"/>
    <w:rsid w:val="008C1214"/>
    <w:rsid w:val="008C4000"/>
    <w:rsid w:val="008D1FDD"/>
    <w:rsid w:val="008D37C1"/>
    <w:rsid w:val="008D56E1"/>
    <w:rsid w:val="008D7261"/>
    <w:rsid w:val="008D72DC"/>
    <w:rsid w:val="008D7F7F"/>
    <w:rsid w:val="008E0403"/>
    <w:rsid w:val="008E3455"/>
    <w:rsid w:val="008E57B6"/>
    <w:rsid w:val="008F4224"/>
    <w:rsid w:val="008F42F0"/>
    <w:rsid w:val="0090038A"/>
    <w:rsid w:val="00900B79"/>
    <w:rsid w:val="009012D8"/>
    <w:rsid w:val="009043A2"/>
    <w:rsid w:val="009053C5"/>
    <w:rsid w:val="0090666C"/>
    <w:rsid w:val="009106B7"/>
    <w:rsid w:val="00911B7B"/>
    <w:rsid w:val="00911D82"/>
    <w:rsid w:val="00912AE3"/>
    <w:rsid w:val="00912B26"/>
    <w:rsid w:val="00921222"/>
    <w:rsid w:val="009229ED"/>
    <w:rsid w:val="009260DB"/>
    <w:rsid w:val="00926B05"/>
    <w:rsid w:val="009319FC"/>
    <w:rsid w:val="00933695"/>
    <w:rsid w:val="009342CC"/>
    <w:rsid w:val="00935D54"/>
    <w:rsid w:val="009363DD"/>
    <w:rsid w:val="009371F0"/>
    <w:rsid w:val="00941632"/>
    <w:rsid w:val="00941712"/>
    <w:rsid w:val="009418C1"/>
    <w:rsid w:val="00943B5E"/>
    <w:rsid w:val="00945DEC"/>
    <w:rsid w:val="009476D1"/>
    <w:rsid w:val="00952098"/>
    <w:rsid w:val="00952EB0"/>
    <w:rsid w:val="00954B70"/>
    <w:rsid w:val="009565F9"/>
    <w:rsid w:val="00957E25"/>
    <w:rsid w:val="00961DB7"/>
    <w:rsid w:val="009628FA"/>
    <w:rsid w:val="00964689"/>
    <w:rsid w:val="00965694"/>
    <w:rsid w:val="009674EA"/>
    <w:rsid w:val="00975401"/>
    <w:rsid w:val="00976269"/>
    <w:rsid w:val="00976562"/>
    <w:rsid w:val="00976801"/>
    <w:rsid w:val="009808F6"/>
    <w:rsid w:val="00980C31"/>
    <w:rsid w:val="00983937"/>
    <w:rsid w:val="00986A17"/>
    <w:rsid w:val="00987544"/>
    <w:rsid w:val="009878AD"/>
    <w:rsid w:val="00990FFE"/>
    <w:rsid w:val="0099184B"/>
    <w:rsid w:val="00992214"/>
    <w:rsid w:val="00992769"/>
    <w:rsid w:val="00992DDA"/>
    <w:rsid w:val="00995280"/>
    <w:rsid w:val="00995446"/>
    <w:rsid w:val="0099576D"/>
    <w:rsid w:val="00996BBA"/>
    <w:rsid w:val="009A2CB5"/>
    <w:rsid w:val="009A2EA2"/>
    <w:rsid w:val="009A469F"/>
    <w:rsid w:val="009B08EE"/>
    <w:rsid w:val="009B1F68"/>
    <w:rsid w:val="009B6A89"/>
    <w:rsid w:val="009C199B"/>
    <w:rsid w:val="009C36E2"/>
    <w:rsid w:val="009C3F95"/>
    <w:rsid w:val="009C47B5"/>
    <w:rsid w:val="009C4FD6"/>
    <w:rsid w:val="009D59CB"/>
    <w:rsid w:val="009E11A5"/>
    <w:rsid w:val="009E2530"/>
    <w:rsid w:val="009E2D3A"/>
    <w:rsid w:val="009E4614"/>
    <w:rsid w:val="009E5B84"/>
    <w:rsid w:val="009E6CB5"/>
    <w:rsid w:val="009E6EB3"/>
    <w:rsid w:val="009F28D2"/>
    <w:rsid w:val="009F2A7C"/>
    <w:rsid w:val="009F3493"/>
    <w:rsid w:val="00A00C33"/>
    <w:rsid w:val="00A00E1C"/>
    <w:rsid w:val="00A03CEE"/>
    <w:rsid w:val="00A0430F"/>
    <w:rsid w:val="00A05C51"/>
    <w:rsid w:val="00A05FE0"/>
    <w:rsid w:val="00A069FB"/>
    <w:rsid w:val="00A1020C"/>
    <w:rsid w:val="00A1078D"/>
    <w:rsid w:val="00A11C1E"/>
    <w:rsid w:val="00A1461B"/>
    <w:rsid w:val="00A14699"/>
    <w:rsid w:val="00A14FE5"/>
    <w:rsid w:val="00A151A8"/>
    <w:rsid w:val="00A1781F"/>
    <w:rsid w:val="00A2298A"/>
    <w:rsid w:val="00A22BA8"/>
    <w:rsid w:val="00A24284"/>
    <w:rsid w:val="00A24665"/>
    <w:rsid w:val="00A272B0"/>
    <w:rsid w:val="00A33FCD"/>
    <w:rsid w:val="00A37062"/>
    <w:rsid w:val="00A3758B"/>
    <w:rsid w:val="00A44C38"/>
    <w:rsid w:val="00A461A1"/>
    <w:rsid w:val="00A46561"/>
    <w:rsid w:val="00A474C5"/>
    <w:rsid w:val="00A50957"/>
    <w:rsid w:val="00A50C6E"/>
    <w:rsid w:val="00A55035"/>
    <w:rsid w:val="00A55180"/>
    <w:rsid w:val="00A5595A"/>
    <w:rsid w:val="00A57992"/>
    <w:rsid w:val="00A57CC8"/>
    <w:rsid w:val="00A60129"/>
    <w:rsid w:val="00A60F1D"/>
    <w:rsid w:val="00A6124F"/>
    <w:rsid w:val="00A63618"/>
    <w:rsid w:val="00A65239"/>
    <w:rsid w:val="00A70D0E"/>
    <w:rsid w:val="00A72D0F"/>
    <w:rsid w:val="00A77F7A"/>
    <w:rsid w:val="00A801FE"/>
    <w:rsid w:val="00A812F3"/>
    <w:rsid w:val="00A840F7"/>
    <w:rsid w:val="00A84433"/>
    <w:rsid w:val="00A8679A"/>
    <w:rsid w:val="00A95D51"/>
    <w:rsid w:val="00A969F4"/>
    <w:rsid w:val="00AA102F"/>
    <w:rsid w:val="00AA1A43"/>
    <w:rsid w:val="00AA2AE7"/>
    <w:rsid w:val="00AA3261"/>
    <w:rsid w:val="00AA35B6"/>
    <w:rsid w:val="00AA364E"/>
    <w:rsid w:val="00AA450C"/>
    <w:rsid w:val="00AB0677"/>
    <w:rsid w:val="00AB08C3"/>
    <w:rsid w:val="00AB264A"/>
    <w:rsid w:val="00AB4AE7"/>
    <w:rsid w:val="00AC0F96"/>
    <w:rsid w:val="00AD3B44"/>
    <w:rsid w:val="00AD4517"/>
    <w:rsid w:val="00AD57F7"/>
    <w:rsid w:val="00AD70F3"/>
    <w:rsid w:val="00AE0978"/>
    <w:rsid w:val="00AE09A2"/>
    <w:rsid w:val="00AE2AFE"/>
    <w:rsid w:val="00AE36FA"/>
    <w:rsid w:val="00AE6803"/>
    <w:rsid w:val="00AE6E83"/>
    <w:rsid w:val="00AE7E5F"/>
    <w:rsid w:val="00AF7FC8"/>
    <w:rsid w:val="00B05EDE"/>
    <w:rsid w:val="00B0635B"/>
    <w:rsid w:val="00B1079E"/>
    <w:rsid w:val="00B1145D"/>
    <w:rsid w:val="00B1451F"/>
    <w:rsid w:val="00B1789A"/>
    <w:rsid w:val="00B17CA8"/>
    <w:rsid w:val="00B20E11"/>
    <w:rsid w:val="00B240EF"/>
    <w:rsid w:val="00B252E2"/>
    <w:rsid w:val="00B30762"/>
    <w:rsid w:val="00B307FD"/>
    <w:rsid w:val="00B36030"/>
    <w:rsid w:val="00B36EAA"/>
    <w:rsid w:val="00B40B43"/>
    <w:rsid w:val="00B41BE6"/>
    <w:rsid w:val="00B45C32"/>
    <w:rsid w:val="00B475B6"/>
    <w:rsid w:val="00B52648"/>
    <w:rsid w:val="00B5326B"/>
    <w:rsid w:val="00B57879"/>
    <w:rsid w:val="00B61A10"/>
    <w:rsid w:val="00B61FBC"/>
    <w:rsid w:val="00B634AF"/>
    <w:rsid w:val="00B71A92"/>
    <w:rsid w:val="00B72D86"/>
    <w:rsid w:val="00B758CC"/>
    <w:rsid w:val="00B80393"/>
    <w:rsid w:val="00B812A2"/>
    <w:rsid w:val="00B81A63"/>
    <w:rsid w:val="00B81FC5"/>
    <w:rsid w:val="00B8201B"/>
    <w:rsid w:val="00B82096"/>
    <w:rsid w:val="00B8580E"/>
    <w:rsid w:val="00B94BCE"/>
    <w:rsid w:val="00BA1B74"/>
    <w:rsid w:val="00BA418A"/>
    <w:rsid w:val="00BA5C68"/>
    <w:rsid w:val="00BB11C8"/>
    <w:rsid w:val="00BB18FC"/>
    <w:rsid w:val="00BB4AC8"/>
    <w:rsid w:val="00BB5932"/>
    <w:rsid w:val="00BB773D"/>
    <w:rsid w:val="00BC0E32"/>
    <w:rsid w:val="00BC4080"/>
    <w:rsid w:val="00BC5182"/>
    <w:rsid w:val="00BC53CF"/>
    <w:rsid w:val="00BC5C0A"/>
    <w:rsid w:val="00BC5C11"/>
    <w:rsid w:val="00BC61DE"/>
    <w:rsid w:val="00BD0D38"/>
    <w:rsid w:val="00BD1E79"/>
    <w:rsid w:val="00BD2CE0"/>
    <w:rsid w:val="00BE13A4"/>
    <w:rsid w:val="00BE3D2A"/>
    <w:rsid w:val="00BE3E9B"/>
    <w:rsid w:val="00BE5314"/>
    <w:rsid w:val="00BE6F2A"/>
    <w:rsid w:val="00BE7170"/>
    <w:rsid w:val="00BF0562"/>
    <w:rsid w:val="00BF1EDC"/>
    <w:rsid w:val="00BF2152"/>
    <w:rsid w:val="00BF58A6"/>
    <w:rsid w:val="00BF6CDC"/>
    <w:rsid w:val="00BF756D"/>
    <w:rsid w:val="00BF7C95"/>
    <w:rsid w:val="00C00918"/>
    <w:rsid w:val="00C00FE4"/>
    <w:rsid w:val="00C03C08"/>
    <w:rsid w:val="00C03C25"/>
    <w:rsid w:val="00C047FA"/>
    <w:rsid w:val="00C05A74"/>
    <w:rsid w:val="00C109D7"/>
    <w:rsid w:val="00C114EF"/>
    <w:rsid w:val="00C116DA"/>
    <w:rsid w:val="00C15605"/>
    <w:rsid w:val="00C201C9"/>
    <w:rsid w:val="00C20A59"/>
    <w:rsid w:val="00C229EC"/>
    <w:rsid w:val="00C22CCB"/>
    <w:rsid w:val="00C2659D"/>
    <w:rsid w:val="00C26A68"/>
    <w:rsid w:val="00C27157"/>
    <w:rsid w:val="00C300ED"/>
    <w:rsid w:val="00C31845"/>
    <w:rsid w:val="00C32C45"/>
    <w:rsid w:val="00C362FF"/>
    <w:rsid w:val="00C37912"/>
    <w:rsid w:val="00C43783"/>
    <w:rsid w:val="00C448A8"/>
    <w:rsid w:val="00C45B70"/>
    <w:rsid w:val="00C50419"/>
    <w:rsid w:val="00C50596"/>
    <w:rsid w:val="00C51C6C"/>
    <w:rsid w:val="00C51C80"/>
    <w:rsid w:val="00C52F62"/>
    <w:rsid w:val="00C55561"/>
    <w:rsid w:val="00C55649"/>
    <w:rsid w:val="00C60080"/>
    <w:rsid w:val="00C61019"/>
    <w:rsid w:val="00C63638"/>
    <w:rsid w:val="00C64666"/>
    <w:rsid w:val="00C66501"/>
    <w:rsid w:val="00C66E5F"/>
    <w:rsid w:val="00C7002C"/>
    <w:rsid w:val="00C7016C"/>
    <w:rsid w:val="00C7277F"/>
    <w:rsid w:val="00C74775"/>
    <w:rsid w:val="00C74EBA"/>
    <w:rsid w:val="00C801D5"/>
    <w:rsid w:val="00C81ED8"/>
    <w:rsid w:val="00C82122"/>
    <w:rsid w:val="00C82616"/>
    <w:rsid w:val="00C83158"/>
    <w:rsid w:val="00C837B0"/>
    <w:rsid w:val="00C85EC1"/>
    <w:rsid w:val="00C90C9C"/>
    <w:rsid w:val="00C91956"/>
    <w:rsid w:val="00C93289"/>
    <w:rsid w:val="00CA16FA"/>
    <w:rsid w:val="00CA18A7"/>
    <w:rsid w:val="00CA1C33"/>
    <w:rsid w:val="00CA2062"/>
    <w:rsid w:val="00CA4144"/>
    <w:rsid w:val="00CA7032"/>
    <w:rsid w:val="00CA7413"/>
    <w:rsid w:val="00CB1082"/>
    <w:rsid w:val="00CB3799"/>
    <w:rsid w:val="00CB37F5"/>
    <w:rsid w:val="00CC0348"/>
    <w:rsid w:val="00CC0426"/>
    <w:rsid w:val="00CC1118"/>
    <w:rsid w:val="00CC27DB"/>
    <w:rsid w:val="00CC2F62"/>
    <w:rsid w:val="00CC3D8F"/>
    <w:rsid w:val="00CC5B08"/>
    <w:rsid w:val="00CC5E2E"/>
    <w:rsid w:val="00CC6FBD"/>
    <w:rsid w:val="00CC7E7C"/>
    <w:rsid w:val="00CD340A"/>
    <w:rsid w:val="00CD4A3B"/>
    <w:rsid w:val="00CD4F67"/>
    <w:rsid w:val="00CD5BDE"/>
    <w:rsid w:val="00CD5F85"/>
    <w:rsid w:val="00CD7651"/>
    <w:rsid w:val="00CD7D61"/>
    <w:rsid w:val="00CE075A"/>
    <w:rsid w:val="00CE0AC9"/>
    <w:rsid w:val="00CE2198"/>
    <w:rsid w:val="00CE35F9"/>
    <w:rsid w:val="00CE64C8"/>
    <w:rsid w:val="00CF1F85"/>
    <w:rsid w:val="00CF2170"/>
    <w:rsid w:val="00CF38F1"/>
    <w:rsid w:val="00CF6B0A"/>
    <w:rsid w:val="00CF72BD"/>
    <w:rsid w:val="00D0037C"/>
    <w:rsid w:val="00D04EF4"/>
    <w:rsid w:val="00D05751"/>
    <w:rsid w:val="00D057EB"/>
    <w:rsid w:val="00D0634C"/>
    <w:rsid w:val="00D10065"/>
    <w:rsid w:val="00D11DEA"/>
    <w:rsid w:val="00D13E3C"/>
    <w:rsid w:val="00D1507D"/>
    <w:rsid w:val="00D1582D"/>
    <w:rsid w:val="00D15CCB"/>
    <w:rsid w:val="00D16292"/>
    <w:rsid w:val="00D1638F"/>
    <w:rsid w:val="00D17489"/>
    <w:rsid w:val="00D2156D"/>
    <w:rsid w:val="00D23935"/>
    <w:rsid w:val="00D24157"/>
    <w:rsid w:val="00D2736B"/>
    <w:rsid w:val="00D3605E"/>
    <w:rsid w:val="00D3660C"/>
    <w:rsid w:val="00D41181"/>
    <w:rsid w:val="00D4160F"/>
    <w:rsid w:val="00D419E7"/>
    <w:rsid w:val="00D41F7E"/>
    <w:rsid w:val="00D50610"/>
    <w:rsid w:val="00D52BFB"/>
    <w:rsid w:val="00D53784"/>
    <w:rsid w:val="00D577C1"/>
    <w:rsid w:val="00D6070B"/>
    <w:rsid w:val="00D61942"/>
    <w:rsid w:val="00D624CA"/>
    <w:rsid w:val="00D630E7"/>
    <w:rsid w:val="00D63FFC"/>
    <w:rsid w:val="00D66070"/>
    <w:rsid w:val="00D67123"/>
    <w:rsid w:val="00D67EFB"/>
    <w:rsid w:val="00D725F4"/>
    <w:rsid w:val="00D72668"/>
    <w:rsid w:val="00D74271"/>
    <w:rsid w:val="00D742CB"/>
    <w:rsid w:val="00D7609A"/>
    <w:rsid w:val="00D76CD7"/>
    <w:rsid w:val="00D774FC"/>
    <w:rsid w:val="00D80005"/>
    <w:rsid w:val="00D83B6A"/>
    <w:rsid w:val="00D86EA0"/>
    <w:rsid w:val="00D92142"/>
    <w:rsid w:val="00D93D3B"/>
    <w:rsid w:val="00D94E8B"/>
    <w:rsid w:val="00D965B1"/>
    <w:rsid w:val="00D97A17"/>
    <w:rsid w:val="00DA02E6"/>
    <w:rsid w:val="00DA1A7E"/>
    <w:rsid w:val="00DA28B6"/>
    <w:rsid w:val="00DA41F7"/>
    <w:rsid w:val="00DA4A18"/>
    <w:rsid w:val="00DA764C"/>
    <w:rsid w:val="00DB1C74"/>
    <w:rsid w:val="00DB2C5F"/>
    <w:rsid w:val="00DB359F"/>
    <w:rsid w:val="00DB5A9E"/>
    <w:rsid w:val="00DB6E1D"/>
    <w:rsid w:val="00DC00D9"/>
    <w:rsid w:val="00DC10CC"/>
    <w:rsid w:val="00DC16B3"/>
    <w:rsid w:val="00DC51F1"/>
    <w:rsid w:val="00DC577E"/>
    <w:rsid w:val="00DD302A"/>
    <w:rsid w:val="00DD42BF"/>
    <w:rsid w:val="00DD4D1E"/>
    <w:rsid w:val="00DD5053"/>
    <w:rsid w:val="00DD65B7"/>
    <w:rsid w:val="00DD78D1"/>
    <w:rsid w:val="00DE20FF"/>
    <w:rsid w:val="00DE22C2"/>
    <w:rsid w:val="00DE4838"/>
    <w:rsid w:val="00DE556D"/>
    <w:rsid w:val="00DE6320"/>
    <w:rsid w:val="00DE6A7D"/>
    <w:rsid w:val="00DF02FF"/>
    <w:rsid w:val="00DF1EC8"/>
    <w:rsid w:val="00DF5BDB"/>
    <w:rsid w:val="00DF75D7"/>
    <w:rsid w:val="00E00B28"/>
    <w:rsid w:val="00E0113C"/>
    <w:rsid w:val="00E07E16"/>
    <w:rsid w:val="00E1112F"/>
    <w:rsid w:val="00E1281E"/>
    <w:rsid w:val="00E14962"/>
    <w:rsid w:val="00E151E3"/>
    <w:rsid w:val="00E16DD0"/>
    <w:rsid w:val="00E1791F"/>
    <w:rsid w:val="00E17F7F"/>
    <w:rsid w:val="00E2193C"/>
    <w:rsid w:val="00E233DB"/>
    <w:rsid w:val="00E236CC"/>
    <w:rsid w:val="00E2509A"/>
    <w:rsid w:val="00E3127F"/>
    <w:rsid w:val="00E31F1D"/>
    <w:rsid w:val="00E3251E"/>
    <w:rsid w:val="00E343BE"/>
    <w:rsid w:val="00E3496B"/>
    <w:rsid w:val="00E34F94"/>
    <w:rsid w:val="00E37B6A"/>
    <w:rsid w:val="00E40BD2"/>
    <w:rsid w:val="00E42575"/>
    <w:rsid w:val="00E53185"/>
    <w:rsid w:val="00E53982"/>
    <w:rsid w:val="00E53A06"/>
    <w:rsid w:val="00E541DD"/>
    <w:rsid w:val="00E55269"/>
    <w:rsid w:val="00E5537B"/>
    <w:rsid w:val="00E577A9"/>
    <w:rsid w:val="00E578B3"/>
    <w:rsid w:val="00E6047C"/>
    <w:rsid w:val="00E6341E"/>
    <w:rsid w:val="00E638E1"/>
    <w:rsid w:val="00E64F8B"/>
    <w:rsid w:val="00E65360"/>
    <w:rsid w:val="00E70581"/>
    <w:rsid w:val="00E7262F"/>
    <w:rsid w:val="00E728B6"/>
    <w:rsid w:val="00E72A2F"/>
    <w:rsid w:val="00E735A1"/>
    <w:rsid w:val="00E74375"/>
    <w:rsid w:val="00E74A85"/>
    <w:rsid w:val="00E74BF2"/>
    <w:rsid w:val="00E81C86"/>
    <w:rsid w:val="00E8263F"/>
    <w:rsid w:val="00E8370D"/>
    <w:rsid w:val="00E8512E"/>
    <w:rsid w:val="00E86871"/>
    <w:rsid w:val="00E86C66"/>
    <w:rsid w:val="00E903C7"/>
    <w:rsid w:val="00E93D4A"/>
    <w:rsid w:val="00EA3022"/>
    <w:rsid w:val="00EA30E5"/>
    <w:rsid w:val="00EA3937"/>
    <w:rsid w:val="00EA3EB7"/>
    <w:rsid w:val="00EA43AA"/>
    <w:rsid w:val="00EA499E"/>
    <w:rsid w:val="00EA67FB"/>
    <w:rsid w:val="00EA701F"/>
    <w:rsid w:val="00EB0F8D"/>
    <w:rsid w:val="00EB2285"/>
    <w:rsid w:val="00EB63C5"/>
    <w:rsid w:val="00EB7E62"/>
    <w:rsid w:val="00EC09BB"/>
    <w:rsid w:val="00EC1A6F"/>
    <w:rsid w:val="00EC2C05"/>
    <w:rsid w:val="00EC509F"/>
    <w:rsid w:val="00EC7B8E"/>
    <w:rsid w:val="00ED1297"/>
    <w:rsid w:val="00ED1DF4"/>
    <w:rsid w:val="00ED42C0"/>
    <w:rsid w:val="00ED71A4"/>
    <w:rsid w:val="00ED7774"/>
    <w:rsid w:val="00ED79C5"/>
    <w:rsid w:val="00EE7638"/>
    <w:rsid w:val="00EF4BBE"/>
    <w:rsid w:val="00EF6341"/>
    <w:rsid w:val="00F001CE"/>
    <w:rsid w:val="00F01C82"/>
    <w:rsid w:val="00F026BD"/>
    <w:rsid w:val="00F042A4"/>
    <w:rsid w:val="00F11F1B"/>
    <w:rsid w:val="00F12A7D"/>
    <w:rsid w:val="00F1385D"/>
    <w:rsid w:val="00F14942"/>
    <w:rsid w:val="00F15FC9"/>
    <w:rsid w:val="00F17346"/>
    <w:rsid w:val="00F1798F"/>
    <w:rsid w:val="00F306F9"/>
    <w:rsid w:val="00F3076F"/>
    <w:rsid w:val="00F34210"/>
    <w:rsid w:val="00F34C80"/>
    <w:rsid w:val="00F373D1"/>
    <w:rsid w:val="00F4275E"/>
    <w:rsid w:val="00F43081"/>
    <w:rsid w:val="00F436E4"/>
    <w:rsid w:val="00F4497C"/>
    <w:rsid w:val="00F455CF"/>
    <w:rsid w:val="00F506EA"/>
    <w:rsid w:val="00F528CB"/>
    <w:rsid w:val="00F538BE"/>
    <w:rsid w:val="00F55E93"/>
    <w:rsid w:val="00F56926"/>
    <w:rsid w:val="00F57D70"/>
    <w:rsid w:val="00F601EB"/>
    <w:rsid w:val="00F6134B"/>
    <w:rsid w:val="00F61C7F"/>
    <w:rsid w:val="00F6592D"/>
    <w:rsid w:val="00F65A39"/>
    <w:rsid w:val="00F66C0E"/>
    <w:rsid w:val="00F671C5"/>
    <w:rsid w:val="00F70B81"/>
    <w:rsid w:val="00F71535"/>
    <w:rsid w:val="00F7217A"/>
    <w:rsid w:val="00F72422"/>
    <w:rsid w:val="00F72D32"/>
    <w:rsid w:val="00F7354D"/>
    <w:rsid w:val="00F76CDC"/>
    <w:rsid w:val="00F76D8F"/>
    <w:rsid w:val="00F802CC"/>
    <w:rsid w:val="00F80F44"/>
    <w:rsid w:val="00F823AC"/>
    <w:rsid w:val="00F8295C"/>
    <w:rsid w:val="00F86A04"/>
    <w:rsid w:val="00F92358"/>
    <w:rsid w:val="00F92ED4"/>
    <w:rsid w:val="00FA0934"/>
    <w:rsid w:val="00FA25AA"/>
    <w:rsid w:val="00FA3F82"/>
    <w:rsid w:val="00FA4E37"/>
    <w:rsid w:val="00FA4F47"/>
    <w:rsid w:val="00FA54DA"/>
    <w:rsid w:val="00FA58EB"/>
    <w:rsid w:val="00FA7513"/>
    <w:rsid w:val="00FB3C9C"/>
    <w:rsid w:val="00FB5224"/>
    <w:rsid w:val="00FB6F91"/>
    <w:rsid w:val="00FB782C"/>
    <w:rsid w:val="00FC0CF8"/>
    <w:rsid w:val="00FC3AAC"/>
    <w:rsid w:val="00FC609C"/>
    <w:rsid w:val="00FC7386"/>
    <w:rsid w:val="00FD105D"/>
    <w:rsid w:val="00FD170B"/>
    <w:rsid w:val="00FD2163"/>
    <w:rsid w:val="00FD2CB2"/>
    <w:rsid w:val="00FD355D"/>
    <w:rsid w:val="00FD4ED8"/>
    <w:rsid w:val="00FD78BA"/>
    <w:rsid w:val="00FD7AF3"/>
    <w:rsid w:val="00FE5D6C"/>
    <w:rsid w:val="00FF00F1"/>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0B"/>
  </w:style>
  <w:style w:type="paragraph" w:styleId="Heading1">
    <w:name w:val="heading 1"/>
    <w:basedOn w:val="Normal"/>
    <w:next w:val="Normal"/>
    <w:link w:val="Heading1Char"/>
    <w:uiPriority w:val="9"/>
    <w:qFormat/>
    <w:rsid w:val="00404843"/>
    <w:pPr>
      <w:keepNext/>
      <w:spacing w:before="360" w:after="360" w:line="240" w:lineRule="auto"/>
      <w:jc w:val="both"/>
      <w:outlineLvl w:val="0"/>
    </w:pPr>
    <w:rPr>
      <w:rFonts w:ascii="Times New Roman Bold" w:eastAsia="Times New Roman" w:hAnsi="Times New Roman Bold" w:cs="Times New Roman"/>
      <w:b/>
      <w:bCs/>
      <w:caps/>
      <w:sz w:val="24"/>
      <w:szCs w:val="24"/>
      <w:lang w:eastAsia="en-GB"/>
    </w:rPr>
  </w:style>
  <w:style w:type="paragraph" w:styleId="Heading2">
    <w:name w:val="heading 2"/>
    <w:basedOn w:val="Normal"/>
    <w:next w:val="Normal"/>
    <w:link w:val="Heading2Char"/>
    <w:uiPriority w:val="9"/>
    <w:unhideWhenUsed/>
    <w:qFormat/>
    <w:rsid w:val="0032552E"/>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CF38F1"/>
    <w:pPr>
      <w:keepNext/>
      <w:numPr>
        <w:ilvl w:val="2"/>
        <w:numId w:val="1"/>
      </w:numPr>
      <w:spacing w:before="240" w:after="120" w:line="240" w:lineRule="auto"/>
      <w:jc w:val="both"/>
      <w:outlineLvl w:val="2"/>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unhideWhenUsed/>
    <w:qFormat/>
    <w:rsid w:val="006C71DB"/>
    <w:pPr>
      <w:keepNext/>
      <w:numPr>
        <w:ilvl w:val="3"/>
        <w:numId w:val="2"/>
      </w:numPr>
      <w:tabs>
        <w:tab w:val="clear" w:pos="992"/>
        <w:tab w:val="num" w:pos="993"/>
      </w:tabs>
      <w:spacing w:before="240" w:after="0" w:line="240" w:lineRule="auto"/>
      <w:ind w:left="4210" w:hanging="4210"/>
      <w:jc w:val="both"/>
      <w:outlineLvl w:val="3"/>
    </w:pPr>
    <w:rPr>
      <w:rFonts w:ascii="Times New Roman" w:eastAsiaTheme="majorEastAsia" w:hAnsi="Times New Roman" w:cs="Times New Roman"/>
      <w:b/>
      <w:i/>
      <w:sz w:val="24"/>
    </w:rPr>
  </w:style>
  <w:style w:type="paragraph" w:styleId="Heading5">
    <w:name w:val="heading 5"/>
    <w:basedOn w:val="Normal"/>
    <w:next w:val="Normal"/>
    <w:link w:val="Heading5Char"/>
    <w:unhideWhenUsed/>
    <w:qFormat/>
    <w:rsid w:val="006C71DB"/>
    <w:pPr>
      <w:keepNext/>
      <w:keepLines/>
      <w:spacing w:before="200" w:after="0"/>
      <w:outlineLvl w:val="4"/>
    </w:pPr>
    <w:rPr>
      <w:rFonts w:ascii="Times New Roman" w:eastAsiaTheme="majorEastAsia" w:hAnsi="Times New Roman" w:cs="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843"/>
    <w:rPr>
      <w:rFonts w:ascii="Times New Roman Bold" w:eastAsia="Times New Roman" w:hAnsi="Times New Roman Bold" w:cs="Times New Roman"/>
      <w:b/>
      <w:bCs/>
      <w:caps/>
      <w:sz w:val="24"/>
      <w:szCs w:val="24"/>
      <w:lang w:eastAsia="en-GB"/>
    </w:rPr>
  </w:style>
  <w:style w:type="character" w:customStyle="1" w:styleId="Heading2Char">
    <w:name w:val="Heading 2 Char"/>
    <w:basedOn w:val="DefaultParagraphFont"/>
    <w:link w:val="Heading2"/>
    <w:uiPriority w:val="9"/>
    <w:rsid w:val="0032552E"/>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CF38F1"/>
    <w:rPr>
      <w:rFonts w:ascii="Times New Roman" w:eastAsia="Times New Roman" w:hAnsi="Times New Roman" w:cs="Times New Roman"/>
      <w:b/>
      <w:bCs/>
      <w:sz w:val="24"/>
      <w:szCs w:val="24"/>
      <w:lang w:eastAsia="en-GB"/>
    </w:rPr>
  </w:style>
  <w:style w:type="character" w:customStyle="1" w:styleId="Heading4Char">
    <w:name w:val="Heading 4 Char"/>
    <w:basedOn w:val="DefaultParagraphFont"/>
    <w:link w:val="Heading4"/>
    <w:uiPriority w:val="9"/>
    <w:rsid w:val="000667CA"/>
    <w:rPr>
      <w:rFonts w:ascii="Times New Roman" w:eastAsiaTheme="majorEastAsia" w:hAnsi="Times New Roman" w:cs="Times New Roman"/>
      <w:b/>
      <w:i/>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O-1 List bullets"/>
    <w:basedOn w:val="Normal"/>
    <w:link w:val="ListParagraphChar"/>
    <w:uiPriority w:val="34"/>
    <w:qFormat/>
    <w:rsid w:val="0032552E"/>
    <w:pPr>
      <w:ind w:left="720"/>
      <w:contextualSpacing/>
    </w:pPr>
    <w:rPr>
      <w:rFonts w:ascii="Calibri" w:eastAsia="Calibri" w:hAnsi="Calibri" w:cs="Times New Roman"/>
      <w:szCs w:val="20"/>
      <w:lang w:val="fr-FR" w:eastAsia="en-GB"/>
    </w:rPr>
  </w:style>
  <w:style w:type="paragraph" w:customStyle="1" w:styleId="Text1">
    <w:name w:val="Text 1"/>
    <w:basedOn w:val="Normal"/>
    <w:rsid w:val="0032552E"/>
    <w:pPr>
      <w:spacing w:before="120" w:after="120" w:line="240" w:lineRule="auto"/>
      <w:ind w:left="850"/>
      <w:jc w:val="both"/>
    </w:pPr>
    <w:rPr>
      <w:rFonts w:ascii="Times New Roman" w:eastAsia="Calibri" w:hAnsi="Times New Roman" w:cs="Times New Roman"/>
      <w:sz w:val="24"/>
      <w:szCs w:val="20"/>
      <w:lang w:eastAsia="en-GB"/>
    </w:rPr>
  </w:style>
  <w:style w:type="paragraph" w:styleId="FootnoteText">
    <w:name w:val="footnote text"/>
    <w:aliases w:val="Note de bas de page Car Car,Char,Car,Fußnote,Fotnotstext1,fn,Footnote text,Footnote Text Char2,Footnote Text Char1 Char,Footnote Text Char Char Char,Footnote Text Char Char1,Footnote Text Char1 Char1,Footnote Text Char Char Char1,9 p,9,f"/>
    <w:basedOn w:val="Normal"/>
    <w:link w:val="FootnoteTextChar"/>
    <w:uiPriority w:val="99"/>
    <w:unhideWhenUsed/>
    <w:qFormat/>
    <w:rsid w:val="0032552E"/>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Note de bas de page Car Car Char,Char Char,Car Char,Fußnote Char,Fotnotstext1 Char,fn Char,Footnote text Char,Footnote Text Char2 Char,Footnote Text Char1 Char Char,Footnote Text Char Char Char Char,Footnote Text Char Char1 Char"/>
    <w:basedOn w:val="DefaultParagraphFont"/>
    <w:link w:val="FootnoteText"/>
    <w:uiPriority w:val="99"/>
    <w:rsid w:val="0032552E"/>
    <w:rPr>
      <w:rFonts w:ascii="Times New Roman" w:eastAsia="Calibri" w:hAnsi="Times New Roman" w:cs="Times New Roman"/>
      <w:sz w:val="20"/>
      <w:szCs w:val="20"/>
      <w:lang w:eastAsia="en-GB"/>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FR3"/>
    <w:link w:val="FootnoteReferenceCharCarCharCharCarCharCarCharCarCharCarCharCharCarCarCharCharCharCharCharCarCharCarCharCharCarCharCar"/>
    <w:uiPriority w:val="99"/>
    <w:unhideWhenUsed/>
    <w:qFormat/>
    <w:rsid w:val="0032552E"/>
    <w:rPr>
      <w:shd w:val="clear" w:color="auto" w:fill="auto"/>
      <w:vertAlign w:val="superscript"/>
    </w:rPr>
  </w:style>
  <w:style w:type="paragraph" w:styleId="BalloonText">
    <w:name w:val="Balloon Text"/>
    <w:basedOn w:val="Normal"/>
    <w:link w:val="BalloonTextChar"/>
    <w:uiPriority w:val="99"/>
    <w:semiHidden/>
    <w:unhideWhenUsed/>
    <w:rsid w:val="0032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2E"/>
    <w:rPr>
      <w:rFonts w:ascii="Tahoma" w:hAnsi="Tahoma" w:cs="Tahoma"/>
      <w:sz w:val="16"/>
      <w:szCs w:val="16"/>
    </w:rPr>
  </w:style>
  <w:style w:type="paragraph" w:styleId="Header">
    <w:name w:val="header"/>
    <w:basedOn w:val="Normal"/>
    <w:link w:val="HeaderChar"/>
    <w:uiPriority w:val="99"/>
    <w:unhideWhenUsed/>
    <w:rsid w:val="00693D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3D35"/>
  </w:style>
  <w:style w:type="paragraph" w:styleId="Footer">
    <w:name w:val="footer"/>
    <w:basedOn w:val="Normal"/>
    <w:link w:val="FooterChar"/>
    <w:uiPriority w:val="99"/>
    <w:unhideWhenUsed/>
    <w:rsid w:val="00693D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3D35"/>
  </w:style>
  <w:style w:type="paragraph" w:customStyle="1" w:styleId="Default">
    <w:name w:val="Default"/>
    <w:rsid w:val="005B3A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912B26"/>
    <w:rPr>
      <w:sz w:val="16"/>
      <w:szCs w:val="16"/>
    </w:rPr>
  </w:style>
  <w:style w:type="paragraph" w:styleId="CommentText">
    <w:name w:val="annotation text"/>
    <w:basedOn w:val="Normal"/>
    <w:link w:val="CommentTextChar"/>
    <w:uiPriority w:val="99"/>
    <w:unhideWhenUsed/>
    <w:rsid w:val="00912B26"/>
    <w:pPr>
      <w:spacing w:line="240" w:lineRule="auto"/>
    </w:pPr>
    <w:rPr>
      <w:sz w:val="20"/>
      <w:szCs w:val="20"/>
    </w:rPr>
  </w:style>
  <w:style w:type="character" w:customStyle="1" w:styleId="CommentTextChar">
    <w:name w:val="Comment Text Char"/>
    <w:basedOn w:val="DefaultParagraphFont"/>
    <w:link w:val="CommentText"/>
    <w:uiPriority w:val="99"/>
    <w:rsid w:val="00912B26"/>
    <w:rPr>
      <w:sz w:val="20"/>
      <w:szCs w:val="20"/>
    </w:rPr>
  </w:style>
  <w:style w:type="character" w:styleId="Hyperlink">
    <w:name w:val="Hyperlink"/>
    <w:basedOn w:val="DefaultParagraphFont"/>
    <w:uiPriority w:val="99"/>
    <w:unhideWhenUsed/>
    <w:rsid w:val="00842FA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85FB6"/>
    <w:rPr>
      <w:b/>
      <w:bCs/>
    </w:rPr>
  </w:style>
  <w:style w:type="character" w:customStyle="1" w:styleId="CommentSubjectChar">
    <w:name w:val="Comment Subject Char"/>
    <w:basedOn w:val="CommentTextChar"/>
    <w:link w:val="CommentSubject"/>
    <w:uiPriority w:val="99"/>
    <w:semiHidden/>
    <w:rsid w:val="00085FB6"/>
    <w:rPr>
      <w:b/>
      <w:bCs/>
      <w:sz w:val="20"/>
      <w:szCs w:val="20"/>
    </w:rPr>
  </w:style>
  <w:style w:type="character" w:customStyle="1" w:styleId="st">
    <w:name w:val="st"/>
    <w:rsid w:val="00FA4E37"/>
  </w:style>
  <w:style w:type="paragraph" w:styleId="NormalWeb">
    <w:name w:val="Normal (Web)"/>
    <w:basedOn w:val="Normal"/>
    <w:uiPriority w:val="99"/>
    <w:unhideWhenUsed/>
    <w:rsid w:val="00FA4E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next w:val="Normal"/>
    <w:rsid w:val="00EF6341"/>
    <w:pPr>
      <w:keepNext/>
      <w:pBdr>
        <w:top w:val="nil"/>
        <w:left w:val="nil"/>
        <w:bottom w:val="nil"/>
        <w:right w:val="nil"/>
        <w:between w:val="nil"/>
        <w:bar w:val="nil"/>
      </w:pBdr>
      <w:tabs>
        <w:tab w:val="left" w:pos="480"/>
      </w:tabs>
      <w:spacing w:before="240" w:after="240" w:line="240" w:lineRule="auto"/>
      <w:ind w:left="480" w:hanging="480"/>
      <w:jc w:val="both"/>
      <w:outlineLvl w:val="0"/>
    </w:pPr>
    <w:rPr>
      <w:rFonts w:ascii="Times New Roman" w:eastAsia="Times New Roman" w:hAnsi="Times New Roman" w:cs="Times New Roman"/>
      <w:b/>
      <w:bCs/>
      <w:smallCaps/>
      <w:color w:val="000000"/>
      <w:sz w:val="24"/>
      <w:szCs w:val="24"/>
      <w:u w:color="000000"/>
      <w:bdr w:val="nil"/>
      <w:lang w:eastAsia="en-GB"/>
    </w:rPr>
  </w:style>
  <w:style w:type="table" w:styleId="TableGrid">
    <w:name w:val="Table Grid"/>
    <w:basedOn w:val="TableNormal"/>
    <w:uiPriority w:val="59"/>
    <w:rsid w:val="00EF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EF6341"/>
  </w:style>
  <w:style w:type="character" w:customStyle="1" w:styleId="Heading5Char">
    <w:name w:val="Heading 5 Char"/>
    <w:basedOn w:val="DefaultParagraphFont"/>
    <w:link w:val="Heading5"/>
    <w:rsid w:val="006C71DB"/>
    <w:rPr>
      <w:rFonts w:ascii="Times New Roman" w:eastAsiaTheme="majorEastAsia" w:hAnsi="Times New Roman" w:cs="Times New Roman"/>
      <w:b/>
      <w:sz w:val="24"/>
    </w:rPr>
  </w:style>
  <w:style w:type="numbering" w:customStyle="1" w:styleId="NoList1">
    <w:name w:val="No List1"/>
    <w:next w:val="NoList"/>
    <w:uiPriority w:val="99"/>
    <w:semiHidden/>
    <w:unhideWhenUsed/>
    <w:rsid w:val="006C71DB"/>
  </w:style>
  <w:style w:type="paragraph" w:styleId="ListBullet">
    <w:name w:val="List Bullet"/>
    <w:basedOn w:val="Normal"/>
    <w:uiPriority w:val="99"/>
    <w:unhideWhenUsed/>
    <w:rsid w:val="006C71DB"/>
    <w:pPr>
      <w:numPr>
        <w:numId w:val="3"/>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2">
    <w:name w:val="List Bullet 2"/>
    <w:basedOn w:val="Normal"/>
    <w:uiPriority w:val="99"/>
    <w:semiHidden/>
    <w:unhideWhenUsed/>
    <w:rsid w:val="006C71DB"/>
    <w:pPr>
      <w:numPr>
        <w:numId w:val="4"/>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3">
    <w:name w:val="List Bullet 3"/>
    <w:basedOn w:val="Normal"/>
    <w:uiPriority w:val="99"/>
    <w:semiHidden/>
    <w:unhideWhenUsed/>
    <w:rsid w:val="006C71DB"/>
    <w:pPr>
      <w:numPr>
        <w:numId w:val="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4">
    <w:name w:val="List Bullet 4"/>
    <w:basedOn w:val="Normal"/>
    <w:uiPriority w:val="99"/>
    <w:semiHidden/>
    <w:unhideWhenUsed/>
    <w:rsid w:val="006C71DB"/>
    <w:pPr>
      <w:numPr>
        <w:numId w:val="6"/>
      </w:numPr>
      <w:spacing w:before="120" w:after="120" w:line="240" w:lineRule="auto"/>
      <w:contextualSpacing/>
      <w:jc w:val="both"/>
    </w:pPr>
    <w:rPr>
      <w:rFonts w:ascii="Times New Roman" w:eastAsia="Calibri" w:hAnsi="Times New Roman" w:cs="Times New Roman"/>
      <w:sz w:val="24"/>
      <w:szCs w:val="20"/>
      <w:lang w:eastAsia="en-GB"/>
    </w:rPr>
  </w:style>
  <w:style w:type="paragraph" w:customStyle="1" w:styleId="TOCHeading1">
    <w:name w:val="TOC Heading1"/>
    <w:basedOn w:val="Normal"/>
    <w:next w:val="Normal"/>
    <w:qFormat/>
    <w:rsid w:val="006C71DB"/>
    <w:pPr>
      <w:spacing w:before="120" w:after="240" w:line="240" w:lineRule="auto"/>
      <w:jc w:val="center"/>
    </w:pPr>
    <w:rPr>
      <w:rFonts w:ascii="Times New Roman" w:eastAsia="Times New Roman" w:hAnsi="Times New Roman" w:cs="Times New Roman"/>
      <w:b/>
      <w:sz w:val="28"/>
      <w:szCs w:val="24"/>
      <w:lang w:eastAsia="en-GB"/>
    </w:rPr>
  </w:style>
  <w:style w:type="paragraph" w:customStyle="1" w:styleId="5normal">
    <w:name w:val="5normal"/>
    <w:basedOn w:val="Normal"/>
    <w:uiPriority w:val="99"/>
    <w:rsid w:val="006C71DB"/>
    <w:pPr>
      <w:spacing w:before="100" w:beforeAutospacing="1" w:after="100" w:afterAutospacing="1" w:line="240" w:lineRule="auto"/>
    </w:pPr>
    <w:rPr>
      <w:rFonts w:ascii="Verdana" w:eastAsia="Calibri" w:hAnsi="Verdana" w:cs="Times New Roman"/>
      <w:sz w:val="20"/>
      <w:szCs w:val="20"/>
      <w:lang w:eastAsia="en-GB"/>
    </w:rPr>
  </w:style>
  <w:style w:type="paragraph" w:customStyle="1" w:styleId="ColorfulList-Accent11">
    <w:name w:val="Colorful List - Accent 11"/>
    <w:basedOn w:val="Normal"/>
    <w:uiPriority w:val="34"/>
    <w:qFormat/>
    <w:rsid w:val="006C71DB"/>
    <w:pPr>
      <w:spacing w:after="0" w:line="240" w:lineRule="auto"/>
      <w:ind w:left="720"/>
    </w:pPr>
    <w:rPr>
      <w:rFonts w:ascii="Calibri" w:eastAsia="Calibri" w:hAnsi="Calibri" w:cs="Calibri"/>
      <w:szCs w:val="20"/>
      <w:lang w:eastAsia="en-GB"/>
    </w:rPr>
  </w:style>
  <w:style w:type="paragraph" w:customStyle="1" w:styleId="BodyTextNumbered">
    <w:name w:val="Body Text Numbered"/>
    <w:basedOn w:val="BodyText"/>
    <w:link w:val="BodyTextNumberedChar"/>
    <w:uiPriority w:val="99"/>
    <w:rsid w:val="006C71DB"/>
    <w:pPr>
      <w:numPr>
        <w:numId w:val="8"/>
      </w:numPr>
      <w:suppressAutoHyphens/>
      <w:spacing w:before="120" w:line="288" w:lineRule="auto"/>
      <w:jc w:val="both"/>
    </w:pPr>
    <w:rPr>
      <w:rFonts w:ascii="Arial" w:eastAsia="Times New Roman" w:hAnsi="Arial"/>
      <w:sz w:val="20"/>
    </w:rPr>
  </w:style>
  <w:style w:type="numbering" w:customStyle="1" w:styleId="NumberedParagraphs">
    <w:name w:val="NumberedParagraphs"/>
    <w:uiPriority w:val="99"/>
    <w:rsid w:val="006C71DB"/>
    <w:pPr>
      <w:numPr>
        <w:numId w:val="7"/>
      </w:numPr>
    </w:pPr>
  </w:style>
  <w:style w:type="character" w:customStyle="1" w:styleId="BodyTextNumberedChar">
    <w:name w:val="Body Text Numbered Char"/>
    <w:link w:val="BodyTextNumbered"/>
    <w:uiPriority w:val="99"/>
    <w:rsid w:val="006C71DB"/>
    <w:rPr>
      <w:rFonts w:ascii="Arial" w:eastAsia="Times New Roman" w:hAnsi="Arial" w:cs="Times New Roman"/>
      <w:sz w:val="20"/>
      <w:szCs w:val="20"/>
      <w:lang w:eastAsia="en-GB"/>
    </w:rPr>
  </w:style>
  <w:style w:type="paragraph" w:styleId="BodyText">
    <w:name w:val="Body Text"/>
    <w:basedOn w:val="Normal"/>
    <w:link w:val="BodyTextChar"/>
    <w:uiPriority w:val="99"/>
    <w:semiHidden/>
    <w:unhideWhenUsed/>
    <w:rsid w:val="006C71DB"/>
    <w:pPr>
      <w:spacing w:after="120"/>
    </w:pPr>
    <w:rPr>
      <w:rFonts w:ascii="Calibri" w:eastAsia="Calibri" w:hAnsi="Calibri" w:cs="Times New Roman"/>
      <w:szCs w:val="20"/>
      <w:lang w:eastAsia="en-GB"/>
    </w:rPr>
  </w:style>
  <w:style w:type="character" w:customStyle="1" w:styleId="BodyTextChar">
    <w:name w:val="Body Text Char"/>
    <w:basedOn w:val="DefaultParagraphFont"/>
    <w:link w:val="BodyText"/>
    <w:uiPriority w:val="99"/>
    <w:semiHidden/>
    <w:rsid w:val="006C71DB"/>
    <w:rPr>
      <w:rFonts w:ascii="Calibri" w:eastAsia="Calibri" w:hAnsi="Calibri" w:cs="Times New Roman"/>
      <w:szCs w:val="20"/>
      <w:lang w:eastAsia="en-GB"/>
    </w:rPr>
  </w:style>
  <w:style w:type="paragraph" w:customStyle="1" w:styleId="crapara">
    <w:name w:val="cra para"/>
    <w:basedOn w:val="BodyTextNumbered"/>
    <w:link w:val="craparaChar"/>
    <w:qFormat/>
    <w:rsid w:val="006C71DB"/>
    <w:pPr>
      <w:numPr>
        <w:numId w:val="9"/>
      </w:numPr>
    </w:pPr>
  </w:style>
  <w:style w:type="character" w:customStyle="1" w:styleId="craparaChar">
    <w:name w:val="cra para Char"/>
    <w:link w:val="crapara"/>
    <w:rsid w:val="006C71DB"/>
    <w:rPr>
      <w:rFonts w:ascii="Arial" w:eastAsia="Times New Roman" w:hAnsi="Arial" w:cs="Times New Roman"/>
      <w:sz w:val="20"/>
      <w:szCs w:val="20"/>
      <w:lang w:eastAsia="en-GB"/>
    </w:rPr>
  </w:style>
  <w:style w:type="paragraph" w:customStyle="1" w:styleId="Bulletpoint1">
    <w:name w:val="Bullet point1"/>
    <w:basedOn w:val="NormalIndent"/>
    <w:uiPriority w:val="99"/>
    <w:qFormat/>
    <w:rsid w:val="006C71DB"/>
    <w:pPr>
      <w:spacing w:after="0" w:line="240" w:lineRule="auto"/>
      <w:ind w:left="0"/>
    </w:pPr>
    <w:rPr>
      <w:rFonts w:ascii="Verdana" w:eastAsia="Times New Roman" w:hAnsi="Verdana"/>
      <w:sz w:val="20"/>
      <w:lang w:val="fr-FR"/>
    </w:rPr>
  </w:style>
  <w:style w:type="paragraph" w:styleId="NormalIndent">
    <w:name w:val="Normal Indent"/>
    <w:basedOn w:val="Normal"/>
    <w:uiPriority w:val="99"/>
    <w:semiHidden/>
    <w:unhideWhenUsed/>
    <w:rsid w:val="006C71DB"/>
    <w:pPr>
      <w:ind w:left="720"/>
    </w:pPr>
    <w:rPr>
      <w:rFonts w:ascii="Calibri" w:eastAsia="Calibri" w:hAnsi="Calibri" w:cs="Times New Roman"/>
      <w:szCs w:val="20"/>
      <w:lang w:eastAsia="en-GB"/>
    </w:rPr>
  </w:style>
  <w:style w:type="character" w:customStyle="1" w:styleId="Caractresdenotedebasdepage">
    <w:name w:val="Caractères de note de bas de page"/>
    <w:rsid w:val="006C71DB"/>
  </w:style>
  <w:style w:type="paragraph" w:styleId="Revision">
    <w:name w:val="Revision"/>
    <w:hidden/>
    <w:uiPriority w:val="99"/>
    <w:semiHidden/>
    <w:rsid w:val="006C71DB"/>
    <w:pPr>
      <w:spacing w:after="0" w:line="240" w:lineRule="auto"/>
    </w:pPr>
    <w:rPr>
      <w:rFonts w:ascii="Calibri" w:eastAsia="Calibri" w:hAnsi="Calibri" w:cs="Times New Roman"/>
    </w:rPr>
  </w:style>
  <w:style w:type="paragraph" w:styleId="Caption">
    <w:name w:val="caption"/>
    <w:basedOn w:val="Normal"/>
    <w:next w:val="Normal"/>
    <w:qFormat/>
    <w:rsid w:val="006C71DB"/>
    <w:pPr>
      <w:spacing w:after="0" w:line="240" w:lineRule="auto"/>
    </w:pPr>
    <w:rPr>
      <w:rFonts w:ascii="Calibri" w:eastAsia="Calibri" w:hAnsi="Calibri" w:cs="Calibri"/>
      <w:b/>
      <w:bCs/>
      <w:sz w:val="20"/>
      <w:szCs w:val="20"/>
      <w:lang w:eastAsia="en-GB"/>
    </w:rPr>
  </w:style>
  <w:style w:type="character" w:styleId="FollowedHyperlink">
    <w:name w:val="FollowedHyperlink"/>
    <w:uiPriority w:val="99"/>
    <w:semiHidden/>
    <w:unhideWhenUsed/>
    <w:rsid w:val="006C71DB"/>
    <w:rPr>
      <w:color w:val="800080"/>
      <w:u w:val="single"/>
    </w:rPr>
  </w:style>
  <w:style w:type="character" w:styleId="Emphasis">
    <w:name w:val="Emphasis"/>
    <w:uiPriority w:val="20"/>
    <w:qFormat/>
    <w:rsid w:val="006C71DB"/>
    <w:rPr>
      <w:b/>
      <w:bCs/>
      <w:i w:val="0"/>
      <w:iCs w:val="0"/>
    </w:rPr>
  </w:style>
  <w:style w:type="character" w:customStyle="1" w:styleId="st1">
    <w:name w:val="st1"/>
    <w:rsid w:val="006C71DB"/>
  </w:style>
  <w:style w:type="paragraph" w:styleId="TableofFigures">
    <w:name w:val="table of figures"/>
    <w:basedOn w:val="Normal"/>
    <w:next w:val="Normal"/>
    <w:uiPriority w:val="99"/>
    <w:semiHidden/>
    <w:unhideWhenUsed/>
    <w:rsid w:val="006C71DB"/>
    <w:pPr>
      <w:spacing w:before="120" w:after="120" w:line="240" w:lineRule="auto"/>
      <w:jc w:val="both"/>
    </w:pPr>
    <w:rPr>
      <w:rFonts w:ascii="Times New Roman" w:eastAsia="Calibri" w:hAnsi="Times New Roman" w:cs="Times New Roman"/>
      <w:sz w:val="24"/>
      <w:szCs w:val="20"/>
      <w:lang w:eastAsia="en-GB"/>
    </w:rPr>
  </w:style>
  <w:style w:type="paragraph" w:styleId="ListNumber">
    <w:name w:val="List Number"/>
    <w:basedOn w:val="Normal"/>
    <w:uiPriority w:val="99"/>
    <w:semiHidden/>
    <w:unhideWhenUsed/>
    <w:rsid w:val="006C71DB"/>
    <w:pPr>
      <w:numPr>
        <w:numId w:val="13"/>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2">
    <w:name w:val="List Number 2"/>
    <w:basedOn w:val="Normal"/>
    <w:uiPriority w:val="99"/>
    <w:semiHidden/>
    <w:unhideWhenUsed/>
    <w:rsid w:val="006C71DB"/>
    <w:pPr>
      <w:numPr>
        <w:numId w:val="14"/>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3">
    <w:name w:val="List Number 3"/>
    <w:basedOn w:val="Normal"/>
    <w:uiPriority w:val="99"/>
    <w:semiHidden/>
    <w:unhideWhenUsed/>
    <w:rsid w:val="006C71DB"/>
    <w:pPr>
      <w:numPr>
        <w:numId w:val="1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4">
    <w:name w:val="List Number 4"/>
    <w:basedOn w:val="Normal"/>
    <w:uiPriority w:val="99"/>
    <w:semiHidden/>
    <w:unhideWhenUsed/>
    <w:rsid w:val="006C71DB"/>
    <w:pPr>
      <w:numPr>
        <w:numId w:val="16"/>
      </w:numPr>
      <w:spacing w:before="120" w:after="120" w:line="240" w:lineRule="auto"/>
      <w:contextualSpacing/>
      <w:jc w:val="both"/>
    </w:pPr>
    <w:rPr>
      <w:rFonts w:ascii="Times New Roman" w:eastAsia="Calibri" w:hAnsi="Times New Roman" w:cs="Times New Roman"/>
      <w:sz w:val="24"/>
      <w:szCs w:val="20"/>
      <w:lang w:eastAsia="en-GB"/>
    </w:rPr>
  </w:style>
  <w:style w:type="paragraph" w:styleId="PlainText">
    <w:name w:val="Plain Text"/>
    <w:basedOn w:val="Normal"/>
    <w:link w:val="PlainTextChar"/>
    <w:uiPriority w:val="99"/>
    <w:unhideWhenUsed/>
    <w:rsid w:val="006C71DB"/>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6C71DB"/>
    <w:rPr>
      <w:rFonts w:ascii="Calibri" w:eastAsia="Calibri" w:hAnsi="Calibri" w:cs="Consolas"/>
      <w:szCs w:val="21"/>
    </w:rPr>
  </w:style>
  <w:style w:type="character" w:customStyle="1" w:styleId="MathematicaFormatTextForm">
    <w:name w:val="MathematicaFormatTextForm"/>
    <w:uiPriority w:val="99"/>
    <w:rsid w:val="006C71DB"/>
  </w:style>
  <w:style w:type="character" w:customStyle="1" w:styleId="FootnoteCharacters">
    <w:name w:val="Footnote Characters"/>
    <w:rsid w:val="006C71DB"/>
    <w:rPr>
      <w:vertAlign w:val="superscript"/>
    </w:rPr>
  </w:style>
  <w:style w:type="paragraph" w:styleId="List">
    <w:name w:val="List"/>
    <w:basedOn w:val="Normal"/>
    <w:uiPriority w:val="99"/>
    <w:unhideWhenUsed/>
    <w:rsid w:val="006C71DB"/>
    <w:pPr>
      <w:spacing w:before="120" w:after="120" w:line="240" w:lineRule="auto"/>
      <w:ind w:left="283" w:hanging="283"/>
      <w:contextualSpacing/>
      <w:jc w:val="both"/>
    </w:pPr>
    <w:rPr>
      <w:rFonts w:ascii="Times New Roman" w:eastAsia="Calibri" w:hAnsi="Times New Roman" w:cs="Times New Roman"/>
      <w:sz w:val="24"/>
      <w:szCs w:val="20"/>
      <w:lang w:eastAsia="en-GB"/>
    </w:rPr>
  </w:style>
  <w:style w:type="paragraph" w:styleId="EndnoteText">
    <w:name w:val="endnote text"/>
    <w:basedOn w:val="Normal"/>
    <w:link w:val="EndnoteTextChar"/>
    <w:uiPriority w:val="99"/>
    <w:semiHidden/>
    <w:unhideWhenUsed/>
    <w:rsid w:val="006C71DB"/>
    <w:pPr>
      <w:spacing w:before="120" w:after="120" w:line="240" w:lineRule="auto"/>
      <w:jc w:val="both"/>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6C71DB"/>
    <w:rPr>
      <w:rFonts w:ascii="Times New Roman" w:eastAsia="Calibri" w:hAnsi="Times New Roman" w:cs="Times New Roman"/>
      <w:sz w:val="20"/>
      <w:szCs w:val="20"/>
      <w:lang w:eastAsia="en-GB"/>
    </w:rPr>
  </w:style>
  <w:style w:type="character" w:styleId="EndnoteReference">
    <w:name w:val="endnote reference"/>
    <w:uiPriority w:val="99"/>
    <w:semiHidden/>
    <w:unhideWhenUsed/>
    <w:rsid w:val="006C71DB"/>
    <w:rPr>
      <w:vertAlign w:val="superscript"/>
    </w:rPr>
  </w:style>
  <w:style w:type="paragraph" w:styleId="TOCHeading">
    <w:name w:val="TOC Heading"/>
    <w:basedOn w:val="Normal"/>
    <w:next w:val="Normal"/>
    <w:uiPriority w:val="39"/>
    <w:unhideWhenUsed/>
    <w:qFormat/>
    <w:rsid w:val="006C71DB"/>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link w:val="TOC1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link w:val="TOC2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3">
    <w:name w:val="toc 3"/>
    <w:basedOn w:val="Normal"/>
    <w:next w:val="Normal"/>
    <w:link w:val="TOC3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4">
    <w:name w:val="toc 4"/>
    <w:basedOn w:val="Normal"/>
    <w:next w:val="Normal"/>
    <w:uiPriority w:val="39"/>
    <w:unhideWhenUsed/>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5">
    <w:name w:val="toc 5"/>
    <w:basedOn w:val="Normal"/>
    <w:next w:val="Normal"/>
    <w:uiPriority w:val="39"/>
    <w:unhideWhenUsed/>
    <w:rsid w:val="006C71DB"/>
    <w:pPr>
      <w:tabs>
        <w:tab w:val="right" w:leader="dot" w:pos="9071"/>
      </w:tabs>
      <w:spacing w:before="300" w:after="120" w:line="240" w:lineRule="auto"/>
    </w:pPr>
    <w:rPr>
      <w:rFonts w:ascii="Times New Roman" w:eastAsia="Calibri" w:hAnsi="Times New Roman" w:cs="Times New Roman"/>
      <w:sz w:val="24"/>
      <w:szCs w:val="20"/>
      <w:lang w:eastAsia="en-GB"/>
    </w:rPr>
  </w:style>
  <w:style w:type="paragraph" w:styleId="TOC6">
    <w:name w:val="toc 6"/>
    <w:basedOn w:val="Normal"/>
    <w:next w:val="Normal"/>
    <w:uiPriority w:val="39"/>
    <w:unhideWhenUsed/>
    <w:rsid w:val="006C71DB"/>
    <w:pPr>
      <w:tabs>
        <w:tab w:val="right" w:leader="dot" w:pos="9071"/>
      </w:tabs>
      <w:spacing w:before="240" w:after="120" w:line="240" w:lineRule="auto"/>
    </w:pPr>
    <w:rPr>
      <w:rFonts w:ascii="Times New Roman" w:eastAsia="Calibri" w:hAnsi="Times New Roman" w:cs="Times New Roman"/>
      <w:sz w:val="24"/>
      <w:szCs w:val="20"/>
      <w:lang w:eastAsia="en-GB"/>
    </w:rPr>
  </w:style>
  <w:style w:type="paragraph" w:styleId="TOC7">
    <w:name w:val="toc 7"/>
    <w:basedOn w:val="Normal"/>
    <w:next w:val="Normal"/>
    <w:uiPriority w:val="39"/>
    <w:unhideWhenUsed/>
    <w:rsid w:val="006C71DB"/>
    <w:pPr>
      <w:tabs>
        <w:tab w:val="right" w:leader="dot" w:pos="9071"/>
      </w:tabs>
      <w:spacing w:before="180" w:after="120" w:line="240" w:lineRule="auto"/>
    </w:pPr>
    <w:rPr>
      <w:rFonts w:ascii="Times New Roman" w:eastAsia="Calibri" w:hAnsi="Times New Roman" w:cs="Times New Roman"/>
      <w:sz w:val="24"/>
      <w:szCs w:val="20"/>
      <w:lang w:eastAsia="en-GB"/>
    </w:rPr>
  </w:style>
  <w:style w:type="paragraph" w:styleId="TOC8">
    <w:name w:val="toc 8"/>
    <w:basedOn w:val="Normal"/>
    <w:next w:val="Normal"/>
    <w:uiPriority w:val="39"/>
    <w:unhideWhenUsed/>
    <w:rsid w:val="006C71DB"/>
    <w:pPr>
      <w:tabs>
        <w:tab w:val="right" w:leader="dot" w:pos="9071"/>
      </w:tabs>
      <w:spacing w:before="120" w:after="120" w:line="240" w:lineRule="auto"/>
    </w:pPr>
    <w:rPr>
      <w:rFonts w:ascii="Times New Roman" w:eastAsia="Calibri" w:hAnsi="Times New Roman" w:cs="Times New Roman"/>
      <w:sz w:val="24"/>
      <w:szCs w:val="20"/>
      <w:lang w:eastAsia="en-GB"/>
    </w:rPr>
  </w:style>
  <w:style w:type="paragraph" w:styleId="TOC9">
    <w:name w:val="toc 9"/>
    <w:basedOn w:val="Normal"/>
    <w:next w:val="Normal"/>
    <w:uiPriority w:val="39"/>
    <w:unhideWhenUsed/>
    <w:rsid w:val="006C71DB"/>
    <w:pPr>
      <w:tabs>
        <w:tab w:val="right" w:leader="dot" w:pos="9071"/>
      </w:tabs>
      <w:spacing w:before="120" w:after="120" w:line="240" w:lineRule="auto"/>
      <w:jc w:val="both"/>
    </w:pPr>
    <w:rPr>
      <w:rFonts w:ascii="Times New Roman" w:eastAsia="Calibri" w:hAnsi="Times New Roman" w:cs="Times New Roman"/>
      <w:sz w:val="24"/>
      <w:szCs w:val="20"/>
      <w:lang w:eastAsia="en-GB"/>
    </w:rPr>
  </w:style>
  <w:style w:type="paragraph" w:customStyle="1" w:styleId="HeaderLandscape">
    <w:name w:val="HeaderLandscape"/>
    <w:basedOn w:val="Normal"/>
    <w:rsid w:val="006C71DB"/>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6C71DB"/>
    <w:pPr>
      <w:tabs>
        <w:tab w:val="center" w:pos="7285"/>
        <w:tab w:val="center" w:pos="10913"/>
        <w:tab w:val="right" w:pos="15137"/>
      </w:tabs>
      <w:spacing w:before="360" w:after="0" w:line="240" w:lineRule="auto"/>
      <w:ind w:left="-567" w:right="-567"/>
    </w:pPr>
    <w:rPr>
      <w:rFonts w:ascii="Times New Roman" w:eastAsia="Calibri" w:hAnsi="Times New Roman" w:cs="Times New Roman"/>
      <w:sz w:val="24"/>
      <w:szCs w:val="20"/>
      <w:lang w:eastAsia="en-GB"/>
    </w:rPr>
  </w:style>
  <w:style w:type="paragraph" w:customStyle="1" w:styleId="Text2">
    <w:name w:val="Text 2"/>
    <w:basedOn w:val="Normal"/>
    <w:rsid w:val="006C71DB"/>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Text3">
    <w:name w:val="Text 3"/>
    <w:basedOn w:val="Normal"/>
    <w:rsid w:val="006C71DB"/>
    <w:pPr>
      <w:spacing w:before="120" w:after="120" w:line="240" w:lineRule="auto"/>
      <w:ind w:left="1984"/>
      <w:jc w:val="both"/>
    </w:pPr>
    <w:rPr>
      <w:rFonts w:ascii="Times New Roman" w:eastAsia="Calibri" w:hAnsi="Times New Roman" w:cs="Times New Roman"/>
      <w:sz w:val="24"/>
      <w:szCs w:val="20"/>
      <w:lang w:eastAsia="en-GB"/>
    </w:rPr>
  </w:style>
  <w:style w:type="paragraph" w:customStyle="1" w:styleId="Text4">
    <w:name w:val="Text 4"/>
    <w:basedOn w:val="Normal"/>
    <w:rsid w:val="006C71DB"/>
    <w:pPr>
      <w:spacing w:before="120" w:after="120" w:line="240" w:lineRule="auto"/>
      <w:ind w:left="2551"/>
      <w:jc w:val="both"/>
    </w:pPr>
    <w:rPr>
      <w:rFonts w:ascii="Times New Roman" w:eastAsia="Calibri" w:hAnsi="Times New Roman" w:cs="Times New Roman"/>
      <w:sz w:val="24"/>
      <w:szCs w:val="20"/>
      <w:lang w:eastAsia="en-GB"/>
    </w:rPr>
  </w:style>
  <w:style w:type="paragraph" w:customStyle="1" w:styleId="NormalCentered">
    <w:name w:val="Normal Centered"/>
    <w:basedOn w:val="Normal"/>
    <w:rsid w:val="006C71DB"/>
    <w:pPr>
      <w:spacing w:before="120" w:after="120" w:line="240" w:lineRule="auto"/>
      <w:jc w:val="center"/>
    </w:pPr>
    <w:rPr>
      <w:rFonts w:ascii="Times New Roman" w:eastAsia="Calibri" w:hAnsi="Times New Roman" w:cs="Times New Roman"/>
      <w:sz w:val="24"/>
      <w:szCs w:val="20"/>
      <w:lang w:eastAsia="en-GB"/>
    </w:rPr>
  </w:style>
  <w:style w:type="paragraph" w:customStyle="1" w:styleId="NormalLeft">
    <w:name w:val="Normal Left"/>
    <w:basedOn w:val="Normal"/>
    <w:rsid w:val="006C71DB"/>
    <w:pPr>
      <w:spacing w:before="120" w:after="120" w:line="240" w:lineRule="auto"/>
    </w:pPr>
    <w:rPr>
      <w:rFonts w:ascii="Times New Roman" w:eastAsia="Calibri" w:hAnsi="Times New Roman" w:cs="Times New Roman"/>
      <w:sz w:val="24"/>
      <w:szCs w:val="20"/>
      <w:lang w:eastAsia="en-GB"/>
    </w:rPr>
  </w:style>
  <w:style w:type="paragraph" w:customStyle="1" w:styleId="NormalRight">
    <w:name w:val="Normal Right"/>
    <w:basedOn w:val="Normal"/>
    <w:rsid w:val="006C71DB"/>
    <w:pPr>
      <w:spacing w:before="120" w:after="120" w:line="240" w:lineRule="auto"/>
      <w:jc w:val="right"/>
    </w:pPr>
    <w:rPr>
      <w:rFonts w:ascii="Times New Roman" w:eastAsia="Calibri" w:hAnsi="Times New Roman" w:cs="Times New Roman"/>
      <w:sz w:val="24"/>
      <w:szCs w:val="20"/>
      <w:lang w:eastAsia="en-GB"/>
    </w:rPr>
  </w:style>
  <w:style w:type="paragraph" w:customStyle="1" w:styleId="QuotedText">
    <w:name w:val="Quoted Text"/>
    <w:basedOn w:val="Normal"/>
    <w:rsid w:val="006C71DB"/>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Point0">
    <w:name w:val="Point 0"/>
    <w:basedOn w:val="Normal"/>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Point1">
    <w:name w:val="Point 1"/>
    <w:basedOn w:val="Normal"/>
    <w:rsid w:val="006C71DB"/>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Point2">
    <w:name w:val="Point 2"/>
    <w:basedOn w:val="Normal"/>
    <w:rsid w:val="006C71DB"/>
    <w:pPr>
      <w:spacing w:before="120" w:after="120" w:line="240" w:lineRule="auto"/>
      <w:ind w:left="1984" w:hanging="567"/>
      <w:jc w:val="both"/>
    </w:pPr>
    <w:rPr>
      <w:rFonts w:ascii="Times New Roman" w:eastAsia="Calibri" w:hAnsi="Times New Roman" w:cs="Times New Roman"/>
      <w:sz w:val="24"/>
      <w:szCs w:val="20"/>
      <w:lang w:eastAsia="en-GB"/>
    </w:rPr>
  </w:style>
  <w:style w:type="paragraph" w:customStyle="1" w:styleId="Point3">
    <w:name w:val="Point 3"/>
    <w:basedOn w:val="Normal"/>
    <w:rsid w:val="006C71DB"/>
    <w:pPr>
      <w:spacing w:before="120" w:after="120" w:line="240" w:lineRule="auto"/>
      <w:ind w:left="2551" w:hanging="567"/>
      <w:jc w:val="both"/>
    </w:pPr>
    <w:rPr>
      <w:rFonts w:ascii="Times New Roman" w:eastAsia="Calibri" w:hAnsi="Times New Roman" w:cs="Times New Roman"/>
      <w:sz w:val="24"/>
      <w:szCs w:val="20"/>
      <w:lang w:eastAsia="en-GB"/>
    </w:rPr>
  </w:style>
  <w:style w:type="paragraph" w:customStyle="1" w:styleId="Point4">
    <w:name w:val="Point 4"/>
    <w:basedOn w:val="Normal"/>
    <w:rsid w:val="006C71DB"/>
    <w:pPr>
      <w:spacing w:before="120" w:after="120" w:line="240" w:lineRule="auto"/>
      <w:ind w:left="3118" w:hanging="567"/>
      <w:jc w:val="both"/>
    </w:pPr>
    <w:rPr>
      <w:rFonts w:ascii="Times New Roman" w:eastAsia="Calibri" w:hAnsi="Times New Roman" w:cs="Times New Roman"/>
      <w:sz w:val="24"/>
      <w:szCs w:val="20"/>
      <w:lang w:eastAsia="en-GB"/>
    </w:rPr>
  </w:style>
  <w:style w:type="paragraph" w:customStyle="1" w:styleId="Tiret0">
    <w:name w:val="Tiret 0"/>
    <w:basedOn w:val="Point0"/>
    <w:rsid w:val="006C71DB"/>
    <w:pPr>
      <w:numPr>
        <w:numId w:val="17"/>
      </w:numPr>
    </w:pPr>
  </w:style>
  <w:style w:type="paragraph" w:customStyle="1" w:styleId="Tiret1">
    <w:name w:val="Tiret 1"/>
    <w:basedOn w:val="Point1"/>
    <w:rsid w:val="006C71DB"/>
    <w:pPr>
      <w:numPr>
        <w:numId w:val="18"/>
      </w:numPr>
    </w:pPr>
  </w:style>
  <w:style w:type="paragraph" w:customStyle="1" w:styleId="Tiret2">
    <w:name w:val="Tiret 2"/>
    <w:basedOn w:val="Point2"/>
    <w:rsid w:val="006C71DB"/>
    <w:pPr>
      <w:numPr>
        <w:numId w:val="19"/>
      </w:numPr>
    </w:pPr>
  </w:style>
  <w:style w:type="paragraph" w:customStyle="1" w:styleId="Tiret3">
    <w:name w:val="Tiret 3"/>
    <w:basedOn w:val="Point3"/>
    <w:rsid w:val="006C71DB"/>
    <w:pPr>
      <w:numPr>
        <w:numId w:val="20"/>
      </w:numPr>
    </w:pPr>
  </w:style>
  <w:style w:type="paragraph" w:customStyle="1" w:styleId="Tiret4">
    <w:name w:val="Tiret 4"/>
    <w:basedOn w:val="Point4"/>
    <w:rsid w:val="006C71DB"/>
    <w:pPr>
      <w:numPr>
        <w:numId w:val="21"/>
      </w:numPr>
    </w:pPr>
  </w:style>
  <w:style w:type="paragraph" w:customStyle="1" w:styleId="PointDouble0">
    <w:name w:val="PointDouble 0"/>
    <w:basedOn w:val="Normal"/>
    <w:rsid w:val="006C71DB"/>
    <w:pPr>
      <w:tabs>
        <w:tab w:val="left" w:pos="850"/>
      </w:tabs>
      <w:spacing w:before="120" w:after="120" w:line="240" w:lineRule="auto"/>
      <w:ind w:left="1417" w:hanging="1417"/>
      <w:jc w:val="both"/>
    </w:pPr>
    <w:rPr>
      <w:rFonts w:ascii="Times New Roman" w:eastAsia="Calibri" w:hAnsi="Times New Roman" w:cs="Times New Roman"/>
      <w:sz w:val="24"/>
      <w:szCs w:val="20"/>
      <w:lang w:eastAsia="en-GB"/>
    </w:rPr>
  </w:style>
  <w:style w:type="paragraph" w:customStyle="1" w:styleId="PointDouble1">
    <w:name w:val="PointDouble 1"/>
    <w:basedOn w:val="Normal"/>
    <w:rsid w:val="006C71DB"/>
    <w:pPr>
      <w:tabs>
        <w:tab w:val="left" w:pos="1417"/>
      </w:tabs>
      <w:spacing w:before="120" w:after="120" w:line="240" w:lineRule="auto"/>
      <w:ind w:left="1984" w:hanging="1134"/>
      <w:jc w:val="both"/>
    </w:pPr>
    <w:rPr>
      <w:rFonts w:ascii="Times New Roman" w:eastAsia="Calibri" w:hAnsi="Times New Roman" w:cs="Times New Roman"/>
      <w:sz w:val="24"/>
      <w:szCs w:val="20"/>
      <w:lang w:eastAsia="en-GB"/>
    </w:rPr>
  </w:style>
  <w:style w:type="paragraph" w:customStyle="1" w:styleId="PointDouble2">
    <w:name w:val="PointDouble 2"/>
    <w:basedOn w:val="Normal"/>
    <w:rsid w:val="006C71DB"/>
    <w:pPr>
      <w:tabs>
        <w:tab w:val="left" w:pos="1984"/>
      </w:tabs>
      <w:spacing w:before="120" w:after="120" w:line="240" w:lineRule="auto"/>
      <w:ind w:left="2551" w:hanging="1134"/>
      <w:jc w:val="both"/>
    </w:pPr>
    <w:rPr>
      <w:rFonts w:ascii="Times New Roman" w:eastAsia="Calibri" w:hAnsi="Times New Roman" w:cs="Times New Roman"/>
      <w:sz w:val="24"/>
      <w:szCs w:val="20"/>
      <w:lang w:eastAsia="en-GB"/>
    </w:rPr>
  </w:style>
  <w:style w:type="paragraph" w:customStyle="1" w:styleId="PointDouble3">
    <w:name w:val="PointDouble 3"/>
    <w:basedOn w:val="Normal"/>
    <w:rsid w:val="006C71DB"/>
    <w:pPr>
      <w:tabs>
        <w:tab w:val="left" w:pos="2551"/>
      </w:tabs>
      <w:spacing w:before="120" w:after="120" w:line="240" w:lineRule="auto"/>
      <w:ind w:left="3118" w:hanging="1134"/>
      <w:jc w:val="both"/>
    </w:pPr>
    <w:rPr>
      <w:rFonts w:ascii="Times New Roman" w:eastAsia="Calibri" w:hAnsi="Times New Roman" w:cs="Times New Roman"/>
      <w:sz w:val="24"/>
      <w:szCs w:val="20"/>
      <w:lang w:eastAsia="en-GB"/>
    </w:rPr>
  </w:style>
  <w:style w:type="paragraph" w:customStyle="1" w:styleId="PointDouble4">
    <w:name w:val="PointDouble 4"/>
    <w:basedOn w:val="Normal"/>
    <w:rsid w:val="006C71DB"/>
    <w:pPr>
      <w:tabs>
        <w:tab w:val="left" w:pos="3118"/>
      </w:tabs>
      <w:spacing w:before="120" w:after="120" w:line="240" w:lineRule="auto"/>
      <w:ind w:left="3685" w:hanging="1134"/>
      <w:jc w:val="both"/>
    </w:pPr>
    <w:rPr>
      <w:rFonts w:ascii="Times New Roman" w:eastAsia="Calibri" w:hAnsi="Times New Roman" w:cs="Times New Roman"/>
      <w:sz w:val="24"/>
      <w:szCs w:val="20"/>
      <w:lang w:eastAsia="en-GB"/>
    </w:rPr>
  </w:style>
  <w:style w:type="paragraph" w:customStyle="1" w:styleId="PointTriple0">
    <w:name w:val="PointTriple 0"/>
    <w:basedOn w:val="Normal"/>
    <w:rsid w:val="006C71DB"/>
    <w:pPr>
      <w:tabs>
        <w:tab w:val="left" w:pos="850"/>
        <w:tab w:val="left" w:pos="1417"/>
      </w:tabs>
      <w:spacing w:before="120" w:after="120" w:line="240" w:lineRule="auto"/>
      <w:ind w:left="1984" w:hanging="1984"/>
      <w:jc w:val="both"/>
    </w:pPr>
    <w:rPr>
      <w:rFonts w:ascii="Times New Roman" w:eastAsia="Calibri" w:hAnsi="Times New Roman" w:cs="Times New Roman"/>
      <w:sz w:val="24"/>
      <w:szCs w:val="20"/>
      <w:lang w:eastAsia="en-GB"/>
    </w:rPr>
  </w:style>
  <w:style w:type="paragraph" w:customStyle="1" w:styleId="PointTriple1">
    <w:name w:val="PointTriple 1"/>
    <w:basedOn w:val="Normal"/>
    <w:rsid w:val="006C71DB"/>
    <w:pPr>
      <w:tabs>
        <w:tab w:val="left" w:pos="1417"/>
        <w:tab w:val="left" w:pos="1984"/>
      </w:tabs>
      <w:spacing w:before="120" w:after="120" w:line="240" w:lineRule="auto"/>
      <w:ind w:left="2551" w:hanging="1701"/>
      <w:jc w:val="both"/>
    </w:pPr>
    <w:rPr>
      <w:rFonts w:ascii="Times New Roman" w:eastAsia="Calibri" w:hAnsi="Times New Roman" w:cs="Times New Roman"/>
      <w:sz w:val="24"/>
      <w:szCs w:val="20"/>
      <w:lang w:eastAsia="en-GB"/>
    </w:rPr>
  </w:style>
  <w:style w:type="paragraph" w:customStyle="1" w:styleId="PointTriple2">
    <w:name w:val="PointTriple 2"/>
    <w:basedOn w:val="Normal"/>
    <w:rsid w:val="006C71DB"/>
    <w:pPr>
      <w:tabs>
        <w:tab w:val="left" w:pos="1984"/>
        <w:tab w:val="left" w:pos="2551"/>
      </w:tabs>
      <w:spacing w:before="120" w:after="120" w:line="240" w:lineRule="auto"/>
      <w:ind w:left="3118" w:hanging="1701"/>
      <w:jc w:val="both"/>
    </w:pPr>
    <w:rPr>
      <w:rFonts w:ascii="Times New Roman" w:eastAsia="Calibri" w:hAnsi="Times New Roman" w:cs="Times New Roman"/>
      <w:sz w:val="24"/>
      <w:szCs w:val="20"/>
      <w:lang w:eastAsia="en-GB"/>
    </w:rPr>
  </w:style>
  <w:style w:type="paragraph" w:customStyle="1" w:styleId="PointTriple3">
    <w:name w:val="PointTriple 3"/>
    <w:basedOn w:val="Normal"/>
    <w:rsid w:val="006C71DB"/>
    <w:pPr>
      <w:tabs>
        <w:tab w:val="left" w:pos="2551"/>
        <w:tab w:val="left" w:pos="3118"/>
      </w:tabs>
      <w:spacing w:before="120" w:after="120" w:line="240" w:lineRule="auto"/>
      <w:ind w:left="3685" w:hanging="1701"/>
      <w:jc w:val="both"/>
    </w:pPr>
    <w:rPr>
      <w:rFonts w:ascii="Times New Roman" w:eastAsia="Calibri" w:hAnsi="Times New Roman" w:cs="Times New Roman"/>
      <w:sz w:val="24"/>
      <w:szCs w:val="20"/>
      <w:lang w:eastAsia="en-GB"/>
    </w:rPr>
  </w:style>
  <w:style w:type="paragraph" w:customStyle="1" w:styleId="PointTriple4">
    <w:name w:val="PointTriple 4"/>
    <w:basedOn w:val="Normal"/>
    <w:rsid w:val="006C71DB"/>
    <w:pPr>
      <w:tabs>
        <w:tab w:val="left" w:pos="3118"/>
        <w:tab w:val="left" w:pos="3685"/>
      </w:tabs>
      <w:spacing w:before="120" w:after="120" w:line="240" w:lineRule="auto"/>
      <w:ind w:left="4252" w:hanging="1701"/>
      <w:jc w:val="both"/>
    </w:pPr>
    <w:rPr>
      <w:rFonts w:ascii="Times New Roman" w:eastAsia="Calibri" w:hAnsi="Times New Roman" w:cs="Times New Roman"/>
      <w:sz w:val="24"/>
      <w:szCs w:val="20"/>
      <w:lang w:eastAsia="en-GB"/>
    </w:rPr>
  </w:style>
  <w:style w:type="paragraph" w:customStyle="1" w:styleId="NumPar1">
    <w:name w:val="NumPar 1"/>
    <w:basedOn w:val="Normal"/>
    <w:next w:val="Text1"/>
    <w:rsid w:val="006C71DB"/>
    <w:pPr>
      <w:numPr>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2">
    <w:name w:val="NumPar 2"/>
    <w:basedOn w:val="Normal"/>
    <w:next w:val="Text1"/>
    <w:rsid w:val="006C71DB"/>
    <w:pPr>
      <w:numPr>
        <w:ilvl w:val="1"/>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3">
    <w:name w:val="NumPar 3"/>
    <w:basedOn w:val="Normal"/>
    <w:next w:val="Text1"/>
    <w:rsid w:val="006C71DB"/>
    <w:pPr>
      <w:numPr>
        <w:ilvl w:val="2"/>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4">
    <w:name w:val="NumPar 4"/>
    <w:basedOn w:val="Normal"/>
    <w:next w:val="Text1"/>
    <w:rsid w:val="006C71DB"/>
    <w:pPr>
      <w:numPr>
        <w:ilvl w:val="3"/>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ManualNumPar1">
    <w:name w:val="Manual NumPar 1"/>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2">
    <w:name w:val="Manual NumPar 2"/>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3">
    <w:name w:val="Manual NumPar 3"/>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4">
    <w:name w:val="Manual NumPar 4"/>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QuotedNumPar">
    <w:name w:val="Quoted NumPar"/>
    <w:basedOn w:val="Normal"/>
    <w:rsid w:val="006C71DB"/>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ManualHeading1">
    <w:name w:val="Manual Heading 1"/>
    <w:basedOn w:val="Normal"/>
    <w:next w:val="Text1"/>
    <w:rsid w:val="006C71DB"/>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szCs w:val="20"/>
      <w:lang w:eastAsia="en-GB"/>
    </w:rPr>
  </w:style>
  <w:style w:type="paragraph" w:customStyle="1" w:styleId="ManualHeading2">
    <w:name w:val="Manual Heading 2"/>
    <w:basedOn w:val="Normal"/>
    <w:next w:val="Text1"/>
    <w:rsid w:val="006C71DB"/>
    <w:pPr>
      <w:keepNext/>
      <w:tabs>
        <w:tab w:val="left" w:pos="850"/>
      </w:tabs>
      <w:spacing w:before="120" w:after="120" w:line="240" w:lineRule="auto"/>
      <w:ind w:left="850" w:hanging="850"/>
      <w:jc w:val="both"/>
      <w:outlineLvl w:val="1"/>
    </w:pPr>
    <w:rPr>
      <w:rFonts w:ascii="Times New Roman" w:eastAsia="Calibri" w:hAnsi="Times New Roman" w:cs="Times New Roman"/>
      <w:b/>
      <w:sz w:val="24"/>
      <w:szCs w:val="20"/>
      <w:lang w:eastAsia="en-GB"/>
    </w:rPr>
  </w:style>
  <w:style w:type="paragraph" w:customStyle="1" w:styleId="ManualHeading3">
    <w:name w:val="Manual Heading 3"/>
    <w:basedOn w:val="Normal"/>
    <w:next w:val="Text1"/>
    <w:rsid w:val="006C71DB"/>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ManualHeading4">
    <w:name w:val="Manual Heading 4"/>
    <w:basedOn w:val="Normal"/>
    <w:next w:val="Text1"/>
    <w:rsid w:val="006C71DB"/>
    <w:pPr>
      <w:keepNext/>
      <w:tabs>
        <w:tab w:val="left" w:pos="850"/>
      </w:tabs>
      <w:spacing w:before="120" w:after="120" w:line="240" w:lineRule="auto"/>
      <w:ind w:left="850" w:hanging="850"/>
      <w:jc w:val="both"/>
      <w:outlineLvl w:val="3"/>
    </w:pPr>
    <w:rPr>
      <w:rFonts w:ascii="Times New Roman" w:eastAsia="Calibri" w:hAnsi="Times New Roman" w:cs="Times New Roman"/>
      <w:sz w:val="24"/>
      <w:szCs w:val="20"/>
      <w:lang w:eastAsia="en-GB"/>
    </w:rPr>
  </w:style>
  <w:style w:type="paragraph" w:customStyle="1" w:styleId="ChapterTitle">
    <w:name w:val="ChapterTitle"/>
    <w:basedOn w:val="Normal"/>
    <w:next w:val="Normal"/>
    <w:rsid w:val="006C71DB"/>
    <w:pPr>
      <w:keepNext/>
      <w:spacing w:before="120" w:after="360" w:line="240" w:lineRule="auto"/>
      <w:jc w:val="center"/>
    </w:pPr>
    <w:rPr>
      <w:rFonts w:ascii="Times New Roman" w:eastAsia="Calibri" w:hAnsi="Times New Roman" w:cs="Times New Roman"/>
      <w:b/>
      <w:sz w:val="32"/>
      <w:szCs w:val="20"/>
      <w:lang w:eastAsia="en-GB"/>
    </w:rPr>
  </w:style>
  <w:style w:type="paragraph" w:customStyle="1" w:styleId="PartTitle">
    <w:name w:val="PartTitle"/>
    <w:basedOn w:val="Normal"/>
    <w:next w:val="ChapterTitle"/>
    <w:rsid w:val="006C71DB"/>
    <w:pPr>
      <w:keepNext/>
      <w:pageBreakBefore/>
      <w:spacing w:before="120" w:after="360" w:line="240" w:lineRule="auto"/>
      <w:jc w:val="center"/>
    </w:pPr>
    <w:rPr>
      <w:rFonts w:ascii="Times New Roman" w:eastAsia="Calibri" w:hAnsi="Times New Roman" w:cs="Times New Roman"/>
      <w:b/>
      <w:sz w:val="36"/>
      <w:szCs w:val="20"/>
      <w:lang w:eastAsia="en-GB"/>
    </w:rPr>
  </w:style>
  <w:style w:type="paragraph" w:customStyle="1" w:styleId="SectionTitle">
    <w:name w:val="SectionTitle"/>
    <w:basedOn w:val="Normal"/>
    <w:next w:val="Heading1"/>
    <w:rsid w:val="006C71DB"/>
    <w:pPr>
      <w:keepNext/>
      <w:spacing w:before="120" w:after="360" w:line="240" w:lineRule="auto"/>
      <w:jc w:val="center"/>
    </w:pPr>
    <w:rPr>
      <w:rFonts w:ascii="Times New Roman" w:eastAsia="Calibri" w:hAnsi="Times New Roman" w:cs="Times New Roman"/>
      <w:b/>
      <w:smallCaps/>
      <w:sz w:val="28"/>
      <w:szCs w:val="20"/>
      <w:lang w:eastAsia="en-GB"/>
    </w:rPr>
  </w:style>
  <w:style w:type="paragraph" w:customStyle="1" w:styleId="TableTitle">
    <w:name w:val="Table Title"/>
    <w:basedOn w:val="Normal"/>
    <w:next w:val="Normal"/>
    <w:rsid w:val="006C71DB"/>
    <w:pPr>
      <w:spacing w:before="120" w:after="120" w:line="240" w:lineRule="auto"/>
      <w:jc w:val="center"/>
    </w:pPr>
    <w:rPr>
      <w:rFonts w:ascii="Times New Roman" w:eastAsia="Calibri" w:hAnsi="Times New Roman" w:cs="Times New Roman"/>
      <w:b/>
      <w:sz w:val="24"/>
      <w:szCs w:val="20"/>
      <w:lang w:eastAsia="en-GB"/>
    </w:rPr>
  </w:style>
  <w:style w:type="character" w:customStyle="1" w:styleId="Marker">
    <w:name w:val="Marker"/>
    <w:rsid w:val="006C71DB"/>
    <w:rPr>
      <w:color w:val="0000FF"/>
      <w:shd w:val="clear" w:color="auto" w:fill="auto"/>
    </w:rPr>
  </w:style>
  <w:style w:type="character" w:customStyle="1" w:styleId="Marker1">
    <w:name w:val="Marker1"/>
    <w:rsid w:val="006C71DB"/>
    <w:rPr>
      <w:color w:val="008000"/>
      <w:shd w:val="clear" w:color="auto" w:fill="auto"/>
    </w:rPr>
  </w:style>
  <w:style w:type="character" w:customStyle="1" w:styleId="Marker2">
    <w:name w:val="Marker2"/>
    <w:rsid w:val="006C71DB"/>
    <w:rPr>
      <w:color w:val="FF0000"/>
      <w:shd w:val="clear" w:color="auto" w:fill="auto"/>
    </w:rPr>
  </w:style>
  <w:style w:type="paragraph" w:customStyle="1" w:styleId="Point0number">
    <w:name w:val="Point 0 (number)"/>
    <w:basedOn w:val="Normal"/>
    <w:rsid w:val="006C71DB"/>
    <w:pPr>
      <w:spacing w:before="120" w:after="120" w:line="240" w:lineRule="auto"/>
      <w:jc w:val="both"/>
    </w:pPr>
    <w:rPr>
      <w:rFonts w:ascii="Times New Roman" w:eastAsia="Calibri" w:hAnsi="Times New Roman" w:cs="Times New Roman"/>
      <w:sz w:val="24"/>
      <w:szCs w:val="20"/>
      <w:lang w:eastAsia="en-GB"/>
    </w:rPr>
  </w:style>
  <w:style w:type="paragraph" w:customStyle="1" w:styleId="Point1number">
    <w:name w:val="Point 1 (number)"/>
    <w:basedOn w:val="Normal"/>
    <w:rsid w:val="006C71DB"/>
    <w:pPr>
      <w:numPr>
        <w:ilvl w:val="2"/>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2number">
    <w:name w:val="Point 2 (number)"/>
    <w:basedOn w:val="Normal"/>
    <w:rsid w:val="006C71DB"/>
    <w:pPr>
      <w:numPr>
        <w:ilvl w:val="4"/>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3number">
    <w:name w:val="Point 3 (number)"/>
    <w:basedOn w:val="Normal"/>
    <w:rsid w:val="006C71DB"/>
    <w:pPr>
      <w:numPr>
        <w:ilvl w:val="6"/>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0letter">
    <w:name w:val="Point 0 (letter)"/>
    <w:basedOn w:val="Normal"/>
    <w:rsid w:val="006C71DB"/>
    <w:pPr>
      <w:numPr>
        <w:ilvl w:val="1"/>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1letter">
    <w:name w:val="Point 1 (letter)"/>
    <w:basedOn w:val="Normal"/>
    <w:rsid w:val="006C71DB"/>
    <w:pPr>
      <w:numPr>
        <w:ilvl w:val="3"/>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2letter">
    <w:name w:val="Point 2 (letter)"/>
    <w:basedOn w:val="Normal"/>
    <w:rsid w:val="006C71DB"/>
    <w:pPr>
      <w:numPr>
        <w:ilvl w:val="5"/>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3letter">
    <w:name w:val="Point 3 (letter)"/>
    <w:basedOn w:val="Normal"/>
    <w:rsid w:val="006C71DB"/>
    <w:pPr>
      <w:numPr>
        <w:ilvl w:val="7"/>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4letter">
    <w:name w:val="Point 4 (letter)"/>
    <w:basedOn w:val="Normal"/>
    <w:rsid w:val="006C71DB"/>
    <w:pPr>
      <w:numPr>
        <w:ilvl w:val="8"/>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Bullet0">
    <w:name w:val="Bullet 0"/>
    <w:basedOn w:val="Normal"/>
    <w:rsid w:val="006C71DB"/>
    <w:pPr>
      <w:numPr>
        <w:numId w:val="10"/>
      </w:numPr>
      <w:spacing w:before="120" w:after="120" w:line="240" w:lineRule="auto"/>
      <w:jc w:val="both"/>
    </w:pPr>
    <w:rPr>
      <w:rFonts w:ascii="Times New Roman" w:eastAsia="Calibri" w:hAnsi="Times New Roman" w:cs="Times New Roman"/>
      <w:sz w:val="24"/>
      <w:szCs w:val="20"/>
      <w:lang w:eastAsia="en-GB"/>
    </w:rPr>
  </w:style>
  <w:style w:type="paragraph" w:customStyle="1" w:styleId="Bullet1">
    <w:name w:val="Bullet 1"/>
    <w:basedOn w:val="Normal"/>
    <w:rsid w:val="006C71DB"/>
    <w:pPr>
      <w:numPr>
        <w:numId w:val="12"/>
      </w:numPr>
      <w:spacing w:before="120" w:after="120" w:line="240" w:lineRule="auto"/>
      <w:jc w:val="both"/>
    </w:pPr>
    <w:rPr>
      <w:rFonts w:ascii="Times New Roman" w:eastAsia="Calibri" w:hAnsi="Times New Roman" w:cs="Times New Roman"/>
      <w:sz w:val="24"/>
      <w:szCs w:val="20"/>
      <w:lang w:eastAsia="en-GB"/>
    </w:rPr>
  </w:style>
  <w:style w:type="paragraph" w:customStyle="1" w:styleId="Bullet2">
    <w:name w:val="Bullet 2"/>
    <w:basedOn w:val="Normal"/>
    <w:rsid w:val="006C71DB"/>
    <w:pPr>
      <w:numPr>
        <w:numId w:val="23"/>
      </w:numPr>
      <w:spacing w:before="120" w:after="120" w:line="240" w:lineRule="auto"/>
      <w:jc w:val="both"/>
    </w:pPr>
    <w:rPr>
      <w:rFonts w:ascii="Times New Roman" w:eastAsia="Calibri" w:hAnsi="Times New Roman" w:cs="Times New Roman"/>
      <w:sz w:val="24"/>
      <w:szCs w:val="20"/>
      <w:lang w:eastAsia="en-GB"/>
    </w:rPr>
  </w:style>
  <w:style w:type="paragraph" w:customStyle="1" w:styleId="Bullet3">
    <w:name w:val="Bullet 3"/>
    <w:basedOn w:val="Normal"/>
    <w:rsid w:val="006C71DB"/>
    <w:pPr>
      <w:numPr>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Bullet4">
    <w:name w:val="Bullet 4"/>
    <w:basedOn w:val="Normal"/>
    <w:rsid w:val="006C71DB"/>
    <w:pPr>
      <w:numPr>
        <w:numId w:val="25"/>
      </w:numPr>
      <w:spacing w:before="120" w:after="120" w:line="240" w:lineRule="auto"/>
      <w:jc w:val="both"/>
    </w:pPr>
    <w:rPr>
      <w:rFonts w:ascii="Times New Roman" w:eastAsia="Calibri" w:hAnsi="Times New Roman" w:cs="Times New Roman"/>
      <w:sz w:val="24"/>
      <w:szCs w:val="20"/>
      <w:lang w:eastAsia="en-GB"/>
    </w:rPr>
  </w:style>
  <w:style w:type="paragraph" w:customStyle="1" w:styleId="Annexetitreexpos">
    <w:name w:val="Annexe titre (exposé)"/>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
    <w:name w:val="Annexe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fichefinancire">
    <w:name w:val="Annexe titre (fiche financiè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pplicationdirecte">
    <w:name w:val="Application directe"/>
    <w:basedOn w:val="Normal"/>
    <w:next w:val="Fait"/>
    <w:rsid w:val="006C71DB"/>
    <w:pPr>
      <w:spacing w:before="480" w:after="120" w:line="240" w:lineRule="auto"/>
      <w:jc w:val="both"/>
    </w:pPr>
    <w:rPr>
      <w:rFonts w:ascii="Times New Roman" w:eastAsia="Calibri" w:hAnsi="Times New Roman" w:cs="Times New Roman"/>
      <w:sz w:val="24"/>
      <w:szCs w:val="20"/>
      <w:lang w:eastAsia="en-GB"/>
    </w:rPr>
  </w:style>
  <w:style w:type="paragraph" w:customStyle="1" w:styleId="Avertissementtitre">
    <w:name w:val="Avertissement titre"/>
    <w:basedOn w:val="Normal"/>
    <w:next w:val="Normal"/>
    <w:rsid w:val="006C71DB"/>
    <w:pPr>
      <w:keepNext/>
      <w:spacing w:before="480" w:after="120" w:line="240" w:lineRule="auto"/>
      <w:jc w:val="both"/>
    </w:pPr>
    <w:rPr>
      <w:rFonts w:ascii="Times New Roman" w:eastAsia="Calibri" w:hAnsi="Times New Roman" w:cs="Times New Roman"/>
      <w:sz w:val="24"/>
      <w:szCs w:val="20"/>
      <w:u w:val="single"/>
      <w:lang w:eastAsia="en-GB"/>
    </w:rPr>
  </w:style>
  <w:style w:type="paragraph" w:customStyle="1" w:styleId="Confidence">
    <w:name w:val="Confidence"/>
    <w:basedOn w:val="Normal"/>
    <w:next w:val="Normal"/>
    <w:rsid w:val="006C71DB"/>
    <w:pPr>
      <w:spacing w:before="360" w:after="120" w:line="240" w:lineRule="auto"/>
      <w:jc w:val="center"/>
    </w:pPr>
    <w:rPr>
      <w:rFonts w:ascii="Times New Roman" w:eastAsia="Calibri" w:hAnsi="Times New Roman" w:cs="Times New Roman"/>
      <w:sz w:val="24"/>
      <w:szCs w:val="20"/>
      <w:lang w:eastAsia="en-GB"/>
    </w:rPr>
  </w:style>
  <w:style w:type="paragraph" w:customStyle="1" w:styleId="Confidentialit">
    <w:name w:val="Confidentialité"/>
    <w:basedOn w:val="Normal"/>
    <w:next w:val="TypedudocumentPagedecouverture"/>
    <w:rsid w:val="006C71DB"/>
    <w:pPr>
      <w:spacing w:before="240" w:after="240" w:line="240" w:lineRule="auto"/>
      <w:ind w:left="5103"/>
    </w:pPr>
    <w:rPr>
      <w:rFonts w:ascii="Times New Roman" w:eastAsia="Calibri" w:hAnsi="Times New Roman" w:cs="Times New Roman"/>
      <w:i/>
      <w:sz w:val="32"/>
      <w:szCs w:val="20"/>
      <w:lang w:eastAsia="en-GB"/>
    </w:rPr>
  </w:style>
  <w:style w:type="paragraph" w:customStyle="1" w:styleId="Considrant">
    <w:name w:val="Considérant"/>
    <w:basedOn w:val="Normal"/>
    <w:rsid w:val="006C71DB"/>
    <w:pPr>
      <w:numPr>
        <w:numId w:val="26"/>
      </w:numPr>
      <w:spacing w:before="120" w:after="120" w:line="240" w:lineRule="auto"/>
      <w:jc w:val="both"/>
    </w:pPr>
    <w:rPr>
      <w:rFonts w:ascii="Times New Roman" w:eastAsia="Calibri" w:hAnsi="Times New Roman" w:cs="Times New Roman"/>
      <w:sz w:val="24"/>
      <w:szCs w:val="20"/>
      <w:lang w:eastAsia="en-GB"/>
    </w:rPr>
  </w:style>
  <w:style w:type="paragraph" w:customStyle="1" w:styleId="Corrigendum">
    <w:name w:val="Corrigendum"/>
    <w:basedOn w:val="Normal"/>
    <w:next w:val="Normal"/>
    <w:rsid w:val="006C71DB"/>
    <w:pPr>
      <w:spacing w:after="240" w:line="240" w:lineRule="auto"/>
    </w:pPr>
    <w:rPr>
      <w:rFonts w:ascii="Times New Roman" w:eastAsia="Calibri" w:hAnsi="Times New Roman" w:cs="Times New Roman"/>
      <w:sz w:val="24"/>
      <w:szCs w:val="20"/>
      <w:lang w:eastAsia="en-GB"/>
    </w:rPr>
  </w:style>
  <w:style w:type="paragraph" w:customStyle="1" w:styleId="Datedadoption">
    <w:name w:val="Date d'adoption"/>
    <w:basedOn w:val="Normal"/>
    <w:next w:val="Titreobjet"/>
    <w:rsid w:val="006C71DB"/>
    <w:pPr>
      <w:spacing w:before="360" w:after="0" w:line="240" w:lineRule="auto"/>
      <w:jc w:val="center"/>
    </w:pPr>
    <w:rPr>
      <w:rFonts w:ascii="Times New Roman" w:eastAsia="Calibri" w:hAnsi="Times New Roman" w:cs="Times New Roman"/>
      <w:b/>
      <w:sz w:val="24"/>
      <w:szCs w:val="20"/>
      <w:lang w:eastAsia="en-GB"/>
    </w:rPr>
  </w:style>
  <w:style w:type="paragraph" w:customStyle="1" w:styleId="Emission">
    <w:name w:val="Emission"/>
    <w:basedOn w:val="Normal"/>
    <w:next w:val="Rfrenceinstitutionnelle"/>
    <w:rsid w:val="006C71DB"/>
    <w:pPr>
      <w:spacing w:after="0" w:line="240" w:lineRule="auto"/>
      <w:ind w:left="5103"/>
    </w:pPr>
    <w:rPr>
      <w:rFonts w:ascii="Times New Roman" w:eastAsia="Calibri" w:hAnsi="Times New Roman" w:cs="Times New Roman"/>
      <w:sz w:val="24"/>
      <w:szCs w:val="20"/>
      <w:lang w:eastAsia="en-GB"/>
    </w:rPr>
  </w:style>
  <w:style w:type="paragraph" w:customStyle="1" w:styleId="Exposdesmotifstitre">
    <w:name w:val="Exposé des motifs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Fait">
    <w:name w:val="Fait à"/>
    <w:basedOn w:val="Normal"/>
    <w:next w:val="Institutionquisigne"/>
    <w:rsid w:val="006C71DB"/>
    <w:pPr>
      <w:keepNext/>
      <w:spacing w:before="120" w:after="0" w:line="240" w:lineRule="auto"/>
      <w:jc w:val="both"/>
    </w:pPr>
    <w:rPr>
      <w:rFonts w:ascii="Times New Roman" w:eastAsia="Calibri" w:hAnsi="Times New Roman" w:cs="Times New Roman"/>
      <w:sz w:val="24"/>
      <w:szCs w:val="20"/>
      <w:lang w:eastAsia="en-GB"/>
    </w:rPr>
  </w:style>
  <w:style w:type="paragraph" w:customStyle="1" w:styleId="Formuledadoption">
    <w:name w:val="Formule d'adoption"/>
    <w:basedOn w:val="Normal"/>
    <w:next w:val="Titrearticle"/>
    <w:rsid w:val="006C71DB"/>
    <w:pPr>
      <w:keepNext/>
      <w:spacing w:before="120" w:after="120" w:line="240" w:lineRule="auto"/>
      <w:jc w:val="both"/>
    </w:pPr>
    <w:rPr>
      <w:rFonts w:ascii="Times New Roman" w:eastAsia="Calibri" w:hAnsi="Times New Roman" w:cs="Times New Roman"/>
      <w:sz w:val="24"/>
      <w:szCs w:val="20"/>
      <w:lang w:eastAsia="en-GB"/>
    </w:rPr>
  </w:style>
  <w:style w:type="paragraph" w:customStyle="1" w:styleId="Institutionquiagit">
    <w:name w:val="Institution qui agit"/>
    <w:basedOn w:val="Normal"/>
    <w:next w:val="Normal"/>
    <w:rsid w:val="006C71DB"/>
    <w:pPr>
      <w:keepNext/>
      <w:spacing w:before="600" w:after="120" w:line="240" w:lineRule="auto"/>
      <w:jc w:val="both"/>
    </w:pPr>
    <w:rPr>
      <w:rFonts w:ascii="Times New Roman" w:eastAsia="Calibri" w:hAnsi="Times New Roman" w:cs="Times New Roman"/>
      <w:sz w:val="24"/>
      <w:szCs w:val="20"/>
      <w:lang w:eastAsia="en-GB"/>
    </w:rPr>
  </w:style>
  <w:style w:type="paragraph" w:customStyle="1" w:styleId="Institutionquisigne">
    <w:name w:val="Institution qui signe"/>
    <w:basedOn w:val="Normal"/>
    <w:next w:val="Personnequisigne"/>
    <w:rsid w:val="006C71DB"/>
    <w:pPr>
      <w:keepNext/>
      <w:tabs>
        <w:tab w:val="left" w:pos="4252"/>
      </w:tabs>
      <w:spacing w:before="720" w:after="0" w:line="240" w:lineRule="auto"/>
      <w:jc w:val="both"/>
    </w:pPr>
    <w:rPr>
      <w:rFonts w:ascii="Times New Roman" w:eastAsia="Calibri" w:hAnsi="Times New Roman" w:cs="Times New Roman"/>
      <w:i/>
      <w:sz w:val="24"/>
      <w:szCs w:val="20"/>
      <w:lang w:eastAsia="en-GB"/>
    </w:rPr>
  </w:style>
  <w:style w:type="paragraph" w:customStyle="1" w:styleId="Langue">
    <w:name w:val="Langue"/>
    <w:basedOn w:val="Normal"/>
    <w:next w:val="Rfrenceinterne"/>
    <w:rsid w:val="006C71DB"/>
    <w:pPr>
      <w:framePr w:wrap="around" w:vAnchor="page" w:hAnchor="text" w:xAlign="center" w:y="14741"/>
      <w:spacing w:after="600" w:line="240" w:lineRule="auto"/>
      <w:jc w:val="center"/>
    </w:pPr>
    <w:rPr>
      <w:rFonts w:ascii="Times New Roman" w:eastAsia="Calibri" w:hAnsi="Times New Roman" w:cs="Times New Roman"/>
      <w:b/>
      <w:caps/>
      <w:sz w:val="24"/>
      <w:szCs w:val="20"/>
      <w:lang w:eastAsia="en-GB"/>
    </w:rPr>
  </w:style>
  <w:style w:type="paragraph" w:customStyle="1" w:styleId="ManualConsidrant">
    <w:name w:val="Manual Considérant"/>
    <w:basedOn w:val="Normal"/>
    <w:rsid w:val="006C71DB"/>
    <w:pPr>
      <w:spacing w:before="120" w:after="120" w:line="240" w:lineRule="auto"/>
      <w:ind w:left="709" w:hanging="709"/>
      <w:jc w:val="both"/>
    </w:pPr>
    <w:rPr>
      <w:rFonts w:ascii="Times New Roman" w:eastAsia="Calibri" w:hAnsi="Times New Roman" w:cs="Times New Roman"/>
      <w:sz w:val="24"/>
      <w:szCs w:val="20"/>
      <w:lang w:eastAsia="en-GB"/>
    </w:rPr>
  </w:style>
  <w:style w:type="paragraph" w:customStyle="1" w:styleId="Nomdelinstitution">
    <w:name w:val="Nom de l'institution"/>
    <w:basedOn w:val="Normal"/>
    <w:next w:val="Emission"/>
    <w:rsid w:val="006C71DB"/>
    <w:pPr>
      <w:spacing w:after="0" w:line="240" w:lineRule="auto"/>
    </w:pPr>
    <w:rPr>
      <w:rFonts w:ascii="Arial" w:eastAsia="Calibri" w:hAnsi="Arial" w:cs="Arial"/>
      <w:sz w:val="24"/>
      <w:szCs w:val="20"/>
      <w:lang w:eastAsia="en-GB"/>
    </w:rPr>
  </w:style>
  <w:style w:type="paragraph" w:customStyle="1" w:styleId="Personnequisigne">
    <w:name w:val="Personne qui signe"/>
    <w:basedOn w:val="Normal"/>
    <w:next w:val="Institutionquisigne"/>
    <w:rsid w:val="006C71DB"/>
    <w:pPr>
      <w:tabs>
        <w:tab w:val="left" w:pos="4252"/>
      </w:tabs>
      <w:spacing w:after="0" w:line="240" w:lineRule="auto"/>
    </w:pPr>
    <w:rPr>
      <w:rFonts w:ascii="Times New Roman" w:eastAsia="Calibri" w:hAnsi="Times New Roman" w:cs="Times New Roman"/>
      <w:i/>
      <w:sz w:val="24"/>
      <w:szCs w:val="20"/>
      <w:lang w:eastAsia="en-GB"/>
    </w:rPr>
  </w:style>
  <w:style w:type="paragraph" w:customStyle="1" w:styleId="Rfrenceinstitutionnelle">
    <w:name w:val="Référence institutionnelle"/>
    <w:basedOn w:val="Normal"/>
    <w:next w:val="Confidentialit"/>
    <w:rsid w:val="006C71DB"/>
    <w:pPr>
      <w:spacing w:after="240" w:line="240" w:lineRule="auto"/>
      <w:ind w:left="5103"/>
    </w:pPr>
    <w:rPr>
      <w:rFonts w:ascii="Times New Roman" w:eastAsia="Calibri" w:hAnsi="Times New Roman" w:cs="Times New Roman"/>
      <w:sz w:val="24"/>
      <w:szCs w:val="20"/>
      <w:lang w:eastAsia="en-GB"/>
    </w:rPr>
  </w:style>
  <w:style w:type="paragraph" w:customStyle="1" w:styleId="Rfrenceinterinstitutionnelle">
    <w:name w:val="Référence interinstitutionnelle"/>
    <w:basedOn w:val="Normal"/>
    <w:next w:val="Statut"/>
    <w:rsid w:val="006C71DB"/>
    <w:pPr>
      <w:spacing w:after="0" w:line="240" w:lineRule="auto"/>
      <w:ind w:left="5103"/>
    </w:pPr>
    <w:rPr>
      <w:rFonts w:ascii="Times New Roman" w:eastAsia="Calibri" w:hAnsi="Times New Roman" w:cs="Times New Roman"/>
      <w:sz w:val="24"/>
      <w:szCs w:val="20"/>
      <w:lang w:eastAsia="en-GB"/>
    </w:rPr>
  </w:style>
  <w:style w:type="paragraph" w:customStyle="1" w:styleId="Rfrenceinterne">
    <w:name w:val="Référence interne"/>
    <w:basedOn w:val="Normal"/>
    <w:next w:val="Rfrenceinterinstitutionnelle"/>
    <w:rsid w:val="006C71DB"/>
    <w:pPr>
      <w:spacing w:after="0" w:line="240" w:lineRule="auto"/>
      <w:ind w:left="5103"/>
    </w:pPr>
    <w:rPr>
      <w:rFonts w:ascii="Times New Roman" w:eastAsia="Calibri" w:hAnsi="Times New Roman" w:cs="Times New Roman"/>
      <w:sz w:val="24"/>
      <w:szCs w:val="20"/>
      <w:lang w:eastAsia="en-GB"/>
    </w:rPr>
  </w:style>
  <w:style w:type="paragraph" w:customStyle="1" w:styleId="Sous-titreobjet">
    <w:name w:val="Sous-titre objet"/>
    <w:basedOn w:val="Normal"/>
    <w:rsid w:val="006C71DB"/>
    <w:pPr>
      <w:spacing w:after="0" w:line="240" w:lineRule="auto"/>
      <w:jc w:val="center"/>
    </w:pPr>
    <w:rPr>
      <w:rFonts w:ascii="Times New Roman" w:eastAsia="Calibri" w:hAnsi="Times New Roman" w:cs="Times New Roman"/>
      <w:b/>
      <w:sz w:val="24"/>
      <w:szCs w:val="20"/>
      <w:lang w:eastAsia="en-GB"/>
    </w:rPr>
  </w:style>
  <w:style w:type="paragraph" w:customStyle="1" w:styleId="Statut">
    <w:name w:val="Statut"/>
    <w:basedOn w:val="Normal"/>
    <w:next w:val="Typedudocument"/>
    <w:rsid w:val="006C71DB"/>
    <w:pPr>
      <w:spacing w:before="360" w:after="0" w:line="240" w:lineRule="auto"/>
      <w:jc w:val="center"/>
    </w:pPr>
    <w:rPr>
      <w:rFonts w:ascii="Times New Roman" w:eastAsia="Calibri" w:hAnsi="Times New Roman" w:cs="Times New Roman"/>
      <w:sz w:val="24"/>
      <w:szCs w:val="20"/>
      <w:lang w:eastAsia="en-GB"/>
    </w:rPr>
  </w:style>
  <w:style w:type="paragraph" w:customStyle="1" w:styleId="Titrearticle">
    <w:name w:val="Titre article"/>
    <w:basedOn w:val="Normal"/>
    <w:next w:val="Normal"/>
    <w:rsid w:val="006C71DB"/>
    <w:pPr>
      <w:keepNext/>
      <w:spacing w:before="360" w:after="120" w:line="240" w:lineRule="auto"/>
      <w:jc w:val="center"/>
    </w:pPr>
    <w:rPr>
      <w:rFonts w:ascii="Times New Roman" w:eastAsia="Calibri" w:hAnsi="Times New Roman" w:cs="Times New Roman"/>
      <w:i/>
      <w:sz w:val="24"/>
      <w:szCs w:val="20"/>
      <w:lang w:eastAsia="en-GB"/>
    </w:rPr>
  </w:style>
  <w:style w:type="paragraph" w:customStyle="1" w:styleId="Titreobjet">
    <w:name w:val="Titre objet"/>
    <w:basedOn w:val="Normal"/>
    <w:next w:val="Sous-titreobjet"/>
    <w:rsid w:val="006C71DB"/>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6C71DB"/>
    <w:pPr>
      <w:spacing w:before="360" w:after="0" w:line="240" w:lineRule="auto"/>
      <w:jc w:val="center"/>
    </w:pPr>
    <w:rPr>
      <w:rFonts w:ascii="Times New Roman" w:eastAsia="Calibri" w:hAnsi="Times New Roman" w:cs="Times New Roman"/>
      <w:b/>
      <w:sz w:val="24"/>
      <w:szCs w:val="20"/>
      <w:lang w:eastAsia="en-GB"/>
    </w:rPr>
  </w:style>
  <w:style w:type="character" w:customStyle="1" w:styleId="Added">
    <w:name w:val="Added"/>
    <w:rsid w:val="006C71DB"/>
    <w:rPr>
      <w:b/>
      <w:u w:val="single"/>
      <w:shd w:val="clear" w:color="auto" w:fill="auto"/>
    </w:rPr>
  </w:style>
  <w:style w:type="character" w:customStyle="1" w:styleId="Deleted">
    <w:name w:val="Deleted"/>
    <w:rsid w:val="006C71DB"/>
    <w:rPr>
      <w:strike/>
      <w:dstrike w:val="0"/>
      <w:shd w:val="clear" w:color="auto" w:fill="auto"/>
    </w:rPr>
  </w:style>
  <w:style w:type="paragraph" w:customStyle="1" w:styleId="Address">
    <w:name w:val="Address"/>
    <w:basedOn w:val="Normal"/>
    <w:next w:val="Normal"/>
    <w:rsid w:val="006C71DB"/>
    <w:pPr>
      <w:keepLines/>
      <w:spacing w:before="120" w:after="120" w:line="360" w:lineRule="auto"/>
      <w:ind w:left="3402"/>
    </w:pPr>
    <w:rPr>
      <w:rFonts w:ascii="Times New Roman" w:eastAsia="Calibri" w:hAnsi="Times New Roman" w:cs="Times New Roman"/>
      <w:sz w:val="24"/>
      <w:szCs w:val="20"/>
      <w:lang w:eastAsia="en-GB"/>
    </w:rPr>
  </w:style>
  <w:style w:type="paragraph" w:customStyle="1" w:styleId="Objetexterne">
    <w:name w:val="Objet externe"/>
    <w:basedOn w:val="Normal"/>
    <w:next w:val="Normal"/>
    <w:rsid w:val="006C71DB"/>
    <w:pPr>
      <w:spacing w:before="120" w:after="120" w:line="240" w:lineRule="auto"/>
      <w:jc w:val="both"/>
    </w:pPr>
    <w:rPr>
      <w:rFonts w:ascii="Times New Roman" w:eastAsia="Calibri" w:hAnsi="Times New Roman" w:cs="Times New Roman"/>
      <w:i/>
      <w:caps/>
      <w:sz w:val="24"/>
      <w:szCs w:val="20"/>
      <w:lang w:eastAsia="en-GB"/>
    </w:rPr>
  </w:style>
  <w:style w:type="paragraph" w:customStyle="1" w:styleId="Pagedecouverture">
    <w:name w:val="Page de couverture"/>
    <w:basedOn w:val="Normal"/>
    <w:next w:val="Normal"/>
    <w:rsid w:val="006C71DB"/>
    <w:pPr>
      <w:spacing w:after="0" w:line="240" w:lineRule="auto"/>
      <w:jc w:val="both"/>
    </w:pPr>
    <w:rPr>
      <w:rFonts w:ascii="Times New Roman" w:eastAsia="Calibri" w:hAnsi="Times New Roman" w:cs="Times New Roman"/>
      <w:sz w:val="24"/>
      <w:szCs w:val="20"/>
      <w:lang w:eastAsia="en-GB"/>
    </w:rPr>
  </w:style>
  <w:style w:type="paragraph" w:customStyle="1" w:styleId="Supertitre">
    <w:name w:val="Supertitre"/>
    <w:basedOn w:val="Normal"/>
    <w:next w:val="Normal"/>
    <w:rsid w:val="006C71DB"/>
    <w:pPr>
      <w:spacing w:after="600" w:line="240" w:lineRule="auto"/>
      <w:jc w:val="center"/>
    </w:pPr>
    <w:rPr>
      <w:rFonts w:ascii="Times New Roman" w:eastAsia="Calibri" w:hAnsi="Times New Roman" w:cs="Times New Roman"/>
      <w:b/>
      <w:sz w:val="24"/>
      <w:szCs w:val="20"/>
      <w:lang w:eastAsia="en-GB"/>
    </w:rPr>
  </w:style>
  <w:style w:type="paragraph" w:customStyle="1" w:styleId="Languesfaisantfoi">
    <w:name w:val="Langues faisant foi"/>
    <w:basedOn w:val="Normal"/>
    <w:next w:val="Normal"/>
    <w:rsid w:val="006C71DB"/>
    <w:pPr>
      <w:spacing w:before="360" w:after="0" w:line="240" w:lineRule="auto"/>
      <w:jc w:val="center"/>
    </w:pPr>
    <w:rPr>
      <w:rFonts w:ascii="Times New Roman" w:eastAsia="Calibri" w:hAnsi="Times New Roman" w:cs="Times New Roman"/>
      <w:sz w:val="24"/>
      <w:szCs w:val="20"/>
      <w:lang w:eastAsia="en-GB"/>
    </w:rPr>
  </w:style>
  <w:style w:type="paragraph" w:customStyle="1" w:styleId="Rfrencecroise">
    <w:name w:val="Référence croisée"/>
    <w:basedOn w:val="Normal"/>
    <w:rsid w:val="006C71DB"/>
    <w:pPr>
      <w:spacing w:after="0" w:line="240" w:lineRule="auto"/>
      <w:jc w:val="center"/>
    </w:pPr>
    <w:rPr>
      <w:rFonts w:ascii="Times New Roman" w:eastAsia="Calibri" w:hAnsi="Times New Roman" w:cs="Times New Roman"/>
      <w:sz w:val="24"/>
      <w:szCs w:val="20"/>
      <w:lang w:eastAsia="en-GB"/>
    </w:rPr>
  </w:style>
  <w:style w:type="paragraph" w:customStyle="1" w:styleId="Fichefinanciretitre">
    <w:name w:val="Fiche financière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6C71DB"/>
  </w:style>
  <w:style w:type="paragraph" w:customStyle="1" w:styleId="RfrenceinterinstitutionnellePagedecouverture">
    <w:name w:val="Référence interinstitutionnelle (Page de couverture)"/>
    <w:basedOn w:val="Rfrenceinterinstitutionnelle"/>
    <w:next w:val="Confidentialit"/>
    <w:rsid w:val="006C71DB"/>
  </w:style>
  <w:style w:type="paragraph" w:customStyle="1" w:styleId="Sous-titreobjetPagedecouverture">
    <w:name w:val="Sous-titre objet (Page de couverture)"/>
    <w:basedOn w:val="Sous-titreobjet"/>
    <w:rsid w:val="006C71DB"/>
  </w:style>
  <w:style w:type="paragraph" w:customStyle="1" w:styleId="StatutPagedecouverture">
    <w:name w:val="Statut (Page de couverture)"/>
    <w:basedOn w:val="Statut"/>
    <w:next w:val="TypedudocumentPagedecouverture"/>
    <w:rsid w:val="006C71DB"/>
  </w:style>
  <w:style w:type="paragraph" w:customStyle="1" w:styleId="TitreobjetPagedecouverture">
    <w:name w:val="Titre objet (Page de couverture)"/>
    <w:basedOn w:val="Titreobjet"/>
    <w:next w:val="Sous-titreobjetPagedecouverture"/>
    <w:rsid w:val="006C71DB"/>
  </w:style>
  <w:style w:type="paragraph" w:customStyle="1" w:styleId="TypedudocumentPagedecouverture">
    <w:name w:val="Type du document (Page de couverture)"/>
    <w:basedOn w:val="Typedudocument"/>
    <w:next w:val="TitreobjetPagedecouverture"/>
    <w:rsid w:val="006C71DB"/>
  </w:style>
  <w:style w:type="paragraph" w:customStyle="1" w:styleId="Volume">
    <w:name w:val="Volume"/>
    <w:basedOn w:val="Normal"/>
    <w:next w:val="Confidentialit"/>
    <w:rsid w:val="006C71DB"/>
    <w:pPr>
      <w:spacing w:after="240" w:line="240" w:lineRule="auto"/>
      <w:ind w:left="5103"/>
    </w:pPr>
    <w:rPr>
      <w:rFonts w:ascii="Times New Roman" w:eastAsia="Calibri" w:hAnsi="Times New Roman" w:cs="Times New Roman"/>
      <w:sz w:val="24"/>
      <w:szCs w:val="20"/>
      <w:lang w:eastAsia="en-GB"/>
    </w:rPr>
  </w:style>
  <w:style w:type="paragraph" w:customStyle="1" w:styleId="IntrtEEE">
    <w:name w:val="Intérêt EEE"/>
    <w:basedOn w:val="Languesfaisantfoi"/>
    <w:next w:val="Normal"/>
    <w:rsid w:val="006C71DB"/>
    <w:pPr>
      <w:spacing w:after="240"/>
    </w:pPr>
  </w:style>
  <w:style w:type="paragraph" w:customStyle="1" w:styleId="Accompagnant">
    <w:name w:val="Accompagnant"/>
    <w:basedOn w:val="Normal"/>
    <w:next w:val="Typeacteprincipal"/>
    <w:rsid w:val="006C71DB"/>
    <w:pPr>
      <w:spacing w:after="240" w:line="240" w:lineRule="auto"/>
      <w:jc w:val="center"/>
    </w:pPr>
    <w:rPr>
      <w:rFonts w:ascii="Times New Roman" w:eastAsia="Calibri" w:hAnsi="Times New Roman" w:cs="Times New Roman"/>
      <w:b/>
      <w:i/>
      <w:sz w:val="24"/>
      <w:szCs w:val="20"/>
      <w:lang w:eastAsia="en-GB"/>
    </w:rPr>
  </w:style>
  <w:style w:type="paragraph" w:customStyle="1" w:styleId="Typeacteprincipal">
    <w:name w:val="Type acte principal"/>
    <w:basedOn w:val="Normal"/>
    <w:next w:val="Objetacteprincipal"/>
    <w:rsid w:val="006C71DB"/>
    <w:pPr>
      <w:spacing w:after="240" w:line="240" w:lineRule="auto"/>
      <w:jc w:val="center"/>
    </w:pPr>
    <w:rPr>
      <w:rFonts w:ascii="Times New Roman" w:eastAsia="Calibri" w:hAnsi="Times New Roman" w:cs="Times New Roman"/>
      <w:b/>
      <w:sz w:val="24"/>
      <w:szCs w:val="20"/>
      <w:lang w:eastAsia="en-GB"/>
    </w:rPr>
  </w:style>
  <w:style w:type="paragraph" w:customStyle="1" w:styleId="Objetacteprincipal">
    <w:name w:val="Objet acte principal"/>
    <w:basedOn w:val="Normal"/>
    <w:next w:val="Titrearticle"/>
    <w:rsid w:val="006C71DB"/>
    <w:pPr>
      <w:spacing w:after="360" w:line="240" w:lineRule="auto"/>
      <w:jc w:val="center"/>
    </w:pPr>
    <w:rPr>
      <w:rFonts w:ascii="Times New Roman" w:eastAsia="Calibri" w:hAnsi="Times New Roman" w:cs="Times New Roman"/>
      <w:b/>
      <w:sz w:val="24"/>
      <w:szCs w:val="20"/>
      <w:lang w:eastAsia="en-GB"/>
    </w:rPr>
  </w:style>
  <w:style w:type="paragraph" w:customStyle="1" w:styleId="IntrtEEEPagedecouverture">
    <w:name w:val="Intérêt EEE (Page de couverture)"/>
    <w:basedOn w:val="IntrtEEE"/>
    <w:next w:val="Rfrencecroise"/>
    <w:rsid w:val="006C71DB"/>
  </w:style>
  <w:style w:type="paragraph" w:customStyle="1" w:styleId="AccompagnantPagedecouverture">
    <w:name w:val="Accompagnant (Page de couverture)"/>
    <w:basedOn w:val="Accompagnant"/>
    <w:next w:val="TypeacteprincipalPagedecouverture"/>
    <w:rsid w:val="006C71DB"/>
  </w:style>
  <w:style w:type="paragraph" w:customStyle="1" w:styleId="TypeacteprincipalPagedecouverture">
    <w:name w:val="Type acte principal (Page de couverture)"/>
    <w:basedOn w:val="Typeacteprincipal"/>
    <w:next w:val="ObjetacteprincipalPagedecouverture"/>
    <w:rsid w:val="006C71DB"/>
  </w:style>
  <w:style w:type="paragraph" w:customStyle="1" w:styleId="ObjetacteprincipalPagedecouverture">
    <w:name w:val="Objet acte principal (Page de couverture)"/>
    <w:basedOn w:val="Objetacteprincipal"/>
    <w:next w:val="Rfrencecroise"/>
    <w:rsid w:val="006C71DB"/>
  </w:style>
  <w:style w:type="paragraph" w:customStyle="1" w:styleId="LanguesfaisantfoiPagedecouverture">
    <w:name w:val="Langues faisant foi (Page de couverture)"/>
    <w:basedOn w:val="Normal"/>
    <w:next w:val="Normal"/>
    <w:rsid w:val="006C71DB"/>
    <w:pPr>
      <w:spacing w:before="360" w:after="0" w:line="240" w:lineRule="auto"/>
      <w:jc w:val="center"/>
    </w:pPr>
    <w:rPr>
      <w:rFonts w:ascii="Times New Roman" w:eastAsia="Calibri" w:hAnsi="Times New Roman" w:cs="Times New Roman"/>
      <w:sz w:val="24"/>
      <w:szCs w:val="20"/>
      <w:lang w:eastAsia="en-GB"/>
    </w:rPr>
  </w:style>
  <w:style w:type="character" w:customStyle="1" w:styleId="affairetitle">
    <w:name w:val="affaire_title"/>
    <w:rsid w:val="006C71DB"/>
  </w:style>
  <w:style w:type="character" w:styleId="Strong">
    <w:name w:val="Strong"/>
    <w:uiPriority w:val="22"/>
    <w:qFormat/>
    <w:rsid w:val="006C71DB"/>
    <w:rPr>
      <w:b/>
      <w:bCs/>
    </w:rPr>
  </w:style>
  <w:style w:type="paragraph" w:customStyle="1" w:styleId="c01pointnumerotealtn">
    <w:name w:val="c01pointnumerotealtn"/>
    <w:basedOn w:val="Normal"/>
    <w:rsid w:val="006C71DB"/>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yperlink0">
    <w:name w:val="Hyperlink.0"/>
    <w:rsid w:val="006C71DB"/>
    <w:rPr>
      <w:color w:val="0000FF"/>
      <w:u w:val="single" w:color="0000FF"/>
    </w:rPr>
  </w:style>
  <w:style w:type="paragraph" w:customStyle="1" w:styleId="Standard">
    <w:name w:val="Standard"/>
    <w:rsid w:val="006C71DB"/>
    <w:pPr>
      <w:suppressAutoHyphens/>
      <w:autoSpaceDN w:val="0"/>
      <w:textAlignment w:val="baseline"/>
    </w:pPr>
    <w:rPr>
      <w:rFonts w:ascii="Calibri" w:eastAsia="Calibri" w:hAnsi="Calibri" w:cs="Times New Roman"/>
      <w:kern w:val="3"/>
      <w:lang w:eastAsia="zh-CN"/>
    </w:rPr>
  </w:style>
  <w:style w:type="character" w:customStyle="1" w:styleId="FootnoteSymbol">
    <w:name w:val="Footnote Symbol"/>
    <w:rsid w:val="006C71DB"/>
    <w:rPr>
      <w:position w:val="0"/>
      <w:shd w:val="clear" w:color="auto" w:fill="auto"/>
      <w:vertAlign w:val="superscript"/>
    </w:rPr>
  </w:style>
  <w:style w:type="character" w:customStyle="1" w:styleId="Internetlink">
    <w:name w:val="Internet link"/>
    <w:rsid w:val="006C71DB"/>
    <w:rPr>
      <w:color w:val="0000FF"/>
      <w:u w:val="single"/>
    </w:rPr>
  </w:style>
  <w:style w:type="table" w:styleId="LightGrid-Accent2">
    <w:name w:val="Light Grid Accent 2"/>
    <w:basedOn w:val="TableNormal"/>
    <w:uiPriority w:val="62"/>
    <w:rsid w:val="006C71DB"/>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
    <w:name w:val="Table Grid1"/>
    <w:basedOn w:val="TableNormal"/>
    <w:uiPriority w:val="59"/>
    <w:rsid w:val="006C71D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C71D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1">
    <w:name w:val="A5+1"/>
    <w:uiPriority w:val="99"/>
    <w:rsid w:val="006C71DB"/>
    <w:rPr>
      <w:rFonts w:cs="EC Square Sans Pro Medium"/>
      <w:color w:val="000000"/>
      <w:sz w:val="22"/>
      <w:szCs w:val="22"/>
    </w:rPr>
  </w:style>
  <w:style w:type="character" w:customStyle="1" w:styleId="TOC1Char">
    <w:name w:val="TOC 1 Char"/>
    <w:link w:val="TOC1"/>
    <w:uiPriority w:val="39"/>
    <w:locked/>
    <w:rsid w:val="006C71DB"/>
    <w:rPr>
      <w:rFonts w:ascii="Times New Roman" w:eastAsia="Calibri" w:hAnsi="Times New Roman" w:cs="Times New Roman"/>
      <w:sz w:val="24"/>
      <w:szCs w:val="20"/>
      <w:lang w:eastAsia="en-GB"/>
    </w:rPr>
  </w:style>
  <w:style w:type="character" w:customStyle="1" w:styleId="TOC2Char">
    <w:name w:val="TOC 2 Char"/>
    <w:link w:val="TOC2"/>
    <w:uiPriority w:val="39"/>
    <w:locked/>
    <w:rsid w:val="006C71DB"/>
    <w:rPr>
      <w:rFonts w:ascii="Times New Roman" w:eastAsia="Calibri" w:hAnsi="Times New Roman" w:cs="Times New Roman"/>
      <w:sz w:val="24"/>
      <w:szCs w:val="20"/>
      <w:lang w:eastAsia="en-GB"/>
    </w:rPr>
  </w:style>
  <w:style w:type="character" w:customStyle="1" w:styleId="TOC3Char">
    <w:name w:val="TOC 3 Char"/>
    <w:link w:val="TOC3"/>
    <w:uiPriority w:val="39"/>
    <w:locked/>
    <w:rsid w:val="006C71DB"/>
    <w:rPr>
      <w:rFonts w:ascii="Times New Roman" w:eastAsia="Calibri" w:hAnsi="Times New Roman" w:cs="Times New Roman"/>
      <w:sz w:val="24"/>
      <w:szCs w:val="20"/>
      <w:lang w:eastAsia="en-GB"/>
    </w:rPr>
  </w:style>
  <w:style w:type="paragraph" w:styleId="Title">
    <w:name w:val="Title"/>
    <w:basedOn w:val="Normal"/>
    <w:next w:val="Normal"/>
    <w:link w:val="TitleChar"/>
    <w:uiPriority w:val="10"/>
    <w:qFormat/>
    <w:rsid w:val="006C71DB"/>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C71DB"/>
    <w:rPr>
      <w:rFonts w:ascii="Cambria" w:eastAsia="Times New Roman" w:hAnsi="Cambria" w:cs="Times New Roman"/>
      <w:b/>
      <w:bCs/>
      <w:kern w:val="28"/>
      <w:sz w:val="32"/>
      <w:szCs w:val="32"/>
    </w:rPr>
  </w:style>
  <w:style w:type="paragraph" w:styleId="NoSpacing">
    <w:name w:val="No Spacing"/>
    <w:uiPriority w:val="1"/>
    <w:qFormat/>
    <w:rsid w:val="006C71DB"/>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6C71D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71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F5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E2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860809"/>
    <w:rPr>
      <w:rFonts w:cs="ITC Charter Com"/>
      <w:color w:val="000000"/>
      <w:sz w:val="18"/>
      <w:szCs w:val="18"/>
    </w:rPr>
  </w:style>
  <w:style w:type="paragraph" w:customStyle="1" w:styleId="Body">
    <w:name w:val="Body"/>
    <w:rsid w:val="000A1F5D"/>
    <w:pPr>
      <w:pBdr>
        <w:top w:val="nil"/>
        <w:left w:val="nil"/>
        <w:bottom w:val="nil"/>
        <w:right w:val="nil"/>
        <w:between w:val="nil"/>
        <w:bar w:val="nil"/>
      </w:pBdr>
      <w:spacing w:after="24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Corpsdutexte">
    <w:name w:val="Corps du texte"/>
    <w:rsid w:val="008B5793"/>
    <w:pPr>
      <w:widowControl w:val="0"/>
      <w:shd w:val="clear" w:color="auto" w:fill="FFFFFF"/>
      <w:spacing w:before="600" w:after="60" w:line="216" w:lineRule="exact"/>
      <w:jc w:val="both"/>
    </w:pPr>
    <w:rPr>
      <w:rFonts w:ascii="Arial" w:eastAsia="Arial" w:hAnsi="Arial" w:cs="Arial"/>
      <w:color w:val="000000"/>
      <w:sz w:val="19"/>
      <w:szCs w:val="19"/>
      <w:u w:color="000000"/>
      <w:lang w:val="en-US" w:eastAsia="en-GB"/>
    </w:rPr>
  </w:style>
  <w:style w:type="paragraph" w:customStyle="1" w:styleId="FooterCoverPage">
    <w:name w:val="Footer Cover Page"/>
    <w:basedOn w:val="Normal"/>
    <w:link w:val="FooterCoverPageChar"/>
    <w:rsid w:val="00957E25"/>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fr-BE"/>
    </w:rPr>
  </w:style>
  <w:style w:type="character" w:customStyle="1" w:styleId="FooterCoverPageChar">
    <w:name w:val="Footer Cover Page Char"/>
    <w:basedOn w:val="DefaultParagraphFont"/>
    <w:link w:val="FooterCoverPage"/>
    <w:rsid w:val="00957E25"/>
    <w:rPr>
      <w:rFonts w:ascii="Times New Roman" w:hAnsi="Times New Roman" w:cs="Times New Roman"/>
      <w:sz w:val="24"/>
      <w:szCs w:val="24"/>
      <w:lang w:val="fr-BE"/>
    </w:rPr>
  </w:style>
  <w:style w:type="paragraph" w:customStyle="1" w:styleId="HeaderCoverPage">
    <w:name w:val="Header Cover Page"/>
    <w:basedOn w:val="Normal"/>
    <w:link w:val="HeaderCoverPageChar"/>
    <w:rsid w:val="00957E25"/>
    <w:pPr>
      <w:tabs>
        <w:tab w:val="center" w:pos="4535"/>
        <w:tab w:val="right" w:pos="9071"/>
      </w:tabs>
      <w:spacing w:after="120" w:line="240" w:lineRule="auto"/>
      <w:jc w:val="both"/>
    </w:pPr>
    <w:rPr>
      <w:rFonts w:ascii="Times New Roman" w:hAnsi="Times New Roman" w:cs="Times New Roman"/>
      <w:sz w:val="24"/>
      <w:szCs w:val="24"/>
      <w:lang w:val="fr-BE"/>
    </w:rPr>
  </w:style>
  <w:style w:type="character" w:customStyle="1" w:styleId="HeaderCoverPageChar">
    <w:name w:val="Header Cover Page Char"/>
    <w:basedOn w:val="DefaultParagraphFont"/>
    <w:link w:val="HeaderCoverPage"/>
    <w:rsid w:val="00957E25"/>
    <w:rPr>
      <w:rFonts w:ascii="Times New Roman" w:hAnsi="Times New Roman" w:cs="Times New Roman"/>
      <w:sz w:val="24"/>
      <w:szCs w:val="24"/>
      <w:lang w:val="fr-BE"/>
    </w:rPr>
  </w:style>
  <w:style w:type="paragraph" w:customStyle="1" w:styleId="DefaultText">
    <w:name w:val="Default Text"/>
    <w:basedOn w:val="Normal"/>
    <w:link w:val="DefaultTextChar"/>
    <w:qFormat/>
    <w:rsid w:val="008C0F9E"/>
    <w:pPr>
      <w:spacing w:after="0" w:line="280" w:lineRule="atLeast"/>
      <w:ind w:left="720" w:hanging="360"/>
      <w:jc w:val="both"/>
    </w:pPr>
    <w:rPr>
      <w:rFonts w:ascii="Times New Roman" w:eastAsia="Times New Roman" w:hAnsi="Times New Roman" w:cs="Times New Roman"/>
      <w:sz w:val="24"/>
      <w:szCs w:val="24"/>
      <w:lang w:eastAsia="nl-NL"/>
    </w:rPr>
  </w:style>
  <w:style w:type="character" w:customStyle="1" w:styleId="DefaultTextChar">
    <w:name w:val="Default Text Char"/>
    <w:basedOn w:val="DefaultParagraphFont"/>
    <w:link w:val="DefaultText"/>
    <w:locked/>
    <w:rsid w:val="008C0F9E"/>
    <w:rPr>
      <w:rFonts w:ascii="Times New Roman" w:eastAsia="Times New Roman" w:hAnsi="Times New Roman" w:cs="Times New Roman"/>
      <w:sz w:val="24"/>
      <w:szCs w:val="24"/>
      <w:lang w:eastAsia="nl-NL"/>
    </w:rPr>
  </w:style>
  <w:style w:type="paragraph" w:customStyle="1" w:styleId="table-text">
    <w:name w:val="table-text"/>
    <w:basedOn w:val="DefaultText"/>
    <w:rsid w:val="008C0F9E"/>
    <w:rPr>
      <w:sz w:val="16"/>
    </w:rPr>
  </w:style>
  <w:style w:type="character" w:customStyle="1" w:styleId="EBparagraphChar">
    <w:name w:val="EB paragraph Char"/>
    <w:basedOn w:val="DefaultParagraphFont"/>
    <w:link w:val="EBparagraph"/>
    <w:locked/>
    <w:rsid w:val="007E0E6C"/>
    <w:rPr>
      <w:rFonts w:ascii="EC Square Sans Pro" w:eastAsia="SimSun" w:hAnsi="EC Square Sans Pro"/>
      <w:lang w:val="en-US"/>
    </w:rPr>
  </w:style>
  <w:style w:type="paragraph" w:customStyle="1" w:styleId="EBparagraph">
    <w:name w:val="EB paragraph"/>
    <w:basedOn w:val="Normal"/>
    <w:link w:val="EBparagraphChar"/>
    <w:qFormat/>
    <w:rsid w:val="007E0E6C"/>
    <w:pPr>
      <w:spacing w:after="120" w:line="240" w:lineRule="auto"/>
      <w:jc w:val="both"/>
    </w:pPr>
    <w:rPr>
      <w:rFonts w:ascii="EC Square Sans Pro" w:eastAsia="SimSun" w:hAnsi="EC Square Sans Pro"/>
      <w:lang w:val="en-US"/>
    </w:rPr>
  </w:style>
  <w:style w:type="table" w:customStyle="1" w:styleId="TableGrid11">
    <w:name w:val="Table Grid11"/>
    <w:basedOn w:val="TableNormal"/>
    <w:next w:val="TableGrid"/>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D23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F373D1"/>
    <w:pPr>
      <w:spacing w:after="160"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55729D"/>
    <w:pPr>
      <w:spacing w:after="160" w:line="240" w:lineRule="exact"/>
      <w:jc w:val="both"/>
    </w:pPr>
    <w:rPr>
      <w:vertAlign w:val="superscript"/>
    </w:rPr>
  </w:style>
  <w:style w:type="paragraph" w:customStyle="1" w:styleId="c37centregras">
    <w:name w:val="c37centregras"/>
    <w:basedOn w:val="Normal"/>
    <w:rsid w:val="00703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sid w:val="006D6407"/>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rsid w:val="00F7354D"/>
    <w:rPr>
      <w:rFonts w:ascii="Calibri" w:eastAsia="Calibri" w:hAnsi="Calibri" w:cs="Times New Roman"/>
      <w:szCs w:val="20"/>
      <w:lang w:val="fr-FR" w:eastAsia="en-GB"/>
    </w:rPr>
  </w:style>
  <w:style w:type="paragraph" w:customStyle="1" w:styleId="CM1">
    <w:name w:val="CM1"/>
    <w:basedOn w:val="Default"/>
    <w:next w:val="Default"/>
    <w:uiPriority w:val="99"/>
    <w:rsid w:val="00F7354D"/>
    <w:rPr>
      <w:rFonts w:ascii="EUAlbertina" w:hAnsi="EUAlbertina" w:cstheme="minorBidi"/>
      <w:color w:val="auto"/>
    </w:rPr>
  </w:style>
  <w:style w:type="paragraph" w:customStyle="1" w:styleId="CM3">
    <w:name w:val="CM3"/>
    <w:basedOn w:val="Default"/>
    <w:next w:val="Default"/>
    <w:uiPriority w:val="99"/>
    <w:rsid w:val="00F7354D"/>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0B"/>
  </w:style>
  <w:style w:type="paragraph" w:styleId="Heading1">
    <w:name w:val="heading 1"/>
    <w:basedOn w:val="Normal"/>
    <w:next w:val="Normal"/>
    <w:link w:val="Heading1Char"/>
    <w:uiPriority w:val="9"/>
    <w:qFormat/>
    <w:rsid w:val="00404843"/>
    <w:pPr>
      <w:keepNext/>
      <w:spacing w:before="360" w:after="360" w:line="240" w:lineRule="auto"/>
      <w:jc w:val="both"/>
      <w:outlineLvl w:val="0"/>
    </w:pPr>
    <w:rPr>
      <w:rFonts w:ascii="Times New Roman Bold" w:eastAsia="Times New Roman" w:hAnsi="Times New Roman Bold" w:cs="Times New Roman"/>
      <w:b/>
      <w:bCs/>
      <w:caps/>
      <w:sz w:val="24"/>
      <w:szCs w:val="24"/>
      <w:lang w:eastAsia="en-GB"/>
    </w:rPr>
  </w:style>
  <w:style w:type="paragraph" w:styleId="Heading2">
    <w:name w:val="heading 2"/>
    <w:basedOn w:val="Normal"/>
    <w:next w:val="Normal"/>
    <w:link w:val="Heading2Char"/>
    <w:uiPriority w:val="9"/>
    <w:unhideWhenUsed/>
    <w:qFormat/>
    <w:rsid w:val="0032552E"/>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CF38F1"/>
    <w:pPr>
      <w:keepNext/>
      <w:numPr>
        <w:ilvl w:val="2"/>
        <w:numId w:val="1"/>
      </w:numPr>
      <w:spacing w:before="240" w:after="120" w:line="240" w:lineRule="auto"/>
      <w:jc w:val="both"/>
      <w:outlineLvl w:val="2"/>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unhideWhenUsed/>
    <w:qFormat/>
    <w:rsid w:val="006C71DB"/>
    <w:pPr>
      <w:keepNext/>
      <w:numPr>
        <w:ilvl w:val="3"/>
        <w:numId w:val="2"/>
      </w:numPr>
      <w:tabs>
        <w:tab w:val="clear" w:pos="992"/>
        <w:tab w:val="num" w:pos="993"/>
      </w:tabs>
      <w:spacing w:before="240" w:after="0" w:line="240" w:lineRule="auto"/>
      <w:ind w:left="4210" w:hanging="4210"/>
      <w:jc w:val="both"/>
      <w:outlineLvl w:val="3"/>
    </w:pPr>
    <w:rPr>
      <w:rFonts w:ascii="Times New Roman" w:eastAsiaTheme="majorEastAsia" w:hAnsi="Times New Roman" w:cs="Times New Roman"/>
      <w:b/>
      <w:i/>
      <w:sz w:val="24"/>
    </w:rPr>
  </w:style>
  <w:style w:type="paragraph" w:styleId="Heading5">
    <w:name w:val="heading 5"/>
    <w:basedOn w:val="Normal"/>
    <w:next w:val="Normal"/>
    <w:link w:val="Heading5Char"/>
    <w:unhideWhenUsed/>
    <w:qFormat/>
    <w:rsid w:val="006C71DB"/>
    <w:pPr>
      <w:keepNext/>
      <w:keepLines/>
      <w:spacing w:before="200" w:after="0"/>
      <w:outlineLvl w:val="4"/>
    </w:pPr>
    <w:rPr>
      <w:rFonts w:ascii="Times New Roman" w:eastAsiaTheme="majorEastAsia" w:hAnsi="Times New Roman" w:cs="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843"/>
    <w:rPr>
      <w:rFonts w:ascii="Times New Roman Bold" w:eastAsia="Times New Roman" w:hAnsi="Times New Roman Bold" w:cs="Times New Roman"/>
      <w:b/>
      <w:bCs/>
      <w:caps/>
      <w:sz w:val="24"/>
      <w:szCs w:val="24"/>
      <w:lang w:eastAsia="en-GB"/>
    </w:rPr>
  </w:style>
  <w:style w:type="character" w:customStyle="1" w:styleId="Heading2Char">
    <w:name w:val="Heading 2 Char"/>
    <w:basedOn w:val="DefaultParagraphFont"/>
    <w:link w:val="Heading2"/>
    <w:uiPriority w:val="9"/>
    <w:rsid w:val="0032552E"/>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CF38F1"/>
    <w:rPr>
      <w:rFonts w:ascii="Times New Roman" w:eastAsia="Times New Roman" w:hAnsi="Times New Roman" w:cs="Times New Roman"/>
      <w:b/>
      <w:bCs/>
      <w:sz w:val="24"/>
      <w:szCs w:val="24"/>
      <w:lang w:eastAsia="en-GB"/>
    </w:rPr>
  </w:style>
  <w:style w:type="character" w:customStyle="1" w:styleId="Heading4Char">
    <w:name w:val="Heading 4 Char"/>
    <w:basedOn w:val="DefaultParagraphFont"/>
    <w:link w:val="Heading4"/>
    <w:uiPriority w:val="9"/>
    <w:rsid w:val="000667CA"/>
    <w:rPr>
      <w:rFonts w:ascii="Times New Roman" w:eastAsiaTheme="majorEastAsia" w:hAnsi="Times New Roman" w:cs="Times New Roman"/>
      <w:b/>
      <w:i/>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O-1 List bullets"/>
    <w:basedOn w:val="Normal"/>
    <w:link w:val="ListParagraphChar"/>
    <w:uiPriority w:val="34"/>
    <w:qFormat/>
    <w:rsid w:val="0032552E"/>
    <w:pPr>
      <w:ind w:left="720"/>
      <w:contextualSpacing/>
    </w:pPr>
    <w:rPr>
      <w:rFonts w:ascii="Calibri" w:eastAsia="Calibri" w:hAnsi="Calibri" w:cs="Times New Roman"/>
      <w:szCs w:val="20"/>
      <w:lang w:val="fr-FR" w:eastAsia="en-GB"/>
    </w:rPr>
  </w:style>
  <w:style w:type="paragraph" w:customStyle="1" w:styleId="Text1">
    <w:name w:val="Text 1"/>
    <w:basedOn w:val="Normal"/>
    <w:rsid w:val="0032552E"/>
    <w:pPr>
      <w:spacing w:before="120" w:after="120" w:line="240" w:lineRule="auto"/>
      <w:ind w:left="850"/>
      <w:jc w:val="both"/>
    </w:pPr>
    <w:rPr>
      <w:rFonts w:ascii="Times New Roman" w:eastAsia="Calibri" w:hAnsi="Times New Roman" w:cs="Times New Roman"/>
      <w:sz w:val="24"/>
      <w:szCs w:val="20"/>
      <w:lang w:eastAsia="en-GB"/>
    </w:rPr>
  </w:style>
  <w:style w:type="paragraph" w:styleId="FootnoteText">
    <w:name w:val="footnote text"/>
    <w:aliases w:val="Note de bas de page Car Car,Char,Car,Fußnote,Fotnotstext1,fn,Footnote text,Footnote Text Char2,Footnote Text Char1 Char,Footnote Text Char Char Char,Footnote Text Char Char1,Footnote Text Char1 Char1,Footnote Text Char Char Char1,9 p,9,f"/>
    <w:basedOn w:val="Normal"/>
    <w:link w:val="FootnoteTextChar"/>
    <w:uiPriority w:val="99"/>
    <w:unhideWhenUsed/>
    <w:qFormat/>
    <w:rsid w:val="0032552E"/>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aliases w:val="Note de bas de page Car Car Char,Char Char,Car Char,Fußnote Char,Fotnotstext1 Char,fn Char,Footnote text Char,Footnote Text Char2 Char,Footnote Text Char1 Char Char,Footnote Text Char Char Char Char,Footnote Text Char Char1 Char"/>
    <w:basedOn w:val="DefaultParagraphFont"/>
    <w:link w:val="FootnoteText"/>
    <w:uiPriority w:val="99"/>
    <w:rsid w:val="0032552E"/>
    <w:rPr>
      <w:rFonts w:ascii="Times New Roman" w:eastAsia="Calibri" w:hAnsi="Times New Roman" w:cs="Times New Roman"/>
      <w:sz w:val="20"/>
      <w:szCs w:val="20"/>
      <w:lang w:eastAsia="en-GB"/>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FR3"/>
    <w:link w:val="FootnoteReferenceCharCarCharCharCarCharCarCharCarCharCarCharCharCarCarCharCharCharCharCharCarCharCarCharCharCarCharCar"/>
    <w:uiPriority w:val="99"/>
    <w:unhideWhenUsed/>
    <w:qFormat/>
    <w:rsid w:val="0032552E"/>
    <w:rPr>
      <w:shd w:val="clear" w:color="auto" w:fill="auto"/>
      <w:vertAlign w:val="superscript"/>
    </w:rPr>
  </w:style>
  <w:style w:type="paragraph" w:styleId="BalloonText">
    <w:name w:val="Balloon Text"/>
    <w:basedOn w:val="Normal"/>
    <w:link w:val="BalloonTextChar"/>
    <w:uiPriority w:val="99"/>
    <w:semiHidden/>
    <w:unhideWhenUsed/>
    <w:rsid w:val="0032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2E"/>
    <w:rPr>
      <w:rFonts w:ascii="Tahoma" w:hAnsi="Tahoma" w:cs="Tahoma"/>
      <w:sz w:val="16"/>
      <w:szCs w:val="16"/>
    </w:rPr>
  </w:style>
  <w:style w:type="paragraph" w:styleId="Header">
    <w:name w:val="header"/>
    <w:basedOn w:val="Normal"/>
    <w:link w:val="HeaderChar"/>
    <w:uiPriority w:val="99"/>
    <w:unhideWhenUsed/>
    <w:rsid w:val="00693D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3D35"/>
  </w:style>
  <w:style w:type="paragraph" w:styleId="Footer">
    <w:name w:val="footer"/>
    <w:basedOn w:val="Normal"/>
    <w:link w:val="FooterChar"/>
    <w:uiPriority w:val="99"/>
    <w:unhideWhenUsed/>
    <w:rsid w:val="00693D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3D35"/>
  </w:style>
  <w:style w:type="paragraph" w:customStyle="1" w:styleId="Default">
    <w:name w:val="Default"/>
    <w:rsid w:val="005B3A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912B26"/>
    <w:rPr>
      <w:sz w:val="16"/>
      <w:szCs w:val="16"/>
    </w:rPr>
  </w:style>
  <w:style w:type="paragraph" w:styleId="CommentText">
    <w:name w:val="annotation text"/>
    <w:basedOn w:val="Normal"/>
    <w:link w:val="CommentTextChar"/>
    <w:uiPriority w:val="99"/>
    <w:unhideWhenUsed/>
    <w:rsid w:val="00912B26"/>
    <w:pPr>
      <w:spacing w:line="240" w:lineRule="auto"/>
    </w:pPr>
    <w:rPr>
      <w:sz w:val="20"/>
      <w:szCs w:val="20"/>
    </w:rPr>
  </w:style>
  <w:style w:type="character" w:customStyle="1" w:styleId="CommentTextChar">
    <w:name w:val="Comment Text Char"/>
    <w:basedOn w:val="DefaultParagraphFont"/>
    <w:link w:val="CommentText"/>
    <w:uiPriority w:val="99"/>
    <w:rsid w:val="00912B26"/>
    <w:rPr>
      <w:sz w:val="20"/>
      <w:szCs w:val="20"/>
    </w:rPr>
  </w:style>
  <w:style w:type="character" w:styleId="Hyperlink">
    <w:name w:val="Hyperlink"/>
    <w:basedOn w:val="DefaultParagraphFont"/>
    <w:uiPriority w:val="99"/>
    <w:unhideWhenUsed/>
    <w:rsid w:val="00842FA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85FB6"/>
    <w:rPr>
      <w:b/>
      <w:bCs/>
    </w:rPr>
  </w:style>
  <w:style w:type="character" w:customStyle="1" w:styleId="CommentSubjectChar">
    <w:name w:val="Comment Subject Char"/>
    <w:basedOn w:val="CommentTextChar"/>
    <w:link w:val="CommentSubject"/>
    <w:uiPriority w:val="99"/>
    <w:semiHidden/>
    <w:rsid w:val="00085FB6"/>
    <w:rPr>
      <w:b/>
      <w:bCs/>
      <w:sz w:val="20"/>
      <w:szCs w:val="20"/>
    </w:rPr>
  </w:style>
  <w:style w:type="character" w:customStyle="1" w:styleId="st">
    <w:name w:val="st"/>
    <w:rsid w:val="00FA4E37"/>
  </w:style>
  <w:style w:type="paragraph" w:styleId="NormalWeb">
    <w:name w:val="Normal (Web)"/>
    <w:basedOn w:val="Normal"/>
    <w:uiPriority w:val="99"/>
    <w:unhideWhenUsed/>
    <w:rsid w:val="00FA4E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next w:val="Normal"/>
    <w:rsid w:val="00EF6341"/>
    <w:pPr>
      <w:keepNext/>
      <w:pBdr>
        <w:top w:val="nil"/>
        <w:left w:val="nil"/>
        <w:bottom w:val="nil"/>
        <w:right w:val="nil"/>
        <w:between w:val="nil"/>
        <w:bar w:val="nil"/>
      </w:pBdr>
      <w:tabs>
        <w:tab w:val="left" w:pos="480"/>
      </w:tabs>
      <w:spacing w:before="240" w:after="240" w:line="240" w:lineRule="auto"/>
      <w:ind w:left="480" w:hanging="480"/>
      <w:jc w:val="both"/>
      <w:outlineLvl w:val="0"/>
    </w:pPr>
    <w:rPr>
      <w:rFonts w:ascii="Times New Roman" w:eastAsia="Times New Roman" w:hAnsi="Times New Roman" w:cs="Times New Roman"/>
      <w:b/>
      <w:bCs/>
      <w:smallCaps/>
      <w:color w:val="000000"/>
      <w:sz w:val="24"/>
      <w:szCs w:val="24"/>
      <w:u w:color="000000"/>
      <w:bdr w:val="nil"/>
      <w:lang w:eastAsia="en-GB"/>
    </w:rPr>
  </w:style>
  <w:style w:type="table" w:styleId="TableGrid">
    <w:name w:val="Table Grid"/>
    <w:basedOn w:val="TableNormal"/>
    <w:uiPriority w:val="59"/>
    <w:rsid w:val="00EF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EF6341"/>
  </w:style>
  <w:style w:type="character" w:customStyle="1" w:styleId="Heading5Char">
    <w:name w:val="Heading 5 Char"/>
    <w:basedOn w:val="DefaultParagraphFont"/>
    <w:link w:val="Heading5"/>
    <w:rsid w:val="006C71DB"/>
    <w:rPr>
      <w:rFonts w:ascii="Times New Roman" w:eastAsiaTheme="majorEastAsia" w:hAnsi="Times New Roman" w:cs="Times New Roman"/>
      <w:b/>
      <w:sz w:val="24"/>
    </w:rPr>
  </w:style>
  <w:style w:type="numbering" w:customStyle="1" w:styleId="NoList1">
    <w:name w:val="No List1"/>
    <w:next w:val="NoList"/>
    <w:uiPriority w:val="99"/>
    <w:semiHidden/>
    <w:unhideWhenUsed/>
    <w:rsid w:val="006C71DB"/>
  </w:style>
  <w:style w:type="paragraph" w:styleId="ListBullet">
    <w:name w:val="List Bullet"/>
    <w:basedOn w:val="Normal"/>
    <w:uiPriority w:val="99"/>
    <w:unhideWhenUsed/>
    <w:rsid w:val="006C71DB"/>
    <w:pPr>
      <w:numPr>
        <w:numId w:val="3"/>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2">
    <w:name w:val="List Bullet 2"/>
    <w:basedOn w:val="Normal"/>
    <w:uiPriority w:val="99"/>
    <w:semiHidden/>
    <w:unhideWhenUsed/>
    <w:rsid w:val="006C71DB"/>
    <w:pPr>
      <w:numPr>
        <w:numId w:val="4"/>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3">
    <w:name w:val="List Bullet 3"/>
    <w:basedOn w:val="Normal"/>
    <w:uiPriority w:val="99"/>
    <w:semiHidden/>
    <w:unhideWhenUsed/>
    <w:rsid w:val="006C71DB"/>
    <w:pPr>
      <w:numPr>
        <w:numId w:val="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4">
    <w:name w:val="List Bullet 4"/>
    <w:basedOn w:val="Normal"/>
    <w:uiPriority w:val="99"/>
    <w:semiHidden/>
    <w:unhideWhenUsed/>
    <w:rsid w:val="006C71DB"/>
    <w:pPr>
      <w:numPr>
        <w:numId w:val="6"/>
      </w:numPr>
      <w:spacing w:before="120" w:after="120" w:line="240" w:lineRule="auto"/>
      <w:contextualSpacing/>
      <w:jc w:val="both"/>
    </w:pPr>
    <w:rPr>
      <w:rFonts w:ascii="Times New Roman" w:eastAsia="Calibri" w:hAnsi="Times New Roman" w:cs="Times New Roman"/>
      <w:sz w:val="24"/>
      <w:szCs w:val="20"/>
      <w:lang w:eastAsia="en-GB"/>
    </w:rPr>
  </w:style>
  <w:style w:type="paragraph" w:customStyle="1" w:styleId="TOCHeading1">
    <w:name w:val="TOC Heading1"/>
    <w:basedOn w:val="Normal"/>
    <w:next w:val="Normal"/>
    <w:qFormat/>
    <w:rsid w:val="006C71DB"/>
    <w:pPr>
      <w:spacing w:before="120" w:after="240" w:line="240" w:lineRule="auto"/>
      <w:jc w:val="center"/>
    </w:pPr>
    <w:rPr>
      <w:rFonts w:ascii="Times New Roman" w:eastAsia="Times New Roman" w:hAnsi="Times New Roman" w:cs="Times New Roman"/>
      <w:b/>
      <w:sz w:val="28"/>
      <w:szCs w:val="24"/>
      <w:lang w:eastAsia="en-GB"/>
    </w:rPr>
  </w:style>
  <w:style w:type="paragraph" w:customStyle="1" w:styleId="5normal">
    <w:name w:val="5normal"/>
    <w:basedOn w:val="Normal"/>
    <w:uiPriority w:val="99"/>
    <w:rsid w:val="006C71DB"/>
    <w:pPr>
      <w:spacing w:before="100" w:beforeAutospacing="1" w:after="100" w:afterAutospacing="1" w:line="240" w:lineRule="auto"/>
    </w:pPr>
    <w:rPr>
      <w:rFonts w:ascii="Verdana" w:eastAsia="Calibri" w:hAnsi="Verdana" w:cs="Times New Roman"/>
      <w:sz w:val="20"/>
      <w:szCs w:val="20"/>
      <w:lang w:eastAsia="en-GB"/>
    </w:rPr>
  </w:style>
  <w:style w:type="paragraph" w:customStyle="1" w:styleId="ColorfulList-Accent11">
    <w:name w:val="Colorful List - Accent 11"/>
    <w:basedOn w:val="Normal"/>
    <w:uiPriority w:val="34"/>
    <w:qFormat/>
    <w:rsid w:val="006C71DB"/>
    <w:pPr>
      <w:spacing w:after="0" w:line="240" w:lineRule="auto"/>
      <w:ind w:left="720"/>
    </w:pPr>
    <w:rPr>
      <w:rFonts w:ascii="Calibri" w:eastAsia="Calibri" w:hAnsi="Calibri" w:cs="Calibri"/>
      <w:szCs w:val="20"/>
      <w:lang w:eastAsia="en-GB"/>
    </w:rPr>
  </w:style>
  <w:style w:type="paragraph" w:customStyle="1" w:styleId="BodyTextNumbered">
    <w:name w:val="Body Text Numbered"/>
    <w:basedOn w:val="BodyText"/>
    <w:link w:val="BodyTextNumberedChar"/>
    <w:uiPriority w:val="99"/>
    <w:rsid w:val="006C71DB"/>
    <w:pPr>
      <w:numPr>
        <w:numId w:val="8"/>
      </w:numPr>
      <w:suppressAutoHyphens/>
      <w:spacing w:before="120" w:line="288" w:lineRule="auto"/>
      <w:jc w:val="both"/>
    </w:pPr>
    <w:rPr>
      <w:rFonts w:ascii="Arial" w:eastAsia="Times New Roman" w:hAnsi="Arial"/>
      <w:sz w:val="20"/>
    </w:rPr>
  </w:style>
  <w:style w:type="numbering" w:customStyle="1" w:styleId="NumberedParagraphs">
    <w:name w:val="NumberedParagraphs"/>
    <w:uiPriority w:val="99"/>
    <w:rsid w:val="006C71DB"/>
    <w:pPr>
      <w:numPr>
        <w:numId w:val="7"/>
      </w:numPr>
    </w:pPr>
  </w:style>
  <w:style w:type="character" w:customStyle="1" w:styleId="BodyTextNumberedChar">
    <w:name w:val="Body Text Numbered Char"/>
    <w:link w:val="BodyTextNumbered"/>
    <w:uiPriority w:val="99"/>
    <w:rsid w:val="006C71DB"/>
    <w:rPr>
      <w:rFonts w:ascii="Arial" w:eastAsia="Times New Roman" w:hAnsi="Arial" w:cs="Times New Roman"/>
      <w:sz w:val="20"/>
      <w:szCs w:val="20"/>
      <w:lang w:eastAsia="en-GB"/>
    </w:rPr>
  </w:style>
  <w:style w:type="paragraph" w:styleId="BodyText">
    <w:name w:val="Body Text"/>
    <w:basedOn w:val="Normal"/>
    <w:link w:val="BodyTextChar"/>
    <w:uiPriority w:val="99"/>
    <w:semiHidden/>
    <w:unhideWhenUsed/>
    <w:rsid w:val="006C71DB"/>
    <w:pPr>
      <w:spacing w:after="120"/>
    </w:pPr>
    <w:rPr>
      <w:rFonts w:ascii="Calibri" w:eastAsia="Calibri" w:hAnsi="Calibri" w:cs="Times New Roman"/>
      <w:szCs w:val="20"/>
      <w:lang w:eastAsia="en-GB"/>
    </w:rPr>
  </w:style>
  <w:style w:type="character" w:customStyle="1" w:styleId="BodyTextChar">
    <w:name w:val="Body Text Char"/>
    <w:basedOn w:val="DefaultParagraphFont"/>
    <w:link w:val="BodyText"/>
    <w:uiPriority w:val="99"/>
    <w:semiHidden/>
    <w:rsid w:val="006C71DB"/>
    <w:rPr>
      <w:rFonts w:ascii="Calibri" w:eastAsia="Calibri" w:hAnsi="Calibri" w:cs="Times New Roman"/>
      <w:szCs w:val="20"/>
      <w:lang w:eastAsia="en-GB"/>
    </w:rPr>
  </w:style>
  <w:style w:type="paragraph" w:customStyle="1" w:styleId="crapara">
    <w:name w:val="cra para"/>
    <w:basedOn w:val="BodyTextNumbered"/>
    <w:link w:val="craparaChar"/>
    <w:qFormat/>
    <w:rsid w:val="006C71DB"/>
    <w:pPr>
      <w:numPr>
        <w:numId w:val="9"/>
      </w:numPr>
    </w:pPr>
  </w:style>
  <w:style w:type="character" w:customStyle="1" w:styleId="craparaChar">
    <w:name w:val="cra para Char"/>
    <w:link w:val="crapara"/>
    <w:rsid w:val="006C71DB"/>
    <w:rPr>
      <w:rFonts w:ascii="Arial" w:eastAsia="Times New Roman" w:hAnsi="Arial" w:cs="Times New Roman"/>
      <w:sz w:val="20"/>
      <w:szCs w:val="20"/>
      <w:lang w:eastAsia="en-GB"/>
    </w:rPr>
  </w:style>
  <w:style w:type="paragraph" w:customStyle="1" w:styleId="Bulletpoint1">
    <w:name w:val="Bullet point1"/>
    <w:basedOn w:val="NormalIndent"/>
    <w:uiPriority w:val="99"/>
    <w:qFormat/>
    <w:rsid w:val="006C71DB"/>
    <w:pPr>
      <w:spacing w:after="0" w:line="240" w:lineRule="auto"/>
      <w:ind w:left="0"/>
    </w:pPr>
    <w:rPr>
      <w:rFonts w:ascii="Verdana" w:eastAsia="Times New Roman" w:hAnsi="Verdana"/>
      <w:sz w:val="20"/>
      <w:lang w:val="fr-FR"/>
    </w:rPr>
  </w:style>
  <w:style w:type="paragraph" w:styleId="NormalIndent">
    <w:name w:val="Normal Indent"/>
    <w:basedOn w:val="Normal"/>
    <w:uiPriority w:val="99"/>
    <w:semiHidden/>
    <w:unhideWhenUsed/>
    <w:rsid w:val="006C71DB"/>
    <w:pPr>
      <w:ind w:left="720"/>
    </w:pPr>
    <w:rPr>
      <w:rFonts w:ascii="Calibri" w:eastAsia="Calibri" w:hAnsi="Calibri" w:cs="Times New Roman"/>
      <w:szCs w:val="20"/>
      <w:lang w:eastAsia="en-GB"/>
    </w:rPr>
  </w:style>
  <w:style w:type="character" w:customStyle="1" w:styleId="Caractresdenotedebasdepage">
    <w:name w:val="Caractères de note de bas de page"/>
    <w:rsid w:val="006C71DB"/>
  </w:style>
  <w:style w:type="paragraph" w:styleId="Revision">
    <w:name w:val="Revision"/>
    <w:hidden/>
    <w:uiPriority w:val="99"/>
    <w:semiHidden/>
    <w:rsid w:val="006C71DB"/>
    <w:pPr>
      <w:spacing w:after="0" w:line="240" w:lineRule="auto"/>
    </w:pPr>
    <w:rPr>
      <w:rFonts w:ascii="Calibri" w:eastAsia="Calibri" w:hAnsi="Calibri" w:cs="Times New Roman"/>
    </w:rPr>
  </w:style>
  <w:style w:type="paragraph" w:styleId="Caption">
    <w:name w:val="caption"/>
    <w:basedOn w:val="Normal"/>
    <w:next w:val="Normal"/>
    <w:qFormat/>
    <w:rsid w:val="006C71DB"/>
    <w:pPr>
      <w:spacing w:after="0" w:line="240" w:lineRule="auto"/>
    </w:pPr>
    <w:rPr>
      <w:rFonts w:ascii="Calibri" w:eastAsia="Calibri" w:hAnsi="Calibri" w:cs="Calibri"/>
      <w:b/>
      <w:bCs/>
      <w:sz w:val="20"/>
      <w:szCs w:val="20"/>
      <w:lang w:eastAsia="en-GB"/>
    </w:rPr>
  </w:style>
  <w:style w:type="character" w:styleId="FollowedHyperlink">
    <w:name w:val="FollowedHyperlink"/>
    <w:uiPriority w:val="99"/>
    <w:semiHidden/>
    <w:unhideWhenUsed/>
    <w:rsid w:val="006C71DB"/>
    <w:rPr>
      <w:color w:val="800080"/>
      <w:u w:val="single"/>
    </w:rPr>
  </w:style>
  <w:style w:type="character" w:styleId="Emphasis">
    <w:name w:val="Emphasis"/>
    <w:uiPriority w:val="20"/>
    <w:qFormat/>
    <w:rsid w:val="006C71DB"/>
    <w:rPr>
      <w:b/>
      <w:bCs/>
      <w:i w:val="0"/>
      <w:iCs w:val="0"/>
    </w:rPr>
  </w:style>
  <w:style w:type="character" w:customStyle="1" w:styleId="st1">
    <w:name w:val="st1"/>
    <w:rsid w:val="006C71DB"/>
  </w:style>
  <w:style w:type="paragraph" w:styleId="TableofFigures">
    <w:name w:val="table of figures"/>
    <w:basedOn w:val="Normal"/>
    <w:next w:val="Normal"/>
    <w:uiPriority w:val="99"/>
    <w:semiHidden/>
    <w:unhideWhenUsed/>
    <w:rsid w:val="006C71DB"/>
    <w:pPr>
      <w:spacing w:before="120" w:after="120" w:line="240" w:lineRule="auto"/>
      <w:jc w:val="both"/>
    </w:pPr>
    <w:rPr>
      <w:rFonts w:ascii="Times New Roman" w:eastAsia="Calibri" w:hAnsi="Times New Roman" w:cs="Times New Roman"/>
      <w:sz w:val="24"/>
      <w:szCs w:val="20"/>
      <w:lang w:eastAsia="en-GB"/>
    </w:rPr>
  </w:style>
  <w:style w:type="paragraph" w:styleId="ListNumber">
    <w:name w:val="List Number"/>
    <w:basedOn w:val="Normal"/>
    <w:uiPriority w:val="99"/>
    <w:semiHidden/>
    <w:unhideWhenUsed/>
    <w:rsid w:val="006C71DB"/>
    <w:pPr>
      <w:numPr>
        <w:numId w:val="13"/>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2">
    <w:name w:val="List Number 2"/>
    <w:basedOn w:val="Normal"/>
    <w:uiPriority w:val="99"/>
    <w:semiHidden/>
    <w:unhideWhenUsed/>
    <w:rsid w:val="006C71DB"/>
    <w:pPr>
      <w:numPr>
        <w:numId w:val="14"/>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3">
    <w:name w:val="List Number 3"/>
    <w:basedOn w:val="Normal"/>
    <w:uiPriority w:val="99"/>
    <w:semiHidden/>
    <w:unhideWhenUsed/>
    <w:rsid w:val="006C71DB"/>
    <w:pPr>
      <w:numPr>
        <w:numId w:val="15"/>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4">
    <w:name w:val="List Number 4"/>
    <w:basedOn w:val="Normal"/>
    <w:uiPriority w:val="99"/>
    <w:semiHidden/>
    <w:unhideWhenUsed/>
    <w:rsid w:val="006C71DB"/>
    <w:pPr>
      <w:numPr>
        <w:numId w:val="16"/>
      </w:numPr>
      <w:spacing w:before="120" w:after="120" w:line="240" w:lineRule="auto"/>
      <w:contextualSpacing/>
      <w:jc w:val="both"/>
    </w:pPr>
    <w:rPr>
      <w:rFonts w:ascii="Times New Roman" w:eastAsia="Calibri" w:hAnsi="Times New Roman" w:cs="Times New Roman"/>
      <w:sz w:val="24"/>
      <w:szCs w:val="20"/>
      <w:lang w:eastAsia="en-GB"/>
    </w:rPr>
  </w:style>
  <w:style w:type="paragraph" w:styleId="PlainText">
    <w:name w:val="Plain Text"/>
    <w:basedOn w:val="Normal"/>
    <w:link w:val="PlainTextChar"/>
    <w:uiPriority w:val="99"/>
    <w:unhideWhenUsed/>
    <w:rsid w:val="006C71DB"/>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6C71DB"/>
    <w:rPr>
      <w:rFonts w:ascii="Calibri" w:eastAsia="Calibri" w:hAnsi="Calibri" w:cs="Consolas"/>
      <w:szCs w:val="21"/>
    </w:rPr>
  </w:style>
  <w:style w:type="character" w:customStyle="1" w:styleId="MathematicaFormatTextForm">
    <w:name w:val="MathematicaFormatTextForm"/>
    <w:uiPriority w:val="99"/>
    <w:rsid w:val="006C71DB"/>
  </w:style>
  <w:style w:type="character" w:customStyle="1" w:styleId="FootnoteCharacters">
    <w:name w:val="Footnote Characters"/>
    <w:rsid w:val="006C71DB"/>
    <w:rPr>
      <w:vertAlign w:val="superscript"/>
    </w:rPr>
  </w:style>
  <w:style w:type="paragraph" w:styleId="List">
    <w:name w:val="List"/>
    <w:basedOn w:val="Normal"/>
    <w:uiPriority w:val="99"/>
    <w:unhideWhenUsed/>
    <w:rsid w:val="006C71DB"/>
    <w:pPr>
      <w:spacing w:before="120" w:after="120" w:line="240" w:lineRule="auto"/>
      <w:ind w:left="283" w:hanging="283"/>
      <w:contextualSpacing/>
      <w:jc w:val="both"/>
    </w:pPr>
    <w:rPr>
      <w:rFonts w:ascii="Times New Roman" w:eastAsia="Calibri" w:hAnsi="Times New Roman" w:cs="Times New Roman"/>
      <w:sz w:val="24"/>
      <w:szCs w:val="20"/>
      <w:lang w:eastAsia="en-GB"/>
    </w:rPr>
  </w:style>
  <w:style w:type="paragraph" w:styleId="EndnoteText">
    <w:name w:val="endnote text"/>
    <w:basedOn w:val="Normal"/>
    <w:link w:val="EndnoteTextChar"/>
    <w:uiPriority w:val="99"/>
    <w:semiHidden/>
    <w:unhideWhenUsed/>
    <w:rsid w:val="006C71DB"/>
    <w:pPr>
      <w:spacing w:before="120" w:after="120" w:line="240" w:lineRule="auto"/>
      <w:jc w:val="both"/>
    </w:pPr>
    <w:rPr>
      <w:rFonts w:ascii="Times New Roman" w:eastAsia="Calibri"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6C71DB"/>
    <w:rPr>
      <w:rFonts w:ascii="Times New Roman" w:eastAsia="Calibri" w:hAnsi="Times New Roman" w:cs="Times New Roman"/>
      <w:sz w:val="20"/>
      <w:szCs w:val="20"/>
      <w:lang w:eastAsia="en-GB"/>
    </w:rPr>
  </w:style>
  <w:style w:type="character" w:styleId="EndnoteReference">
    <w:name w:val="endnote reference"/>
    <w:uiPriority w:val="99"/>
    <w:semiHidden/>
    <w:unhideWhenUsed/>
    <w:rsid w:val="006C71DB"/>
    <w:rPr>
      <w:vertAlign w:val="superscript"/>
    </w:rPr>
  </w:style>
  <w:style w:type="paragraph" w:styleId="TOCHeading">
    <w:name w:val="TOC Heading"/>
    <w:basedOn w:val="Normal"/>
    <w:next w:val="Normal"/>
    <w:uiPriority w:val="39"/>
    <w:unhideWhenUsed/>
    <w:qFormat/>
    <w:rsid w:val="006C71DB"/>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link w:val="TOC1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link w:val="TOC2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3">
    <w:name w:val="toc 3"/>
    <w:basedOn w:val="Normal"/>
    <w:next w:val="Normal"/>
    <w:link w:val="TOC3Char"/>
    <w:uiPriority w:val="39"/>
    <w:unhideWhenUsed/>
    <w:qFormat/>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4">
    <w:name w:val="toc 4"/>
    <w:basedOn w:val="Normal"/>
    <w:next w:val="Normal"/>
    <w:uiPriority w:val="39"/>
    <w:unhideWhenUsed/>
    <w:rsid w:val="006C71DB"/>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5">
    <w:name w:val="toc 5"/>
    <w:basedOn w:val="Normal"/>
    <w:next w:val="Normal"/>
    <w:uiPriority w:val="39"/>
    <w:unhideWhenUsed/>
    <w:rsid w:val="006C71DB"/>
    <w:pPr>
      <w:tabs>
        <w:tab w:val="right" w:leader="dot" w:pos="9071"/>
      </w:tabs>
      <w:spacing w:before="300" w:after="120" w:line="240" w:lineRule="auto"/>
    </w:pPr>
    <w:rPr>
      <w:rFonts w:ascii="Times New Roman" w:eastAsia="Calibri" w:hAnsi="Times New Roman" w:cs="Times New Roman"/>
      <w:sz w:val="24"/>
      <w:szCs w:val="20"/>
      <w:lang w:eastAsia="en-GB"/>
    </w:rPr>
  </w:style>
  <w:style w:type="paragraph" w:styleId="TOC6">
    <w:name w:val="toc 6"/>
    <w:basedOn w:val="Normal"/>
    <w:next w:val="Normal"/>
    <w:uiPriority w:val="39"/>
    <w:unhideWhenUsed/>
    <w:rsid w:val="006C71DB"/>
    <w:pPr>
      <w:tabs>
        <w:tab w:val="right" w:leader="dot" w:pos="9071"/>
      </w:tabs>
      <w:spacing w:before="240" w:after="120" w:line="240" w:lineRule="auto"/>
    </w:pPr>
    <w:rPr>
      <w:rFonts w:ascii="Times New Roman" w:eastAsia="Calibri" w:hAnsi="Times New Roman" w:cs="Times New Roman"/>
      <w:sz w:val="24"/>
      <w:szCs w:val="20"/>
      <w:lang w:eastAsia="en-GB"/>
    </w:rPr>
  </w:style>
  <w:style w:type="paragraph" w:styleId="TOC7">
    <w:name w:val="toc 7"/>
    <w:basedOn w:val="Normal"/>
    <w:next w:val="Normal"/>
    <w:uiPriority w:val="39"/>
    <w:unhideWhenUsed/>
    <w:rsid w:val="006C71DB"/>
    <w:pPr>
      <w:tabs>
        <w:tab w:val="right" w:leader="dot" w:pos="9071"/>
      </w:tabs>
      <w:spacing w:before="180" w:after="120" w:line="240" w:lineRule="auto"/>
    </w:pPr>
    <w:rPr>
      <w:rFonts w:ascii="Times New Roman" w:eastAsia="Calibri" w:hAnsi="Times New Roman" w:cs="Times New Roman"/>
      <w:sz w:val="24"/>
      <w:szCs w:val="20"/>
      <w:lang w:eastAsia="en-GB"/>
    </w:rPr>
  </w:style>
  <w:style w:type="paragraph" w:styleId="TOC8">
    <w:name w:val="toc 8"/>
    <w:basedOn w:val="Normal"/>
    <w:next w:val="Normal"/>
    <w:uiPriority w:val="39"/>
    <w:unhideWhenUsed/>
    <w:rsid w:val="006C71DB"/>
    <w:pPr>
      <w:tabs>
        <w:tab w:val="right" w:leader="dot" w:pos="9071"/>
      </w:tabs>
      <w:spacing w:before="120" w:after="120" w:line="240" w:lineRule="auto"/>
    </w:pPr>
    <w:rPr>
      <w:rFonts w:ascii="Times New Roman" w:eastAsia="Calibri" w:hAnsi="Times New Roman" w:cs="Times New Roman"/>
      <w:sz w:val="24"/>
      <w:szCs w:val="20"/>
      <w:lang w:eastAsia="en-GB"/>
    </w:rPr>
  </w:style>
  <w:style w:type="paragraph" w:styleId="TOC9">
    <w:name w:val="toc 9"/>
    <w:basedOn w:val="Normal"/>
    <w:next w:val="Normal"/>
    <w:uiPriority w:val="39"/>
    <w:unhideWhenUsed/>
    <w:rsid w:val="006C71DB"/>
    <w:pPr>
      <w:tabs>
        <w:tab w:val="right" w:leader="dot" w:pos="9071"/>
      </w:tabs>
      <w:spacing w:before="120" w:after="120" w:line="240" w:lineRule="auto"/>
      <w:jc w:val="both"/>
    </w:pPr>
    <w:rPr>
      <w:rFonts w:ascii="Times New Roman" w:eastAsia="Calibri" w:hAnsi="Times New Roman" w:cs="Times New Roman"/>
      <w:sz w:val="24"/>
      <w:szCs w:val="20"/>
      <w:lang w:eastAsia="en-GB"/>
    </w:rPr>
  </w:style>
  <w:style w:type="paragraph" w:customStyle="1" w:styleId="HeaderLandscape">
    <w:name w:val="HeaderLandscape"/>
    <w:basedOn w:val="Normal"/>
    <w:rsid w:val="006C71DB"/>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6C71DB"/>
    <w:pPr>
      <w:tabs>
        <w:tab w:val="center" w:pos="7285"/>
        <w:tab w:val="center" w:pos="10913"/>
        <w:tab w:val="right" w:pos="15137"/>
      </w:tabs>
      <w:spacing w:before="360" w:after="0" w:line="240" w:lineRule="auto"/>
      <w:ind w:left="-567" w:right="-567"/>
    </w:pPr>
    <w:rPr>
      <w:rFonts w:ascii="Times New Roman" w:eastAsia="Calibri" w:hAnsi="Times New Roman" w:cs="Times New Roman"/>
      <w:sz w:val="24"/>
      <w:szCs w:val="20"/>
      <w:lang w:eastAsia="en-GB"/>
    </w:rPr>
  </w:style>
  <w:style w:type="paragraph" w:customStyle="1" w:styleId="Text2">
    <w:name w:val="Text 2"/>
    <w:basedOn w:val="Normal"/>
    <w:rsid w:val="006C71DB"/>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Text3">
    <w:name w:val="Text 3"/>
    <w:basedOn w:val="Normal"/>
    <w:rsid w:val="006C71DB"/>
    <w:pPr>
      <w:spacing w:before="120" w:after="120" w:line="240" w:lineRule="auto"/>
      <w:ind w:left="1984"/>
      <w:jc w:val="both"/>
    </w:pPr>
    <w:rPr>
      <w:rFonts w:ascii="Times New Roman" w:eastAsia="Calibri" w:hAnsi="Times New Roman" w:cs="Times New Roman"/>
      <w:sz w:val="24"/>
      <w:szCs w:val="20"/>
      <w:lang w:eastAsia="en-GB"/>
    </w:rPr>
  </w:style>
  <w:style w:type="paragraph" w:customStyle="1" w:styleId="Text4">
    <w:name w:val="Text 4"/>
    <w:basedOn w:val="Normal"/>
    <w:rsid w:val="006C71DB"/>
    <w:pPr>
      <w:spacing w:before="120" w:after="120" w:line="240" w:lineRule="auto"/>
      <w:ind w:left="2551"/>
      <w:jc w:val="both"/>
    </w:pPr>
    <w:rPr>
      <w:rFonts w:ascii="Times New Roman" w:eastAsia="Calibri" w:hAnsi="Times New Roman" w:cs="Times New Roman"/>
      <w:sz w:val="24"/>
      <w:szCs w:val="20"/>
      <w:lang w:eastAsia="en-GB"/>
    </w:rPr>
  </w:style>
  <w:style w:type="paragraph" w:customStyle="1" w:styleId="NormalCentered">
    <w:name w:val="Normal Centered"/>
    <w:basedOn w:val="Normal"/>
    <w:rsid w:val="006C71DB"/>
    <w:pPr>
      <w:spacing w:before="120" w:after="120" w:line="240" w:lineRule="auto"/>
      <w:jc w:val="center"/>
    </w:pPr>
    <w:rPr>
      <w:rFonts w:ascii="Times New Roman" w:eastAsia="Calibri" w:hAnsi="Times New Roman" w:cs="Times New Roman"/>
      <w:sz w:val="24"/>
      <w:szCs w:val="20"/>
      <w:lang w:eastAsia="en-GB"/>
    </w:rPr>
  </w:style>
  <w:style w:type="paragraph" w:customStyle="1" w:styleId="NormalLeft">
    <w:name w:val="Normal Left"/>
    <w:basedOn w:val="Normal"/>
    <w:rsid w:val="006C71DB"/>
    <w:pPr>
      <w:spacing w:before="120" w:after="120" w:line="240" w:lineRule="auto"/>
    </w:pPr>
    <w:rPr>
      <w:rFonts w:ascii="Times New Roman" w:eastAsia="Calibri" w:hAnsi="Times New Roman" w:cs="Times New Roman"/>
      <w:sz w:val="24"/>
      <w:szCs w:val="20"/>
      <w:lang w:eastAsia="en-GB"/>
    </w:rPr>
  </w:style>
  <w:style w:type="paragraph" w:customStyle="1" w:styleId="NormalRight">
    <w:name w:val="Normal Right"/>
    <w:basedOn w:val="Normal"/>
    <w:rsid w:val="006C71DB"/>
    <w:pPr>
      <w:spacing w:before="120" w:after="120" w:line="240" w:lineRule="auto"/>
      <w:jc w:val="right"/>
    </w:pPr>
    <w:rPr>
      <w:rFonts w:ascii="Times New Roman" w:eastAsia="Calibri" w:hAnsi="Times New Roman" w:cs="Times New Roman"/>
      <w:sz w:val="24"/>
      <w:szCs w:val="20"/>
      <w:lang w:eastAsia="en-GB"/>
    </w:rPr>
  </w:style>
  <w:style w:type="paragraph" w:customStyle="1" w:styleId="QuotedText">
    <w:name w:val="Quoted Text"/>
    <w:basedOn w:val="Normal"/>
    <w:rsid w:val="006C71DB"/>
    <w:pPr>
      <w:spacing w:before="120" w:after="120" w:line="240" w:lineRule="auto"/>
      <w:ind w:left="1417"/>
      <w:jc w:val="both"/>
    </w:pPr>
    <w:rPr>
      <w:rFonts w:ascii="Times New Roman" w:eastAsia="Calibri" w:hAnsi="Times New Roman" w:cs="Times New Roman"/>
      <w:sz w:val="24"/>
      <w:szCs w:val="20"/>
      <w:lang w:eastAsia="en-GB"/>
    </w:rPr>
  </w:style>
  <w:style w:type="paragraph" w:customStyle="1" w:styleId="Point0">
    <w:name w:val="Point 0"/>
    <w:basedOn w:val="Normal"/>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Point1">
    <w:name w:val="Point 1"/>
    <w:basedOn w:val="Normal"/>
    <w:rsid w:val="006C71DB"/>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Point2">
    <w:name w:val="Point 2"/>
    <w:basedOn w:val="Normal"/>
    <w:rsid w:val="006C71DB"/>
    <w:pPr>
      <w:spacing w:before="120" w:after="120" w:line="240" w:lineRule="auto"/>
      <w:ind w:left="1984" w:hanging="567"/>
      <w:jc w:val="both"/>
    </w:pPr>
    <w:rPr>
      <w:rFonts w:ascii="Times New Roman" w:eastAsia="Calibri" w:hAnsi="Times New Roman" w:cs="Times New Roman"/>
      <w:sz w:val="24"/>
      <w:szCs w:val="20"/>
      <w:lang w:eastAsia="en-GB"/>
    </w:rPr>
  </w:style>
  <w:style w:type="paragraph" w:customStyle="1" w:styleId="Point3">
    <w:name w:val="Point 3"/>
    <w:basedOn w:val="Normal"/>
    <w:rsid w:val="006C71DB"/>
    <w:pPr>
      <w:spacing w:before="120" w:after="120" w:line="240" w:lineRule="auto"/>
      <w:ind w:left="2551" w:hanging="567"/>
      <w:jc w:val="both"/>
    </w:pPr>
    <w:rPr>
      <w:rFonts w:ascii="Times New Roman" w:eastAsia="Calibri" w:hAnsi="Times New Roman" w:cs="Times New Roman"/>
      <w:sz w:val="24"/>
      <w:szCs w:val="20"/>
      <w:lang w:eastAsia="en-GB"/>
    </w:rPr>
  </w:style>
  <w:style w:type="paragraph" w:customStyle="1" w:styleId="Point4">
    <w:name w:val="Point 4"/>
    <w:basedOn w:val="Normal"/>
    <w:rsid w:val="006C71DB"/>
    <w:pPr>
      <w:spacing w:before="120" w:after="120" w:line="240" w:lineRule="auto"/>
      <w:ind w:left="3118" w:hanging="567"/>
      <w:jc w:val="both"/>
    </w:pPr>
    <w:rPr>
      <w:rFonts w:ascii="Times New Roman" w:eastAsia="Calibri" w:hAnsi="Times New Roman" w:cs="Times New Roman"/>
      <w:sz w:val="24"/>
      <w:szCs w:val="20"/>
      <w:lang w:eastAsia="en-GB"/>
    </w:rPr>
  </w:style>
  <w:style w:type="paragraph" w:customStyle="1" w:styleId="Tiret0">
    <w:name w:val="Tiret 0"/>
    <w:basedOn w:val="Point0"/>
    <w:rsid w:val="006C71DB"/>
    <w:pPr>
      <w:numPr>
        <w:numId w:val="17"/>
      </w:numPr>
    </w:pPr>
  </w:style>
  <w:style w:type="paragraph" w:customStyle="1" w:styleId="Tiret1">
    <w:name w:val="Tiret 1"/>
    <w:basedOn w:val="Point1"/>
    <w:rsid w:val="006C71DB"/>
    <w:pPr>
      <w:numPr>
        <w:numId w:val="18"/>
      </w:numPr>
    </w:pPr>
  </w:style>
  <w:style w:type="paragraph" w:customStyle="1" w:styleId="Tiret2">
    <w:name w:val="Tiret 2"/>
    <w:basedOn w:val="Point2"/>
    <w:rsid w:val="006C71DB"/>
    <w:pPr>
      <w:numPr>
        <w:numId w:val="19"/>
      </w:numPr>
    </w:pPr>
  </w:style>
  <w:style w:type="paragraph" w:customStyle="1" w:styleId="Tiret3">
    <w:name w:val="Tiret 3"/>
    <w:basedOn w:val="Point3"/>
    <w:rsid w:val="006C71DB"/>
    <w:pPr>
      <w:numPr>
        <w:numId w:val="20"/>
      </w:numPr>
    </w:pPr>
  </w:style>
  <w:style w:type="paragraph" w:customStyle="1" w:styleId="Tiret4">
    <w:name w:val="Tiret 4"/>
    <w:basedOn w:val="Point4"/>
    <w:rsid w:val="006C71DB"/>
    <w:pPr>
      <w:numPr>
        <w:numId w:val="21"/>
      </w:numPr>
    </w:pPr>
  </w:style>
  <w:style w:type="paragraph" w:customStyle="1" w:styleId="PointDouble0">
    <w:name w:val="PointDouble 0"/>
    <w:basedOn w:val="Normal"/>
    <w:rsid w:val="006C71DB"/>
    <w:pPr>
      <w:tabs>
        <w:tab w:val="left" w:pos="850"/>
      </w:tabs>
      <w:spacing w:before="120" w:after="120" w:line="240" w:lineRule="auto"/>
      <w:ind w:left="1417" w:hanging="1417"/>
      <w:jc w:val="both"/>
    </w:pPr>
    <w:rPr>
      <w:rFonts w:ascii="Times New Roman" w:eastAsia="Calibri" w:hAnsi="Times New Roman" w:cs="Times New Roman"/>
      <w:sz w:val="24"/>
      <w:szCs w:val="20"/>
      <w:lang w:eastAsia="en-GB"/>
    </w:rPr>
  </w:style>
  <w:style w:type="paragraph" w:customStyle="1" w:styleId="PointDouble1">
    <w:name w:val="PointDouble 1"/>
    <w:basedOn w:val="Normal"/>
    <w:rsid w:val="006C71DB"/>
    <w:pPr>
      <w:tabs>
        <w:tab w:val="left" w:pos="1417"/>
      </w:tabs>
      <w:spacing w:before="120" w:after="120" w:line="240" w:lineRule="auto"/>
      <w:ind w:left="1984" w:hanging="1134"/>
      <w:jc w:val="both"/>
    </w:pPr>
    <w:rPr>
      <w:rFonts w:ascii="Times New Roman" w:eastAsia="Calibri" w:hAnsi="Times New Roman" w:cs="Times New Roman"/>
      <w:sz w:val="24"/>
      <w:szCs w:val="20"/>
      <w:lang w:eastAsia="en-GB"/>
    </w:rPr>
  </w:style>
  <w:style w:type="paragraph" w:customStyle="1" w:styleId="PointDouble2">
    <w:name w:val="PointDouble 2"/>
    <w:basedOn w:val="Normal"/>
    <w:rsid w:val="006C71DB"/>
    <w:pPr>
      <w:tabs>
        <w:tab w:val="left" w:pos="1984"/>
      </w:tabs>
      <w:spacing w:before="120" w:after="120" w:line="240" w:lineRule="auto"/>
      <w:ind w:left="2551" w:hanging="1134"/>
      <w:jc w:val="both"/>
    </w:pPr>
    <w:rPr>
      <w:rFonts w:ascii="Times New Roman" w:eastAsia="Calibri" w:hAnsi="Times New Roman" w:cs="Times New Roman"/>
      <w:sz w:val="24"/>
      <w:szCs w:val="20"/>
      <w:lang w:eastAsia="en-GB"/>
    </w:rPr>
  </w:style>
  <w:style w:type="paragraph" w:customStyle="1" w:styleId="PointDouble3">
    <w:name w:val="PointDouble 3"/>
    <w:basedOn w:val="Normal"/>
    <w:rsid w:val="006C71DB"/>
    <w:pPr>
      <w:tabs>
        <w:tab w:val="left" w:pos="2551"/>
      </w:tabs>
      <w:spacing w:before="120" w:after="120" w:line="240" w:lineRule="auto"/>
      <w:ind w:left="3118" w:hanging="1134"/>
      <w:jc w:val="both"/>
    </w:pPr>
    <w:rPr>
      <w:rFonts w:ascii="Times New Roman" w:eastAsia="Calibri" w:hAnsi="Times New Roman" w:cs="Times New Roman"/>
      <w:sz w:val="24"/>
      <w:szCs w:val="20"/>
      <w:lang w:eastAsia="en-GB"/>
    </w:rPr>
  </w:style>
  <w:style w:type="paragraph" w:customStyle="1" w:styleId="PointDouble4">
    <w:name w:val="PointDouble 4"/>
    <w:basedOn w:val="Normal"/>
    <w:rsid w:val="006C71DB"/>
    <w:pPr>
      <w:tabs>
        <w:tab w:val="left" w:pos="3118"/>
      </w:tabs>
      <w:spacing w:before="120" w:after="120" w:line="240" w:lineRule="auto"/>
      <w:ind w:left="3685" w:hanging="1134"/>
      <w:jc w:val="both"/>
    </w:pPr>
    <w:rPr>
      <w:rFonts w:ascii="Times New Roman" w:eastAsia="Calibri" w:hAnsi="Times New Roman" w:cs="Times New Roman"/>
      <w:sz w:val="24"/>
      <w:szCs w:val="20"/>
      <w:lang w:eastAsia="en-GB"/>
    </w:rPr>
  </w:style>
  <w:style w:type="paragraph" w:customStyle="1" w:styleId="PointTriple0">
    <w:name w:val="PointTriple 0"/>
    <w:basedOn w:val="Normal"/>
    <w:rsid w:val="006C71DB"/>
    <w:pPr>
      <w:tabs>
        <w:tab w:val="left" w:pos="850"/>
        <w:tab w:val="left" w:pos="1417"/>
      </w:tabs>
      <w:spacing w:before="120" w:after="120" w:line="240" w:lineRule="auto"/>
      <w:ind w:left="1984" w:hanging="1984"/>
      <w:jc w:val="both"/>
    </w:pPr>
    <w:rPr>
      <w:rFonts w:ascii="Times New Roman" w:eastAsia="Calibri" w:hAnsi="Times New Roman" w:cs="Times New Roman"/>
      <w:sz w:val="24"/>
      <w:szCs w:val="20"/>
      <w:lang w:eastAsia="en-GB"/>
    </w:rPr>
  </w:style>
  <w:style w:type="paragraph" w:customStyle="1" w:styleId="PointTriple1">
    <w:name w:val="PointTriple 1"/>
    <w:basedOn w:val="Normal"/>
    <w:rsid w:val="006C71DB"/>
    <w:pPr>
      <w:tabs>
        <w:tab w:val="left" w:pos="1417"/>
        <w:tab w:val="left" w:pos="1984"/>
      </w:tabs>
      <w:spacing w:before="120" w:after="120" w:line="240" w:lineRule="auto"/>
      <w:ind w:left="2551" w:hanging="1701"/>
      <w:jc w:val="both"/>
    </w:pPr>
    <w:rPr>
      <w:rFonts w:ascii="Times New Roman" w:eastAsia="Calibri" w:hAnsi="Times New Roman" w:cs="Times New Roman"/>
      <w:sz w:val="24"/>
      <w:szCs w:val="20"/>
      <w:lang w:eastAsia="en-GB"/>
    </w:rPr>
  </w:style>
  <w:style w:type="paragraph" w:customStyle="1" w:styleId="PointTriple2">
    <w:name w:val="PointTriple 2"/>
    <w:basedOn w:val="Normal"/>
    <w:rsid w:val="006C71DB"/>
    <w:pPr>
      <w:tabs>
        <w:tab w:val="left" w:pos="1984"/>
        <w:tab w:val="left" w:pos="2551"/>
      </w:tabs>
      <w:spacing w:before="120" w:after="120" w:line="240" w:lineRule="auto"/>
      <w:ind w:left="3118" w:hanging="1701"/>
      <w:jc w:val="both"/>
    </w:pPr>
    <w:rPr>
      <w:rFonts w:ascii="Times New Roman" w:eastAsia="Calibri" w:hAnsi="Times New Roman" w:cs="Times New Roman"/>
      <w:sz w:val="24"/>
      <w:szCs w:val="20"/>
      <w:lang w:eastAsia="en-GB"/>
    </w:rPr>
  </w:style>
  <w:style w:type="paragraph" w:customStyle="1" w:styleId="PointTriple3">
    <w:name w:val="PointTriple 3"/>
    <w:basedOn w:val="Normal"/>
    <w:rsid w:val="006C71DB"/>
    <w:pPr>
      <w:tabs>
        <w:tab w:val="left" w:pos="2551"/>
        <w:tab w:val="left" w:pos="3118"/>
      </w:tabs>
      <w:spacing w:before="120" w:after="120" w:line="240" w:lineRule="auto"/>
      <w:ind w:left="3685" w:hanging="1701"/>
      <w:jc w:val="both"/>
    </w:pPr>
    <w:rPr>
      <w:rFonts w:ascii="Times New Roman" w:eastAsia="Calibri" w:hAnsi="Times New Roman" w:cs="Times New Roman"/>
      <w:sz w:val="24"/>
      <w:szCs w:val="20"/>
      <w:lang w:eastAsia="en-GB"/>
    </w:rPr>
  </w:style>
  <w:style w:type="paragraph" w:customStyle="1" w:styleId="PointTriple4">
    <w:name w:val="PointTriple 4"/>
    <w:basedOn w:val="Normal"/>
    <w:rsid w:val="006C71DB"/>
    <w:pPr>
      <w:tabs>
        <w:tab w:val="left" w:pos="3118"/>
        <w:tab w:val="left" w:pos="3685"/>
      </w:tabs>
      <w:spacing w:before="120" w:after="120" w:line="240" w:lineRule="auto"/>
      <w:ind w:left="4252" w:hanging="1701"/>
      <w:jc w:val="both"/>
    </w:pPr>
    <w:rPr>
      <w:rFonts w:ascii="Times New Roman" w:eastAsia="Calibri" w:hAnsi="Times New Roman" w:cs="Times New Roman"/>
      <w:sz w:val="24"/>
      <w:szCs w:val="20"/>
      <w:lang w:eastAsia="en-GB"/>
    </w:rPr>
  </w:style>
  <w:style w:type="paragraph" w:customStyle="1" w:styleId="NumPar1">
    <w:name w:val="NumPar 1"/>
    <w:basedOn w:val="Normal"/>
    <w:next w:val="Text1"/>
    <w:rsid w:val="006C71DB"/>
    <w:pPr>
      <w:numPr>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2">
    <w:name w:val="NumPar 2"/>
    <w:basedOn w:val="Normal"/>
    <w:next w:val="Text1"/>
    <w:rsid w:val="006C71DB"/>
    <w:pPr>
      <w:numPr>
        <w:ilvl w:val="1"/>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3">
    <w:name w:val="NumPar 3"/>
    <w:basedOn w:val="Normal"/>
    <w:next w:val="Text1"/>
    <w:rsid w:val="006C71DB"/>
    <w:pPr>
      <w:numPr>
        <w:ilvl w:val="2"/>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NumPar4">
    <w:name w:val="NumPar 4"/>
    <w:basedOn w:val="Normal"/>
    <w:next w:val="Text1"/>
    <w:rsid w:val="006C71DB"/>
    <w:pPr>
      <w:numPr>
        <w:ilvl w:val="3"/>
        <w:numId w:val="22"/>
      </w:numPr>
      <w:spacing w:before="120" w:after="120" w:line="240" w:lineRule="auto"/>
      <w:jc w:val="both"/>
    </w:pPr>
    <w:rPr>
      <w:rFonts w:ascii="Times New Roman" w:eastAsia="Calibri" w:hAnsi="Times New Roman" w:cs="Times New Roman"/>
      <w:sz w:val="24"/>
      <w:szCs w:val="20"/>
      <w:lang w:eastAsia="en-GB"/>
    </w:rPr>
  </w:style>
  <w:style w:type="paragraph" w:customStyle="1" w:styleId="ManualNumPar1">
    <w:name w:val="Manual NumPar 1"/>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2">
    <w:name w:val="Manual NumPar 2"/>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3">
    <w:name w:val="Manual NumPar 3"/>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ManualNumPar4">
    <w:name w:val="Manual NumPar 4"/>
    <w:basedOn w:val="Normal"/>
    <w:next w:val="Text1"/>
    <w:rsid w:val="006C71DB"/>
    <w:pPr>
      <w:spacing w:before="120" w:after="120" w:line="240" w:lineRule="auto"/>
      <w:ind w:left="850" w:hanging="850"/>
      <w:jc w:val="both"/>
    </w:pPr>
    <w:rPr>
      <w:rFonts w:ascii="Times New Roman" w:eastAsia="Calibri" w:hAnsi="Times New Roman" w:cs="Times New Roman"/>
      <w:sz w:val="24"/>
      <w:szCs w:val="20"/>
      <w:lang w:eastAsia="en-GB"/>
    </w:rPr>
  </w:style>
  <w:style w:type="paragraph" w:customStyle="1" w:styleId="QuotedNumPar">
    <w:name w:val="Quoted NumPar"/>
    <w:basedOn w:val="Normal"/>
    <w:rsid w:val="006C71DB"/>
    <w:pPr>
      <w:spacing w:before="120" w:after="120" w:line="240" w:lineRule="auto"/>
      <w:ind w:left="1417" w:hanging="567"/>
      <w:jc w:val="both"/>
    </w:pPr>
    <w:rPr>
      <w:rFonts w:ascii="Times New Roman" w:eastAsia="Calibri" w:hAnsi="Times New Roman" w:cs="Times New Roman"/>
      <w:sz w:val="24"/>
      <w:szCs w:val="20"/>
      <w:lang w:eastAsia="en-GB"/>
    </w:rPr>
  </w:style>
  <w:style w:type="paragraph" w:customStyle="1" w:styleId="ManualHeading1">
    <w:name w:val="Manual Heading 1"/>
    <w:basedOn w:val="Normal"/>
    <w:next w:val="Text1"/>
    <w:rsid w:val="006C71DB"/>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szCs w:val="20"/>
      <w:lang w:eastAsia="en-GB"/>
    </w:rPr>
  </w:style>
  <w:style w:type="paragraph" w:customStyle="1" w:styleId="ManualHeading2">
    <w:name w:val="Manual Heading 2"/>
    <w:basedOn w:val="Normal"/>
    <w:next w:val="Text1"/>
    <w:rsid w:val="006C71DB"/>
    <w:pPr>
      <w:keepNext/>
      <w:tabs>
        <w:tab w:val="left" w:pos="850"/>
      </w:tabs>
      <w:spacing w:before="120" w:after="120" w:line="240" w:lineRule="auto"/>
      <w:ind w:left="850" w:hanging="850"/>
      <w:jc w:val="both"/>
      <w:outlineLvl w:val="1"/>
    </w:pPr>
    <w:rPr>
      <w:rFonts w:ascii="Times New Roman" w:eastAsia="Calibri" w:hAnsi="Times New Roman" w:cs="Times New Roman"/>
      <w:b/>
      <w:sz w:val="24"/>
      <w:szCs w:val="20"/>
      <w:lang w:eastAsia="en-GB"/>
    </w:rPr>
  </w:style>
  <w:style w:type="paragraph" w:customStyle="1" w:styleId="ManualHeading3">
    <w:name w:val="Manual Heading 3"/>
    <w:basedOn w:val="Normal"/>
    <w:next w:val="Text1"/>
    <w:rsid w:val="006C71DB"/>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ManualHeading4">
    <w:name w:val="Manual Heading 4"/>
    <w:basedOn w:val="Normal"/>
    <w:next w:val="Text1"/>
    <w:rsid w:val="006C71DB"/>
    <w:pPr>
      <w:keepNext/>
      <w:tabs>
        <w:tab w:val="left" w:pos="850"/>
      </w:tabs>
      <w:spacing w:before="120" w:after="120" w:line="240" w:lineRule="auto"/>
      <w:ind w:left="850" w:hanging="850"/>
      <w:jc w:val="both"/>
      <w:outlineLvl w:val="3"/>
    </w:pPr>
    <w:rPr>
      <w:rFonts w:ascii="Times New Roman" w:eastAsia="Calibri" w:hAnsi="Times New Roman" w:cs="Times New Roman"/>
      <w:sz w:val="24"/>
      <w:szCs w:val="20"/>
      <w:lang w:eastAsia="en-GB"/>
    </w:rPr>
  </w:style>
  <w:style w:type="paragraph" w:customStyle="1" w:styleId="ChapterTitle">
    <w:name w:val="ChapterTitle"/>
    <w:basedOn w:val="Normal"/>
    <w:next w:val="Normal"/>
    <w:rsid w:val="006C71DB"/>
    <w:pPr>
      <w:keepNext/>
      <w:spacing w:before="120" w:after="360" w:line="240" w:lineRule="auto"/>
      <w:jc w:val="center"/>
    </w:pPr>
    <w:rPr>
      <w:rFonts w:ascii="Times New Roman" w:eastAsia="Calibri" w:hAnsi="Times New Roman" w:cs="Times New Roman"/>
      <w:b/>
      <w:sz w:val="32"/>
      <w:szCs w:val="20"/>
      <w:lang w:eastAsia="en-GB"/>
    </w:rPr>
  </w:style>
  <w:style w:type="paragraph" w:customStyle="1" w:styleId="PartTitle">
    <w:name w:val="PartTitle"/>
    <w:basedOn w:val="Normal"/>
    <w:next w:val="ChapterTitle"/>
    <w:rsid w:val="006C71DB"/>
    <w:pPr>
      <w:keepNext/>
      <w:pageBreakBefore/>
      <w:spacing w:before="120" w:after="360" w:line="240" w:lineRule="auto"/>
      <w:jc w:val="center"/>
    </w:pPr>
    <w:rPr>
      <w:rFonts w:ascii="Times New Roman" w:eastAsia="Calibri" w:hAnsi="Times New Roman" w:cs="Times New Roman"/>
      <w:b/>
      <w:sz w:val="36"/>
      <w:szCs w:val="20"/>
      <w:lang w:eastAsia="en-GB"/>
    </w:rPr>
  </w:style>
  <w:style w:type="paragraph" w:customStyle="1" w:styleId="SectionTitle">
    <w:name w:val="SectionTitle"/>
    <w:basedOn w:val="Normal"/>
    <w:next w:val="Heading1"/>
    <w:rsid w:val="006C71DB"/>
    <w:pPr>
      <w:keepNext/>
      <w:spacing w:before="120" w:after="360" w:line="240" w:lineRule="auto"/>
      <w:jc w:val="center"/>
    </w:pPr>
    <w:rPr>
      <w:rFonts w:ascii="Times New Roman" w:eastAsia="Calibri" w:hAnsi="Times New Roman" w:cs="Times New Roman"/>
      <w:b/>
      <w:smallCaps/>
      <w:sz w:val="28"/>
      <w:szCs w:val="20"/>
      <w:lang w:eastAsia="en-GB"/>
    </w:rPr>
  </w:style>
  <w:style w:type="paragraph" w:customStyle="1" w:styleId="TableTitle">
    <w:name w:val="Table Title"/>
    <w:basedOn w:val="Normal"/>
    <w:next w:val="Normal"/>
    <w:rsid w:val="006C71DB"/>
    <w:pPr>
      <w:spacing w:before="120" w:after="120" w:line="240" w:lineRule="auto"/>
      <w:jc w:val="center"/>
    </w:pPr>
    <w:rPr>
      <w:rFonts w:ascii="Times New Roman" w:eastAsia="Calibri" w:hAnsi="Times New Roman" w:cs="Times New Roman"/>
      <w:b/>
      <w:sz w:val="24"/>
      <w:szCs w:val="20"/>
      <w:lang w:eastAsia="en-GB"/>
    </w:rPr>
  </w:style>
  <w:style w:type="character" w:customStyle="1" w:styleId="Marker">
    <w:name w:val="Marker"/>
    <w:rsid w:val="006C71DB"/>
    <w:rPr>
      <w:color w:val="0000FF"/>
      <w:shd w:val="clear" w:color="auto" w:fill="auto"/>
    </w:rPr>
  </w:style>
  <w:style w:type="character" w:customStyle="1" w:styleId="Marker1">
    <w:name w:val="Marker1"/>
    <w:rsid w:val="006C71DB"/>
    <w:rPr>
      <w:color w:val="008000"/>
      <w:shd w:val="clear" w:color="auto" w:fill="auto"/>
    </w:rPr>
  </w:style>
  <w:style w:type="character" w:customStyle="1" w:styleId="Marker2">
    <w:name w:val="Marker2"/>
    <w:rsid w:val="006C71DB"/>
    <w:rPr>
      <w:color w:val="FF0000"/>
      <w:shd w:val="clear" w:color="auto" w:fill="auto"/>
    </w:rPr>
  </w:style>
  <w:style w:type="paragraph" w:customStyle="1" w:styleId="Point0number">
    <w:name w:val="Point 0 (number)"/>
    <w:basedOn w:val="Normal"/>
    <w:rsid w:val="006C71DB"/>
    <w:pPr>
      <w:spacing w:before="120" w:after="120" w:line="240" w:lineRule="auto"/>
      <w:jc w:val="both"/>
    </w:pPr>
    <w:rPr>
      <w:rFonts w:ascii="Times New Roman" w:eastAsia="Calibri" w:hAnsi="Times New Roman" w:cs="Times New Roman"/>
      <w:sz w:val="24"/>
      <w:szCs w:val="20"/>
      <w:lang w:eastAsia="en-GB"/>
    </w:rPr>
  </w:style>
  <w:style w:type="paragraph" w:customStyle="1" w:styleId="Point1number">
    <w:name w:val="Point 1 (number)"/>
    <w:basedOn w:val="Normal"/>
    <w:rsid w:val="006C71DB"/>
    <w:pPr>
      <w:numPr>
        <w:ilvl w:val="2"/>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2number">
    <w:name w:val="Point 2 (number)"/>
    <w:basedOn w:val="Normal"/>
    <w:rsid w:val="006C71DB"/>
    <w:pPr>
      <w:numPr>
        <w:ilvl w:val="4"/>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3number">
    <w:name w:val="Point 3 (number)"/>
    <w:basedOn w:val="Normal"/>
    <w:rsid w:val="006C71DB"/>
    <w:pPr>
      <w:numPr>
        <w:ilvl w:val="6"/>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0letter">
    <w:name w:val="Point 0 (letter)"/>
    <w:basedOn w:val="Normal"/>
    <w:rsid w:val="006C71DB"/>
    <w:pPr>
      <w:numPr>
        <w:ilvl w:val="1"/>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1letter">
    <w:name w:val="Point 1 (letter)"/>
    <w:basedOn w:val="Normal"/>
    <w:rsid w:val="006C71DB"/>
    <w:pPr>
      <w:numPr>
        <w:ilvl w:val="3"/>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2letter">
    <w:name w:val="Point 2 (letter)"/>
    <w:basedOn w:val="Normal"/>
    <w:rsid w:val="006C71DB"/>
    <w:pPr>
      <w:numPr>
        <w:ilvl w:val="5"/>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3letter">
    <w:name w:val="Point 3 (letter)"/>
    <w:basedOn w:val="Normal"/>
    <w:rsid w:val="006C71DB"/>
    <w:pPr>
      <w:numPr>
        <w:ilvl w:val="7"/>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Point4letter">
    <w:name w:val="Point 4 (letter)"/>
    <w:basedOn w:val="Normal"/>
    <w:rsid w:val="006C71DB"/>
    <w:pPr>
      <w:numPr>
        <w:ilvl w:val="8"/>
        <w:numId w:val="11"/>
      </w:numPr>
      <w:spacing w:before="120" w:after="120" w:line="240" w:lineRule="auto"/>
      <w:jc w:val="both"/>
    </w:pPr>
    <w:rPr>
      <w:rFonts w:ascii="Times New Roman" w:eastAsia="Calibri" w:hAnsi="Times New Roman" w:cs="Times New Roman"/>
      <w:sz w:val="24"/>
      <w:szCs w:val="20"/>
      <w:lang w:eastAsia="en-GB"/>
    </w:rPr>
  </w:style>
  <w:style w:type="paragraph" w:customStyle="1" w:styleId="Bullet0">
    <w:name w:val="Bullet 0"/>
    <w:basedOn w:val="Normal"/>
    <w:rsid w:val="006C71DB"/>
    <w:pPr>
      <w:numPr>
        <w:numId w:val="10"/>
      </w:numPr>
      <w:spacing w:before="120" w:after="120" w:line="240" w:lineRule="auto"/>
      <w:jc w:val="both"/>
    </w:pPr>
    <w:rPr>
      <w:rFonts w:ascii="Times New Roman" w:eastAsia="Calibri" w:hAnsi="Times New Roman" w:cs="Times New Roman"/>
      <w:sz w:val="24"/>
      <w:szCs w:val="20"/>
      <w:lang w:eastAsia="en-GB"/>
    </w:rPr>
  </w:style>
  <w:style w:type="paragraph" w:customStyle="1" w:styleId="Bullet1">
    <w:name w:val="Bullet 1"/>
    <w:basedOn w:val="Normal"/>
    <w:rsid w:val="006C71DB"/>
    <w:pPr>
      <w:numPr>
        <w:numId w:val="12"/>
      </w:numPr>
      <w:spacing w:before="120" w:after="120" w:line="240" w:lineRule="auto"/>
      <w:jc w:val="both"/>
    </w:pPr>
    <w:rPr>
      <w:rFonts w:ascii="Times New Roman" w:eastAsia="Calibri" w:hAnsi="Times New Roman" w:cs="Times New Roman"/>
      <w:sz w:val="24"/>
      <w:szCs w:val="20"/>
      <w:lang w:eastAsia="en-GB"/>
    </w:rPr>
  </w:style>
  <w:style w:type="paragraph" w:customStyle="1" w:styleId="Bullet2">
    <w:name w:val="Bullet 2"/>
    <w:basedOn w:val="Normal"/>
    <w:rsid w:val="006C71DB"/>
    <w:pPr>
      <w:numPr>
        <w:numId w:val="23"/>
      </w:numPr>
      <w:spacing w:before="120" w:after="120" w:line="240" w:lineRule="auto"/>
      <w:jc w:val="both"/>
    </w:pPr>
    <w:rPr>
      <w:rFonts w:ascii="Times New Roman" w:eastAsia="Calibri" w:hAnsi="Times New Roman" w:cs="Times New Roman"/>
      <w:sz w:val="24"/>
      <w:szCs w:val="20"/>
      <w:lang w:eastAsia="en-GB"/>
    </w:rPr>
  </w:style>
  <w:style w:type="paragraph" w:customStyle="1" w:styleId="Bullet3">
    <w:name w:val="Bullet 3"/>
    <w:basedOn w:val="Normal"/>
    <w:rsid w:val="006C71DB"/>
    <w:pPr>
      <w:numPr>
        <w:numId w:val="24"/>
      </w:numPr>
      <w:spacing w:before="120" w:after="120" w:line="240" w:lineRule="auto"/>
      <w:jc w:val="both"/>
    </w:pPr>
    <w:rPr>
      <w:rFonts w:ascii="Times New Roman" w:eastAsia="Calibri" w:hAnsi="Times New Roman" w:cs="Times New Roman"/>
      <w:sz w:val="24"/>
      <w:szCs w:val="20"/>
      <w:lang w:eastAsia="en-GB"/>
    </w:rPr>
  </w:style>
  <w:style w:type="paragraph" w:customStyle="1" w:styleId="Bullet4">
    <w:name w:val="Bullet 4"/>
    <w:basedOn w:val="Normal"/>
    <w:rsid w:val="006C71DB"/>
    <w:pPr>
      <w:numPr>
        <w:numId w:val="25"/>
      </w:numPr>
      <w:spacing w:before="120" w:after="120" w:line="240" w:lineRule="auto"/>
      <w:jc w:val="both"/>
    </w:pPr>
    <w:rPr>
      <w:rFonts w:ascii="Times New Roman" w:eastAsia="Calibri" w:hAnsi="Times New Roman" w:cs="Times New Roman"/>
      <w:sz w:val="24"/>
      <w:szCs w:val="20"/>
      <w:lang w:eastAsia="en-GB"/>
    </w:rPr>
  </w:style>
  <w:style w:type="paragraph" w:customStyle="1" w:styleId="Annexetitreexpos">
    <w:name w:val="Annexe titre (exposé)"/>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
    <w:name w:val="Annexe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nnexetitrefichefinancire">
    <w:name w:val="Annexe titre (fiche financiè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Applicationdirecte">
    <w:name w:val="Application directe"/>
    <w:basedOn w:val="Normal"/>
    <w:next w:val="Fait"/>
    <w:rsid w:val="006C71DB"/>
    <w:pPr>
      <w:spacing w:before="480" w:after="120" w:line="240" w:lineRule="auto"/>
      <w:jc w:val="both"/>
    </w:pPr>
    <w:rPr>
      <w:rFonts w:ascii="Times New Roman" w:eastAsia="Calibri" w:hAnsi="Times New Roman" w:cs="Times New Roman"/>
      <w:sz w:val="24"/>
      <w:szCs w:val="20"/>
      <w:lang w:eastAsia="en-GB"/>
    </w:rPr>
  </w:style>
  <w:style w:type="paragraph" w:customStyle="1" w:styleId="Avertissementtitre">
    <w:name w:val="Avertissement titre"/>
    <w:basedOn w:val="Normal"/>
    <w:next w:val="Normal"/>
    <w:rsid w:val="006C71DB"/>
    <w:pPr>
      <w:keepNext/>
      <w:spacing w:before="480" w:after="120" w:line="240" w:lineRule="auto"/>
      <w:jc w:val="both"/>
    </w:pPr>
    <w:rPr>
      <w:rFonts w:ascii="Times New Roman" w:eastAsia="Calibri" w:hAnsi="Times New Roman" w:cs="Times New Roman"/>
      <w:sz w:val="24"/>
      <w:szCs w:val="20"/>
      <w:u w:val="single"/>
      <w:lang w:eastAsia="en-GB"/>
    </w:rPr>
  </w:style>
  <w:style w:type="paragraph" w:customStyle="1" w:styleId="Confidence">
    <w:name w:val="Confidence"/>
    <w:basedOn w:val="Normal"/>
    <w:next w:val="Normal"/>
    <w:rsid w:val="006C71DB"/>
    <w:pPr>
      <w:spacing w:before="360" w:after="120" w:line="240" w:lineRule="auto"/>
      <w:jc w:val="center"/>
    </w:pPr>
    <w:rPr>
      <w:rFonts w:ascii="Times New Roman" w:eastAsia="Calibri" w:hAnsi="Times New Roman" w:cs="Times New Roman"/>
      <w:sz w:val="24"/>
      <w:szCs w:val="20"/>
      <w:lang w:eastAsia="en-GB"/>
    </w:rPr>
  </w:style>
  <w:style w:type="paragraph" w:customStyle="1" w:styleId="Confidentialit">
    <w:name w:val="Confidentialité"/>
    <w:basedOn w:val="Normal"/>
    <w:next w:val="TypedudocumentPagedecouverture"/>
    <w:rsid w:val="006C71DB"/>
    <w:pPr>
      <w:spacing w:before="240" w:after="240" w:line="240" w:lineRule="auto"/>
      <w:ind w:left="5103"/>
    </w:pPr>
    <w:rPr>
      <w:rFonts w:ascii="Times New Roman" w:eastAsia="Calibri" w:hAnsi="Times New Roman" w:cs="Times New Roman"/>
      <w:i/>
      <w:sz w:val="32"/>
      <w:szCs w:val="20"/>
      <w:lang w:eastAsia="en-GB"/>
    </w:rPr>
  </w:style>
  <w:style w:type="paragraph" w:customStyle="1" w:styleId="Considrant">
    <w:name w:val="Considérant"/>
    <w:basedOn w:val="Normal"/>
    <w:rsid w:val="006C71DB"/>
    <w:pPr>
      <w:numPr>
        <w:numId w:val="26"/>
      </w:numPr>
      <w:spacing w:before="120" w:after="120" w:line="240" w:lineRule="auto"/>
      <w:jc w:val="both"/>
    </w:pPr>
    <w:rPr>
      <w:rFonts w:ascii="Times New Roman" w:eastAsia="Calibri" w:hAnsi="Times New Roman" w:cs="Times New Roman"/>
      <w:sz w:val="24"/>
      <w:szCs w:val="20"/>
      <w:lang w:eastAsia="en-GB"/>
    </w:rPr>
  </w:style>
  <w:style w:type="paragraph" w:customStyle="1" w:styleId="Corrigendum">
    <w:name w:val="Corrigendum"/>
    <w:basedOn w:val="Normal"/>
    <w:next w:val="Normal"/>
    <w:rsid w:val="006C71DB"/>
    <w:pPr>
      <w:spacing w:after="240" w:line="240" w:lineRule="auto"/>
    </w:pPr>
    <w:rPr>
      <w:rFonts w:ascii="Times New Roman" w:eastAsia="Calibri" w:hAnsi="Times New Roman" w:cs="Times New Roman"/>
      <w:sz w:val="24"/>
      <w:szCs w:val="20"/>
      <w:lang w:eastAsia="en-GB"/>
    </w:rPr>
  </w:style>
  <w:style w:type="paragraph" w:customStyle="1" w:styleId="Datedadoption">
    <w:name w:val="Date d'adoption"/>
    <w:basedOn w:val="Normal"/>
    <w:next w:val="Titreobjet"/>
    <w:rsid w:val="006C71DB"/>
    <w:pPr>
      <w:spacing w:before="360" w:after="0" w:line="240" w:lineRule="auto"/>
      <w:jc w:val="center"/>
    </w:pPr>
    <w:rPr>
      <w:rFonts w:ascii="Times New Roman" w:eastAsia="Calibri" w:hAnsi="Times New Roman" w:cs="Times New Roman"/>
      <w:b/>
      <w:sz w:val="24"/>
      <w:szCs w:val="20"/>
      <w:lang w:eastAsia="en-GB"/>
    </w:rPr>
  </w:style>
  <w:style w:type="paragraph" w:customStyle="1" w:styleId="Emission">
    <w:name w:val="Emission"/>
    <w:basedOn w:val="Normal"/>
    <w:next w:val="Rfrenceinstitutionnelle"/>
    <w:rsid w:val="006C71DB"/>
    <w:pPr>
      <w:spacing w:after="0" w:line="240" w:lineRule="auto"/>
      <w:ind w:left="5103"/>
    </w:pPr>
    <w:rPr>
      <w:rFonts w:ascii="Times New Roman" w:eastAsia="Calibri" w:hAnsi="Times New Roman" w:cs="Times New Roman"/>
      <w:sz w:val="24"/>
      <w:szCs w:val="20"/>
      <w:lang w:eastAsia="en-GB"/>
    </w:rPr>
  </w:style>
  <w:style w:type="paragraph" w:customStyle="1" w:styleId="Exposdesmotifstitre">
    <w:name w:val="Exposé des motifs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Fait">
    <w:name w:val="Fait à"/>
    <w:basedOn w:val="Normal"/>
    <w:next w:val="Institutionquisigne"/>
    <w:rsid w:val="006C71DB"/>
    <w:pPr>
      <w:keepNext/>
      <w:spacing w:before="120" w:after="0" w:line="240" w:lineRule="auto"/>
      <w:jc w:val="both"/>
    </w:pPr>
    <w:rPr>
      <w:rFonts w:ascii="Times New Roman" w:eastAsia="Calibri" w:hAnsi="Times New Roman" w:cs="Times New Roman"/>
      <w:sz w:val="24"/>
      <w:szCs w:val="20"/>
      <w:lang w:eastAsia="en-GB"/>
    </w:rPr>
  </w:style>
  <w:style w:type="paragraph" w:customStyle="1" w:styleId="Formuledadoption">
    <w:name w:val="Formule d'adoption"/>
    <w:basedOn w:val="Normal"/>
    <w:next w:val="Titrearticle"/>
    <w:rsid w:val="006C71DB"/>
    <w:pPr>
      <w:keepNext/>
      <w:spacing w:before="120" w:after="120" w:line="240" w:lineRule="auto"/>
      <w:jc w:val="both"/>
    </w:pPr>
    <w:rPr>
      <w:rFonts w:ascii="Times New Roman" w:eastAsia="Calibri" w:hAnsi="Times New Roman" w:cs="Times New Roman"/>
      <w:sz w:val="24"/>
      <w:szCs w:val="20"/>
      <w:lang w:eastAsia="en-GB"/>
    </w:rPr>
  </w:style>
  <w:style w:type="paragraph" w:customStyle="1" w:styleId="Institutionquiagit">
    <w:name w:val="Institution qui agit"/>
    <w:basedOn w:val="Normal"/>
    <w:next w:val="Normal"/>
    <w:rsid w:val="006C71DB"/>
    <w:pPr>
      <w:keepNext/>
      <w:spacing w:before="600" w:after="120" w:line="240" w:lineRule="auto"/>
      <w:jc w:val="both"/>
    </w:pPr>
    <w:rPr>
      <w:rFonts w:ascii="Times New Roman" w:eastAsia="Calibri" w:hAnsi="Times New Roman" w:cs="Times New Roman"/>
      <w:sz w:val="24"/>
      <w:szCs w:val="20"/>
      <w:lang w:eastAsia="en-GB"/>
    </w:rPr>
  </w:style>
  <w:style w:type="paragraph" w:customStyle="1" w:styleId="Institutionquisigne">
    <w:name w:val="Institution qui signe"/>
    <w:basedOn w:val="Normal"/>
    <w:next w:val="Personnequisigne"/>
    <w:rsid w:val="006C71DB"/>
    <w:pPr>
      <w:keepNext/>
      <w:tabs>
        <w:tab w:val="left" w:pos="4252"/>
      </w:tabs>
      <w:spacing w:before="720" w:after="0" w:line="240" w:lineRule="auto"/>
      <w:jc w:val="both"/>
    </w:pPr>
    <w:rPr>
      <w:rFonts w:ascii="Times New Roman" w:eastAsia="Calibri" w:hAnsi="Times New Roman" w:cs="Times New Roman"/>
      <w:i/>
      <w:sz w:val="24"/>
      <w:szCs w:val="20"/>
      <w:lang w:eastAsia="en-GB"/>
    </w:rPr>
  </w:style>
  <w:style w:type="paragraph" w:customStyle="1" w:styleId="Langue">
    <w:name w:val="Langue"/>
    <w:basedOn w:val="Normal"/>
    <w:next w:val="Rfrenceinterne"/>
    <w:rsid w:val="006C71DB"/>
    <w:pPr>
      <w:framePr w:wrap="around" w:vAnchor="page" w:hAnchor="text" w:xAlign="center" w:y="14741"/>
      <w:spacing w:after="600" w:line="240" w:lineRule="auto"/>
      <w:jc w:val="center"/>
    </w:pPr>
    <w:rPr>
      <w:rFonts w:ascii="Times New Roman" w:eastAsia="Calibri" w:hAnsi="Times New Roman" w:cs="Times New Roman"/>
      <w:b/>
      <w:caps/>
      <w:sz w:val="24"/>
      <w:szCs w:val="20"/>
      <w:lang w:eastAsia="en-GB"/>
    </w:rPr>
  </w:style>
  <w:style w:type="paragraph" w:customStyle="1" w:styleId="ManualConsidrant">
    <w:name w:val="Manual Considérant"/>
    <w:basedOn w:val="Normal"/>
    <w:rsid w:val="006C71DB"/>
    <w:pPr>
      <w:spacing w:before="120" w:after="120" w:line="240" w:lineRule="auto"/>
      <w:ind w:left="709" w:hanging="709"/>
      <w:jc w:val="both"/>
    </w:pPr>
    <w:rPr>
      <w:rFonts w:ascii="Times New Roman" w:eastAsia="Calibri" w:hAnsi="Times New Roman" w:cs="Times New Roman"/>
      <w:sz w:val="24"/>
      <w:szCs w:val="20"/>
      <w:lang w:eastAsia="en-GB"/>
    </w:rPr>
  </w:style>
  <w:style w:type="paragraph" w:customStyle="1" w:styleId="Nomdelinstitution">
    <w:name w:val="Nom de l'institution"/>
    <w:basedOn w:val="Normal"/>
    <w:next w:val="Emission"/>
    <w:rsid w:val="006C71DB"/>
    <w:pPr>
      <w:spacing w:after="0" w:line="240" w:lineRule="auto"/>
    </w:pPr>
    <w:rPr>
      <w:rFonts w:ascii="Arial" w:eastAsia="Calibri" w:hAnsi="Arial" w:cs="Arial"/>
      <w:sz w:val="24"/>
      <w:szCs w:val="20"/>
      <w:lang w:eastAsia="en-GB"/>
    </w:rPr>
  </w:style>
  <w:style w:type="paragraph" w:customStyle="1" w:styleId="Personnequisigne">
    <w:name w:val="Personne qui signe"/>
    <w:basedOn w:val="Normal"/>
    <w:next w:val="Institutionquisigne"/>
    <w:rsid w:val="006C71DB"/>
    <w:pPr>
      <w:tabs>
        <w:tab w:val="left" w:pos="4252"/>
      </w:tabs>
      <w:spacing w:after="0" w:line="240" w:lineRule="auto"/>
    </w:pPr>
    <w:rPr>
      <w:rFonts w:ascii="Times New Roman" w:eastAsia="Calibri" w:hAnsi="Times New Roman" w:cs="Times New Roman"/>
      <w:i/>
      <w:sz w:val="24"/>
      <w:szCs w:val="20"/>
      <w:lang w:eastAsia="en-GB"/>
    </w:rPr>
  </w:style>
  <w:style w:type="paragraph" w:customStyle="1" w:styleId="Rfrenceinstitutionnelle">
    <w:name w:val="Référence institutionnelle"/>
    <w:basedOn w:val="Normal"/>
    <w:next w:val="Confidentialit"/>
    <w:rsid w:val="006C71DB"/>
    <w:pPr>
      <w:spacing w:after="240" w:line="240" w:lineRule="auto"/>
      <w:ind w:left="5103"/>
    </w:pPr>
    <w:rPr>
      <w:rFonts w:ascii="Times New Roman" w:eastAsia="Calibri" w:hAnsi="Times New Roman" w:cs="Times New Roman"/>
      <w:sz w:val="24"/>
      <w:szCs w:val="20"/>
      <w:lang w:eastAsia="en-GB"/>
    </w:rPr>
  </w:style>
  <w:style w:type="paragraph" w:customStyle="1" w:styleId="Rfrenceinterinstitutionnelle">
    <w:name w:val="Référence interinstitutionnelle"/>
    <w:basedOn w:val="Normal"/>
    <w:next w:val="Statut"/>
    <w:rsid w:val="006C71DB"/>
    <w:pPr>
      <w:spacing w:after="0" w:line="240" w:lineRule="auto"/>
      <w:ind w:left="5103"/>
    </w:pPr>
    <w:rPr>
      <w:rFonts w:ascii="Times New Roman" w:eastAsia="Calibri" w:hAnsi="Times New Roman" w:cs="Times New Roman"/>
      <w:sz w:val="24"/>
      <w:szCs w:val="20"/>
      <w:lang w:eastAsia="en-GB"/>
    </w:rPr>
  </w:style>
  <w:style w:type="paragraph" w:customStyle="1" w:styleId="Rfrenceinterne">
    <w:name w:val="Référence interne"/>
    <w:basedOn w:val="Normal"/>
    <w:next w:val="Rfrenceinterinstitutionnelle"/>
    <w:rsid w:val="006C71DB"/>
    <w:pPr>
      <w:spacing w:after="0" w:line="240" w:lineRule="auto"/>
      <w:ind w:left="5103"/>
    </w:pPr>
    <w:rPr>
      <w:rFonts w:ascii="Times New Roman" w:eastAsia="Calibri" w:hAnsi="Times New Roman" w:cs="Times New Roman"/>
      <w:sz w:val="24"/>
      <w:szCs w:val="20"/>
      <w:lang w:eastAsia="en-GB"/>
    </w:rPr>
  </w:style>
  <w:style w:type="paragraph" w:customStyle="1" w:styleId="Sous-titreobjet">
    <w:name w:val="Sous-titre objet"/>
    <w:basedOn w:val="Normal"/>
    <w:rsid w:val="006C71DB"/>
    <w:pPr>
      <w:spacing w:after="0" w:line="240" w:lineRule="auto"/>
      <w:jc w:val="center"/>
    </w:pPr>
    <w:rPr>
      <w:rFonts w:ascii="Times New Roman" w:eastAsia="Calibri" w:hAnsi="Times New Roman" w:cs="Times New Roman"/>
      <w:b/>
      <w:sz w:val="24"/>
      <w:szCs w:val="20"/>
      <w:lang w:eastAsia="en-GB"/>
    </w:rPr>
  </w:style>
  <w:style w:type="paragraph" w:customStyle="1" w:styleId="Statut">
    <w:name w:val="Statut"/>
    <w:basedOn w:val="Normal"/>
    <w:next w:val="Typedudocument"/>
    <w:rsid w:val="006C71DB"/>
    <w:pPr>
      <w:spacing w:before="360" w:after="0" w:line="240" w:lineRule="auto"/>
      <w:jc w:val="center"/>
    </w:pPr>
    <w:rPr>
      <w:rFonts w:ascii="Times New Roman" w:eastAsia="Calibri" w:hAnsi="Times New Roman" w:cs="Times New Roman"/>
      <w:sz w:val="24"/>
      <w:szCs w:val="20"/>
      <w:lang w:eastAsia="en-GB"/>
    </w:rPr>
  </w:style>
  <w:style w:type="paragraph" w:customStyle="1" w:styleId="Titrearticle">
    <w:name w:val="Titre article"/>
    <w:basedOn w:val="Normal"/>
    <w:next w:val="Normal"/>
    <w:rsid w:val="006C71DB"/>
    <w:pPr>
      <w:keepNext/>
      <w:spacing w:before="360" w:after="120" w:line="240" w:lineRule="auto"/>
      <w:jc w:val="center"/>
    </w:pPr>
    <w:rPr>
      <w:rFonts w:ascii="Times New Roman" w:eastAsia="Calibri" w:hAnsi="Times New Roman" w:cs="Times New Roman"/>
      <w:i/>
      <w:sz w:val="24"/>
      <w:szCs w:val="20"/>
      <w:lang w:eastAsia="en-GB"/>
    </w:rPr>
  </w:style>
  <w:style w:type="paragraph" w:customStyle="1" w:styleId="Titreobjet">
    <w:name w:val="Titre objet"/>
    <w:basedOn w:val="Normal"/>
    <w:next w:val="Sous-titreobjet"/>
    <w:rsid w:val="006C71DB"/>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rsid w:val="006C71DB"/>
    <w:pPr>
      <w:spacing w:before="360" w:after="0" w:line="240" w:lineRule="auto"/>
      <w:jc w:val="center"/>
    </w:pPr>
    <w:rPr>
      <w:rFonts w:ascii="Times New Roman" w:eastAsia="Calibri" w:hAnsi="Times New Roman" w:cs="Times New Roman"/>
      <w:b/>
      <w:sz w:val="24"/>
      <w:szCs w:val="20"/>
      <w:lang w:eastAsia="en-GB"/>
    </w:rPr>
  </w:style>
  <w:style w:type="character" w:customStyle="1" w:styleId="Added">
    <w:name w:val="Added"/>
    <w:rsid w:val="006C71DB"/>
    <w:rPr>
      <w:b/>
      <w:u w:val="single"/>
      <w:shd w:val="clear" w:color="auto" w:fill="auto"/>
    </w:rPr>
  </w:style>
  <w:style w:type="character" w:customStyle="1" w:styleId="Deleted">
    <w:name w:val="Deleted"/>
    <w:rsid w:val="006C71DB"/>
    <w:rPr>
      <w:strike/>
      <w:dstrike w:val="0"/>
      <w:shd w:val="clear" w:color="auto" w:fill="auto"/>
    </w:rPr>
  </w:style>
  <w:style w:type="paragraph" w:customStyle="1" w:styleId="Address">
    <w:name w:val="Address"/>
    <w:basedOn w:val="Normal"/>
    <w:next w:val="Normal"/>
    <w:rsid w:val="006C71DB"/>
    <w:pPr>
      <w:keepLines/>
      <w:spacing w:before="120" w:after="120" w:line="360" w:lineRule="auto"/>
      <w:ind w:left="3402"/>
    </w:pPr>
    <w:rPr>
      <w:rFonts w:ascii="Times New Roman" w:eastAsia="Calibri" w:hAnsi="Times New Roman" w:cs="Times New Roman"/>
      <w:sz w:val="24"/>
      <w:szCs w:val="20"/>
      <w:lang w:eastAsia="en-GB"/>
    </w:rPr>
  </w:style>
  <w:style w:type="paragraph" w:customStyle="1" w:styleId="Objetexterne">
    <w:name w:val="Objet externe"/>
    <w:basedOn w:val="Normal"/>
    <w:next w:val="Normal"/>
    <w:rsid w:val="006C71DB"/>
    <w:pPr>
      <w:spacing w:before="120" w:after="120" w:line="240" w:lineRule="auto"/>
      <w:jc w:val="both"/>
    </w:pPr>
    <w:rPr>
      <w:rFonts w:ascii="Times New Roman" w:eastAsia="Calibri" w:hAnsi="Times New Roman" w:cs="Times New Roman"/>
      <w:i/>
      <w:caps/>
      <w:sz w:val="24"/>
      <w:szCs w:val="20"/>
      <w:lang w:eastAsia="en-GB"/>
    </w:rPr>
  </w:style>
  <w:style w:type="paragraph" w:customStyle="1" w:styleId="Pagedecouverture">
    <w:name w:val="Page de couverture"/>
    <w:basedOn w:val="Normal"/>
    <w:next w:val="Normal"/>
    <w:rsid w:val="006C71DB"/>
    <w:pPr>
      <w:spacing w:after="0" w:line="240" w:lineRule="auto"/>
      <w:jc w:val="both"/>
    </w:pPr>
    <w:rPr>
      <w:rFonts w:ascii="Times New Roman" w:eastAsia="Calibri" w:hAnsi="Times New Roman" w:cs="Times New Roman"/>
      <w:sz w:val="24"/>
      <w:szCs w:val="20"/>
      <w:lang w:eastAsia="en-GB"/>
    </w:rPr>
  </w:style>
  <w:style w:type="paragraph" w:customStyle="1" w:styleId="Supertitre">
    <w:name w:val="Supertitre"/>
    <w:basedOn w:val="Normal"/>
    <w:next w:val="Normal"/>
    <w:rsid w:val="006C71DB"/>
    <w:pPr>
      <w:spacing w:after="600" w:line="240" w:lineRule="auto"/>
      <w:jc w:val="center"/>
    </w:pPr>
    <w:rPr>
      <w:rFonts w:ascii="Times New Roman" w:eastAsia="Calibri" w:hAnsi="Times New Roman" w:cs="Times New Roman"/>
      <w:b/>
      <w:sz w:val="24"/>
      <w:szCs w:val="20"/>
      <w:lang w:eastAsia="en-GB"/>
    </w:rPr>
  </w:style>
  <w:style w:type="paragraph" w:customStyle="1" w:styleId="Languesfaisantfoi">
    <w:name w:val="Langues faisant foi"/>
    <w:basedOn w:val="Normal"/>
    <w:next w:val="Normal"/>
    <w:rsid w:val="006C71DB"/>
    <w:pPr>
      <w:spacing w:before="360" w:after="0" w:line="240" w:lineRule="auto"/>
      <w:jc w:val="center"/>
    </w:pPr>
    <w:rPr>
      <w:rFonts w:ascii="Times New Roman" w:eastAsia="Calibri" w:hAnsi="Times New Roman" w:cs="Times New Roman"/>
      <w:sz w:val="24"/>
      <w:szCs w:val="20"/>
      <w:lang w:eastAsia="en-GB"/>
    </w:rPr>
  </w:style>
  <w:style w:type="paragraph" w:customStyle="1" w:styleId="Rfrencecroise">
    <w:name w:val="Référence croisée"/>
    <w:basedOn w:val="Normal"/>
    <w:rsid w:val="006C71DB"/>
    <w:pPr>
      <w:spacing w:after="0" w:line="240" w:lineRule="auto"/>
      <w:jc w:val="center"/>
    </w:pPr>
    <w:rPr>
      <w:rFonts w:ascii="Times New Roman" w:eastAsia="Calibri" w:hAnsi="Times New Roman" w:cs="Times New Roman"/>
      <w:sz w:val="24"/>
      <w:szCs w:val="20"/>
      <w:lang w:eastAsia="en-GB"/>
    </w:rPr>
  </w:style>
  <w:style w:type="paragraph" w:customStyle="1" w:styleId="Fichefinanciretitre">
    <w:name w:val="Fiche financière titre"/>
    <w:basedOn w:val="Normal"/>
    <w:next w:val="Normal"/>
    <w:rsid w:val="006C71DB"/>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rsid w:val="006C71DB"/>
  </w:style>
  <w:style w:type="paragraph" w:customStyle="1" w:styleId="RfrenceinterinstitutionnellePagedecouverture">
    <w:name w:val="Référence interinstitutionnelle (Page de couverture)"/>
    <w:basedOn w:val="Rfrenceinterinstitutionnelle"/>
    <w:next w:val="Confidentialit"/>
    <w:rsid w:val="006C71DB"/>
  </w:style>
  <w:style w:type="paragraph" w:customStyle="1" w:styleId="Sous-titreobjetPagedecouverture">
    <w:name w:val="Sous-titre objet (Page de couverture)"/>
    <w:basedOn w:val="Sous-titreobjet"/>
    <w:rsid w:val="006C71DB"/>
  </w:style>
  <w:style w:type="paragraph" w:customStyle="1" w:styleId="StatutPagedecouverture">
    <w:name w:val="Statut (Page de couverture)"/>
    <w:basedOn w:val="Statut"/>
    <w:next w:val="TypedudocumentPagedecouverture"/>
    <w:rsid w:val="006C71DB"/>
  </w:style>
  <w:style w:type="paragraph" w:customStyle="1" w:styleId="TitreobjetPagedecouverture">
    <w:name w:val="Titre objet (Page de couverture)"/>
    <w:basedOn w:val="Titreobjet"/>
    <w:next w:val="Sous-titreobjetPagedecouverture"/>
    <w:rsid w:val="006C71DB"/>
  </w:style>
  <w:style w:type="paragraph" w:customStyle="1" w:styleId="TypedudocumentPagedecouverture">
    <w:name w:val="Type du document (Page de couverture)"/>
    <w:basedOn w:val="Typedudocument"/>
    <w:next w:val="TitreobjetPagedecouverture"/>
    <w:rsid w:val="006C71DB"/>
  </w:style>
  <w:style w:type="paragraph" w:customStyle="1" w:styleId="Volume">
    <w:name w:val="Volume"/>
    <w:basedOn w:val="Normal"/>
    <w:next w:val="Confidentialit"/>
    <w:rsid w:val="006C71DB"/>
    <w:pPr>
      <w:spacing w:after="240" w:line="240" w:lineRule="auto"/>
      <w:ind w:left="5103"/>
    </w:pPr>
    <w:rPr>
      <w:rFonts w:ascii="Times New Roman" w:eastAsia="Calibri" w:hAnsi="Times New Roman" w:cs="Times New Roman"/>
      <w:sz w:val="24"/>
      <w:szCs w:val="20"/>
      <w:lang w:eastAsia="en-GB"/>
    </w:rPr>
  </w:style>
  <w:style w:type="paragraph" w:customStyle="1" w:styleId="IntrtEEE">
    <w:name w:val="Intérêt EEE"/>
    <w:basedOn w:val="Languesfaisantfoi"/>
    <w:next w:val="Normal"/>
    <w:rsid w:val="006C71DB"/>
    <w:pPr>
      <w:spacing w:after="240"/>
    </w:pPr>
  </w:style>
  <w:style w:type="paragraph" w:customStyle="1" w:styleId="Accompagnant">
    <w:name w:val="Accompagnant"/>
    <w:basedOn w:val="Normal"/>
    <w:next w:val="Typeacteprincipal"/>
    <w:rsid w:val="006C71DB"/>
    <w:pPr>
      <w:spacing w:after="240" w:line="240" w:lineRule="auto"/>
      <w:jc w:val="center"/>
    </w:pPr>
    <w:rPr>
      <w:rFonts w:ascii="Times New Roman" w:eastAsia="Calibri" w:hAnsi="Times New Roman" w:cs="Times New Roman"/>
      <w:b/>
      <w:i/>
      <w:sz w:val="24"/>
      <w:szCs w:val="20"/>
      <w:lang w:eastAsia="en-GB"/>
    </w:rPr>
  </w:style>
  <w:style w:type="paragraph" w:customStyle="1" w:styleId="Typeacteprincipal">
    <w:name w:val="Type acte principal"/>
    <w:basedOn w:val="Normal"/>
    <w:next w:val="Objetacteprincipal"/>
    <w:rsid w:val="006C71DB"/>
    <w:pPr>
      <w:spacing w:after="240" w:line="240" w:lineRule="auto"/>
      <w:jc w:val="center"/>
    </w:pPr>
    <w:rPr>
      <w:rFonts w:ascii="Times New Roman" w:eastAsia="Calibri" w:hAnsi="Times New Roman" w:cs="Times New Roman"/>
      <w:b/>
      <w:sz w:val="24"/>
      <w:szCs w:val="20"/>
      <w:lang w:eastAsia="en-GB"/>
    </w:rPr>
  </w:style>
  <w:style w:type="paragraph" w:customStyle="1" w:styleId="Objetacteprincipal">
    <w:name w:val="Objet acte principal"/>
    <w:basedOn w:val="Normal"/>
    <w:next w:val="Titrearticle"/>
    <w:rsid w:val="006C71DB"/>
    <w:pPr>
      <w:spacing w:after="360" w:line="240" w:lineRule="auto"/>
      <w:jc w:val="center"/>
    </w:pPr>
    <w:rPr>
      <w:rFonts w:ascii="Times New Roman" w:eastAsia="Calibri" w:hAnsi="Times New Roman" w:cs="Times New Roman"/>
      <w:b/>
      <w:sz w:val="24"/>
      <w:szCs w:val="20"/>
      <w:lang w:eastAsia="en-GB"/>
    </w:rPr>
  </w:style>
  <w:style w:type="paragraph" w:customStyle="1" w:styleId="IntrtEEEPagedecouverture">
    <w:name w:val="Intérêt EEE (Page de couverture)"/>
    <w:basedOn w:val="IntrtEEE"/>
    <w:next w:val="Rfrencecroise"/>
    <w:rsid w:val="006C71DB"/>
  </w:style>
  <w:style w:type="paragraph" w:customStyle="1" w:styleId="AccompagnantPagedecouverture">
    <w:name w:val="Accompagnant (Page de couverture)"/>
    <w:basedOn w:val="Accompagnant"/>
    <w:next w:val="TypeacteprincipalPagedecouverture"/>
    <w:rsid w:val="006C71DB"/>
  </w:style>
  <w:style w:type="paragraph" w:customStyle="1" w:styleId="TypeacteprincipalPagedecouverture">
    <w:name w:val="Type acte principal (Page de couverture)"/>
    <w:basedOn w:val="Typeacteprincipal"/>
    <w:next w:val="ObjetacteprincipalPagedecouverture"/>
    <w:rsid w:val="006C71DB"/>
  </w:style>
  <w:style w:type="paragraph" w:customStyle="1" w:styleId="ObjetacteprincipalPagedecouverture">
    <w:name w:val="Objet acte principal (Page de couverture)"/>
    <w:basedOn w:val="Objetacteprincipal"/>
    <w:next w:val="Rfrencecroise"/>
    <w:rsid w:val="006C71DB"/>
  </w:style>
  <w:style w:type="paragraph" w:customStyle="1" w:styleId="LanguesfaisantfoiPagedecouverture">
    <w:name w:val="Langues faisant foi (Page de couverture)"/>
    <w:basedOn w:val="Normal"/>
    <w:next w:val="Normal"/>
    <w:rsid w:val="006C71DB"/>
    <w:pPr>
      <w:spacing w:before="360" w:after="0" w:line="240" w:lineRule="auto"/>
      <w:jc w:val="center"/>
    </w:pPr>
    <w:rPr>
      <w:rFonts w:ascii="Times New Roman" w:eastAsia="Calibri" w:hAnsi="Times New Roman" w:cs="Times New Roman"/>
      <w:sz w:val="24"/>
      <w:szCs w:val="20"/>
      <w:lang w:eastAsia="en-GB"/>
    </w:rPr>
  </w:style>
  <w:style w:type="character" w:customStyle="1" w:styleId="affairetitle">
    <w:name w:val="affaire_title"/>
    <w:rsid w:val="006C71DB"/>
  </w:style>
  <w:style w:type="character" w:styleId="Strong">
    <w:name w:val="Strong"/>
    <w:uiPriority w:val="22"/>
    <w:qFormat/>
    <w:rsid w:val="006C71DB"/>
    <w:rPr>
      <w:b/>
      <w:bCs/>
    </w:rPr>
  </w:style>
  <w:style w:type="paragraph" w:customStyle="1" w:styleId="c01pointnumerotealtn">
    <w:name w:val="c01pointnumerotealtn"/>
    <w:basedOn w:val="Normal"/>
    <w:rsid w:val="006C71DB"/>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yperlink0">
    <w:name w:val="Hyperlink.0"/>
    <w:rsid w:val="006C71DB"/>
    <w:rPr>
      <w:color w:val="0000FF"/>
      <w:u w:val="single" w:color="0000FF"/>
    </w:rPr>
  </w:style>
  <w:style w:type="paragraph" w:customStyle="1" w:styleId="Standard">
    <w:name w:val="Standard"/>
    <w:rsid w:val="006C71DB"/>
    <w:pPr>
      <w:suppressAutoHyphens/>
      <w:autoSpaceDN w:val="0"/>
      <w:textAlignment w:val="baseline"/>
    </w:pPr>
    <w:rPr>
      <w:rFonts w:ascii="Calibri" w:eastAsia="Calibri" w:hAnsi="Calibri" w:cs="Times New Roman"/>
      <w:kern w:val="3"/>
      <w:lang w:eastAsia="zh-CN"/>
    </w:rPr>
  </w:style>
  <w:style w:type="character" w:customStyle="1" w:styleId="FootnoteSymbol">
    <w:name w:val="Footnote Symbol"/>
    <w:rsid w:val="006C71DB"/>
    <w:rPr>
      <w:position w:val="0"/>
      <w:shd w:val="clear" w:color="auto" w:fill="auto"/>
      <w:vertAlign w:val="superscript"/>
    </w:rPr>
  </w:style>
  <w:style w:type="character" w:customStyle="1" w:styleId="Internetlink">
    <w:name w:val="Internet link"/>
    <w:rsid w:val="006C71DB"/>
    <w:rPr>
      <w:color w:val="0000FF"/>
      <w:u w:val="single"/>
    </w:rPr>
  </w:style>
  <w:style w:type="table" w:styleId="LightGrid-Accent2">
    <w:name w:val="Light Grid Accent 2"/>
    <w:basedOn w:val="TableNormal"/>
    <w:uiPriority w:val="62"/>
    <w:rsid w:val="006C71DB"/>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
    <w:name w:val="Table Grid1"/>
    <w:basedOn w:val="TableNormal"/>
    <w:uiPriority w:val="59"/>
    <w:rsid w:val="006C71D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C71DB"/>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1">
    <w:name w:val="A5+1"/>
    <w:uiPriority w:val="99"/>
    <w:rsid w:val="006C71DB"/>
    <w:rPr>
      <w:rFonts w:cs="EC Square Sans Pro Medium"/>
      <w:color w:val="000000"/>
      <w:sz w:val="22"/>
      <w:szCs w:val="22"/>
    </w:rPr>
  </w:style>
  <w:style w:type="character" w:customStyle="1" w:styleId="TOC1Char">
    <w:name w:val="TOC 1 Char"/>
    <w:link w:val="TOC1"/>
    <w:uiPriority w:val="39"/>
    <w:locked/>
    <w:rsid w:val="006C71DB"/>
    <w:rPr>
      <w:rFonts w:ascii="Times New Roman" w:eastAsia="Calibri" w:hAnsi="Times New Roman" w:cs="Times New Roman"/>
      <w:sz w:val="24"/>
      <w:szCs w:val="20"/>
      <w:lang w:eastAsia="en-GB"/>
    </w:rPr>
  </w:style>
  <w:style w:type="character" w:customStyle="1" w:styleId="TOC2Char">
    <w:name w:val="TOC 2 Char"/>
    <w:link w:val="TOC2"/>
    <w:uiPriority w:val="39"/>
    <w:locked/>
    <w:rsid w:val="006C71DB"/>
    <w:rPr>
      <w:rFonts w:ascii="Times New Roman" w:eastAsia="Calibri" w:hAnsi="Times New Roman" w:cs="Times New Roman"/>
      <w:sz w:val="24"/>
      <w:szCs w:val="20"/>
      <w:lang w:eastAsia="en-GB"/>
    </w:rPr>
  </w:style>
  <w:style w:type="character" w:customStyle="1" w:styleId="TOC3Char">
    <w:name w:val="TOC 3 Char"/>
    <w:link w:val="TOC3"/>
    <w:uiPriority w:val="39"/>
    <w:locked/>
    <w:rsid w:val="006C71DB"/>
    <w:rPr>
      <w:rFonts w:ascii="Times New Roman" w:eastAsia="Calibri" w:hAnsi="Times New Roman" w:cs="Times New Roman"/>
      <w:sz w:val="24"/>
      <w:szCs w:val="20"/>
      <w:lang w:eastAsia="en-GB"/>
    </w:rPr>
  </w:style>
  <w:style w:type="paragraph" w:styleId="Title">
    <w:name w:val="Title"/>
    <w:basedOn w:val="Normal"/>
    <w:next w:val="Normal"/>
    <w:link w:val="TitleChar"/>
    <w:uiPriority w:val="10"/>
    <w:qFormat/>
    <w:rsid w:val="006C71DB"/>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C71DB"/>
    <w:rPr>
      <w:rFonts w:ascii="Cambria" w:eastAsia="Times New Roman" w:hAnsi="Cambria" w:cs="Times New Roman"/>
      <w:b/>
      <w:bCs/>
      <w:kern w:val="28"/>
      <w:sz w:val="32"/>
      <w:szCs w:val="32"/>
    </w:rPr>
  </w:style>
  <w:style w:type="paragraph" w:styleId="NoSpacing">
    <w:name w:val="No Spacing"/>
    <w:uiPriority w:val="1"/>
    <w:qFormat/>
    <w:rsid w:val="006C71DB"/>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6C71D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71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07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05C10"/>
    <w:pPr>
      <w:spacing w:after="0" w:line="240" w:lineRule="auto"/>
    </w:pPr>
    <w:rPr>
      <w:rFonts w:ascii="Times New Roman" w:eastAsia="Arial Unicode MS" w:hAnsi="Times New Roman" w:cs="Times New Roman"/>
      <w:sz w:val="20"/>
      <w:szCs w:val="20"/>
      <w:bdr w:val="none" w:sz="0" w:space="0" w:color="auto" w:frame="1"/>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F5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E2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860809"/>
    <w:rPr>
      <w:rFonts w:cs="ITC Charter Com"/>
      <w:color w:val="000000"/>
      <w:sz w:val="18"/>
      <w:szCs w:val="18"/>
    </w:rPr>
  </w:style>
  <w:style w:type="paragraph" w:customStyle="1" w:styleId="Body">
    <w:name w:val="Body"/>
    <w:rsid w:val="000A1F5D"/>
    <w:pPr>
      <w:pBdr>
        <w:top w:val="nil"/>
        <w:left w:val="nil"/>
        <w:bottom w:val="nil"/>
        <w:right w:val="nil"/>
        <w:between w:val="nil"/>
        <w:bar w:val="nil"/>
      </w:pBdr>
      <w:spacing w:after="24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Corpsdutexte">
    <w:name w:val="Corps du texte"/>
    <w:rsid w:val="008B5793"/>
    <w:pPr>
      <w:widowControl w:val="0"/>
      <w:shd w:val="clear" w:color="auto" w:fill="FFFFFF"/>
      <w:spacing w:before="600" w:after="60" w:line="216" w:lineRule="exact"/>
      <w:jc w:val="both"/>
    </w:pPr>
    <w:rPr>
      <w:rFonts w:ascii="Arial" w:eastAsia="Arial" w:hAnsi="Arial" w:cs="Arial"/>
      <w:color w:val="000000"/>
      <w:sz w:val="19"/>
      <w:szCs w:val="19"/>
      <w:u w:color="000000"/>
      <w:lang w:val="en-US" w:eastAsia="en-GB"/>
    </w:rPr>
  </w:style>
  <w:style w:type="paragraph" w:customStyle="1" w:styleId="FooterCoverPage">
    <w:name w:val="Footer Cover Page"/>
    <w:basedOn w:val="Normal"/>
    <w:link w:val="FooterCoverPageChar"/>
    <w:rsid w:val="00957E25"/>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fr-BE"/>
    </w:rPr>
  </w:style>
  <w:style w:type="character" w:customStyle="1" w:styleId="FooterCoverPageChar">
    <w:name w:val="Footer Cover Page Char"/>
    <w:basedOn w:val="DefaultParagraphFont"/>
    <w:link w:val="FooterCoverPage"/>
    <w:rsid w:val="00957E25"/>
    <w:rPr>
      <w:rFonts w:ascii="Times New Roman" w:hAnsi="Times New Roman" w:cs="Times New Roman"/>
      <w:sz w:val="24"/>
      <w:szCs w:val="24"/>
      <w:lang w:val="fr-BE"/>
    </w:rPr>
  </w:style>
  <w:style w:type="paragraph" w:customStyle="1" w:styleId="HeaderCoverPage">
    <w:name w:val="Header Cover Page"/>
    <w:basedOn w:val="Normal"/>
    <w:link w:val="HeaderCoverPageChar"/>
    <w:rsid w:val="00957E25"/>
    <w:pPr>
      <w:tabs>
        <w:tab w:val="center" w:pos="4535"/>
        <w:tab w:val="right" w:pos="9071"/>
      </w:tabs>
      <w:spacing w:after="120" w:line="240" w:lineRule="auto"/>
      <w:jc w:val="both"/>
    </w:pPr>
    <w:rPr>
      <w:rFonts w:ascii="Times New Roman" w:hAnsi="Times New Roman" w:cs="Times New Roman"/>
      <w:sz w:val="24"/>
      <w:szCs w:val="24"/>
      <w:lang w:val="fr-BE"/>
    </w:rPr>
  </w:style>
  <w:style w:type="character" w:customStyle="1" w:styleId="HeaderCoverPageChar">
    <w:name w:val="Header Cover Page Char"/>
    <w:basedOn w:val="DefaultParagraphFont"/>
    <w:link w:val="HeaderCoverPage"/>
    <w:rsid w:val="00957E25"/>
    <w:rPr>
      <w:rFonts w:ascii="Times New Roman" w:hAnsi="Times New Roman" w:cs="Times New Roman"/>
      <w:sz w:val="24"/>
      <w:szCs w:val="24"/>
      <w:lang w:val="fr-BE"/>
    </w:rPr>
  </w:style>
  <w:style w:type="paragraph" w:customStyle="1" w:styleId="DefaultText">
    <w:name w:val="Default Text"/>
    <w:basedOn w:val="Normal"/>
    <w:link w:val="DefaultTextChar"/>
    <w:qFormat/>
    <w:rsid w:val="008C0F9E"/>
    <w:pPr>
      <w:spacing w:after="0" w:line="280" w:lineRule="atLeast"/>
      <w:ind w:left="720" w:hanging="360"/>
      <w:jc w:val="both"/>
    </w:pPr>
    <w:rPr>
      <w:rFonts w:ascii="Times New Roman" w:eastAsia="Times New Roman" w:hAnsi="Times New Roman" w:cs="Times New Roman"/>
      <w:sz w:val="24"/>
      <w:szCs w:val="24"/>
      <w:lang w:eastAsia="nl-NL"/>
    </w:rPr>
  </w:style>
  <w:style w:type="character" w:customStyle="1" w:styleId="DefaultTextChar">
    <w:name w:val="Default Text Char"/>
    <w:basedOn w:val="DefaultParagraphFont"/>
    <w:link w:val="DefaultText"/>
    <w:locked/>
    <w:rsid w:val="008C0F9E"/>
    <w:rPr>
      <w:rFonts w:ascii="Times New Roman" w:eastAsia="Times New Roman" w:hAnsi="Times New Roman" w:cs="Times New Roman"/>
      <w:sz w:val="24"/>
      <w:szCs w:val="24"/>
      <w:lang w:eastAsia="nl-NL"/>
    </w:rPr>
  </w:style>
  <w:style w:type="paragraph" w:customStyle="1" w:styleId="table-text">
    <w:name w:val="table-text"/>
    <w:basedOn w:val="DefaultText"/>
    <w:rsid w:val="008C0F9E"/>
    <w:rPr>
      <w:sz w:val="16"/>
    </w:rPr>
  </w:style>
  <w:style w:type="character" w:customStyle="1" w:styleId="EBparagraphChar">
    <w:name w:val="EB paragraph Char"/>
    <w:basedOn w:val="DefaultParagraphFont"/>
    <w:link w:val="EBparagraph"/>
    <w:locked/>
    <w:rsid w:val="007E0E6C"/>
    <w:rPr>
      <w:rFonts w:ascii="EC Square Sans Pro" w:eastAsia="SimSun" w:hAnsi="EC Square Sans Pro"/>
      <w:lang w:val="en-US"/>
    </w:rPr>
  </w:style>
  <w:style w:type="paragraph" w:customStyle="1" w:styleId="EBparagraph">
    <w:name w:val="EB paragraph"/>
    <w:basedOn w:val="Normal"/>
    <w:link w:val="EBparagraphChar"/>
    <w:qFormat/>
    <w:rsid w:val="007E0E6C"/>
    <w:pPr>
      <w:spacing w:after="120" w:line="240" w:lineRule="auto"/>
      <w:jc w:val="both"/>
    </w:pPr>
    <w:rPr>
      <w:rFonts w:ascii="EC Square Sans Pro" w:eastAsia="SimSun" w:hAnsi="EC Square Sans Pro"/>
      <w:lang w:val="en-US"/>
    </w:rPr>
  </w:style>
  <w:style w:type="table" w:customStyle="1" w:styleId="TableGrid11">
    <w:name w:val="Table Grid11"/>
    <w:basedOn w:val="TableNormal"/>
    <w:next w:val="TableGrid"/>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7E0E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7B61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D23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F373D1"/>
    <w:pPr>
      <w:spacing w:after="160"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55729D"/>
    <w:pPr>
      <w:spacing w:after="160" w:line="240" w:lineRule="exact"/>
      <w:jc w:val="both"/>
    </w:pPr>
    <w:rPr>
      <w:vertAlign w:val="superscript"/>
    </w:rPr>
  </w:style>
  <w:style w:type="paragraph" w:customStyle="1" w:styleId="c37centregras">
    <w:name w:val="c37centregras"/>
    <w:basedOn w:val="Normal"/>
    <w:rsid w:val="00703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sid w:val="006D6407"/>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link w:val="ListParagraph"/>
    <w:uiPriority w:val="34"/>
    <w:qFormat/>
    <w:rsid w:val="00F7354D"/>
    <w:rPr>
      <w:rFonts w:ascii="Calibri" w:eastAsia="Calibri" w:hAnsi="Calibri" w:cs="Times New Roman"/>
      <w:szCs w:val="20"/>
      <w:lang w:val="fr-FR" w:eastAsia="en-GB"/>
    </w:rPr>
  </w:style>
  <w:style w:type="paragraph" w:customStyle="1" w:styleId="CM1">
    <w:name w:val="CM1"/>
    <w:basedOn w:val="Default"/>
    <w:next w:val="Default"/>
    <w:uiPriority w:val="99"/>
    <w:rsid w:val="00F7354D"/>
    <w:rPr>
      <w:rFonts w:ascii="EUAlbertina" w:hAnsi="EUAlbertina" w:cstheme="minorBidi"/>
      <w:color w:val="auto"/>
    </w:rPr>
  </w:style>
  <w:style w:type="paragraph" w:customStyle="1" w:styleId="CM3">
    <w:name w:val="CM3"/>
    <w:basedOn w:val="Default"/>
    <w:next w:val="Default"/>
    <w:uiPriority w:val="99"/>
    <w:rsid w:val="00F7354D"/>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1389">
      <w:bodyDiv w:val="1"/>
      <w:marLeft w:val="0"/>
      <w:marRight w:val="0"/>
      <w:marTop w:val="0"/>
      <w:marBottom w:val="0"/>
      <w:divBdr>
        <w:top w:val="none" w:sz="0" w:space="0" w:color="auto"/>
        <w:left w:val="none" w:sz="0" w:space="0" w:color="auto"/>
        <w:bottom w:val="none" w:sz="0" w:space="0" w:color="auto"/>
        <w:right w:val="none" w:sz="0" w:space="0" w:color="auto"/>
      </w:divBdr>
    </w:div>
    <w:div w:id="159856402">
      <w:bodyDiv w:val="1"/>
      <w:marLeft w:val="0"/>
      <w:marRight w:val="0"/>
      <w:marTop w:val="0"/>
      <w:marBottom w:val="0"/>
      <w:divBdr>
        <w:top w:val="none" w:sz="0" w:space="0" w:color="auto"/>
        <w:left w:val="none" w:sz="0" w:space="0" w:color="auto"/>
        <w:bottom w:val="none" w:sz="0" w:space="0" w:color="auto"/>
        <w:right w:val="none" w:sz="0" w:space="0" w:color="auto"/>
      </w:divBdr>
    </w:div>
    <w:div w:id="161549123">
      <w:bodyDiv w:val="1"/>
      <w:marLeft w:val="0"/>
      <w:marRight w:val="0"/>
      <w:marTop w:val="0"/>
      <w:marBottom w:val="0"/>
      <w:divBdr>
        <w:top w:val="none" w:sz="0" w:space="0" w:color="auto"/>
        <w:left w:val="none" w:sz="0" w:space="0" w:color="auto"/>
        <w:bottom w:val="none" w:sz="0" w:space="0" w:color="auto"/>
        <w:right w:val="none" w:sz="0" w:space="0" w:color="auto"/>
      </w:divBdr>
    </w:div>
    <w:div w:id="18613626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38">
          <w:marLeft w:val="0"/>
          <w:marRight w:val="0"/>
          <w:marTop w:val="0"/>
          <w:marBottom w:val="0"/>
          <w:divBdr>
            <w:top w:val="single" w:sz="6" w:space="0" w:color="CECECE"/>
            <w:left w:val="single" w:sz="6" w:space="0" w:color="CECECE"/>
            <w:bottom w:val="single" w:sz="6" w:space="0" w:color="CECECE"/>
            <w:right w:val="single" w:sz="6" w:space="0" w:color="CECECE"/>
          </w:divBdr>
          <w:divsChild>
            <w:div w:id="2102067522">
              <w:marLeft w:val="0"/>
              <w:marRight w:val="0"/>
              <w:marTop w:val="0"/>
              <w:marBottom w:val="0"/>
              <w:divBdr>
                <w:top w:val="none" w:sz="0" w:space="0" w:color="auto"/>
                <w:left w:val="none" w:sz="0" w:space="0" w:color="auto"/>
                <w:bottom w:val="none" w:sz="0" w:space="0" w:color="auto"/>
                <w:right w:val="none" w:sz="0" w:space="0" w:color="auto"/>
              </w:divBdr>
              <w:divsChild>
                <w:div w:id="2130782422">
                  <w:marLeft w:val="0"/>
                  <w:marRight w:val="450"/>
                  <w:marTop w:val="0"/>
                  <w:marBottom w:val="0"/>
                  <w:divBdr>
                    <w:top w:val="none" w:sz="0" w:space="0" w:color="auto"/>
                    <w:left w:val="none" w:sz="0" w:space="0" w:color="auto"/>
                    <w:bottom w:val="none" w:sz="0" w:space="0" w:color="auto"/>
                    <w:right w:val="none" w:sz="0" w:space="0" w:color="auto"/>
                  </w:divBdr>
                  <w:divsChild>
                    <w:div w:id="461196994">
                      <w:marLeft w:val="0"/>
                      <w:marRight w:val="0"/>
                      <w:marTop w:val="75"/>
                      <w:marBottom w:val="375"/>
                      <w:divBdr>
                        <w:top w:val="single" w:sz="6" w:space="11" w:color="CECECE"/>
                        <w:left w:val="single" w:sz="6" w:space="11" w:color="CECECE"/>
                        <w:bottom w:val="single" w:sz="6" w:space="11" w:color="CECECE"/>
                        <w:right w:val="single" w:sz="6" w:space="11" w:color="CECECE"/>
                      </w:divBdr>
                      <w:divsChild>
                        <w:div w:id="1842116700">
                          <w:marLeft w:val="0"/>
                          <w:marRight w:val="0"/>
                          <w:marTop w:val="0"/>
                          <w:marBottom w:val="0"/>
                          <w:divBdr>
                            <w:top w:val="none" w:sz="0" w:space="0" w:color="auto"/>
                            <w:left w:val="none" w:sz="0" w:space="0" w:color="auto"/>
                            <w:bottom w:val="none" w:sz="0" w:space="0" w:color="auto"/>
                            <w:right w:val="none" w:sz="0" w:space="0" w:color="auto"/>
                          </w:divBdr>
                          <w:divsChild>
                            <w:div w:id="470951106">
                              <w:marLeft w:val="0"/>
                              <w:marRight w:val="0"/>
                              <w:marTop w:val="0"/>
                              <w:marBottom w:val="0"/>
                              <w:divBdr>
                                <w:top w:val="none" w:sz="0" w:space="0" w:color="auto"/>
                                <w:left w:val="none" w:sz="0" w:space="0" w:color="auto"/>
                                <w:bottom w:val="none" w:sz="0" w:space="0" w:color="auto"/>
                                <w:right w:val="none" w:sz="0" w:space="0" w:color="auto"/>
                              </w:divBdr>
                              <w:divsChild>
                                <w:div w:id="1125083888">
                                  <w:marLeft w:val="0"/>
                                  <w:marRight w:val="0"/>
                                  <w:marTop w:val="0"/>
                                  <w:marBottom w:val="75"/>
                                  <w:divBdr>
                                    <w:top w:val="none" w:sz="0" w:space="0" w:color="auto"/>
                                    <w:left w:val="none" w:sz="0" w:space="0" w:color="auto"/>
                                    <w:bottom w:val="none" w:sz="0" w:space="0" w:color="auto"/>
                                    <w:right w:val="none" w:sz="0" w:space="0" w:color="auto"/>
                                  </w:divBdr>
                                  <w:divsChild>
                                    <w:div w:id="1906260221">
                                      <w:marLeft w:val="0"/>
                                      <w:marRight w:val="0"/>
                                      <w:marTop w:val="0"/>
                                      <w:marBottom w:val="0"/>
                                      <w:divBdr>
                                        <w:top w:val="none" w:sz="0" w:space="0" w:color="auto"/>
                                        <w:left w:val="none" w:sz="0" w:space="0" w:color="auto"/>
                                        <w:bottom w:val="none" w:sz="0" w:space="0" w:color="auto"/>
                                        <w:right w:val="none" w:sz="0" w:space="0" w:color="auto"/>
                                      </w:divBdr>
                                    </w:div>
                                    <w:div w:id="1620528208">
                                      <w:marLeft w:val="0"/>
                                      <w:marRight w:val="0"/>
                                      <w:marTop w:val="0"/>
                                      <w:marBottom w:val="0"/>
                                      <w:divBdr>
                                        <w:top w:val="none" w:sz="0" w:space="0" w:color="auto"/>
                                        <w:left w:val="none" w:sz="0" w:space="0" w:color="auto"/>
                                        <w:bottom w:val="none" w:sz="0" w:space="0" w:color="auto"/>
                                        <w:right w:val="none" w:sz="0" w:space="0" w:color="auto"/>
                                      </w:divBdr>
                                    </w:div>
                                    <w:div w:id="703987802">
                                      <w:marLeft w:val="0"/>
                                      <w:marRight w:val="0"/>
                                      <w:marTop w:val="0"/>
                                      <w:marBottom w:val="0"/>
                                      <w:divBdr>
                                        <w:top w:val="none" w:sz="0" w:space="0" w:color="auto"/>
                                        <w:left w:val="none" w:sz="0" w:space="0" w:color="auto"/>
                                        <w:bottom w:val="none" w:sz="0" w:space="0" w:color="auto"/>
                                        <w:right w:val="none" w:sz="0" w:space="0" w:color="auto"/>
                                      </w:divBdr>
                                    </w:div>
                                    <w:div w:id="14231360">
                                      <w:marLeft w:val="0"/>
                                      <w:marRight w:val="0"/>
                                      <w:marTop w:val="0"/>
                                      <w:marBottom w:val="0"/>
                                      <w:divBdr>
                                        <w:top w:val="single" w:sz="6" w:space="0" w:color="CECECE"/>
                                        <w:left w:val="single" w:sz="6" w:space="0" w:color="CECECE"/>
                                        <w:bottom w:val="single" w:sz="6" w:space="0" w:color="CECECE"/>
                                        <w:right w:val="single" w:sz="48" w:space="0" w:color="7CC305"/>
                                      </w:divBdr>
                                    </w:div>
                                  </w:divsChild>
                                </w:div>
                                <w:div w:id="1972175829">
                                  <w:marLeft w:val="0"/>
                                  <w:marRight w:val="0"/>
                                  <w:marTop w:val="0"/>
                                  <w:marBottom w:val="75"/>
                                  <w:divBdr>
                                    <w:top w:val="none" w:sz="0" w:space="0" w:color="auto"/>
                                    <w:left w:val="none" w:sz="0" w:space="0" w:color="auto"/>
                                    <w:bottom w:val="none" w:sz="0" w:space="0" w:color="auto"/>
                                    <w:right w:val="none" w:sz="0" w:space="0" w:color="auto"/>
                                  </w:divBdr>
                                  <w:divsChild>
                                    <w:div w:id="835728657">
                                      <w:marLeft w:val="0"/>
                                      <w:marRight w:val="0"/>
                                      <w:marTop w:val="0"/>
                                      <w:marBottom w:val="0"/>
                                      <w:divBdr>
                                        <w:top w:val="none" w:sz="0" w:space="0" w:color="auto"/>
                                        <w:left w:val="none" w:sz="0" w:space="0" w:color="auto"/>
                                        <w:bottom w:val="none" w:sz="0" w:space="0" w:color="auto"/>
                                        <w:right w:val="none" w:sz="0" w:space="0" w:color="auto"/>
                                      </w:divBdr>
                                    </w:div>
                                  </w:divsChild>
                                </w:div>
                                <w:div w:id="457265212">
                                  <w:marLeft w:val="0"/>
                                  <w:marRight w:val="0"/>
                                  <w:marTop w:val="0"/>
                                  <w:marBottom w:val="75"/>
                                  <w:divBdr>
                                    <w:top w:val="single" w:sz="6" w:space="6" w:color="FBEED5"/>
                                    <w:left w:val="single" w:sz="6" w:space="11" w:color="FBEED5"/>
                                    <w:bottom w:val="single" w:sz="6" w:space="6" w:color="FBEED5"/>
                                    <w:right w:val="single" w:sz="6" w:space="26" w:color="FBEED5"/>
                                  </w:divBdr>
                                </w:div>
                              </w:divsChild>
                            </w:div>
                            <w:div w:id="313922283">
                              <w:marLeft w:val="0"/>
                              <w:marRight w:val="0"/>
                              <w:marTop w:val="0"/>
                              <w:marBottom w:val="0"/>
                              <w:divBdr>
                                <w:top w:val="none" w:sz="0" w:space="0" w:color="auto"/>
                                <w:left w:val="none" w:sz="0" w:space="0" w:color="auto"/>
                                <w:bottom w:val="none" w:sz="0" w:space="0" w:color="auto"/>
                                <w:right w:val="none" w:sz="0" w:space="0" w:color="auto"/>
                              </w:divBdr>
                              <w:divsChild>
                                <w:div w:id="864250941">
                                  <w:marLeft w:val="0"/>
                                  <w:marRight w:val="0"/>
                                  <w:marTop w:val="0"/>
                                  <w:marBottom w:val="0"/>
                                  <w:divBdr>
                                    <w:top w:val="none" w:sz="0" w:space="0" w:color="auto"/>
                                    <w:left w:val="none" w:sz="0" w:space="0" w:color="auto"/>
                                    <w:bottom w:val="none" w:sz="0" w:space="0" w:color="auto"/>
                                    <w:right w:val="none" w:sz="0" w:space="0" w:color="auto"/>
                                  </w:divBdr>
                                  <w:divsChild>
                                    <w:div w:id="1746103577">
                                      <w:marLeft w:val="0"/>
                                      <w:marRight w:val="0"/>
                                      <w:marTop w:val="0"/>
                                      <w:marBottom w:val="0"/>
                                      <w:divBdr>
                                        <w:top w:val="none" w:sz="0" w:space="0" w:color="auto"/>
                                        <w:left w:val="none" w:sz="0" w:space="0" w:color="auto"/>
                                        <w:bottom w:val="none" w:sz="0" w:space="0" w:color="auto"/>
                                        <w:right w:val="none" w:sz="0" w:space="0" w:color="auto"/>
                                      </w:divBdr>
                                      <w:divsChild>
                                        <w:div w:id="874971649">
                                          <w:marLeft w:val="0"/>
                                          <w:marRight w:val="0"/>
                                          <w:marTop w:val="0"/>
                                          <w:marBottom w:val="0"/>
                                          <w:divBdr>
                                            <w:top w:val="none" w:sz="0" w:space="0" w:color="auto"/>
                                            <w:left w:val="none" w:sz="0" w:space="0" w:color="auto"/>
                                            <w:bottom w:val="none" w:sz="0" w:space="0" w:color="auto"/>
                                            <w:right w:val="none" w:sz="0" w:space="0" w:color="auto"/>
                                          </w:divBdr>
                                        </w:div>
                                      </w:divsChild>
                                    </w:div>
                                    <w:div w:id="341930597">
                                      <w:marLeft w:val="0"/>
                                      <w:marRight w:val="0"/>
                                      <w:marTop w:val="0"/>
                                      <w:marBottom w:val="0"/>
                                      <w:divBdr>
                                        <w:top w:val="none" w:sz="0" w:space="0" w:color="auto"/>
                                        <w:left w:val="none" w:sz="0" w:space="0" w:color="auto"/>
                                        <w:bottom w:val="none" w:sz="0" w:space="0" w:color="auto"/>
                                        <w:right w:val="none" w:sz="0" w:space="0" w:color="auto"/>
                                      </w:divBdr>
                                      <w:divsChild>
                                        <w:div w:id="2001884115">
                                          <w:marLeft w:val="0"/>
                                          <w:marRight w:val="0"/>
                                          <w:marTop w:val="0"/>
                                          <w:marBottom w:val="0"/>
                                          <w:divBdr>
                                            <w:top w:val="none" w:sz="0" w:space="0" w:color="auto"/>
                                            <w:left w:val="none" w:sz="0" w:space="0" w:color="auto"/>
                                            <w:bottom w:val="none" w:sz="0" w:space="0" w:color="auto"/>
                                            <w:right w:val="none" w:sz="0" w:space="0" w:color="auto"/>
                                          </w:divBdr>
                                          <w:divsChild>
                                            <w:div w:id="141043498">
                                              <w:marLeft w:val="0"/>
                                              <w:marRight w:val="0"/>
                                              <w:marTop w:val="0"/>
                                              <w:marBottom w:val="0"/>
                                              <w:divBdr>
                                                <w:top w:val="none" w:sz="0" w:space="0" w:color="auto"/>
                                                <w:left w:val="none" w:sz="0" w:space="0" w:color="auto"/>
                                                <w:bottom w:val="none" w:sz="0" w:space="0" w:color="auto"/>
                                                <w:right w:val="none" w:sz="0" w:space="0" w:color="auto"/>
                                              </w:divBdr>
                                            </w:div>
                                          </w:divsChild>
                                        </w:div>
                                        <w:div w:id="1417361521">
                                          <w:marLeft w:val="0"/>
                                          <w:marRight w:val="0"/>
                                          <w:marTop w:val="0"/>
                                          <w:marBottom w:val="0"/>
                                          <w:divBdr>
                                            <w:top w:val="none" w:sz="0" w:space="0" w:color="auto"/>
                                            <w:left w:val="none" w:sz="0" w:space="0" w:color="auto"/>
                                            <w:bottom w:val="none" w:sz="0" w:space="0" w:color="auto"/>
                                            <w:right w:val="none" w:sz="0" w:space="0" w:color="auto"/>
                                          </w:divBdr>
                                          <w:divsChild>
                                            <w:div w:id="1748385028">
                                              <w:marLeft w:val="0"/>
                                              <w:marRight w:val="0"/>
                                              <w:marTop w:val="0"/>
                                              <w:marBottom w:val="0"/>
                                              <w:divBdr>
                                                <w:top w:val="none" w:sz="0" w:space="0" w:color="auto"/>
                                                <w:left w:val="none" w:sz="0" w:space="0" w:color="auto"/>
                                                <w:bottom w:val="none" w:sz="0" w:space="0" w:color="auto"/>
                                                <w:right w:val="none" w:sz="0" w:space="0" w:color="auto"/>
                                              </w:divBdr>
                                            </w:div>
                                          </w:divsChild>
                                        </w:div>
                                        <w:div w:id="689260346">
                                          <w:marLeft w:val="0"/>
                                          <w:marRight w:val="0"/>
                                          <w:marTop w:val="0"/>
                                          <w:marBottom w:val="0"/>
                                          <w:divBdr>
                                            <w:top w:val="none" w:sz="0" w:space="0" w:color="auto"/>
                                            <w:left w:val="none" w:sz="0" w:space="0" w:color="auto"/>
                                            <w:bottom w:val="none" w:sz="0" w:space="0" w:color="auto"/>
                                            <w:right w:val="none" w:sz="0" w:space="0" w:color="auto"/>
                                          </w:divBdr>
                                          <w:divsChild>
                                            <w:div w:id="16397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3506">
                              <w:marLeft w:val="0"/>
                              <w:marRight w:val="0"/>
                              <w:marTop w:val="0"/>
                              <w:marBottom w:val="0"/>
                              <w:divBdr>
                                <w:top w:val="none" w:sz="0" w:space="0" w:color="auto"/>
                                <w:left w:val="none" w:sz="0" w:space="0" w:color="auto"/>
                                <w:bottom w:val="none" w:sz="0" w:space="0" w:color="auto"/>
                                <w:right w:val="none" w:sz="0" w:space="0" w:color="auto"/>
                              </w:divBdr>
                              <w:divsChild>
                                <w:div w:id="1799450081">
                                  <w:marLeft w:val="0"/>
                                  <w:marRight w:val="0"/>
                                  <w:marTop w:val="0"/>
                                  <w:marBottom w:val="0"/>
                                  <w:divBdr>
                                    <w:top w:val="single" w:sz="2" w:space="0" w:color="CCCCCC"/>
                                    <w:left w:val="single" w:sz="6" w:space="0" w:color="CCCCCC"/>
                                    <w:bottom w:val="single" w:sz="6" w:space="0" w:color="CCCCCC"/>
                                    <w:right w:val="single" w:sz="6" w:space="0" w:color="CCCCCC"/>
                                  </w:divBdr>
                                  <w:divsChild>
                                    <w:div w:id="825241365">
                                      <w:marLeft w:val="0"/>
                                      <w:marRight w:val="0"/>
                                      <w:marTop w:val="0"/>
                                      <w:marBottom w:val="0"/>
                                      <w:divBdr>
                                        <w:top w:val="none" w:sz="0" w:space="0" w:color="auto"/>
                                        <w:left w:val="none" w:sz="0" w:space="0" w:color="auto"/>
                                        <w:bottom w:val="none" w:sz="0" w:space="0" w:color="auto"/>
                                        <w:right w:val="none" w:sz="0" w:space="0" w:color="auto"/>
                                      </w:divBdr>
                                    </w:div>
                                    <w:div w:id="1594824937">
                                      <w:marLeft w:val="0"/>
                                      <w:marRight w:val="0"/>
                                      <w:marTop w:val="0"/>
                                      <w:marBottom w:val="0"/>
                                      <w:divBdr>
                                        <w:top w:val="none" w:sz="0" w:space="0" w:color="auto"/>
                                        <w:left w:val="none" w:sz="0" w:space="0" w:color="auto"/>
                                        <w:bottom w:val="none" w:sz="0" w:space="0" w:color="auto"/>
                                        <w:right w:val="none" w:sz="0" w:space="0" w:color="auto"/>
                                      </w:divBdr>
                                    </w:div>
                                    <w:div w:id="707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8283">
                              <w:marLeft w:val="0"/>
                              <w:marRight w:val="0"/>
                              <w:marTop w:val="0"/>
                              <w:marBottom w:val="0"/>
                              <w:divBdr>
                                <w:top w:val="none" w:sz="0" w:space="0" w:color="auto"/>
                                <w:left w:val="none" w:sz="0" w:space="0" w:color="auto"/>
                                <w:bottom w:val="none" w:sz="0" w:space="0" w:color="auto"/>
                                <w:right w:val="none" w:sz="0" w:space="0" w:color="auto"/>
                              </w:divBdr>
                            </w:div>
                            <w:div w:id="577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2517">
                      <w:marLeft w:val="0"/>
                      <w:marRight w:val="0"/>
                      <w:marTop w:val="0"/>
                      <w:marBottom w:val="0"/>
                      <w:divBdr>
                        <w:top w:val="none" w:sz="0" w:space="0" w:color="auto"/>
                        <w:left w:val="none" w:sz="0" w:space="0" w:color="auto"/>
                        <w:bottom w:val="none" w:sz="0" w:space="0" w:color="auto"/>
                        <w:right w:val="none" w:sz="0" w:space="0" w:color="auto"/>
                      </w:divBdr>
                      <w:divsChild>
                        <w:div w:id="125049339">
                          <w:marLeft w:val="0"/>
                          <w:marRight w:val="0"/>
                          <w:marTop w:val="0"/>
                          <w:marBottom w:val="150"/>
                          <w:divBdr>
                            <w:top w:val="none" w:sz="0" w:space="0" w:color="auto"/>
                            <w:left w:val="none" w:sz="0" w:space="0" w:color="auto"/>
                            <w:bottom w:val="single" w:sz="6" w:space="0" w:color="CECECE"/>
                            <w:right w:val="none" w:sz="0" w:space="0" w:color="auto"/>
                          </w:divBdr>
                        </w:div>
                        <w:div w:id="561723060">
                          <w:marLeft w:val="0"/>
                          <w:marRight w:val="0"/>
                          <w:marTop w:val="0"/>
                          <w:marBottom w:val="0"/>
                          <w:divBdr>
                            <w:top w:val="none" w:sz="0" w:space="0" w:color="auto"/>
                            <w:left w:val="none" w:sz="0" w:space="0" w:color="auto"/>
                            <w:bottom w:val="none" w:sz="0" w:space="0" w:color="auto"/>
                            <w:right w:val="none" w:sz="0" w:space="0" w:color="auto"/>
                          </w:divBdr>
                          <w:divsChild>
                            <w:div w:id="2053995349">
                              <w:marLeft w:val="0"/>
                              <w:marRight w:val="0"/>
                              <w:marTop w:val="0"/>
                              <w:marBottom w:val="0"/>
                              <w:divBdr>
                                <w:top w:val="none" w:sz="0" w:space="0" w:color="auto"/>
                                <w:left w:val="none" w:sz="0" w:space="0" w:color="auto"/>
                                <w:bottom w:val="none" w:sz="0" w:space="0" w:color="auto"/>
                                <w:right w:val="none" w:sz="0" w:space="0" w:color="auto"/>
                              </w:divBdr>
                              <w:divsChild>
                                <w:div w:id="1855730538">
                                  <w:marLeft w:val="0"/>
                                  <w:marRight w:val="0"/>
                                  <w:marTop w:val="0"/>
                                  <w:marBottom w:val="0"/>
                                  <w:divBdr>
                                    <w:top w:val="none" w:sz="0" w:space="0" w:color="auto"/>
                                    <w:left w:val="none" w:sz="0" w:space="0" w:color="auto"/>
                                    <w:bottom w:val="none" w:sz="0" w:space="0" w:color="auto"/>
                                    <w:right w:val="none" w:sz="0" w:space="0" w:color="auto"/>
                                  </w:divBdr>
                                </w:div>
                                <w:div w:id="102193010">
                                  <w:marLeft w:val="0"/>
                                  <w:marRight w:val="0"/>
                                  <w:marTop w:val="0"/>
                                  <w:marBottom w:val="0"/>
                                  <w:divBdr>
                                    <w:top w:val="none" w:sz="0" w:space="0" w:color="auto"/>
                                    <w:left w:val="none" w:sz="0" w:space="0" w:color="auto"/>
                                    <w:bottom w:val="none" w:sz="0" w:space="0" w:color="auto"/>
                                    <w:right w:val="none" w:sz="0" w:space="0" w:color="auto"/>
                                  </w:divBdr>
                                </w:div>
                                <w:div w:id="15950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714">
                          <w:marLeft w:val="0"/>
                          <w:marRight w:val="0"/>
                          <w:marTop w:val="0"/>
                          <w:marBottom w:val="0"/>
                          <w:divBdr>
                            <w:top w:val="none" w:sz="0" w:space="0" w:color="auto"/>
                            <w:left w:val="none" w:sz="0" w:space="0" w:color="auto"/>
                            <w:bottom w:val="none" w:sz="0" w:space="0" w:color="auto"/>
                            <w:right w:val="none" w:sz="0" w:space="0" w:color="auto"/>
                          </w:divBdr>
                        </w:div>
                        <w:div w:id="170066737">
                          <w:marLeft w:val="0"/>
                          <w:marRight w:val="0"/>
                          <w:marTop w:val="0"/>
                          <w:marBottom w:val="0"/>
                          <w:divBdr>
                            <w:top w:val="none" w:sz="0" w:space="0" w:color="auto"/>
                            <w:left w:val="none" w:sz="0" w:space="0" w:color="auto"/>
                            <w:bottom w:val="none" w:sz="0" w:space="0" w:color="auto"/>
                            <w:right w:val="none" w:sz="0" w:space="0" w:color="auto"/>
                          </w:divBdr>
                        </w:div>
                      </w:divsChild>
                    </w:div>
                    <w:div w:id="146557226">
                      <w:marLeft w:val="0"/>
                      <w:marRight w:val="0"/>
                      <w:marTop w:val="0"/>
                      <w:marBottom w:val="0"/>
                      <w:divBdr>
                        <w:top w:val="none" w:sz="0" w:space="0" w:color="auto"/>
                        <w:left w:val="none" w:sz="0" w:space="0" w:color="auto"/>
                        <w:bottom w:val="none" w:sz="0" w:space="0" w:color="auto"/>
                        <w:right w:val="none" w:sz="0" w:space="0" w:color="auto"/>
                      </w:divBdr>
                      <w:divsChild>
                        <w:div w:id="379130201">
                          <w:marLeft w:val="0"/>
                          <w:marRight w:val="0"/>
                          <w:marTop w:val="0"/>
                          <w:marBottom w:val="0"/>
                          <w:divBdr>
                            <w:top w:val="none" w:sz="0" w:space="0" w:color="auto"/>
                            <w:left w:val="none" w:sz="0" w:space="0" w:color="auto"/>
                            <w:bottom w:val="none" w:sz="0" w:space="0" w:color="auto"/>
                            <w:right w:val="none" w:sz="0" w:space="0" w:color="auto"/>
                          </w:divBdr>
                        </w:div>
                        <w:div w:id="17853767">
                          <w:marLeft w:val="0"/>
                          <w:marRight w:val="0"/>
                          <w:marTop w:val="0"/>
                          <w:marBottom w:val="0"/>
                          <w:divBdr>
                            <w:top w:val="none" w:sz="0" w:space="0" w:color="auto"/>
                            <w:left w:val="none" w:sz="0" w:space="0" w:color="auto"/>
                            <w:bottom w:val="none" w:sz="0" w:space="0" w:color="auto"/>
                            <w:right w:val="none" w:sz="0" w:space="0" w:color="auto"/>
                          </w:divBdr>
                        </w:div>
                        <w:div w:id="1628313922">
                          <w:marLeft w:val="0"/>
                          <w:marRight w:val="0"/>
                          <w:marTop w:val="0"/>
                          <w:marBottom w:val="0"/>
                          <w:divBdr>
                            <w:top w:val="none" w:sz="0" w:space="0" w:color="auto"/>
                            <w:left w:val="none" w:sz="0" w:space="0" w:color="auto"/>
                            <w:bottom w:val="none" w:sz="0" w:space="0" w:color="auto"/>
                            <w:right w:val="none" w:sz="0" w:space="0" w:color="auto"/>
                          </w:divBdr>
                        </w:div>
                      </w:divsChild>
                    </w:div>
                    <w:div w:id="144710154">
                      <w:marLeft w:val="0"/>
                      <w:marRight w:val="0"/>
                      <w:marTop w:val="0"/>
                      <w:marBottom w:val="0"/>
                      <w:divBdr>
                        <w:top w:val="none" w:sz="0" w:space="0" w:color="auto"/>
                        <w:left w:val="none" w:sz="0" w:space="0" w:color="auto"/>
                        <w:bottom w:val="none" w:sz="0" w:space="0" w:color="auto"/>
                        <w:right w:val="none" w:sz="0" w:space="0" w:color="auto"/>
                      </w:divBdr>
                      <w:divsChild>
                        <w:div w:id="1915387492">
                          <w:marLeft w:val="0"/>
                          <w:marRight w:val="0"/>
                          <w:marTop w:val="0"/>
                          <w:marBottom w:val="0"/>
                          <w:divBdr>
                            <w:top w:val="none" w:sz="0" w:space="0" w:color="auto"/>
                            <w:left w:val="none" w:sz="0" w:space="0" w:color="auto"/>
                            <w:bottom w:val="none" w:sz="0" w:space="0" w:color="auto"/>
                            <w:right w:val="none" w:sz="0" w:space="0" w:color="auto"/>
                          </w:divBdr>
                        </w:div>
                        <w:div w:id="771051262">
                          <w:marLeft w:val="0"/>
                          <w:marRight w:val="0"/>
                          <w:marTop w:val="0"/>
                          <w:marBottom w:val="300"/>
                          <w:divBdr>
                            <w:top w:val="none" w:sz="0" w:space="0" w:color="auto"/>
                            <w:left w:val="none" w:sz="0" w:space="0" w:color="auto"/>
                            <w:bottom w:val="none" w:sz="0" w:space="0" w:color="auto"/>
                            <w:right w:val="none" w:sz="0" w:space="0" w:color="auto"/>
                          </w:divBdr>
                          <w:divsChild>
                            <w:div w:id="1594128789">
                              <w:marLeft w:val="0"/>
                              <w:marRight w:val="0"/>
                              <w:marTop w:val="0"/>
                              <w:marBottom w:val="0"/>
                              <w:divBdr>
                                <w:top w:val="none" w:sz="0" w:space="0" w:color="auto"/>
                                <w:left w:val="none" w:sz="0" w:space="0" w:color="auto"/>
                                <w:bottom w:val="none" w:sz="0" w:space="0" w:color="auto"/>
                                <w:right w:val="none" w:sz="0" w:space="0" w:color="auto"/>
                              </w:divBdr>
                            </w:div>
                            <w:div w:id="2130003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716">
                      <w:marLeft w:val="0"/>
                      <w:marRight w:val="0"/>
                      <w:marTop w:val="0"/>
                      <w:marBottom w:val="0"/>
                      <w:divBdr>
                        <w:top w:val="none" w:sz="0" w:space="0" w:color="auto"/>
                        <w:left w:val="none" w:sz="0" w:space="0" w:color="auto"/>
                        <w:bottom w:val="none" w:sz="0" w:space="0" w:color="auto"/>
                        <w:right w:val="none" w:sz="0" w:space="0" w:color="auto"/>
                      </w:divBdr>
                      <w:divsChild>
                        <w:div w:id="328019651">
                          <w:marLeft w:val="0"/>
                          <w:marRight w:val="0"/>
                          <w:marTop w:val="0"/>
                          <w:marBottom w:val="0"/>
                          <w:divBdr>
                            <w:top w:val="none" w:sz="0" w:space="0" w:color="auto"/>
                            <w:left w:val="none" w:sz="0" w:space="0" w:color="auto"/>
                            <w:bottom w:val="none" w:sz="0" w:space="0" w:color="auto"/>
                            <w:right w:val="none" w:sz="0" w:space="0" w:color="auto"/>
                          </w:divBdr>
                        </w:div>
                      </w:divsChild>
                    </w:div>
                    <w:div w:id="420106579">
                      <w:marLeft w:val="0"/>
                      <w:marRight w:val="0"/>
                      <w:marTop w:val="0"/>
                      <w:marBottom w:val="0"/>
                      <w:divBdr>
                        <w:top w:val="none" w:sz="0" w:space="0" w:color="auto"/>
                        <w:left w:val="none" w:sz="0" w:space="0" w:color="auto"/>
                        <w:bottom w:val="none" w:sz="0" w:space="0" w:color="auto"/>
                        <w:right w:val="none" w:sz="0" w:space="0" w:color="auto"/>
                      </w:divBdr>
                      <w:divsChild>
                        <w:div w:id="238760684">
                          <w:marLeft w:val="0"/>
                          <w:marRight w:val="0"/>
                          <w:marTop w:val="0"/>
                          <w:marBottom w:val="0"/>
                          <w:divBdr>
                            <w:top w:val="none" w:sz="0" w:space="0" w:color="auto"/>
                            <w:left w:val="none" w:sz="0" w:space="0" w:color="auto"/>
                            <w:bottom w:val="none" w:sz="0" w:space="0" w:color="auto"/>
                            <w:right w:val="none" w:sz="0" w:space="0" w:color="auto"/>
                          </w:divBdr>
                        </w:div>
                        <w:div w:id="646204692">
                          <w:marLeft w:val="0"/>
                          <w:marRight w:val="0"/>
                          <w:marTop w:val="0"/>
                          <w:marBottom w:val="0"/>
                          <w:divBdr>
                            <w:top w:val="none" w:sz="0" w:space="0" w:color="auto"/>
                            <w:left w:val="none" w:sz="0" w:space="0" w:color="auto"/>
                            <w:bottom w:val="none" w:sz="0" w:space="0" w:color="auto"/>
                            <w:right w:val="none" w:sz="0" w:space="0" w:color="auto"/>
                          </w:divBdr>
                        </w:div>
                      </w:divsChild>
                    </w:div>
                    <w:div w:id="1053504009">
                      <w:marLeft w:val="0"/>
                      <w:marRight w:val="0"/>
                      <w:marTop w:val="0"/>
                      <w:marBottom w:val="0"/>
                      <w:divBdr>
                        <w:top w:val="none" w:sz="0" w:space="0" w:color="auto"/>
                        <w:left w:val="none" w:sz="0" w:space="0" w:color="auto"/>
                        <w:bottom w:val="none" w:sz="0" w:space="0" w:color="auto"/>
                        <w:right w:val="none" w:sz="0" w:space="0" w:color="auto"/>
                      </w:divBdr>
                      <w:divsChild>
                        <w:div w:id="120926428">
                          <w:marLeft w:val="0"/>
                          <w:marRight w:val="0"/>
                          <w:marTop w:val="0"/>
                          <w:marBottom w:val="150"/>
                          <w:divBdr>
                            <w:top w:val="none" w:sz="0" w:space="0" w:color="auto"/>
                            <w:left w:val="none" w:sz="0" w:space="0" w:color="auto"/>
                            <w:bottom w:val="single" w:sz="6" w:space="0" w:color="CECECE"/>
                            <w:right w:val="none" w:sz="0" w:space="0" w:color="auto"/>
                          </w:divBdr>
                        </w:div>
                        <w:div w:id="1901363096">
                          <w:marLeft w:val="0"/>
                          <w:marRight w:val="0"/>
                          <w:marTop w:val="15"/>
                          <w:marBottom w:val="15"/>
                          <w:divBdr>
                            <w:top w:val="none" w:sz="0" w:space="0" w:color="auto"/>
                            <w:left w:val="none" w:sz="0" w:space="0" w:color="auto"/>
                            <w:bottom w:val="single" w:sz="6" w:space="4" w:color="DDDDDD"/>
                            <w:right w:val="none" w:sz="0" w:space="0" w:color="auto"/>
                          </w:divBdr>
                        </w:div>
                        <w:div w:id="334921322">
                          <w:marLeft w:val="0"/>
                          <w:marRight w:val="0"/>
                          <w:marTop w:val="15"/>
                          <w:marBottom w:val="15"/>
                          <w:divBdr>
                            <w:top w:val="none" w:sz="0" w:space="0" w:color="auto"/>
                            <w:left w:val="none" w:sz="0" w:space="0" w:color="auto"/>
                            <w:bottom w:val="single" w:sz="6" w:space="4" w:color="DDDDDD"/>
                            <w:right w:val="none" w:sz="0" w:space="0" w:color="auto"/>
                          </w:divBdr>
                        </w:div>
                        <w:div w:id="1616207880">
                          <w:marLeft w:val="0"/>
                          <w:marRight w:val="0"/>
                          <w:marTop w:val="15"/>
                          <w:marBottom w:val="15"/>
                          <w:divBdr>
                            <w:top w:val="none" w:sz="0" w:space="0" w:color="auto"/>
                            <w:left w:val="none" w:sz="0" w:space="0" w:color="auto"/>
                            <w:bottom w:val="single" w:sz="6" w:space="4" w:color="DDDDDD"/>
                            <w:right w:val="none" w:sz="0" w:space="0" w:color="auto"/>
                          </w:divBdr>
                        </w:div>
                        <w:div w:id="933250135">
                          <w:marLeft w:val="0"/>
                          <w:marRight w:val="0"/>
                          <w:marTop w:val="15"/>
                          <w:marBottom w:val="15"/>
                          <w:divBdr>
                            <w:top w:val="none" w:sz="0" w:space="0" w:color="auto"/>
                            <w:left w:val="none" w:sz="0" w:space="0" w:color="auto"/>
                            <w:bottom w:val="single" w:sz="6" w:space="4" w:color="DDDDDD"/>
                            <w:right w:val="none" w:sz="0" w:space="0" w:color="auto"/>
                          </w:divBdr>
                        </w:div>
                        <w:div w:id="1682079518">
                          <w:marLeft w:val="0"/>
                          <w:marRight w:val="0"/>
                          <w:marTop w:val="15"/>
                          <w:marBottom w:val="15"/>
                          <w:divBdr>
                            <w:top w:val="none" w:sz="0" w:space="0" w:color="auto"/>
                            <w:left w:val="none" w:sz="0" w:space="0" w:color="auto"/>
                            <w:bottom w:val="single" w:sz="6" w:space="4" w:color="DDDDDD"/>
                            <w:right w:val="none" w:sz="0" w:space="0" w:color="auto"/>
                          </w:divBdr>
                        </w:div>
                      </w:divsChild>
                    </w:div>
                    <w:div w:id="1103648841">
                      <w:marLeft w:val="0"/>
                      <w:marRight w:val="0"/>
                      <w:marTop w:val="0"/>
                      <w:marBottom w:val="0"/>
                      <w:divBdr>
                        <w:top w:val="none" w:sz="0" w:space="0" w:color="auto"/>
                        <w:left w:val="none" w:sz="0" w:space="0" w:color="auto"/>
                        <w:bottom w:val="none" w:sz="0" w:space="0" w:color="auto"/>
                        <w:right w:val="none" w:sz="0" w:space="0" w:color="auto"/>
                      </w:divBdr>
                      <w:divsChild>
                        <w:div w:id="2787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81504">
                  <w:marLeft w:val="0"/>
                  <w:marRight w:val="450"/>
                  <w:marTop w:val="0"/>
                  <w:marBottom w:val="0"/>
                  <w:divBdr>
                    <w:top w:val="none" w:sz="0" w:space="0" w:color="auto"/>
                    <w:left w:val="none" w:sz="0" w:space="0" w:color="auto"/>
                    <w:bottom w:val="none" w:sz="0" w:space="0" w:color="auto"/>
                    <w:right w:val="none" w:sz="0" w:space="0" w:color="auto"/>
                  </w:divBdr>
                  <w:divsChild>
                    <w:div w:id="6270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2637">
      <w:bodyDiv w:val="1"/>
      <w:marLeft w:val="0"/>
      <w:marRight w:val="0"/>
      <w:marTop w:val="0"/>
      <w:marBottom w:val="0"/>
      <w:divBdr>
        <w:top w:val="none" w:sz="0" w:space="0" w:color="auto"/>
        <w:left w:val="none" w:sz="0" w:space="0" w:color="auto"/>
        <w:bottom w:val="none" w:sz="0" w:space="0" w:color="auto"/>
        <w:right w:val="none" w:sz="0" w:space="0" w:color="auto"/>
      </w:divBdr>
    </w:div>
    <w:div w:id="236093364">
      <w:bodyDiv w:val="1"/>
      <w:marLeft w:val="0"/>
      <w:marRight w:val="0"/>
      <w:marTop w:val="0"/>
      <w:marBottom w:val="0"/>
      <w:divBdr>
        <w:top w:val="none" w:sz="0" w:space="0" w:color="auto"/>
        <w:left w:val="none" w:sz="0" w:space="0" w:color="auto"/>
        <w:bottom w:val="none" w:sz="0" w:space="0" w:color="auto"/>
        <w:right w:val="none" w:sz="0" w:space="0" w:color="auto"/>
      </w:divBdr>
      <w:divsChild>
        <w:div w:id="1108694833">
          <w:marLeft w:val="0"/>
          <w:marRight w:val="0"/>
          <w:marTop w:val="0"/>
          <w:marBottom w:val="0"/>
          <w:divBdr>
            <w:top w:val="none" w:sz="0" w:space="0" w:color="auto"/>
            <w:left w:val="none" w:sz="0" w:space="0" w:color="auto"/>
            <w:bottom w:val="none" w:sz="0" w:space="0" w:color="auto"/>
            <w:right w:val="none" w:sz="0" w:space="0" w:color="auto"/>
          </w:divBdr>
          <w:divsChild>
            <w:div w:id="580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2785">
      <w:bodyDiv w:val="1"/>
      <w:marLeft w:val="0"/>
      <w:marRight w:val="0"/>
      <w:marTop w:val="0"/>
      <w:marBottom w:val="0"/>
      <w:divBdr>
        <w:top w:val="none" w:sz="0" w:space="0" w:color="auto"/>
        <w:left w:val="none" w:sz="0" w:space="0" w:color="auto"/>
        <w:bottom w:val="none" w:sz="0" w:space="0" w:color="auto"/>
        <w:right w:val="none" w:sz="0" w:space="0" w:color="auto"/>
      </w:divBdr>
    </w:div>
    <w:div w:id="341318107">
      <w:bodyDiv w:val="1"/>
      <w:marLeft w:val="0"/>
      <w:marRight w:val="0"/>
      <w:marTop w:val="0"/>
      <w:marBottom w:val="0"/>
      <w:divBdr>
        <w:top w:val="none" w:sz="0" w:space="0" w:color="auto"/>
        <w:left w:val="none" w:sz="0" w:space="0" w:color="auto"/>
        <w:bottom w:val="none" w:sz="0" w:space="0" w:color="auto"/>
        <w:right w:val="none" w:sz="0" w:space="0" w:color="auto"/>
      </w:divBdr>
    </w:div>
    <w:div w:id="344550921">
      <w:bodyDiv w:val="1"/>
      <w:marLeft w:val="0"/>
      <w:marRight w:val="0"/>
      <w:marTop w:val="0"/>
      <w:marBottom w:val="0"/>
      <w:divBdr>
        <w:top w:val="none" w:sz="0" w:space="0" w:color="auto"/>
        <w:left w:val="none" w:sz="0" w:space="0" w:color="auto"/>
        <w:bottom w:val="none" w:sz="0" w:space="0" w:color="auto"/>
        <w:right w:val="none" w:sz="0" w:space="0" w:color="auto"/>
      </w:divBdr>
    </w:div>
    <w:div w:id="390887045">
      <w:bodyDiv w:val="1"/>
      <w:marLeft w:val="0"/>
      <w:marRight w:val="0"/>
      <w:marTop w:val="0"/>
      <w:marBottom w:val="0"/>
      <w:divBdr>
        <w:top w:val="none" w:sz="0" w:space="0" w:color="auto"/>
        <w:left w:val="none" w:sz="0" w:space="0" w:color="auto"/>
        <w:bottom w:val="none" w:sz="0" w:space="0" w:color="auto"/>
        <w:right w:val="none" w:sz="0" w:space="0" w:color="auto"/>
      </w:divBdr>
    </w:div>
    <w:div w:id="435558960">
      <w:bodyDiv w:val="1"/>
      <w:marLeft w:val="0"/>
      <w:marRight w:val="0"/>
      <w:marTop w:val="0"/>
      <w:marBottom w:val="0"/>
      <w:divBdr>
        <w:top w:val="none" w:sz="0" w:space="0" w:color="auto"/>
        <w:left w:val="none" w:sz="0" w:space="0" w:color="auto"/>
        <w:bottom w:val="none" w:sz="0" w:space="0" w:color="auto"/>
        <w:right w:val="none" w:sz="0" w:space="0" w:color="auto"/>
      </w:divBdr>
    </w:div>
    <w:div w:id="496304956">
      <w:bodyDiv w:val="1"/>
      <w:marLeft w:val="0"/>
      <w:marRight w:val="0"/>
      <w:marTop w:val="0"/>
      <w:marBottom w:val="0"/>
      <w:divBdr>
        <w:top w:val="none" w:sz="0" w:space="0" w:color="auto"/>
        <w:left w:val="none" w:sz="0" w:space="0" w:color="auto"/>
        <w:bottom w:val="none" w:sz="0" w:space="0" w:color="auto"/>
        <w:right w:val="none" w:sz="0" w:space="0" w:color="auto"/>
      </w:divBdr>
    </w:div>
    <w:div w:id="566187564">
      <w:bodyDiv w:val="1"/>
      <w:marLeft w:val="0"/>
      <w:marRight w:val="0"/>
      <w:marTop w:val="0"/>
      <w:marBottom w:val="0"/>
      <w:divBdr>
        <w:top w:val="none" w:sz="0" w:space="0" w:color="auto"/>
        <w:left w:val="none" w:sz="0" w:space="0" w:color="auto"/>
        <w:bottom w:val="none" w:sz="0" w:space="0" w:color="auto"/>
        <w:right w:val="none" w:sz="0" w:space="0" w:color="auto"/>
      </w:divBdr>
    </w:div>
    <w:div w:id="578949443">
      <w:bodyDiv w:val="1"/>
      <w:marLeft w:val="0"/>
      <w:marRight w:val="0"/>
      <w:marTop w:val="0"/>
      <w:marBottom w:val="0"/>
      <w:divBdr>
        <w:top w:val="none" w:sz="0" w:space="0" w:color="auto"/>
        <w:left w:val="none" w:sz="0" w:space="0" w:color="auto"/>
        <w:bottom w:val="none" w:sz="0" w:space="0" w:color="auto"/>
        <w:right w:val="none" w:sz="0" w:space="0" w:color="auto"/>
      </w:divBdr>
      <w:divsChild>
        <w:div w:id="1481724417">
          <w:marLeft w:val="0"/>
          <w:marRight w:val="0"/>
          <w:marTop w:val="0"/>
          <w:marBottom w:val="0"/>
          <w:divBdr>
            <w:top w:val="none" w:sz="0" w:space="0" w:color="auto"/>
            <w:left w:val="none" w:sz="0" w:space="0" w:color="auto"/>
            <w:bottom w:val="none" w:sz="0" w:space="0" w:color="auto"/>
            <w:right w:val="none" w:sz="0" w:space="0" w:color="auto"/>
          </w:divBdr>
          <w:divsChild>
            <w:div w:id="2086754943">
              <w:marLeft w:val="0"/>
              <w:marRight w:val="0"/>
              <w:marTop w:val="0"/>
              <w:marBottom w:val="0"/>
              <w:divBdr>
                <w:top w:val="none" w:sz="0" w:space="0" w:color="auto"/>
                <w:left w:val="none" w:sz="0" w:space="0" w:color="auto"/>
                <w:bottom w:val="none" w:sz="0" w:space="0" w:color="auto"/>
                <w:right w:val="none" w:sz="0" w:space="0" w:color="auto"/>
              </w:divBdr>
              <w:divsChild>
                <w:div w:id="1662733053">
                  <w:marLeft w:val="0"/>
                  <w:marRight w:val="0"/>
                  <w:marTop w:val="0"/>
                  <w:marBottom w:val="0"/>
                  <w:divBdr>
                    <w:top w:val="none" w:sz="0" w:space="0" w:color="auto"/>
                    <w:left w:val="none" w:sz="0" w:space="0" w:color="auto"/>
                    <w:bottom w:val="none" w:sz="0" w:space="0" w:color="auto"/>
                    <w:right w:val="none" w:sz="0" w:space="0" w:color="auto"/>
                  </w:divBdr>
                  <w:divsChild>
                    <w:div w:id="13406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6761">
      <w:bodyDiv w:val="1"/>
      <w:marLeft w:val="0"/>
      <w:marRight w:val="0"/>
      <w:marTop w:val="0"/>
      <w:marBottom w:val="0"/>
      <w:divBdr>
        <w:top w:val="none" w:sz="0" w:space="0" w:color="auto"/>
        <w:left w:val="none" w:sz="0" w:space="0" w:color="auto"/>
        <w:bottom w:val="none" w:sz="0" w:space="0" w:color="auto"/>
        <w:right w:val="none" w:sz="0" w:space="0" w:color="auto"/>
      </w:divBdr>
    </w:div>
    <w:div w:id="648217986">
      <w:bodyDiv w:val="1"/>
      <w:marLeft w:val="0"/>
      <w:marRight w:val="0"/>
      <w:marTop w:val="0"/>
      <w:marBottom w:val="0"/>
      <w:divBdr>
        <w:top w:val="none" w:sz="0" w:space="0" w:color="auto"/>
        <w:left w:val="none" w:sz="0" w:space="0" w:color="auto"/>
        <w:bottom w:val="none" w:sz="0" w:space="0" w:color="auto"/>
        <w:right w:val="none" w:sz="0" w:space="0" w:color="auto"/>
      </w:divBdr>
    </w:div>
    <w:div w:id="734166453">
      <w:bodyDiv w:val="1"/>
      <w:marLeft w:val="0"/>
      <w:marRight w:val="0"/>
      <w:marTop w:val="0"/>
      <w:marBottom w:val="0"/>
      <w:divBdr>
        <w:top w:val="none" w:sz="0" w:space="0" w:color="auto"/>
        <w:left w:val="none" w:sz="0" w:space="0" w:color="auto"/>
        <w:bottom w:val="none" w:sz="0" w:space="0" w:color="auto"/>
        <w:right w:val="none" w:sz="0" w:space="0" w:color="auto"/>
      </w:divBdr>
    </w:div>
    <w:div w:id="785201793">
      <w:bodyDiv w:val="1"/>
      <w:marLeft w:val="0"/>
      <w:marRight w:val="0"/>
      <w:marTop w:val="0"/>
      <w:marBottom w:val="0"/>
      <w:divBdr>
        <w:top w:val="none" w:sz="0" w:space="0" w:color="auto"/>
        <w:left w:val="none" w:sz="0" w:space="0" w:color="auto"/>
        <w:bottom w:val="none" w:sz="0" w:space="0" w:color="auto"/>
        <w:right w:val="none" w:sz="0" w:space="0" w:color="auto"/>
      </w:divBdr>
    </w:div>
    <w:div w:id="833956251">
      <w:bodyDiv w:val="1"/>
      <w:marLeft w:val="0"/>
      <w:marRight w:val="0"/>
      <w:marTop w:val="0"/>
      <w:marBottom w:val="0"/>
      <w:divBdr>
        <w:top w:val="none" w:sz="0" w:space="0" w:color="auto"/>
        <w:left w:val="none" w:sz="0" w:space="0" w:color="auto"/>
        <w:bottom w:val="none" w:sz="0" w:space="0" w:color="auto"/>
        <w:right w:val="none" w:sz="0" w:space="0" w:color="auto"/>
      </w:divBdr>
    </w:div>
    <w:div w:id="1046176383">
      <w:bodyDiv w:val="1"/>
      <w:marLeft w:val="0"/>
      <w:marRight w:val="0"/>
      <w:marTop w:val="0"/>
      <w:marBottom w:val="0"/>
      <w:divBdr>
        <w:top w:val="none" w:sz="0" w:space="0" w:color="auto"/>
        <w:left w:val="none" w:sz="0" w:space="0" w:color="auto"/>
        <w:bottom w:val="none" w:sz="0" w:space="0" w:color="auto"/>
        <w:right w:val="none" w:sz="0" w:space="0" w:color="auto"/>
      </w:divBdr>
    </w:div>
    <w:div w:id="1047948959">
      <w:bodyDiv w:val="1"/>
      <w:marLeft w:val="0"/>
      <w:marRight w:val="0"/>
      <w:marTop w:val="0"/>
      <w:marBottom w:val="0"/>
      <w:divBdr>
        <w:top w:val="none" w:sz="0" w:space="0" w:color="auto"/>
        <w:left w:val="none" w:sz="0" w:space="0" w:color="auto"/>
        <w:bottom w:val="none" w:sz="0" w:space="0" w:color="auto"/>
        <w:right w:val="none" w:sz="0" w:space="0" w:color="auto"/>
      </w:divBdr>
    </w:div>
    <w:div w:id="1130515688">
      <w:bodyDiv w:val="1"/>
      <w:marLeft w:val="0"/>
      <w:marRight w:val="0"/>
      <w:marTop w:val="0"/>
      <w:marBottom w:val="0"/>
      <w:divBdr>
        <w:top w:val="none" w:sz="0" w:space="0" w:color="auto"/>
        <w:left w:val="none" w:sz="0" w:space="0" w:color="auto"/>
        <w:bottom w:val="none" w:sz="0" w:space="0" w:color="auto"/>
        <w:right w:val="none" w:sz="0" w:space="0" w:color="auto"/>
      </w:divBdr>
    </w:div>
    <w:div w:id="1253204600">
      <w:bodyDiv w:val="1"/>
      <w:marLeft w:val="0"/>
      <w:marRight w:val="0"/>
      <w:marTop w:val="0"/>
      <w:marBottom w:val="0"/>
      <w:divBdr>
        <w:top w:val="none" w:sz="0" w:space="0" w:color="auto"/>
        <w:left w:val="none" w:sz="0" w:space="0" w:color="auto"/>
        <w:bottom w:val="none" w:sz="0" w:space="0" w:color="auto"/>
        <w:right w:val="none" w:sz="0" w:space="0" w:color="auto"/>
      </w:divBdr>
    </w:div>
    <w:div w:id="1283533264">
      <w:bodyDiv w:val="1"/>
      <w:marLeft w:val="0"/>
      <w:marRight w:val="0"/>
      <w:marTop w:val="0"/>
      <w:marBottom w:val="0"/>
      <w:divBdr>
        <w:top w:val="none" w:sz="0" w:space="0" w:color="auto"/>
        <w:left w:val="none" w:sz="0" w:space="0" w:color="auto"/>
        <w:bottom w:val="none" w:sz="0" w:space="0" w:color="auto"/>
        <w:right w:val="none" w:sz="0" w:space="0" w:color="auto"/>
      </w:divBdr>
    </w:div>
    <w:div w:id="1286622629">
      <w:bodyDiv w:val="1"/>
      <w:marLeft w:val="0"/>
      <w:marRight w:val="0"/>
      <w:marTop w:val="0"/>
      <w:marBottom w:val="0"/>
      <w:divBdr>
        <w:top w:val="none" w:sz="0" w:space="0" w:color="auto"/>
        <w:left w:val="none" w:sz="0" w:space="0" w:color="auto"/>
        <w:bottom w:val="none" w:sz="0" w:space="0" w:color="auto"/>
        <w:right w:val="none" w:sz="0" w:space="0" w:color="auto"/>
      </w:divBdr>
    </w:div>
    <w:div w:id="1371996462">
      <w:bodyDiv w:val="1"/>
      <w:marLeft w:val="0"/>
      <w:marRight w:val="0"/>
      <w:marTop w:val="0"/>
      <w:marBottom w:val="0"/>
      <w:divBdr>
        <w:top w:val="none" w:sz="0" w:space="0" w:color="auto"/>
        <w:left w:val="none" w:sz="0" w:space="0" w:color="auto"/>
        <w:bottom w:val="none" w:sz="0" w:space="0" w:color="auto"/>
        <w:right w:val="none" w:sz="0" w:space="0" w:color="auto"/>
      </w:divBdr>
    </w:div>
    <w:div w:id="1442215698">
      <w:bodyDiv w:val="1"/>
      <w:marLeft w:val="0"/>
      <w:marRight w:val="0"/>
      <w:marTop w:val="0"/>
      <w:marBottom w:val="0"/>
      <w:divBdr>
        <w:top w:val="none" w:sz="0" w:space="0" w:color="auto"/>
        <w:left w:val="none" w:sz="0" w:space="0" w:color="auto"/>
        <w:bottom w:val="none" w:sz="0" w:space="0" w:color="auto"/>
        <w:right w:val="none" w:sz="0" w:space="0" w:color="auto"/>
      </w:divBdr>
    </w:div>
    <w:div w:id="1547569512">
      <w:bodyDiv w:val="1"/>
      <w:marLeft w:val="0"/>
      <w:marRight w:val="0"/>
      <w:marTop w:val="0"/>
      <w:marBottom w:val="0"/>
      <w:divBdr>
        <w:top w:val="none" w:sz="0" w:space="0" w:color="auto"/>
        <w:left w:val="none" w:sz="0" w:space="0" w:color="auto"/>
        <w:bottom w:val="none" w:sz="0" w:space="0" w:color="auto"/>
        <w:right w:val="none" w:sz="0" w:space="0" w:color="auto"/>
      </w:divBdr>
    </w:div>
    <w:div w:id="1568613317">
      <w:bodyDiv w:val="1"/>
      <w:marLeft w:val="0"/>
      <w:marRight w:val="0"/>
      <w:marTop w:val="0"/>
      <w:marBottom w:val="0"/>
      <w:divBdr>
        <w:top w:val="none" w:sz="0" w:space="0" w:color="auto"/>
        <w:left w:val="none" w:sz="0" w:space="0" w:color="auto"/>
        <w:bottom w:val="none" w:sz="0" w:space="0" w:color="auto"/>
        <w:right w:val="none" w:sz="0" w:space="0" w:color="auto"/>
      </w:divBdr>
    </w:div>
    <w:div w:id="1597709527">
      <w:bodyDiv w:val="1"/>
      <w:marLeft w:val="0"/>
      <w:marRight w:val="0"/>
      <w:marTop w:val="0"/>
      <w:marBottom w:val="0"/>
      <w:divBdr>
        <w:top w:val="none" w:sz="0" w:space="0" w:color="auto"/>
        <w:left w:val="none" w:sz="0" w:space="0" w:color="auto"/>
        <w:bottom w:val="none" w:sz="0" w:space="0" w:color="auto"/>
        <w:right w:val="none" w:sz="0" w:space="0" w:color="auto"/>
      </w:divBdr>
    </w:div>
    <w:div w:id="1675110514">
      <w:bodyDiv w:val="1"/>
      <w:marLeft w:val="0"/>
      <w:marRight w:val="0"/>
      <w:marTop w:val="0"/>
      <w:marBottom w:val="0"/>
      <w:divBdr>
        <w:top w:val="none" w:sz="0" w:space="0" w:color="auto"/>
        <w:left w:val="none" w:sz="0" w:space="0" w:color="auto"/>
        <w:bottom w:val="none" w:sz="0" w:space="0" w:color="auto"/>
        <w:right w:val="none" w:sz="0" w:space="0" w:color="auto"/>
      </w:divBdr>
    </w:div>
    <w:div w:id="1777290525">
      <w:bodyDiv w:val="1"/>
      <w:marLeft w:val="0"/>
      <w:marRight w:val="0"/>
      <w:marTop w:val="0"/>
      <w:marBottom w:val="0"/>
      <w:divBdr>
        <w:top w:val="none" w:sz="0" w:space="0" w:color="auto"/>
        <w:left w:val="none" w:sz="0" w:space="0" w:color="auto"/>
        <w:bottom w:val="none" w:sz="0" w:space="0" w:color="auto"/>
        <w:right w:val="none" w:sz="0" w:space="0" w:color="auto"/>
      </w:divBdr>
    </w:div>
    <w:div w:id="1801612991">
      <w:bodyDiv w:val="1"/>
      <w:marLeft w:val="0"/>
      <w:marRight w:val="0"/>
      <w:marTop w:val="0"/>
      <w:marBottom w:val="0"/>
      <w:divBdr>
        <w:top w:val="none" w:sz="0" w:space="0" w:color="auto"/>
        <w:left w:val="none" w:sz="0" w:space="0" w:color="auto"/>
        <w:bottom w:val="none" w:sz="0" w:space="0" w:color="auto"/>
        <w:right w:val="none" w:sz="0" w:space="0" w:color="auto"/>
      </w:divBdr>
    </w:div>
    <w:div w:id="1811942356">
      <w:bodyDiv w:val="1"/>
      <w:marLeft w:val="0"/>
      <w:marRight w:val="0"/>
      <w:marTop w:val="0"/>
      <w:marBottom w:val="0"/>
      <w:divBdr>
        <w:top w:val="none" w:sz="0" w:space="0" w:color="auto"/>
        <w:left w:val="none" w:sz="0" w:space="0" w:color="auto"/>
        <w:bottom w:val="none" w:sz="0" w:space="0" w:color="auto"/>
        <w:right w:val="none" w:sz="0" w:space="0" w:color="auto"/>
      </w:divBdr>
      <w:divsChild>
        <w:div w:id="889147634">
          <w:marLeft w:val="0"/>
          <w:marRight w:val="0"/>
          <w:marTop w:val="0"/>
          <w:marBottom w:val="0"/>
          <w:divBdr>
            <w:top w:val="none" w:sz="0" w:space="0" w:color="auto"/>
            <w:left w:val="none" w:sz="0" w:space="0" w:color="auto"/>
            <w:bottom w:val="none" w:sz="0" w:space="0" w:color="auto"/>
            <w:right w:val="none" w:sz="0" w:space="0" w:color="auto"/>
          </w:divBdr>
          <w:divsChild>
            <w:div w:id="1613320716">
              <w:marLeft w:val="0"/>
              <w:marRight w:val="0"/>
              <w:marTop w:val="0"/>
              <w:marBottom w:val="0"/>
              <w:divBdr>
                <w:top w:val="none" w:sz="0" w:space="0" w:color="auto"/>
                <w:left w:val="none" w:sz="0" w:space="0" w:color="auto"/>
                <w:bottom w:val="none" w:sz="0" w:space="0" w:color="auto"/>
                <w:right w:val="none" w:sz="0" w:space="0" w:color="auto"/>
              </w:divBdr>
              <w:divsChild>
                <w:div w:id="1181354467">
                  <w:marLeft w:val="0"/>
                  <w:marRight w:val="0"/>
                  <w:marTop w:val="0"/>
                  <w:marBottom w:val="0"/>
                  <w:divBdr>
                    <w:top w:val="none" w:sz="0" w:space="0" w:color="auto"/>
                    <w:left w:val="none" w:sz="0" w:space="0" w:color="auto"/>
                    <w:bottom w:val="none" w:sz="0" w:space="0" w:color="auto"/>
                    <w:right w:val="none" w:sz="0" w:space="0" w:color="auto"/>
                  </w:divBdr>
                  <w:divsChild>
                    <w:div w:id="88082451">
                      <w:marLeft w:val="1"/>
                      <w:marRight w:val="1"/>
                      <w:marTop w:val="0"/>
                      <w:marBottom w:val="0"/>
                      <w:divBdr>
                        <w:top w:val="none" w:sz="0" w:space="0" w:color="auto"/>
                        <w:left w:val="none" w:sz="0" w:space="0" w:color="auto"/>
                        <w:bottom w:val="none" w:sz="0" w:space="0" w:color="auto"/>
                        <w:right w:val="none" w:sz="0" w:space="0" w:color="auto"/>
                      </w:divBdr>
                      <w:divsChild>
                        <w:div w:id="228657193">
                          <w:marLeft w:val="0"/>
                          <w:marRight w:val="0"/>
                          <w:marTop w:val="0"/>
                          <w:marBottom w:val="0"/>
                          <w:divBdr>
                            <w:top w:val="none" w:sz="0" w:space="0" w:color="auto"/>
                            <w:left w:val="none" w:sz="0" w:space="0" w:color="auto"/>
                            <w:bottom w:val="none" w:sz="0" w:space="0" w:color="auto"/>
                            <w:right w:val="none" w:sz="0" w:space="0" w:color="auto"/>
                          </w:divBdr>
                          <w:divsChild>
                            <w:div w:id="567349186">
                              <w:marLeft w:val="0"/>
                              <w:marRight w:val="0"/>
                              <w:marTop w:val="0"/>
                              <w:marBottom w:val="360"/>
                              <w:divBdr>
                                <w:top w:val="none" w:sz="0" w:space="0" w:color="auto"/>
                                <w:left w:val="none" w:sz="0" w:space="0" w:color="auto"/>
                                <w:bottom w:val="none" w:sz="0" w:space="0" w:color="auto"/>
                                <w:right w:val="none" w:sz="0" w:space="0" w:color="auto"/>
                              </w:divBdr>
                              <w:divsChild>
                                <w:div w:id="2143230572">
                                  <w:marLeft w:val="0"/>
                                  <w:marRight w:val="0"/>
                                  <w:marTop w:val="0"/>
                                  <w:marBottom w:val="0"/>
                                  <w:divBdr>
                                    <w:top w:val="none" w:sz="0" w:space="0" w:color="auto"/>
                                    <w:left w:val="none" w:sz="0" w:space="0" w:color="auto"/>
                                    <w:bottom w:val="none" w:sz="0" w:space="0" w:color="auto"/>
                                    <w:right w:val="none" w:sz="0" w:space="0" w:color="auto"/>
                                  </w:divBdr>
                                  <w:divsChild>
                                    <w:div w:id="4980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22751">
      <w:bodyDiv w:val="1"/>
      <w:marLeft w:val="0"/>
      <w:marRight w:val="0"/>
      <w:marTop w:val="0"/>
      <w:marBottom w:val="0"/>
      <w:divBdr>
        <w:top w:val="none" w:sz="0" w:space="0" w:color="auto"/>
        <w:left w:val="none" w:sz="0" w:space="0" w:color="auto"/>
        <w:bottom w:val="none" w:sz="0" w:space="0" w:color="auto"/>
        <w:right w:val="none" w:sz="0" w:space="0" w:color="auto"/>
      </w:divBdr>
    </w:div>
    <w:div w:id="2042705804">
      <w:bodyDiv w:val="1"/>
      <w:marLeft w:val="0"/>
      <w:marRight w:val="0"/>
      <w:marTop w:val="0"/>
      <w:marBottom w:val="0"/>
      <w:divBdr>
        <w:top w:val="none" w:sz="0" w:space="0" w:color="auto"/>
        <w:left w:val="none" w:sz="0" w:space="0" w:color="auto"/>
        <w:bottom w:val="none" w:sz="0" w:space="0" w:color="auto"/>
        <w:right w:val="none" w:sz="0" w:space="0" w:color="auto"/>
      </w:divBdr>
    </w:div>
    <w:div w:id="2055737320">
      <w:bodyDiv w:val="1"/>
      <w:marLeft w:val="0"/>
      <w:marRight w:val="0"/>
      <w:marTop w:val="0"/>
      <w:marBottom w:val="0"/>
      <w:divBdr>
        <w:top w:val="none" w:sz="0" w:space="0" w:color="auto"/>
        <w:left w:val="none" w:sz="0" w:space="0" w:color="auto"/>
        <w:bottom w:val="none" w:sz="0" w:space="0" w:color="auto"/>
        <w:right w:val="none" w:sz="0" w:space="0" w:color="auto"/>
      </w:divBdr>
      <w:divsChild>
        <w:div w:id="85079580">
          <w:marLeft w:val="0"/>
          <w:marRight w:val="0"/>
          <w:marTop w:val="0"/>
          <w:marBottom w:val="0"/>
          <w:divBdr>
            <w:top w:val="none" w:sz="0" w:space="0" w:color="auto"/>
            <w:left w:val="none" w:sz="0" w:space="0" w:color="auto"/>
            <w:bottom w:val="none" w:sz="0" w:space="0" w:color="auto"/>
            <w:right w:val="none" w:sz="0" w:space="0" w:color="auto"/>
          </w:divBdr>
          <w:divsChild>
            <w:div w:id="1530491805">
              <w:marLeft w:val="0"/>
              <w:marRight w:val="0"/>
              <w:marTop w:val="0"/>
              <w:marBottom w:val="0"/>
              <w:divBdr>
                <w:top w:val="none" w:sz="0" w:space="0" w:color="auto"/>
                <w:left w:val="none" w:sz="0" w:space="0" w:color="auto"/>
                <w:bottom w:val="none" w:sz="0" w:space="0" w:color="auto"/>
                <w:right w:val="none" w:sz="0" w:space="0" w:color="auto"/>
              </w:divBdr>
              <w:divsChild>
                <w:div w:id="1904638336">
                  <w:marLeft w:val="0"/>
                  <w:marRight w:val="0"/>
                  <w:marTop w:val="0"/>
                  <w:marBottom w:val="0"/>
                  <w:divBdr>
                    <w:top w:val="none" w:sz="0" w:space="0" w:color="auto"/>
                    <w:left w:val="none" w:sz="0" w:space="0" w:color="auto"/>
                    <w:bottom w:val="none" w:sz="0" w:space="0" w:color="auto"/>
                    <w:right w:val="none" w:sz="0" w:space="0" w:color="auto"/>
                  </w:divBdr>
                  <w:divsChild>
                    <w:div w:id="1802191786">
                      <w:marLeft w:val="1"/>
                      <w:marRight w:val="1"/>
                      <w:marTop w:val="0"/>
                      <w:marBottom w:val="0"/>
                      <w:divBdr>
                        <w:top w:val="none" w:sz="0" w:space="0" w:color="auto"/>
                        <w:left w:val="none" w:sz="0" w:space="0" w:color="auto"/>
                        <w:bottom w:val="none" w:sz="0" w:space="0" w:color="auto"/>
                        <w:right w:val="none" w:sz="0" w:space="0" w:color="auto"/>
                      </w:divBdr>
                      <w:divsChild>
                        <w:div w:id="1871264294">
                          <w:marLeft w:val="0"/>
                          <w:marRight w:val="0"/>
                          <w:marTop w:val="0"/>
                          <w:marBottom w:val="0"/>
                          <w:divBdr>
                            <w:top w:val="none" w:sz="0" w:space="0" w:color="auto"/>
                            <w:left w:val="none" w:sz="0" w:space="0" w:color="auto"/>
                            <w:bottom w:val="none" w:sz="0" w:space="0" w:color="auto"/>
                            <w:right w:val="none" w:sz="0" w:space="0" w:color="auto"/>
                          </w:divBdr>
                          <w:divsChild>
                            <w:div w:id="1134131098">
                              <w:marLeft w:val="0"/>
                              <w:marRight w:val="0"/>
                              <w:marTop w:val="0"/>
                              <w:marBottom w:val="360"/>
                              <w:divBdr>
                                <w:top w:val="none" w:sz="0" w:space="0" w:color="auto"/>
                                <w:left w:val="none" w:sz="0" w:space="0" w:color="auto"/>
                                <w:bottom w:val="none" w:sz="0" w:space="0" w:color="auto"/>
                                <w:right w:val="none" w:sz="0" w:space="0" w:color="auto"/>
                              </w:divBdr>
                              <w:divsChild>
                                <w:div w:id="202985366">
                                  <w:marLeft w:val="0"/>
                                  <w:marRight w:val="0"/>
                                  <w:marTop w:val="0"/>
                                  <w:marBottom w:val="0"/>
                                  <w:divBdr>
                                    <w:top w:val="none" w:sz="0" w:space="0" w:color="auto"/>
                                    <w:left w:val="none" w:sz="0" w:space="0" w:color="auto"/>
                                    <w:bottom w:val="none" w:sz="0" w:space="0" w:color="auto"/>
                                    <w:right w:val="none" w:sz="0" w:space="0" w:color="auto"/>
                                  </w:divBdr>
                                  <w:divsChild>
                                    <w:div w:id="174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498596">
      <w:bodyDiv w:val="1"/>
      <w:marLeft w:val="0"/>
      <w:marRight w:val="0"/>
      <w:marTop w:val="0"/>
      <w:marBottom w:val="0"/>
      <w:divBdr>
        <w:top w:val="none" w:sz="0" w:space="0" w:color="auto"/>
        <w:left w:val="none" w:sz="0" w:space="0" w:color="auto"/>
        <w:bottom w:val="none" w:sz="0" w:space="0" w:color="auto"/>
        <w:right w:val="none" w:sz="0" w:space="0" w:color="auto"/>
      </w:divBdr>
    </w:div>
    <w:div w:id="2072538615">
      <w:bodyDiv w:val="1"/>
      <w:marLeft w:val="0"/>
      <w:marRight w:val="0"/>
      <w:marTop w:val="0"/>
      <w:marBottom w:val="0"/>
      <w:divBdr>
        <w:top w:val="none" w:sz="0" w:space="0" w:color="auto"/>
        <w:left w:val="none" w:sz="0" w:space="0" w:color="auto"/>
        <w:bottom w:val="none" w:sz="0" w:space="0" w:color="auto"/>
        <w:right w:val="none" w:sz="0" w:space="0" w:color="auto"/>
      </w:divBdr>
    </w:div>
    <w:div w:id="20905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digitaltvresearch.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eur-lex.europa.eu/legal-content/EN/TXT/?qid=1447773803386&amp;uri=CELEX:52015DC0192"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eurostat/statistics-explained/index.php/EU_citizenship_-_statistics_on_cross-border_activities" TargetMode="External"/><Relationship Id="rId117" Type="http://schemas.openxmlformats.org/officeDocument/2006/relationships/hyperlink" Target="http://www.europe-economics.com/" TargetMode="External"/><Relationship Id="rId21" Type="http://schemas.openxmlformats.org/officeDocument/2006/relationships/hyperlink" Target="http://ec.europa.eu/internal_market/media/docs/elecpay/plum_tns_final_en.pdf" TargetMode="External"/><Relationship Id="rId42" Type="http://schemas.openxmlformats.org/officeDocument/2006/relationships/hyperlink" Target="https://www.pwc.co.uk/assets/pdf/an-economic-analysis-of-education-exceptions-in-copyright.pdf" TargetMode="External"/><Relationship Id="rId47" Type="http://schemas.openxmlformats.org/officeDocument/2006/relationships/hyperlink" Target="https://www.gov.uk/guidance/copyright-licences-information-for-schools" TargetMode="External"/><Relationship Id="rId63" Type="http://schemas.openxmlformats.org/officeDocument/2006/relationships/hyperlink" Target="http://www.slideshare.net/rossmounce/content-mining" TargetMode="External"/><Relationship Id="rId68" Type="http://schemas.openxmlformats.org/officeDocument/2006/relationships/hyperlink" Target="http://europa.eu/rapid/press-release_IP-16-1873_en.htm" TargetMode="External"/><Relationship Id="rId84" Type="http://schemas.openxmlformats.org/officeDocument/2006/relationships/hyperlink" Target="http://www.musicbusinessworldwide.com/youtube-and-google-play-have-paid-out-3bn-to-record-industry/" TargetMode="External"/><Relationship Id="rId89" Type="http://schemas.openxmlformats.org/officeDocument/2006/relationships/hyperlink" Target="http://www.dubset.com/" TargetMode="External"/><Relationship Id="rId112" Type="http://schemas.openxmlformats.org/officeDocument/2006/relationships/hyperlink" Target="https://ec.europa.eu/eusurvey/pdf/answer/6acf2b21-865a-402c-876a-e2b67c0ceef9" TargetMode="External"/><Relationship Id="rId133" Type="http://schemas.openxmlformats.org/officeDocument/2006/relationships/hyperlink" Target="http://ec.europa.eu/internal_market/consultations/2013/copyright-rules/docs/contributions/consultation-report_en.pdf" TargetMode="External"/><Relationship Id="rId138" Type="http://schemas.openxmlformats.org/officeDocument/2006/relationships/hyperlink" Target="https://www.alcs.co.uk/Documents/Final-Report-For-Web-Publication-%282%29.aspx" TargetMode="External"/><Relationship Id="rId154" Type="http://schemas.openxmlformats.org/officeDocument/2006/relationships/hyperlink" Target="http://eur-lex.europa.eu/legal-content/EN/TXT/PDF/?uri=CELEX:52012SC0204&amp;from=EN" TargetMode="External"/><Relationship Id="rId16" Type="http://schemas.openxmlformats.org/officeDocument/2006/relationships/hyperlink" Target="http://www.hans-bredow-institut.de/webfm_send/1110" TargetMode="External"/><Relationship Id="rId107" Type="http://schemas.openxmlformats.org/officeDocument/2006/relationships/hyperlink" Target="https://www.theguardian.com/technology/2015/oct/28/deezer-ipo-music-streaming" TargetMode="External"/><Relationship Id="rId11" Type="http://schemas.openxmlformats.org/officeDocument/2006/relationships/hyperlink" Target="http://ec.europa.eu/internal_market/consultations/2013/copyright-rules/docs/contributions/consultation-report_en.pdf" TargetMode="External"/><Relationship Id="rId32" Type="http://schemas.openxmlformats.org/officeDocument/2006/relationships/hyperlink" Target="http://eur-lex.europa.eu/legal-content/EN/TXT/PDF/?uri=CELEX:52012SC0204&amp;from=EN" TargetMode="External"/><Relationship Id="rId37" Type="http://schemas.openxmlformats.org/officeDocument/2006/relationships/hyperlink" Target="http://www.eua.be/Libraries/Publication/e-learning_survey.sflb.ashx" TargetMode="External"/><Relationship Id="rId53" Type="http://schemas.openxmlformats.org/officeDocument/2006/relationships/hyperlink" Target="http://tdmsupport.crossref.org/" TargetMode="External"/><Relationship Id="rId58" Type="http://schemas.openxmlformats.org/officeDocument/2006/relationships/hyperlink" Target="https://www.jisc.ac.uk/reports/value-and-benefits-of-text-mining" TargetMode="External"/><Relationship Id="rId74" Type="http://schemas.openxmlformats.org/officeDocument/2006/relationships/hyperlink" Target="http://www.bloomberg.com/news/features/2015-07-10/can-soundcloud-be-the-facebook-of-music-" TargetMode="External"/><Relationship Id="rId79" Type="http://schemas.openxmlformats.org/officeDocument/2006/relationships/hyperlink" Target="http://www.dw.com/en/german-battle-over-youtube-royalties-wages-on/a-5951245" TargetMode="External"/><Relationship Id="rId102" Type="http://schemas.openxmlformats.org/officeDocument/2006/relationships/hyperlink" Target="https://www.hadopi.fr/observation/publications/qualification-et-quantification-des-contenus-sur-youtube" TargetMode="External"/><Relationship Id="rId123" Type="http://schemas.openxmlformats.org/officeDocument/2006/relationships/hyperlink" Target="http://www.europeanwriterscouncil.eu/index.php?option=com_content&amp;view=article&amp;id=190:authors-group-issues-declaration-towards-a-modern-more-european-copyright-framework-and-the-necessity-of-fair-contracts-for-creators&amp;catid=7:news&amp;Itemid=159" TargetMode="External"/><Relationship Id="rId128" Type="http://schemas.openxmlformats.org/officeDocument/2006/relationships/hyperlink" Target="http://www.ivir.nl/?lang=en" TargetMode="External"/><Relationship Id="rId144" Type="http://schemas.openxmlformats.org/officeDocument/2006/relationships/hyperlink" Target="http://composeralliance.org/wp-content/uploads/2015/07/CC_declaration.pdf" TargetMode="External"/><Relationship Id="rId149" Type="http://schemas.openxmlformats.org/officeDocument/2006/relationships/hyperlink" Target="http://www.universalmusic.com/universal-music-publishing-group-becomes-first-major-publishing-company-to-unveil-state-of-the-art-on-line-royalty-system/" TargetMode="External"/><Relationship Id="rId5" Type="http://schemas.openxmlformats.org/officeDocument/2006/relationships/hyperlink" Target="https://ec.europa.eu/digital-single-market/en/news/proposal-updated-audiovisual-media-services-directive" TargetMode="External"/><Relationship Id="rId90" Type="http://schemas.openxmlformats.org/officeDocument/2006/relationships/hyperlink" Target="http://chillingeffects.org/" TargetMode="External"/><Relationship Id="rId95" Type="http://schemas.openxmlformats.org/officeDocument/2006/relationships/hyperlink" Target="http://www.forbes.com/sites/lorikozlowski/2012/05/15/how-myspace-spawned-a-startup-ecosystem/" TargetMode="External"/><Relationship Id="rId22" Type="http://schemas.openxmlformats.org/officeDocument/2006/relationships/hyperlink" Target="http://ec.europa.eu/competition/antitrust/ecommerce_swd_en.pdf" TargetMode="External"/><Relationship Id="rId27" Type="http://schemas.openxmlformats.org/officeDocument/2006/relationships/hyperlink" Target="http://ec.europa.eu/internal_market/media/docs/elecpay/plum_tns_final_en.pdf" TargetMode="External"/><Relationship Id="rId43" Type="http://schemas.openxmlformats.org/officeDocument/2006/relationships/hyperlink" Target="http://cadmus.eui.eu/bitstream/handle/1814/19697/LAW_2011_17_Mazziotti.pdf?sequence=1" TargetMode="External"/><Relationship Id="rId48" Type="http://schemas.openxmlformats.org/officeDocument/2006/relationships/hyperlink" Target="https://www.gov.uk/government/uploads/system/uploads/attachment_data/file/308738/ia-exception-dataanalytics.pdf" TargetMode="External"/><Relationship Id="rId64" Type="http://schemas.openxmlformats.org/officeDocument/2006/relationships/hyperlink" Target="http://libereurope.eu/blog/2015/02/23/liber-argues-for-pan-european-tdm-exception/" TargetMode="External"/><Relationship Id="rId69" Type="http://schemas.openxmlformats.org/officeDocument/2006/relationships/hyperlink" Target="http://www.rolandberger.com/gallery/pdf/Report_for_GESAC_Online_Intermediaries_2015_Nov_EUR.pdf" TargetMode="External"/><Relationship Id="rId113" Type="http://schemas.openxmlformats.org/officeDocument/2006/relationships/hyperlink" Target="http://www2.deloitte.com/content/dam/Deloitte/uk/Documents/technology-media-telecommunications/deloitte-uk-impact-of-web-traffic-on-newspaper-revenues-2016.pdf" TargetMode="External"/><Relationship Id="rId118" Type="http://schemas.openxmlformats.org/officeDocument/2006/relationships/hyperlink" Target="https://www.mediaspecs.be/files/upload/file/etude-d-impact-licences-fr.pdf" TargetMode="External"/><Relationship Id="rId134" Type="http://schemas.openxmlformats.org/officeDocument/2006/relationships/hyperlink" Target="http://www.alcs.co.uk/Resources/Research" TargetMode="External"/><Relationship Id="rId139" Type="http://schemas.openxmlformats.org/officeDocument/2006/relationships/hyperlink" Target="http://www.saa-authors.eu/dbfiles/mfile/7500/7566/SAA_White_Paper_2015.pdf" TargetMode="External"/><Relationship Id="rId80" Type="http://schemas.openxmlformats.org/officeDocument/2006/relationships/hyperlink" Target="https://ec.europa.eu/eusurvey/pdf/answer/6b37d157-1c33-44f8-893e-af86b3c96aa1" TargetMode="External"/><Relationship Id="rId85" Type="http://schemas.openxmlformats.org/officeDocument/2006/relationships/hyperlink" Target="https://www.regulations.gov/document?D=COLC-2015-0013-90111" TargetMode="External"/><Relationship Id="rId150" Type="http://schemas.openxmlformats.org/officeDocument/2006/relationships/hyperlink" Target="http://www.musicbusinessworldwide.com/sony-develops-app-for-artists-which-shows-real-time-streaming-earnings/" TargetMode="External"/><Relationship Id="rId155" Type="http://schemas.openxmlformats.org/officeDocument/2006/relationships/hyperlink" Target="http://www.publishers.org.uk/EasySiteWeb/GatewayLink.aspx?alId=20291" TargetMode="External"/><Relationship Id="rId12" Type="http://schemas.openxmlformats.org/officeDocument/2006/relationships/hyperlink" Target="https://ec.europa.eu/digital-single-market/en/news/full-report-public-consultation-review-eu-satellite-and-cable-directive" TargetMode="External"/><Relationship Id="rId17" Type="http://schemas.openxmlformats.org/officeDocument/2006/relationships/hyperlink" Target="http://webarchive.nationalarchives.gov.uk/20140603093549/http://www.ipo.gov.uk/ipreview-c4e-sub-bbc.pdf" TargetMode="External"/><Relationship Id="rId25" Type="http://schemas.openxmlformats.org/officeDocument/2006/relationships/hyperlink" Target="http://ec.europa.eu/internal_market/media/docs/elecpay/plum_tns_final_en.pdf" TargetMode="External"/><Relationship Id="rId33" Type="http://schemas.openxmlformats.org/officeDocument/2006/relationships/hyperlink" Target="http://www.lemediateurducinema.fr/Mediateur/Includes/Pdf/rapport_2014.pdf" TargetMode="External"/><Relationship Id="rId38" Type="http://schemas.openxmlformats.org/officeDocument/2006/relationships/hyperlink" Target="http://www.communia-association.org/policy-papers/leveraging-copyright-in-support-of-education/" TargetMode="External"/><Relationship Id="rId46" Type="http://schemas.openxmlformats.org/officeDocument/2006/relationships/hyperlink" Target="http://cultura.elpais.com/cultura/2016/03/15/actualidad/1458066248_393225.html" TargetMode="External"/><Relationship Id="rId59" Type="http://schemas.openxmlformats.org/officeDocument/2006/relationships/hyperlink" Target="http://www.legislation.gov.uk/uksi/2014/1372/contents/made" TargetMode="External"/><Relationship Id="rId67" Type="http://schemas.openxmlformats.org/officeDocument/2006/relationships/hyperlink" Target="http://www.legislation.gov.uk/ukia/2014/157/pdfs/ukia_20140157_en.pdf" TargetMode="External"/><Relationship Id="rId103" Type="http://schemas.openxmlformats.org/officeDocument/2006/relationships/hyperlink" Target="https://www.hadopi.fr/actualites/actualites/qualification-et-quantification-des-contenus-sur-dailymotion" TargetMode="External"/><Relationship Id="rId108" Type="http://schemas.openxmlformats.org/officeDocument/2006/relationships/hyperlink" Target="http://www.musicbusinessworldwide.com/another-streaming-service-fails-ipo-guvera-move-blocked/" TargetMode="External"/><Relationship Id="rId116" Type="http://schemas.openxmlformats.org/officeDocument/2006/relationships/hyperlink" Target="http://www.ivir.nl/?lang=en" TargetMode="External"/><Relationship Id="rId124" Type="http://schemas.openxmlformats.org/officeDocument/2006/relationships/hyperlink" Target="http://www.payingartists.org.uk/wp-content/uploads/2015/05/Paying-Artists-Campaign-Pack_web.pdf" TargetMode="External"/><Relationship Id="rId129" Type="http://schemas.openxmlformats.org/officeDocument/2006/relationships/hyperlink" Target="http://www.europe-economics.com/" TargetMode="External"/><Relationship Id="rId137" Type="http://schemas.openxmlformats.org/officeDocument/2006/relationships/hyperlink" Target="http://composeralliance.org/wp-content/uploads/2016/06/Information-Note-on-unfair-contracts-for-President-Martin-Schulz.pdf" TargetMode="External"/><Relationship Id="rId20" Type="http://schemas.openxmlformats.org/officeDocument/2006/relationships/hyperlink" Target="http://ec.europa.eu/competition/antitrust/cases/dec_docs/40023/40023_842_3.pdf" TargetMode="External"/><Relationship Id="rId41" Type="http://schemas.openxmlformats.org/officeDocument/2006/relationships/hyperlink" Target="https://en.wikipedia.org/wiki/Publishers_Licensing_Society" TargetMode="External"/><Relationship Id="rId54" Type="http://schemas.openxmlformats.org/officeDocument/2006/relationships/hyperlink" Target="https://www.elsevier.com/about/company-information/policies/text-and-data-mining" TargetMode="External"/><Relationship Id="rId62" Type="http://schemas.openxmlformats.org/officeDocument/2006/relationships/hyperlink" Target="http://ec.europa.eu/internal_market/copyright/docs/studies/140623-limitations-economic-impacts-study_en.pdf" TargetMode="External"/><Relationship Id="rId70" Type="http://schemas.openxmlformats.org/officeDocument/2006/relationships/hyperlink" Target="https://www.youtube.com/yt/press/statistics.html" TargetMode="External"/><Relationship Id="rId75" Type="http://schemas.openxmlformats.org/officeDocument/2006/relationships/hyperlink" Target="http://venturebeat.com/2015/09/16/pinterest-finally-shares-its-size-100m-monthly-active-users-and-counting/" TargetMode="External"/><Relationship Id="rId83" Type="http://schemas.openxmlformats.org/officeDocument/2006/relationships/hyperlink" Target="http://youtubecreator.blogspot.be/2016/04/setting-record-straight.html" TargetMode="External"/><Relationship Id="rId88" Type="http://schemas.openxmlformats.org/officeDocument/2006/relationships/hyperlink" Target="http://googlepolicyeurope.blogspot.be/2016/07/continuing-to-create-value-while.html" TargetMode="External"/><Relationship Id="rId91" Type="http://schemas.openxmlformats.org/officeDocument/2006/relationships/hyperlink" Target="http://www.culturecommunication.gouv.fr/var/culture/storage/culture_mag/rapport_lescure/index.htm" TargetMode="External"/><Relationship Id="rId96" Type="http://schemas.openxmlformats.org/officeDocument/2006/relationships/hyperlink" Target="http://www.musicbusinessworldwide.com/youtube-is-paying-less-than-0-0009-per-stream-to-uk-record-labels/" TargetMode="External"/><Relationship Id="rId111" Type="http://schemas.openxmlformats.org/officeDocument/2006/relationships/hyperlink" Target="https://www.audiblemagic.com/copyright-compliance-pricing/" TargetMode="External"/><Relationship Id="rId132" Type="http://schemas.openxmlformats.org/officeDocument/2006/relationships/hyperlink" Target="file:///H:\copyright\literature\1504%20The%20business%20of%20being%20an%20author_Queen%20Mary%20survey.pdf" TargetMode="External"/><Relationship Id="rId140" Type="http://schemas.openxmlformats.org/officeDocument/2006/relationships/hyperlink" Target="http://www.fair-internet.eu/" TargetMode="External"/><Relationship Id="rId145" Type="http://schemas.openxmlformats.org/officeDocument/2006/relationships/hyperlink" Target="http://www.europeanwriterscouncil.eu/index.php?option=com_content&amp;view=article&amp;id=190:authors-group-issues-declaration-towards-a-modern-more-european-copyright-framework-and-the-necessity-of-fair-contracts-for-creators&amp;catid=7:news&amp;Itemid=159" TargetMode="External"/><Relationship Id="rId153" Type="http://schemas.openxmlformats.org/officeDocument/2006/relationships/hyperlink" Target="http://composeralliance.org/wp-content/uploads/2015/07/CC_declaration.pdf" TargetMode="External"/><Relationship Id="rId1" Type="http://schemas.openxmlformats.org/officeDocument/2006/relationships/hyperlink" Target="http://www.wipo.int" TargetMode="External"/><Relationship Id="rId6" Type="http://schemas.openxmlformats.org/officeDocument/2006/relationships/hyperlink" Target="http://ec.europa.eu/DocsRoom/documents/16742" TargetMode="External"/><Relationship Id="rId15" Type="http://schemas.openxmlformats.org/officeDocument/2006/relationships/hyperlink" Target="http://informitv.com/2015/06/18/young-people-still-watch-television/" TargetMode="External"/><Relationship Id="rId23" Type="http://schemas.openxmlformats.org/officeDocument/2006/relationships/hyperlink" Target="http://ec.europa.eu/public_opinion/archives/ebs/ebs_386_en.pdf" TargetMode="External"/><Relationship Id="rId28" Type="http://schemas.openxmlformats.org/officeDocument/2006/relationships/hyperlink" Target="http://ec.europa.eu/competition/antitrust/ecommerce_swd_en.pdf" TargetMode="External"/><Relationship Id="rId36" Type="http://schemas.openxmlformats.org/officeDocument/2006/relationships/hyperlink" Target="https://medium.com/copyright-untangled/5-outrageous-things-educators-can-t-do-because-of-copyright-ac447dcc6e09" TargetMode="External"/><Relationship Id="rId49" Type="http://schemas.openxmlformats.org/officeDocument/2006/relationships/hyperlink" Target="http://www.publishingresearchconsortium.com" TargetMode="External"/><Relationship Id="rId57" Type="http://schemas.openxmlformats.org/officeDocument/2006/relationships/hyperlink" Target="http://rue89.nouvelobs.com/sites/news/files/assets/document/2014/11/marche_elsevier.pdf" TargetMode="External"/><Relationship Id="rId106" Type="http://schemas.openxmlformats.org/officeDocument/2006/relationships/hyperlink" Target="http://www.ft.com/cms/s/0/2c310ae8-fbc2-11e5-8e04-8600cef2ca75.html" TargetMode="External"/><Relationship Id="rId114" Type="http://schemas.openxmlformats.org/officeDocument/2006/relationships/hyperlink" Target="http://www.digitalnewsreport.org/" TargetMode="External"/><Relationship Id="rId119" Type="http://schemas.openxmlformats.org/officeDocument/2006/relationships/hyperlink" Target="https://www.linkedin.com/pulse/lib%C3%A9ration-facebooks-instant-articles-xavier-grangier" TargetMode="External"/><Relationship Id="rId127" Type="http://schemas.openxmlformats.org/officeDocument/2006/relationships/hyperlink" Target="https://ec.europa.eu/digital-single-market/en/news/commission-gathers-evidence-remuneration-authors-and-performers-use-their-works-and-fixations" TargetMode="External"/><Relationship Id="rId10" Type="http://schemas.openxmlformats.org/officeDocument/2006/relationships/hyperlink" Target="http://ec.europa.eu/COMMFrontOffice/PublicOpinion/index.cfm/Survey/getSurveyDetail/instruments/FLASH/surveyKy/2059" TargetMode="External"/><Relationship Id="rId31" Type="http://schemas.openxmlformats.org/officeDocument/2006/relationships/hyperlink" Target="https://ec.europa.eu/digital-single-market/en/list-eu-audiovisual-regulators" TargetMode="External"/><Relationship Id="rId44" Type="http://schemas.openxmlformats.org/officeDocument/2006/relationships/hyperlink" Target="http://www.pwc.co.uk/en_UK/uk/assets/pdf/an-economic-analysis-of-education-exceptions-in-copyright.pdf" TargetMode="External"/><Relationship Id="rId52" Type="http://schemas.openxmlformats.org/officeDocument/2006/relationships/hyperlink" Target="http://ec.europa.eu/internal_market/copyright/docs/licences-for-europe/131113_ten-pledges_en.pdf" TargetMode="External"/><Relationship Id="rId60" Type="http://schemas.openxmlformats.org/officeDocument/2006/relationships/hyperlink" Target="http://arxiv.org/ftp/arxiv/papers/1402/1402.4578.pdf" TargetMode="External"/><Relationship Id="rId65" Type="http://schemas.openxmlformats.org/officeDocument/2006/relationships/hyperlink" Target="http://ec.europa.eu/research/innovation-union/pdf/TDM-report_from_the_expert_group-042014.pdf" TargetMode="External"/><Relationship Id="rId73" Type="http://schemas.openxmlformats.org/officeDocument/2006/relationships/hyperlink" Target="http://iac.com/brand/vimeo" TargetMode="External"/><Relationship Id="rId78" Type="http://schemas.openxmlformats.org/officeDocument/2006/relationships/hyperlink" Target="http://www.musicbusinessworldwide.com/revealed-the-186-artists-protesting-against-youtube-shielding-dmca-laws/" TargetMode="External"/><Relationship Id="rId81" Type="http://schemas.openxmlformats.org/officeDocument/2006/relationships/hyperlink" Target="http://themmf.net/digitaldollar/" TargetMode="External"/><Relationship Id="rId86" Type="http://schemas.openxmlformats.org/officeDocument/2006/relationships/hyperlink" Target="https://www.theguardian.com/music/musicblog/2016/apr/28/youtube-no-other-platform-gives-as-much-money-back-to-creators" TargetMode="External"/><Relationship Id="rId94" Type="http://schemas.openxmlformats.org/officeDocument/2006/relationships/hyperlink" Target="http://youtubecreator.blogspot.be/2016/04/setting-record-straight.html" TargetMode="External"/><Relationship Id="rId99" Type="http://schemas.openxmlformats.org/officeDocument/2006/relationships/hyperlink" Target="http://www.musicbusinessworldwide.com/soundcloud-signs-legal-settlement-with-prs-in-time-for-christmas/" TargetMode="External"/><Relationship Id="rId101" Type="http://schemas.openxmlformats.org/officeDocument/2006/relationships/hyperlink" Target="http://www.theguardian.com/technology/2015/jun/04/soundcloud-signs-licensing-deal-independent-labels" TargetMode="External"/><Relationship Id="rId122" Type="http://schemas.openxmlformats.org/officeDocument/2006/relationships/hyperlink" Target="http://composeralliance.org/wp-content/uploads/2015/07/CC_declaration.pdf" TargetMode="External"/><Relationship Id="rId130" Type="http://schemas.openxmlformats.org/officeDocument/2006/relationships/hyperlink" Target="http://data.consilium.europa.eu/doc/document/ST-9526-2016-INIT/en/pdf" TargetMode="External"/><Relationship Id="rId135" Type="http://schemas.openxmlformats.org/officeDocument/2006/relationships/hyperlink" Target="http://books.openedition.org/deps/440" TargetMode="External"/><Relationship Id="rId143" Type="http://schemas.openxmlformats.org/officeDocument/2006/relationships/hyperlink" Target="http://www.publishers.org.uk/about-us/information/informal-dispute-settlements/" TargetMode="External"/><Relationship Id="rId148" Type="http://schemas.openxmlformats.org/officeDocument/2006/relationships/hyperlink" Target="http://www.dramatiker.dk/spillefilmsoverenskomst.html" TargetMode="External"/><Relationship Id="rId151" Type="http://schemas.openxmlformats.org/officeDocument/2006/relationships/hyperlink" Target="http://www.kobaltmusic.com/page-services-label-services.php" TargetMode="External"/><Relationship Id="rId156" Type="http://schemas.openxmlformats.org/officeDocument/2006/relationships/hyperlink" Target="http://www.wipo.int/amc/en/calculator/adr.jsp" TargetMode="External"/><Relationship Id="rId4" Type="http://schemas.openxmlformats.org/officeDocument/2006/relationships/hyperlink" Target="http://ec.europa.eu/priorities/digital-single-market/docs/dsm-communication_en.pdf" TargetMode="External"/><Relationship Id="rId9" Type="http://schemas.openxmlformats.org/officeDocument/2006/relationships/hyperlink" Target="http://europa.eu/rapid/press-release_IP-15-5204_en.htm" TargetMode="External"/><Relationship Id="rId13" Type="http://schemas.openxmlformats.org/officeDocument/2006/relationships/hyperlink" Target="http://www.pwc.com/gx/en/industries/entertainment-media/outlook/segment-insights/tv-advertising.html" TargetMode="External"/><Relationship Id="rId18" Type="http://schemas.openxmlformats.org/officeDocument/2006/relationships/hyperlink" Target="http://www.ebu.ch/files/live/sites/ebu/files/News/2014/04/Recommendation%20for%20the%20Licensing%20of%20Broadcast-related%20online%20activities.pdf" TargetMode="External"/><Relationship Id="rId39" Type="http://schemas.openxmlformats.org/officeDocument/2006/relationships/hyperlink" Target="https://en.wikipedia.org/wiki/Nonprofit_organization" TargetMode="External"/><Relationship Id="rId109" Type="http://schemas.openxmlformats.org/officeDocument/2006/relationships/hyperlink" Target="http://www.hollywoodreporter.com/thr-esq/rdio-was-losing-2-million-840977" TargetMode="External"/><Relationship Id="rId34" Type="http://schemas.openxmlformats.org/officeDocument/2006/relationships/hyperlink" Target="http://ec.europa.eu/internal_market/copyright/docs/copyright-infso/20110920-mou_en.pdf" TargetMode="External"/><Relationship Id="rId50" Type="http://schemas.openxmlformats.org/officeDocument/2006/relationships/hyperlink" Target="http://www.publishingresearchconsortium.com" TargetMode="External"/><Relationship Id="rId55" Type="http://schemas.openxmlformats.org/officeDocument/2006/relationships/hyperlink" Target="https://www.springer.com/gp/rights-permissions/springer-s-text-and-data-mining-policy/29056?token=prtst0416p" TargetMode="External"/><Relationship Id="rId76" Type="http://schemas.openxmlformats.org/officeDocument/2006/relationships/hyperlink" Target="ttp://www.bloomberg.com/news/articles/2015-05-27/a-bank-of-america-analysis-says-youtube-is-worth-more-than-85-percent-of-companies-in-the-s-p-500,%20http://www.musicbusinessworldwide.com/youtube-will-earn-9bn-in-revenue-this-year-towering-over-spotify/." TargetMode="External"/><Relationship Id="rId97" Type="http://schemas.openxmlformats.org/officeDocument/2006/relationships/hyperlink" Target="http://nypost.com/2015/03/18/free-streaming-is-smallest-slice-of-music-revenue-pie/" TargetMode="External"/><Relationship Id="rId104" Type="http://schemas.openxmlformats.org/officeDocument/2006/relationships/hyperlink" Target="http://www.ft.com/intl/cms/s/0/37dcc5fc-0ca3-11e6-ad80-67655613c2d6.html" TargetMode="External"/><Relationship Id="rId120" Type="http://schemas.openxmlformats.org/officeDocument/2006/relationships/hyperlink" Target="http://www.vgwort.de/fileadmin/pdf/geschaeftsberichte/Geschaeftsbericht_2013.pdf" TargetMode="External"/><Relationship Id="rId125" Type="http://schemas.openxmlformats.org/officeDocument/2006/relationships/hyperlink" Target="http://www.fairtermsforcreators.org/" TargetMode="External"/><Relationship Id="rId141" Type="http://schemas.openxmlformats.org/officeDocument/2006/relationships/hyperlink" Target="http://ec.europa.eu/internal_market/consultations/2013/copyright-rules/docs/contributions/consultation-report_en.pdf" TargetMode="External"/><Relationship Id="rId146" Type="http://schemas.openxmlformats.org/officeDocument/2006/relationships/hyperlink" Target="http://winformusic.org/declarationhomepage/fair-digital-deals-pledge/" TargetMode="External"/><Relationship Id="rId7" Type="http://schemas.openxmlformats.org/officeDocument/2006/relationships/hyperlink" Target="https://ec.europa.eu/digital-single-market/en/news/communication-online-platforms-and-digital-single-market-opportunities-and-challenges-europe" TargetMode="External"/><Relationship Id="rId71" Type="http://schemas.openxmlformats.org/officeDocument/2006/relationships/hyperlink" Target="http://www.statisticbrain.com/youtube-statistics/" TargetMode="External"/><Relationship Id="rId92" Type="http://schemas.openxmlformats.org/officeDocument/2006/relationships/hyperlink" Target="http://www.learlab.com/wp-content/uploads/2016/09/Report-Mediaset_EN_03_06_16.pdf" TargetMode="External"/><Relationship Id="rId2" Type="http://schemas.openxmlformats.org/officeDocument/2006/relationships/hyperlink" Target="http://www.wipo.int/treaties/en/ip/wct/" TargetMode="External"/><Relationship Id="rId29" Type="http://schemas.openxmlformats.org/officeDocument/2006/relationships/hyperlink" Target="http://www.broadbandtvnews.com/2016/04/12/iptv-overtakes-pay-satellite-tv-in-western-europe/" TargetMode="External"/><Relationship Id="rId24" Type="http://schemas.openxmlformats.org/officeDocument/2006/relationships/hyperlink" Target="http://ec.europa.eu/public_opinion/archives/ebs/ebs_386_en.pdf" TargetMode="External"/><Relationship Id="rId40" Type="http://schemas.openxmlformats.org/officeDocument/2006/relationships/hyperlink" Target="https://en.wikipedia.org/wiki/Authors%E2%80%99_Licensing_and_Collecting_Society" TargetMode="External"/><Relationship Id="rId45" Type="http://schemas.openxmlformats.org/officeDocument/2006/relationships/hyperlink" Target="http://www.pwc.co.uk/en_UK/uk/assets/pdf/an-economic-analysis-of-education-exceptions-in-copyright.pdf" TargetMode="External"/><Relationship Id="rId66" Type="http://schemas.openxmlformats.org/officeDocument/2006/relationships/hyperlink" Target="http://thekeepers.org" TargetMode="External"/><Relationship Id="rId87" Type="http://schemas.openxmlformats.org/officeDocument/2006/relationships/hyperlink" Target="http://www.ft.com/intl/cms/s/0/0e2abaa2-f58d-11e5-96db-fc683b5e52db.html" TargetMode="External"/><Relationship Id="rId110" Type="http://schemas.openxmlformats.org/officeDocument/2006/relationships/hyperlink" Target="https://www.regulations.gov/" TargetMode="External"/><Relationship Id="rId115" Type="http://schemas.openxmlformats.org/officeDocument/2006/relationships/hyperlink" Target="http://www.ifrro.org/sites/default/files/levies_2014_online.pdf" TargetMode="External"/><Relationship Id="rId131" Type="http://schemas.openxmlformats.org/officeDocument/2006/relationships/hyperlink" Target="http://www.musicaustria.at/sites/default/files/emo_report_european_repertoire.pdf" TargetMode="External"/><Relationship Id="rId136" Type="http://schemas.openxmlformats.org/officeDocument/2006/relationships/hyperlink" Target="http://www.europeanwriterscouncil.eu/index.php?option=com_content&amp;view=article&amp;id=190:authors-group-issues-declaration-towards-a-modern-more-european-copyright-framework-and-the-necessity-of-fair-contracts-for-creators&amp;catid=7:news&amp;Itemid=159" TargetMode="External"/><Relationship Id="rId61" Type="http://schemas.openxmlformats.org/officeDocument/2006/relationships/hyperlink" Target="http://www.otmedia.fr" TargetMode="External"/><Relationship Id="rId82" Type="http://schemas.openxmlformats.org/officeDocument/2006/relationships/hyperlink" Target="http://www.theguardian.com/music/musicblog/2016/apr/28/youtube-no-other-platform-gives-as-much-money-back-to-creators" TargetMode="External"/><Relationship Id="rId152" Type="http://schemas.openxmlformats.org/officeDocument/2006/relationships/hyperlink" Target="https://euipo.europa.eu/tunnel-web/secure/webdav/guest/document_library/observatory/documents/IPContributionStudy/25-11-2013/european_public_opinion_study_web.pdf" TargetMode="External"/><Relationship Id="rId19" Type="http://schemas.openxmlformats.org/officeDocument/2006/relationships/hyperlink" Target="http://webarchive.nationalarchives.gov.uk/20140603093549/http://www.ipo.gov.uk/ipreview-c4e-sub-bbc.pdf" TargetMode="External"/><Relationship Id="rId14" Type="http://schemas.openxmlformats.org/officeDocument/2006/relationships/hyperlink" Target="http://ec.europa.eu/COMMFrontOffice/PublicOpinion/index.cfm/Survey/getSurveyDetail/yearFrom/1973/yearTo/2014/surveyKy/2041" TargetMode="External"/><Relationship Id="rId30" Type="http://schemas.openxmlformats.org/officeDocument/2006/relationships/hyperlink" Target="http://files.shareholder.com/downloads/NFLX/2441659654x0x656145/e4410bd8-e5d4-4d31-ad79-84c36c49f77c/IROverviewHomePageLetter_4.24.13_pdf.pdf" TargetMode="External"/><Relationship Id="rId35" Type="http://schemas.openxmlformats.org/officeDocument/2006/relationships/hyperlink" Target="http://bookshop.europa.eu/en/assessment-of-the-impact-of-the-european-copyright-framework-on-digitally-supported-education-and-training-practices-pbNC0115883/" TargetMode="External"/><Relationship Id="rId56" Type="http://schemas.openxmlformats.org/officeDocument/2006/relationships/hyperlink" Target="http://olabout.wiley.com/WileyCDA/Section/id-826542.html" TargetMode="External"/><Relationship Id="rId77" Type="http://schemas.openxmlformats.org/officeDocument/2006/relationships/hyperlink" Target="http://expandedramblings.com/index.php/pinterest-stats/" TargetMode="External"/><Relationship Id="rId100" Type="http://schemas.openxmlformats.org/officeDocument/2006/relationships/hyperlink" Target="http://www.cnet.com/how-to/youtube-red-details/" TargetMode="External"/><Relationship Id="rId105" Type="http://schemas.openxmlformats.org/officeDocument/2006/relationships/hyperlink" Target="http://www.mediaset.es/inversores/en/GoogleYouTube-Mediaset-Espana-collaborative-agreement_MDSFIL20151021_0005.pdf" TargetMode="External"/><Relationship Id="rId126" Type="http://schemas.openxmlformats.org/officeDocument/2006/relationships/hyperlink" Target="http://ec.europa.eu/internal_market/consultations/2013/copyright-rules/docs/contributions/consultation-report_en.pdf" TargetMode="External"/><Relationship Id="rId147" Type="http://schemas.openxmlformats.org/officeDocument/2006/relationships/hyperlink" Target="http://www.authorsocieties.eu/mediaroom/download/154/attachement/ebu-ecsa-gesac-icmp-recommendation-for-the-licensing-of-broadcast-relate....pdf" TargetMode="External"/><Relationship Id="rId8" Type="http://schemas.openxmlformats.org/officeDocument/2006/relationships/hyperlink" Target="http://ec.europa.eu/internal_market/copyright/docs/studies/1403_study1_en.pdf" TargetMode="External"/><Relationship Id="rId51" Type="http://schemas.openxmlformats.org/officeDocument/2006/relationships/hyperlink" Target="http://www.stm-assoc.org/2013_11_11_Text_and_Data_Mining_Declaration.pdf" TargetMode="External"/><Relationship Id="rId72" Type="http://schemas.openxmlformats.org/officeDocument/2006/relationships/hyperlink" Target="http://www.dailymotion.com/be-fr/about" TargetMode="External"/><Relationship Id="rId93" Type="http://schemas.openxmlformats.org/officeDocument/2006/relationships/hyperlink" Target="http://www.digitalmusicnews.com/permalink/2014/05/22/19-indie-label-organizations-speak-youtube" TargetMode="External"/><Relationship Id="rId98" Type="http://schemas.openxmlformats.org/officeDocument/2006/relationships/hyperlink" Target="http://nypost.com/2016/03/22/record-labels-slam-youtube-ad-supported-streaming-services/" TargetMode="External"/><Relationship Id="rId121" Type="http://schemas.openxmlformats.org/officeDocument/2006/relationships/hyperlink" Target="http://www.vgwort.de/fileadmin/pdf/geschaeftsberichte/entwurf-final-ende-R.pdf" TargetMode="External"/><Relationship Id="rId142" Type="http://schemas.openxmlformats.org/officeDocument/2006/relationships/hyperlink" Target="http://www.ipmc.nl/en/new-copyright-contract-law" TargetMode="External"/><Relationship Id="rId3" Type="http://schemas.openxmlformats.org/officeDocument/2006/relationships/hyperlink" Target="http://www.wipo.int/treaties/en/ip/wpp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000">
                <a:solidFill>
                  <a:srgbClr val="0070C0"/>
                </a:solidFill>
                <a:latin typeface="Verdana"/>
              </a:defRPr>
            </a:pPr>
            <a:r>
              <a:rPr lang="en-US" sz="1000">
                <a:solidFill>
                  <a:srgbClr val="0070C0"/>
                </a:solidFill>
                <a:latin typeface="Verdana"/>
              </a:rPr>
              <a:t>EU 28</a:t>
            </a:r>
            <a:r>
              <a:rPr lang="en-US" sz="1000" baseline="0">
                <a:solidFill>
                  <a:srgbClr val="0070C0"/>
                </a:solidFill>
                <a:latin typeface="Verdana"/>
              </a:rPr>
              <a:t> Countries*</a:t>
            </a:r>
            <a:r>
              <a:rPr lang="en-US" sz="1000">
                <a:solidFill>
                  <a:srgbClr val="0070C0"/>
                </a:solidFill>
                <a:latin typeface="Verdana"/>
              </a:rPr>
              <a:t/>
            </a:r>
            <a:br>
              <a:rPr lang="en-US" sz="1000">
                <a:solidFill>
                  <a:srgbClr val="0070C0"/>
                </a:solidFill>
                <a:latin typeface="Verdana"/>
              </a:rPr>
            </a:br>
            <a:r>
              <a:rPr lang="en-US" sz="1000">
                <a:solidFill>
                  <a:srgbClr val="0070C0"/>
                </a:solidFill>
                <a:latin typeface="Verdana"/>
              </a:rPr>
              <a:t>% Television</a:t>
            </a:r>
            <a:r>
              <a:rPr lang="en-US" sz="1000" baseline="0">
                <a:solidFill>
                  <a:srgbClr val="0070C0"/>
                </a:solidFill>
                <a:latin typeface="Verdana"/>
              </a:rPr>
              <a:t> Homes</a:t>
            </a:r>
            <a:endParaRPr lang="en-US" sz="1000">
              <a:solidFill>
                <a:srgbClr val="0070C0"/>
              </a:solidFill>
              <a:latin typeface="Verdana"/>
            </a:endParaRPr>
          </a:p>
        </c:rich>
      </c:tx>
      <c:overlay val="0"/>
    </c:title>
    <c:autoTitleDeleted val="0"/>
    <c:plotArea>
      <c:layout/>
      <c:barChart>
        <c:barDir val="col"/>
        <c:grouping val="stacked"/>
        <c:varyColors val="0"/>
        <c:ser>
          <c:idx val="0"/>
          <c:order val="0"/>
          <c:tx>
            <c:strRef>
              <c:f>Sheet1!$A$2</c:f>
              <c:strCache>
                <c:ptCount val="1"/>
                <c:pt idx="0">
                  <c:v>Satellite</c:v>
                </c:pt>
              </c:strCache>
            </c:strRef>
          </c:tx>
          <c:spPr>
            <a:solidFill>
              <a:srgbClr val="0070C0"/>
            </a:solidFill>
            <a:ln w="6350">
              <a:solidFill>
                <a:srgbClr val="0070C0"/>
              </a:solidFill>
              <a:miter lim="800000"/>
            </a:ln>
          </c:spPr>
          <c:invertIfNegative val="0"/>
          <c:cat>
            <c:strRef>
              <c:f>Sheet1!$B$1:$L$1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Sheet1!$B$2:$L$2</c:f>
              <c:numCache>
                <c:formatCode>0.00%</c:formatCode>
                <c:ptCount val="11"/>
                <c:pt idx="0">
                  <c:v>0.17816481603198181</c:v>
                </c:pt>
                <c:pt idx="1">
                  <c:v>0.17811528889863137</c:v>
                </c:pt>
                <c:pt idx="2">
                  <c:v>0.17777024790625165</c:v>
                </c:pt>
                <c:pt idx="3">
                  <c:v>0.17547566533582742</c:v>
                </c:pt>
                <c:pt idx="4">
                  <c:v>0.17643897799695121</c:v>
                </c:pt>
                <c:pt idx="5">
                  <c:v>0.17708255378825319</c:v>
                </c:pt>
                <c:pt idx="6">
                  <c:v>0.17816587266566483</c:v>
                </c:pt>
                <c:pt idx="7">
                  <c:v>0.17884048363453153</c:v>
                </c:pt>
                <c:pt idx="8">
                  <c:v>0.17941268005954919</c:v>
                </c:pt>
                <c:pt idx="9">
                  <c:v>0.17976874804348775</c:v>
                </c:pt>
                <c:pt idx="10">
                  <c:v>0.18010884740046099</c:v>
                </c:pt>
              </c:numCache>
            </c:numRef>
          </c:val>
        </c:ser>
        <c:ser>
          <c:idx val="1"/>
          <c:order val="1"/>
          <c:tx>
            <c:strRef>
              <c:f>Sheet1!$A$3</c:f>
              <c:strCache>
                <c:ptCount val="1"/>
                <c:pt idx="0">
                  <c:v>Digital Cable</c:v>
                </c:pt>
              </c:strCache>
            </c:strRef>
          </c:tx>
          <c:spPr>
            <a:solidFill>
              <a:srgbClr val="338CCC"/>
            </a:solidFill>
            <a:ln w="6350">
              <a:solidFill>
                <a:srgbClr val="0070C0"/>
              </a:solidFill>
            </a:ln>
          </c:spPr>
          <c:invertIfNegative val="0"/>
          <c:cat>
            <c:strRef>
              <c:f>Sheet1!$B$1:$L$1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Sheet1!$B$3:$L$3</c:f>
              <c:numCache>
                <c:formatCode>0.00%</c:formatCode>
                <c:ptCount val="11"/>
                <c:pt idx="0">
                  <c:v>0.11687834873955456</c:v>
                </c:pt>
                <c:pt idx="1">
                  <c:v>0.13929018468423357</c:v>
                </c:pt>
                <c:pt idx="2">
                  <c:v>0.15437844085261743</c:v>
                </c:pt>
                <c:pt idx="3">
                  <c:v>0.16731683309261583</c:v>
                </c:pt>
                <c:pt idx="4">
                  <c:v>0.17555749635810222</c:v>
                </c:pt>
                <c:pt idx="5">
                  <c:v>0.18705493535035306</c:v>
                </c:pt>
                <c:pt idx="6">
                  <c:v>0.20014549166220405</c:v>
                </c:pt>
                <c:pt idx="7">
                  <c:v>0.21416305877234512</c:v>
                </c:pt>
                <c:pt idx="8">
                  <c:v>0.22843316181857029</c:v>
                </c:pt>
                <c:pt idx="9">
                  <c:v>0.23641524889647939</c:v>
                </c:pt>
                <c:pt idx="10">
                  <c:v>0.23928303646926682</c:v>
                </c:pt>
              </c:numCache>
            </c:numRef>
          </c:val>
        </c:ser>
        <c:ser>
          <c:idx val="2"/>
          <c:order val="2"/>
          <c:tx>
            <c:strRef>
              <c:f>Sheet1!$A$4</c:f>
              <c:strCache>
                <c:ptCount val="1"/>
                <c:pt idx="0">
                  <c:v>Analogue Cable</c:v>
                </c:pt>
              </c:strCache>
            </c:strRef>
          </c:tx>
          <c:spPr>
            <a:solidFill>
              <a:srgbClr val="7FB7DF"/>
            </a:solidFill>
            <a:ln w="6350">
              <a:solidFill>
                <a:sysClr val="window" lastClr="FFFFFF">
                  <a:lumMod val="50000"/>
                </a:sysClr>
              </a:solidFill>
            </a:ln>
          </c:spPr>
          <c:invertIfNegative val="0"/>
          <c:cat>
            <c:strRef>
              <c:f>Sheet1!$B$1:$L$1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Sheet1!$B$4:$L$4</c:f>
              <c:numCache>
                <c:formatCode>0.00%</c:formatCode>
                <c:ptCount val="11"/>
                <c:pt idx="0">
                  <c:v>0.16413798823246686</c:v>
                </c:pt>
                <c:pt idx="1">
                  <c:v>0.13549855551882112</c:v>
                </c:pt>
                <c:pt idx="2">
                  <c:v>0.11612802111340548</c:v>
                </c:pt>
                <c:pt idx="3">
                  <c:v>9.7986746955914764E-2</c:v>
                </c:pt>
                <c:pt idx="4">
                  <c:v>8.6181788186274172E-2</c:v>
                </c:pt>
                <c:pt idx="5">
                  <c:v>7.0538303013947257E-2</c:v>
                </c:pt>
                <c:pt idx="6">
                  <c:v>5.3403692850357523E-2</c:v>
                </c:pt>
                <c:pt idx="7">
                  <c:v>3.6146992077190639E-2</c:v>
                </c:pt>
                <c:pt idx="8">
                  <c:v>1.931857818754994E-2</c:v>
                </c:pt>
                <c:pt idx="9">
                  <c:v>9.6583133198933878E-3</c:v>
                </c:pt>
                <c:pt idx="10">
                  <c:v>5.4937067424163802E-3</c:v>
                </c:pt>
              </c:numCache>
            </c:numRef>
          </c:val>
        </c:ser>
        <c:ser>
          <c:idx val="3"/>
          <c:order val="3"/>
          <c:tx>
            <c:strRef>
              <c:f>Sheet1!$A$5</c:f>
              <c:strCache>
                <c:ptCount val="1"/>
                <c:pt idx="0">
                  <c:v>IPTV</c:v>
                </c:pt>
              </c:strCache>
            </c:strRef>
          </c:tx>
          <c:spPr>
            <a:solidFill>
              <a:srgbClr val="B2D4EC"/>
            </a:solidFill>
            <a:ln w="6350">
              <a:solidFill>
                <a:srgbClr val="0070C0"/>
              </a:solidFill>
            </a:ln>
          </c:spPr>
          <c:invertIfNegative val="0"/>
          <c:cat>
            <c:strRef>
              <c:f>Sheet1!$B$1:$L$1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Sheet1!$B$5:$L$5</c:f>
              <c:numCache>
                <c:formatCode>0.00%</c:formatCode>
                <c:ptCount val="11"/>
                <c:pt idx="0">
                  <c:v>6.1709073038530848E-2</c:v>
                </c:pt>
                <c:pt idx="1">
                  <c:v>7.3977414167587199E-2</c:v>
                </c:pt>
                <c:pt idx="2">
                  <c:v>8.5814203569074002E-2</c:v>
                </c:pt>
                <c:pt idx="3">
                  <c:v>9.8684923422081683E-2</c:v>
                </c:pt>
                <c:pt idx="4">
                  <c:v>0.11677581739441754</c:v>
                </c:pt>
                <c:pt idx="5">
                  <c:v>0.13045295280763267</c:v>
                </c:pt>
                <c:pt idx="6">
                  <c:v>0.14098675842422553</c:v>
                </c:pt>
                <c:pt idx="7">
                  <c:v>0.1476756269686699</c:v>
                </c:pt>
                <c:pt idx="8">
                  <c:v>0.15247851654956779</c:v>
                </c:pt>
                <c:pt idx="9">
                  <c:v>0.15631279824857044</c:v>
                </c:pt>
                <c:pt idx="10">
                  <c:v>0.15941481060732168</c:v>
                </c:pt>
              </c:numCache>
            </c:numRef>
          </c:val>
        </c:ser>
        <c:dLbls>
          <c:showLegendKey val="0"/>
          <c:showVal val="0"/>
          <c:showCatName val="0"/>
          <c:showSerName val="0"/>
          <c:showPercent val="0"/>
          <c:showBubbleSize val="0"/>
        </c:dLbls>
        <c:gapWidth val="50"/>
        <c:overlap val="100"/>
        <c:axId val="262621056"/>
        <c:axId val="262622592"/>
      </c:barChart>
      <c:catAx>
        <c:axId val="262621056"/>
        <c:scaling>
          <c:orientation val="minMax"/>
        </c:scaling>
        <c:delete val="0"/>
        <c:axPos val="b"/>
        <c:numFmt formatCode="General" sourceLinked="0"/>
        <c:majorTickMark val="none"/>
        <c:minorTickMark val="none"/>
        <c:tickLblPos val="nextTo"/>
        <c:spPr>
          <a:ln>
            <a:noFill/>
          </a:ln>
        </c:spPr>
        <c:txPr>
          <a:bodyPr/>
          <a:lstStyle/>
          <a:p>
            <a:pPr>
              <a:defRPr sz="800">
                <a:latin typeface="Verdana"/>
                <a:cs typeface="Verdana"/>
              </a:defRPr>
            </a:pPr>
            <a:endParaRPr lang="en-US"/>
          </a:p>
        </c:txPr>
        <c:crossAx val="262622592"/>
        <c:crosses val="autoZero"/>
        <c:auto val="1"/>
        <c:lblAlgn val="ctr"/>
        <c:lblOffset val="100"/>
        <c:noMultiLvlLbl val="0"/>
      </c:catAx>
      <c:valAx>
        <c:axId val="262622592"/>
        <c:scaling>
          <c:orientation val="minMax"/>
          <c:max val="0.6"/>
        </c:scaling>
        <c:delete val="0"/>
        <c:axPos val="l"/>
        <c:majorGridlines>
          <c:spPr>
            <a:ln w="6350">
              <a:solidFill>
                <a:sysClr val="window" lastClr="FFFFFF">
                  <a:lumMod val="75000"/>
                </a:sysClr>
              </a:solidFill>
            </a:ln>
          </c:spPr>
        </c:majorGridlines>
        <c:numFmt formatCode="0%" sourceLinked="0"/>
        <c:majorTickMark val="out"/>
        <c:minorTickMark val="none"/>
        <c:tickLblPos val="nextTo"/>
        <c:spPr>
          <a:ln w="6350">
            <a:solidFill>
              <a:sysClr val="window" lastClr="FFFFFF">
                <a:lumMod val="75000"/>
              </a:sysClr>
            </a:solidFill>
          </a:ln>
        </c:spPr>
        <c:txPr>
          <a:bodyPr/>
          <a:lstStyle/>
          <a:p>
            <a:pPr>
              <a:defRPr sz="800">
                <a:latin typeface="Verdana"/>
                <a:cs typeface="Verdana"/>
              </a:defRPr>
            </a:pPr>
            <a:endParaRPr lang="en-US"/>
          </a:p>
        </c:txPr>
        <c:crossAx val="262621056"/>
        <c:crossesAt val="1"/>
        <c:crossBetween val="between"/>
      </c:valAx>
    </c:plotArea>
    <c:legend>
      <c:legendPos val="b"/>
      <c:overlay val="0"/>
      <c:txPr>
        <a:bodyPr/>
        <a:lstStyle/>
        <a:p>
          <a:pPr>
            <a:defRPr sz="800">
              <a:latin typeface="Verdana"/>
              <a:cs typeface="Verdana"/>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1AE0-E28E-4E74-90EC-DD4DE3E3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84317</Words>
  <Characters>468807</Characters>
  <Application>Microsoft Office Word</Application>
  <DocSecurity>0</DocSecurity>
  <Lines>8845</Lines>
  <Paragraphs>2314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CHALARD Emmanuelle (MARKT)</dc:creator>
  <cp:lastModifiedBy>PAGANELI Erifili (SG)</cp:lastModifiedBy>
  <cp:revision>3</cp:revision>
  <cp:lastPrinted>2016-09-08T16:09:00Z</cp:lastPrinted>
  <dcterms:created xsi:type="dcterms:W3CDTF">2016-09-14T07:04:00Z</dcterms:created>
  <dcterms:modified xsi:type="dcterms:W3CDTF">2016-09-14T07:12:00Z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3</vt:lpwstr>
  </property>
  <property fmtid="{D5CDD505-2E9C-101B-9397-08002B2CF9AE}" pid="4" name="DocStatus">
    <vt:lpwstr>Green</vt:lpwstr>
  </property>
  <property fmtid="{D5CDD505-2E9C-101B-9397-08002B2CF9AE}" pid="5" name="Classification">
    <vt:lpwstr> </vt:lpwstr>
  </property>
</Properties>
</file>