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71EA91C843B4DA5B39DE7F533248343"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26"/>
        </w:sectPr>
      </w:pPr>
    </w:p>
    <w:p>
      <w:pPr>
        <w:pStyle w:val="TOCHeading"/>
        <w:rPr>
          <w:noProof/>
        </w:rPr>
      </w:pPr>
      <w:bookmarkStart w:id="1" w:name="_GoBack"/>
      <w:bookmarkEnd w:id="1"/>
      <w:r>
        <w:rPr>
          <w:noProof/>
        </w:rPr>
        <w:lastRenderedPageBreak/>
        <w:t>СЪДЪРЖАНИЕ</w:t>
      </w:r>
    </w:p>
    <w:bookmarkStart w:id="2" w:name="_Toc322938549"/>
    <w:p>
      <w:pPr>
        <w:pStyle w:val="TOC1"/>
        <w:rPr>
          <w:rFonts w:ascii="Calibri" w:hAnsi="Calibr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59130263" w:history="1">
        <w:r>
          <w:rPr>
            <w:rStyle w:val="Hyperlink"/>
            <w:noProof/>
          </w:rPr>
          <w:t>1.</w:t>
        </w:r>
        <w:r>
          <w:rPr>
            <w:rFonts w:ascii="Calibri" w:hAnsi="Calibri"/>
            <w:noProof/>
            <w:sz w:val="22"/>
            <w:szCs w:val="22"/>
            <w:lang w:val="en-GB" w:eastAsia="en-GB" w:bidi="ar-SA"/>
          </w:rPr>
          <w:tab/>
        </w:r>
        <w:r>
          <w:rPr>
            <w:rStyle w:val="Hyperlink"/>
            <w:noProof/>
          </w:rPr>
          <w:t>БЮДЖЕТНА ПРОЦЕДУРА</w:t>
        </w:r>
        <w:r>
          <w:rPr>
            <w:noProof/>
            <w:webHidden/>
          </w:rPr>
          <w:tab/>
        </w:r>
        <w:r>
          <w:rPr>
            <w:noProof/>
            <w:webHidden/>
          </w:rPr>
          <w:fldChar w:fldCharType="begin"/>
        </w:r>
        <w:r>
          <w:rPr>
            <w:noProof/>
            <w:webHidden/>
          </w:rPr>
          <w:instrText xml:space="preserve"> PAGEREF _Toc459130263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noProof/>
          <w:sz w:val="22"/>
          <w:szCs w:val="22"/>
          <w:lang w:val="en-GB" w:eastAsia="en-GB" w:bidi="ar-SA"/>
        </w:rPr>
      </w:pPr>
      <w:hyperlink w:anchor="_Toc459130264" w:history="1">
        <w:r>
          <w:rPr>
            <w:rStyle w:val="Hyperlink"/>
            <w:noProof/>
          </w:rPr>
          <w:t>2.</w:t>
        </w:r>
        <w:r>
          <w:rPr>
            <w:rFonts w:ascii="Calibri" w:hAnsi="Calibri"/>
            <w:noProof/>
            <w:sz w:val="22"/>
            <w:szCs w:val="22"/>
            <w:lang w:val="en-GB" w:eastAsia="en-GB" w:bidi="ar-SA"/>
          </w:rPr>
          <w:tab/>
        </w:r>
        <w:r>
          <w:rPr>
            <w:rStyle w:val="Hyperlink"/>
            <w:noProof/>
          </w:rPr>
          <w:t>КАСОВА ПОЗИЦИЯ И УПРАВЛЕНИЕ НА БЮДЖЕТНИТЕ КРЕДИТИ</w:t>
        </w:r>
        <w:r>
          <w:rPr>
            <w:noProof/>
            <w:webHidden/>
          </w:rPr>
          <w:tab/>
        </w:r>
        <w:r>
          <w:rPr>
            <w:noProof/>
            <w:webHidden/>
          </w:rPr>
          <w:fldChar w:fldCharType="begin"/>
        </w:r>
        <w:r>
          <w:rPr>
            <w:noProof/>
            <w:webHidden/>
          </w:rPr>
          <w:instrText xml:space="preserve"> PAGEREF _Toc459130264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Calibri" w:hAnsi="Calibri"/>
          <w:noProof/>
          <w:sz w:val="22"/>
          <w:szCs w:val="22"/>
          <w:lang w:val="en-GB" w:eastAsia="en-GB" w:bidi="ar-SA"/>
        </w:rPr>
      </w:pPr>
      <w:hyperlink w:anchor="_Toc459130265" w:history="1">
        <w:r>
          <w:rPr>
            <w:rStyle w:val="Hyperlink"/>
            <w:noProof/>
          </w:rPr>
          <w:t>3.</w:t>
        </w:r>
        <w:r>
          <w:rPr>
            <w:rFonts w:ascii="Calibri" w:hAnsi="Calibri"/>
            <w:noProof/>
            <w:sz w:val="22"/>
            <w:szCs w:val="22"/>
            <w:lang w:val="en-GB" w:eastAsia="en-GB" w:bidi="ar-SA"/>
          </w:rPr>
          <w:tab/>
        </w:r>
        <w:r>
          <w:rPr>
            <w:rStyle w:val="Hyperlink"/>
            <w:noProof/>
          </w:rPr>
          <w:t>ИЗПЪЛНЕНИЕ НА БЮДЖЕТА НА ЕФГЗ ЗА 2015 г.</w:t>
        </w:r>
        <w:r>
          <w:rPr>
            <w:noProof/>
            <w:webHidden/>
          </w:rPr>
          <w:tab/>
        </w:r>
        <w:r>
          <w:rPr>
            <w:noProof/>
            <w:webHidden/>
          </w:rPr>
          <w:fldChar w:fldCharType="begin"/>
        </w:r>
        <w:r>
          <w:rPr>
            <w:noProof/>
            <w:webHidden/>
          </w:rPr>
          <w:instrText xml:space="preserve"> PAGEREF _Toc459130265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Calibri" w:hAnsi="Calibri"/>
          <w:noProof/>
          <w:sz w:val="22"/>
          <w:szCs w:val="22"/>
          <w:lang w:val="en-GB" w:eastAsia="en-GB" w:bidi="ar-SA"/>
        </w:rPr>
      </w:pPr>
      <w:hyperlink w:anchor="_Toc459130266" w:history="1">
        <w:r>
          <w:rPr>
            <w:rStyle w:val="Hyperlink"/>
            <w:noProof/>
          </w:rPr>
          <w:t>4.</w:t>
        </w:r>
        <w:r>
          <w:rPr>
            <w:rFonts w:ascii="Calibri" w:hAnsi="Calibri"/>
            <w:noProof/>
            <w:sz w:val="22"/>
            <w:szCs w:val="22"/>
            <w:lang w:val="en-GB" w:eastAsia="en-GB" w:bidi="ar-SA"/>
          </w:rPr>
          <w:tab/>
        </w:r>
        <w:r>
          <w:rPr>
            <w:rStyle w:val="Hyperlink"/>
            <w:noProof/>
          </w:rPr>
          <w:t>КОМЕНТАРИ ОТНОСНО ИЗПЪЛНЕНИЕТО НА БЮДЖЕТА НА ЕФГЗ ЗА 2015 г.</w:t>
        </w:r>
        <w:r>
          <w:rPr>
            <w:noProof/>
            <w:webHidden/>
          </w:rPr>
          <w:tab/>
        </w:r>
        <w:r>
          <w:rPr>
            <w:noProof/>
            <w:webHidden/>
          </w:rPr>
          <w:fldChar w:fldCharType="begin"/>
        </w:r>
        <w:r>
          <w:rPr>
            <w:noProof/>
            <w:webHidden/>
          </w:rPr>
          <w:instrText xml:space="preserve"> PAGEREF _Toc459130266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Calibri" w:hAnsi="Calibri"/>
          <w:noProof/>
          <w:sz w:val="22"/>
          <w:szCs w:val="22"/>
          <w:lang w:val="en-GB" w:eastAsia="en-GB" w:bidi="ar-SA"/>
        </w:rPr>
      </w:pPr>
      <w:hyperlink w:anchor="_Toc459130267" w:history="1">
        <w:r>
          <w:rPr>
            <w:rStyle w:val="Hyperlink"/>
            <w:noProof/>
          </w:rPr>
          <w:t>5.</w:t>
        </w:r>
        <w:r>
          <w:rPr>
            <w:rFonts w:ascii="Calibri" w:hAnsi="Calibri"/>
            <w:noProof/>
            <w:sz w:val="22"/>
            <w:szCs w:val="22"/>
            <w:lang w:val="en-GB" w:eastAsia="en-GB" w:bidi="ar-SA"/>
          </w:rPr>
          <w:tab/>
        </w:r>
        <w:r>
          <w:rPr>
            <w:rStyle w:val="Hyperlink"/>
            <w:noProof/>
          </w:rPr>
          <w:t>ИЗПЪЛНЕНИЕ НА ЦЕЛЕВИТЕ ПРИХОДИ</w:t>
        </w:r>
        <w:r>
          <w:rPr>
            <w:noProof/>
            <w:webHidden/>
          </w:rPr>
          <w:tab/>
        </w:r>
        <w:r>
          <w:rPr>
            <w:noProof/>
            <w:webHidden/>
          </w:rPr>
          <w:fldChar w:fldCharType="begin"/>
        </w:r>
        <w:r>
          <w:rPr>
            <w:noProof/>
            <w:webHidden/>
          </w:rPr>
          <w:instrText xml:space="preserve"> PAGEREF _Toc459130267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Calibri" w:hAnsi="Calibri"/>
          <w:noProof/>
          <w:sz w:val="22"/>
          <w:szCs w:val="22"/>
          <w:lang w:val="en-GB" w:eastAsia="en-GB" w:bidi="ar-SA"/>
        </w:rPr>
      </w:pPr>
      <w:hyperlink w:anchor="_Toc459130268" w:history="1">
        <w:r>
          <w:rPr>
            <w:rStyle w:val="Hyperlink"/>
            <w:noProof/>
          </w:rPr>
          <w:t>6.</w:t>
        </w:r>
        <w:r>
          <w:rPr>
            <w:rFonts w:ascii="Calibri" w:hAnsi="Calibri"/>
            <w:noProof/>
            <w:sz w:val="22"/>
            <w:szCs w:val="22"/>
            <w:lang w:val="en-GB" w:eastAsia="en-GB" w:bidi="ar-SA"/>
          </w:rPr>
          <w:tab/>
        </w:r>
        <w:r>
          <w:rPr>
            <w:rStyle w:val="Hyperlink"/>
            <w:noProof/>
          </w:rPr>
          <w:t>РАЗПРЕДЕЛЕНИЕ ПО ВИДОВЕ РАЗХОДИ</w:t>
        </w:r>
        <w:r>
          <w:rPr>
            <w:noProof/>
            <w:webHidden/>
          </w:rPr>
          <w:tab/>
        </w:r>
        <w:r>
          <w:rPr>
            <w:noProof/>
            <w:webHidden/>
          </w:rPr>
          <w:fldChar w:fldCharType="begin"/>
        </w:r>
        <w:r>
          <w:rPr>
            <w:noProof/>
            <w:webHidden/>
          </w:rPr>
          <w:instrText xml:space="preserve"> PAGEREF _Toc459130268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Calibri" w:hAnsi="Calibri"/>
          <w:noProof/>
          <w:sz w:val="22"/>
          <w:szCs w:val="22"/>
        </w:rPr>
      </w:pPr>
      <w:r>
        <w:rPr>
          <w:noProof/>
        </w:rPr>
        <w:fldChar w:fldCharType="end"/>
      </w:r>
    </w:p>
    <w:tbl>
      <w:tblPr>
        <w:tblW w:w="9338" w:type="dxa"/>
        <w:tblInd w:w="108" w:type="dxa"/>
        <w:tblLook w:val="01E0" w:firstRow="1" w:lastRow="1" w:firstColumn="1" w:lastColumn="1" w:noHBand="0" w:noVBand="0"/>
      </w:tblPr>
      <w:tblGrid>
        <w:gridCol w:w="1418"/>
        <w:gridCol w:w="7920"/>
      </w:tblGrid>
      <w:tr>
        <w:tc>
          <w:tcPr>
            <w:tcW w:w="1418" w:type="dxa"/>
          </w:tcPr>
          <w:p>
            <w:pPr>
              <w:spacing w:after="0"/>
              <w:ind w:left="-108"/>
              <w:rPr>
                <w:smallCaps/>
                <w:noProof/>
                <w:sz w:val="20"/>
              </w:rPr>
            </w:pPr>
            <w:r>
              <w:rPr>
                <w:smallCaps/>
                <w:noProof/>
                <w:sz w:val="20"/>
              </w:rPr>
              <w:t>Приложение 1</w:t>
            </w:r>
          </w:p>
          <w:p>
            <w:pPr>
              <w:spacing w:before="60" w:after="0"/>
              <w:ind w:left="-108"/>
              <w:rPr>
                <w:smallCaps/>
                <w:noProof/>
                <w:sz w:val="20"/>
              </w:rPr>
            </w:pPr>
            <w:r>
              <w:rPr>
                <w:smallCaps/>
                <w:noProof/>
                <w:sz w:val="20"/>
              </w:rPr>
              <w:t>Приложение 2</w:t>
            </w:r>
          </w:p>
          <w:p>
            <w:pPr>
              <w:spacing w:before="60" w:after="0"/>
              <w:ind w:left="-108"/>
              <w:rPr>
                <w:smallCaps/>
                <w:noProof/>
                <w:sz w:val="20"/>
              </w:rPr>
            </w:pPr>
            <w:r>
              <w:rPr>
                <w:smallCaps/>
                <w:noProof/>
                <w:sz w:val="20"/>
              </w:rPr>
              <w:t>Приложение 3</w:t>
            </w:r>
          </w:p>
          <w:p>
            <w:pPr>
              <w:spacing w:before="60" w:after="0"/>
              <w:ind w:left="-108"/>
              <w:rPr>
                <w:smallCaps/>
                <w:noProof/>
                <w:sz w:val="20"/>
              </w:rPr>
            </w:pPr>
            <w:r>
              <w:rPr>
                <w:smallCaps/>
                <w:noProof/>
                <w:sz w:val="20"/>
              </w:rPr>
              <w:t>Приложение 4-I</w:t>
            </w:r>
          </w:p>
          <w:p>
            <w:pPr>
              <w:spacing w:before="60" w:after="0"/>
              <w:ind w:left="-108"/>
              <w:rPr>
                <w:smallCaps/>
                <w:noProof/>
                <w:sz w:val="20"/>
              </w:rPr>
            </w:pPr>
            <w:r>
              <w:rPr>
                <w:smallCaps/>
                <w:noProof/>
                <w:sz w:val="20"/>
              </w:rPr>
              <w:t>Приложение 4-II</w:t>
            </w:r>
          </w:p>
          <w:p>
            <w:pPr>
              <w:spacing w:before="60" w:after="0"/>
              <w:ind w:left="-108"/>
              <w:rPr>
                <w:smallCaps/>
                <w:noProof/>
                <w:sz w:val="20"/>
              </w:rPr>
            </w:pPr>
            <w:r>
              <w:rPr>
                <w:smallCaps/>
                <w:noProof/>
                <w:sz w:val="20"/>
              </w:rPr>
              <w:t>Приложение 5</w:t>
            </w:r>
          </w:p>
          <w:p>
            <w:pPr>
              <w:spacing w:before="60" w:after="0"/>
              <w:ind w:left="-108"/>
              <w:rPr>
                <w:noProof/>
              </w:rPr>
            </w:pPr>
            <w:r>
              <w:rPr>
                <w:smallCaps/>
                <w:noProof/>
                <w:sz w:val="20"/>
              </w:rPr>
              <w:t>Приложение 6</w:t>
            </w:r>
          </w:p>
        </w:tc>
        <w:tc>
          <w:tcPr>
            <w:tcW w:w="7920" w:type="dxa"/>
          </w:tcPr>
          <w:p>
            <w:pPr>
              <w:spacing w:after="0"/>
              <w:ind w:left="-227" w:firstLine="108"/>
              <w:rPr>
                <w:smallCaps/>
                <w:noProof/>
                <w:sz w:val="20"/>
              </w:rPr>
            </w:pPr>
            <w:r>
              <w:rPr>
                <w:smallCaps/>
                <w:noProof/>
                <w:sz w:val="20"/>
              </w:rPr>
              <w:t>Бюджетна процедура за 2015 г. — Бюджетни кредити по линия на ЕФГЗ</w:t>
            </w:r>
          </w:p>
          <w:p>
            <w:pPr>
              <w:spacing w:before="60" w:after="0"/>
              <w:ind w:left="-227" w:firstLine="108"/>
              <w:rPr>
                <w:smallCaps/>
                <w:noProof/>
                <w:sz w:val="20"/>
              </w:rPr>
            </w:pPr>
            <w:r>
              <w:rPr>
                <w:smallCaps/>
                <w:noProof/>
                <w:sz w:val="20"/>
              </w:rPr>
              <w:t>Дял на бюджета на ЕФГЗ в бюджета на ЕС за периода 2009—2015 г.</w:t>
            </w:r>
          </w:p>
          <w:p>
            <w:pPr>
              <w:spacing w:before="60" w:after="0"/>
              <w:ind w:left="-227" w:firstLine="108"/>
              <w:rPr>
                <w:smallCaps/>
                <w:noProof/>
                <w:sz w:val="20"/>
              </w:rPr>
            </w:pPr>
            <w:r>
              <w:rPr>
                <w:smallCaps/>
                <w:noProof/>
                <w:sz w:val="20"/>
              </w:rPr>
              <w:t>Анализ на изпълнението на бюджета на ЕФГЗ — 2015 бюджетна година</w:t>
            </w:r>
          </w:p>
          <w:p>
            <w:pPr>
              <w:spacing w:before="60" w:after="0"/>
              <w:ind w:left="-227" w:firstLine="108"/>
              <w:rPr>
                <w:smallCaps/>
                <w:noProof/>
                <w:sz w:val="20"/>
              </w:rPr>
            </w:pPr>
            <w:r>
              <w:rPr>
                <w:smallCaps/>
                <w:noProof/>
                <w:sz w:val="20"/>
              </w:rPr>
              <w:t xml:space="preserve">Анализ на изпълнението на бюджета на ЕФГЗ — 2015 бюджетна година. Целеви приходи. C4 </w:t>
            </w:r>
          </w:p>
          <w:p>
            <w:pPr>
              <w:spacing w:before="60" w:after="0"/>
              <w:ind w:left="-227" w:firstLine="108"/>
              <w:rPr>
                <w:smallCaps/>
                <w:noProof/>
                <w:sz w:val="20"/>
              </w:rPr>
            </w:pPr>
            <w:r>
              <w:rPr>
                <w:smallCaps/>
                <w:noProof/>
                <w:sz w:val="20"/>
              </w:rPr>
              <w:t>Анализ на изпълнението на бюджета на ЕФГЗ — 2015 бюджетна година. Целеви приходи. C5</w:t>
            </w:r>
          </w:p>
          <w:p>
            <w:pPr>
              <w:spacing w:before="60" w:after="0"/>
              <w:ind w:left="-227" w:firstLine="108"/>
              <w:rPr>
                <w:smallCaps/>
                <w:noProof/>
                <w:sz w:val="20"/>
              </w:rPr>
            </w:pPr>
            <w:r>
              <w:rPr>
                <w:smallCaps/>
                <w:noProof/>
                <w:sz w:val="20"/>
              </w:rPr>
              <w:t>Изпълнение на бюджета на ЕФГЗ по статии и държави членки — 2015 бюджетна година</w:t>
            </w:r>
          </w:p>
          <w:p>
            <w:pPr>
              <w:spacing w:before="60"/>
              <w:ind w:left="-227" w:firstLine="108"/>
              <w:rPr>
                <w:noProof/>
              </w:rPr>
            </w:pPr>
            <w:r>
              <w:rPr>
                <w:smallCaps/>
                <w:noProof/>
                <w:sz w:val="20"/>
              </w:rPr>
              <w:t>Динамика на разпределението на разходите на ЕФГЗ — бюджетни години 2009—2015</w:t>
            </w:r>
          </w:p>
        </w:tc>
      </w:tr>
      <w:tr>
        <w:tc>
          <w:tcPr>
            <w:tcW w:w="9338" w:type="dxa"/>
            <w:gridSpan w:val="2"/>
          </w:tcPr>
          <w:p>
            <w:pPr>
              <w:ind w:left="-108"/>
              <w:rPr>
                <w:smallCaps/>
                <w:noProof/>
                <w:sz w:val="20"/>
              </w:rPr>
            </w:pPr>
            <w:r>
              <w:rPr>
                <w:i/>
                <w:noProof/>
                <w:u w:val="single"/>
              </w:rPr>
              <w:t>Забележка</w:t>
            </w:r>
            <w:r>
              <w:rPr>
                <w:noProof/>
              </w:rPr>
              <w:t>:</w:t>
            </w:r>
            <w:r>
              <w:rPr>
                <w:i/>
                <w:noProof/>
              </w:rPr>
              <w:t xml:space="preserve"> Настоящият доклад е придружен от подробен работен документ на службите на Комисията. Пълният текст на този работен документ (на английски език) и приложените таблици (на английски език) ще бъдат публикувани и на уебсайта на ГД „Земеделие и развитие на селските райони“ в интернет портала „Европа“ (http://ec.europa.eu/agriculture/cap-funding/financial-reports/eagf/index_en.htm).</w:t>
            </w:r>
          </w:p>
        </w:tc>
      </w:tr>
    </w:tbl>
    <w:p>
      <w:pPr>
        <w:rPr>
          <w:b/>
          <w:noProof/>
          <w:color w:val="FF0000"/>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06" w:right="1389" w:bottom="1077" w:left="1389" w:header="240" w:footer="120" w:gutter="0"/>
          <w:pgNumType w:start="2"/>
          <w:cols w:space="720"/>
          <w:docGrid w:linePitch="326"/>
        </w:sectPr>
      </w:pPr>
      <w:r>
        <w:rPr>
          <w:b/>
          <w:smallCaps/>
          <w:noProof/>
          <w:color w:val="FF0000"/>
          <w:sz w:val="20"/>
        </w:rPr>
        <w:t xml:space="preserve"> </w:t>
      </w:r>
    </w:p>
    <w:p>
      <w:pPr>
        <w:pStyle w:val="ManualHeading1"/>
        <w:rPr>
          <w:noProof/>
          <w:vertAlign w:val="superscript"/>
        </w:rPr>
      </w:pPr>
      <w:bookmarkStart w:id="3" w:name="_Toc322938550"/>
      <w:bookmarkStart w:id="4" w:name="_Toc358122330"/>
      <w:bookmarkStart w:id="5" w:name="_Toc456683857"/>
      <w:bookmarkStart w:id="6" w:name="_Toc459130263"/>
      <w:bookmarkEnd w:id="2"/>
      <w:r>
        <w:t>1.</w:t>
      </w:r>
      <w:r>
        <w:tab/>
      </w:r>
      <w:r>
        <w:rPr>
          <w:noProof/>
        </w:rPr>
        <w:t>БЮДЖЕТНА ПРОЦЕДУРА</w:t>
      </w:r>
      <w:bookmarkEnd w:id="3"/>
      <w:r>
        <w:rPr>
          <w:rStyle w:val="FootnoteReference"/>
          <w:noProof/>
        </w:rPr>
        <w:footnoteReference w:id="1"/>
      </w:r>
      <w:bookmarkEnd w:id="4"/>
      <w:bookmarkEnd w:id="5"/>
      <w:bookmarkEnd w:id="6"/>
    </w:p>
    <w:p>
      <w:pPr>
        <w:pStyle w:val="ManualHeading2"/>
        <w:rPr>
          <w:noProof/>
        </w:rPr>
      </w:pPr>
      <w:bookmarkStart w:id="7" w:name="_Toc322938552"/>
      <w:bookmarkStart w:id="8" w:name="_Toc358122331"/>
      <w:r>
        <w:t>1.1.</w:t>
      </w:r>
      <w:r>
        <w:tab/>
      </w:r>
      <w:r>
        <w:rPr>
          <w:noProof/>
        </w:rPr>
        <w:t>Първоначален проектобюджет за 2015 г. и писмо за внасяне на корекции № 1/2015</w:t>
      </w:r>
    </w:p>
    <w:p>
      <w:pPr>
        <w:pStyle w:val="Text1"/>
        <w:rPr>
          <w:noProof/>
        </w:rPr>
      </w:pPr>
      <w:r>
        <w:rPr>
          <w:noProof/>
        </w:rPr>
        <w:t>Първоначалният проектобюджет за 2015 г. бе приет от Комисията и предложен на бюджетния орган на 24 юни 2014 г. Предложените бюджетни кредити за поети задължения за Европейския фонд за гарантиране на земеделието (ЕФГЗ) по функция 2 от многогодишната финансова рамка за 2014—2020 г. възлязоха на 43 903,8 млн. евро.</w:t>
      </w:r>
    </w:p>
    <w:p>
      <w:pPr>
        <w:pStyle w:val="Text1"/>
        <w:rPr>
          <w:noProof/>
        </w:rPr>
      </w:pPr>
      <w:r>
        <w:rPr>
          <w:noProof/>
        </w:rPr>
        <w:t xml:space="preserve">Съветът прие позиция относно първоначалния проектобюджет за 2015 г. на 2 септември 2014 г., като намали бюджетните кредити за поети задължения за ЕФГЗ с 48,5 млн. евро. Европейският парламент прие позиция на 22 октомври 2014 г., като увеличи бюджетните кредити за поети задължения за ЕФГЗ с 41 млн. евро. </w:t>
      </w:r>
    </w:p>
    <w:p>
      <w:pPr>
        <w:pStyle w:val="Text1"/>
        <w:rPr>
          <w:noProof/>
        </w:rPr>
      </w:pPr>
      <w:r>
        <w:rPr>
          <w:noProof/>
        </w:rPr>
        <w:t>На 15 октомври 2014 г. Комисията прие писмо № 1 за внасяне на корекции в проектобюджета за 2015 г., като намали поисканите бюджетни кредити за поети задължения за ЕФГЗ с 448 млн. евро в сравнение с първоначалния проектобюджет.</w:t>
      </w:r>
    </w:p>
    <w:bookmarkEnd w:id="7"/>
    <w:bookmarkEnd w:id="8"/>
    <w:p>
      <w:pPr>
        <w:pStyle w:val="ManualHeading2"/>
        <w:rPr>
          <w:noProof/>
        </w:rPr>
      </w:pPr>
      <w:r>
        <w:t>1.2.</w:t>
      </w:r>
      <w:r>
        <w:tab/>
      </w:r>
      <w:r>
        <w:rPr>
          <w:noProof/>
        </w:rPr>
        <w:t>Приемане на бюджета за 2015 г.</w:t>
      </w:r>
    </w:p>
    <w:p>
      <w:pPr>
        <w:pStyle w:val="Text1"/>
        <w:rPr>
          <w:noProof/>
        </w:rPr>
      </w:pPr>
      <w:bookmarkStart w:id="9" w:name="_Toc322938555"/>
      <w:r>
        <w:rPr>
          <w:noProof/>
        </w:rPr>
        <w:t>На 27 ноември 2014 г. Комисията внесе нов проектобюджет за 2015 г., като поиска бюджетни кредити за поети задължения за ЕФГЗ в размер на 43 455,8 млн. евро. След представянето на този нов проектобюджет за 2015 г., на 8 декември 2014 г. се проведе интензивна тристранна среща между Комисията, Съвета и Европейския парламент. Съветът постигна съгласие относно компромисния пакет на 12 декември 2014 г. Бюджетът за 2015 г. бе приет от Европейския парламент на 17 декември 2014 г. Общо за ЕФГЗ бюджетните кредити за поети задължения възлязоха на 43 455,8 млн. евро, а бюджетните кредити за плащания — на 43 447,6 млн. евро.</w:t>
      </w:r>
    </w:p>
    <w:p>
      <w:pPr>
        <w:pStyle w:val="Text1"/>
        <w:rPr>
          <w:noProof/>
        </w:rPr>
      </w:pPr>
      <w:r>
        <w:rPr>
          <w:noProof/>
        </w:rPr>
        <w:t>Разликата между бюджетните кредити за поети задължения и бюджетните кредити за плащания се дължи на факта, че за някои мерки, прилагани директно от Комисията, се използват многогодишни бюджетни кредити. Тези мерки са свързани главно с насърчаването на продажбата на селскостопански продукти и с мерките за политическа стратегия и координиране на селското стопанство.</w:t>
      </w:r>
    </w:p>
    <w:p>
      <w:pPr>
        <w:pStyle w:val="Text1"/>
        <w:rPr>
          <w:noProof/>
        </w:rPr>
      </w:pPr>
      <w:r>
        <w:rPr>
          <w:noProof/>
        </w:rPr>
        <w:t xml:space="preserve">По-конкретно, в рамките на гласуваните за ЕФГЗ бюджетни кредити за поети задължения за област на политиката 05, възлизащи на 43 455,8 млн. евро, 2400,7 млн. евро бяха предвидени за пазарни мерки по глава 05 02, 40 908,6 млн. евро — за преки помощи по глава 05 03, 87,3 млн. евро — за одит на разходите за селското стопанство по глава 05 07, а 50,9 млн. евро — за политическа стратегия и координиране по глава 05 08. </w:t>
      </w:r>
    </w:p>
    <w:p>
      <w:pPr>
        <w:pStyle w:val="Text1"/>
        <w:rPr>
          <w:noProof/>
        </w:rPr>
      </w:pPr>
      <w:r>
        <w:rPr>
          <w:noProof/>
        </w:rPr>
        <w:t xml:space="preserve">За подробности вж. приложение 1. </w:t>
      </w:r>
    </w:p>
    <w:p>
      <w:pPr>
        <w:pStyle w:val="Text1"/>
        <w:rPr>
          <w:noProof/>
        </w:rPr>
      </w:pPr>
      <w:r>
        <w:rPr>
          <w:noProof/>
        </w:rPr>
        <w:t>Впоследствие през 2015 бюджетна година бюджетните кредити за ЕФГЗ по статии 05 08 06 (повишаване на осведомеността на обществеността за Общата селскостопанска политика) и 05 08 09 (ЕФГЗ — оперативна техническа помощ) бяха намалени съответно с 0,1 млн. евро и 0,8 млн. евро посредством коригиращ бюджет № 7.</w:t>
      </w:r>
    </w:p>
    <w:p>
      <w:pPr>
        <w:pStyle w:val="ManualHeading2"/>
        <w:rPr>
          <w:noProof/>
        </w:rPr>
      </w:pPr>
      <w:bookmarkStart w:id="10" w:name="_Toc322938556"/>
      <w:bookmarkStart w:id="11" w:name="_Toc358122334"/>
      <w:bookmarkEnd w:id="9"/>
      <w:r>
        <w:t>1.3.</w:t>
      </w:r>
      <w:r>
        <w:tab/>
      </w:r>
      <w:r>
        <w:rPr>
          <w:noProof/>
        </w:rPr>
        <w:t>Целеви приходи, предназначени за ЕФГЗ</w:t>
      </w:r>
      <w:r>
        <w:rPr>
          <w:rStyle w:val="FootnoteReference"/>
          <w:noProof/>
        </w:rPr>
        <w:footnoteReference w:id="2"/>
      </w:r>
      <w:bookmarkEnd w:id="10"/>
      <w:bookmarkEnd w:id="11"/>
    </w:p>
    <w:p>
      <w:pPr>
        <w:pStyle w:val="Text1"/>
        <w:rPr>
          <w:noProof/>
        </w:rPr>
      </w:pPr>
      <w:r>
        <w:rPr>
          <w:noProof/>
        </w:rPr>
        <w:t>В съответствие с член 43 от Регламент (ЕО) № 1306/2013 относно финансирането на Общата селскостопанска политика</w:t>
      </w:r>
      <w:r>
        <w:rPr>
          <w:noProof/>
          <w:vertAlign w:val="superscript"/>
        </w:rPr>
        <w:footnoteReference w:id="3"/>
      </w:r>
      <w:r>
        <w:rPr>
          <w:noProof/>
        </w:rPr>
        <w:t xml:space="preserve"> приходите, получени от финансови корекции по силата на решения за уравняване по съответствие, от възстановявания във връзка с нередности, както и от налога в сектора на млякото и млечните продукти, се смятат за целеви приходи, предназначени за финансиране на разходите по линия на ЕФГЗ. Съгласно посочените правила целевите приходи могат да се използват за финансиране на всички разходи по линия на ЕФГЗ. Ако част от тези приходи не е усвоена, тя автоматично се пренася към следващата бюджетна година.</w:t>
      </w:r>
    </w:p>
    <w:p>
      <w:pPr>
        <w:pStyle w:val="Text1"/>
        <w:rPr>
          <w:noProof/>
        </w:rPr>
      </w:pPr>
      <w:r>
        <w:rPr>
          <w:noProof/>
        </w:rPr>
        <w:t>В момента на съставянето на бюджета за 2015 г. бе направена прогноза за приходите — както за сумата, която се очакваше да бъде събрана през 2015 бюджетна година, така и за сумата, която се очакваше да бъде пренесена от 2014 бюджетна година към 2015 бюджетна година. Прогнозната сума възлизаше на 1768,6 млн. евро и бе взета предвид от бюджетния орган при приемането на бюджета за 2015 г. По-специално:</w:t>
      </w:r>
    </w:p>
    <w:p>
      <w:pPr>
        <w:pStyle w:val="Tiret1"/>
        <w:rPr>
          <w:noProof/>
        </w:rPr>
      </w:pPr>
      <w:r>
        <w:rPr>
          <w:noProof/>
        </w:rPr>
        <w:t>Прогнозите за приходите от финансови корекции при уравняването по съответствие и от възстановявания във връзка с нередности бяха съответно 868,6 млн. евро и 165 млн. евро, а за приходите от налога в сектора на млякото и млечните продукти — 405 млн. евро. По този начин прогнозата за общата сума от целевите приходи, която се очакваше да постъпи през 2015 бюджетна година, бе 1438,6 млн. евро.</w:t>
      </w:r>
    </w:p>
    <w:p>
      <w:pPr>
        <w:pStyle w:val="Tiret1"/>
        <w:rPr>
          <w:noProof/>
        </w:rPr>
      </w:pPr>
      <w:r>
        <w:rPr>
          <w:noProof/>
        </w:rPr>
        <w:t>Прогнозата за сумата на целевите приходи, която се очакваше да бъде пренесена от бюджетната 2014 г. в бюджетната 2015 г., беше 330 млн. евро.</w:t>
      </w:r>
    </w:p>
    <w:p>
      <w:pPr>
        <w:pStyle w:val="Text1"/>
        <w:rPr>
          <w:noProof/>
        </w:rPr>
      </w:pPr>
      <w:r>
        <w:rPr>
          <w:noProof/>
        </w:rPr>
        <w:t xml:space="preserve">В бюджета за 2015 г. тези първоначално прогнозирани целеви приходи от 1768,6 млн. евро бяха разпределени по шест схеми, по-специално: </w:t>
      </w:r>
    </w:p>
    <w:p>
      <w:pPr>
        <w:pStyle w:val="Tiret1"/>
        <w:rPr>
          <w:noProof/>
        </w:rPr>
      </w:pPr>
      <w:r>
        <w:rPr>
          <w:noProof/>
        </w:rPr>
        <w:t xml:space="preserve">362,4 млн. евро за оперативните фондове за организациите на производители в сектора на плодовете и зеленчуците, включително извънредните мерки за подпомагане на членовете на тези организации, </w:t>
      </w:r>
    </w:p>
    <w:p>
      <w:pPr>
        <w:pStyle w:val="Tiret1"/>
        <w:rPr>
          <w:noProof/>
        </w:rPr>
      </w:pPr>
      <w:r>
        <w:rPr>
          <w:noProof/>
        </w:rPr>
        <w:t xml:space="preserve">106,9 млн. евро за извънредните мерки за подпомагане на производители, които не са членове на организации на производители, в рамките на други мерки за подпомагане на сектора на плодовете и зеленчуците, </w:t>
      </w:r>
    </w:p>
    <w:p>
      <w:pPr>
        <w:pStyle w:val="Tiret1"/>
        <w:rPr>
          <w:noProof/>
        </w:rPr>
      </w:pPr>
      <w:r>
        <w:rPr>
          <w:noProof/>
        </w:rPr>
        <w:t xml:space="preserve">0,9 млн. евро за мерки за складиране на обезмаслено мляко на прах в сектора на млякото и млечните продукти, </w:t>
      </w:r>
    </w:p>
    <w:p>
      <w:pPr>
        <w:pStyle w:val="Tiret1"/>
        <w:rPr>
          <w:noProof/>
        </w:rPr>
      </w:pPr>
      <w:r>
        <w:rPr>
          <w:noProof/>
        </w:rPr>
        <w:t xml:space="preserve">2,9 млн. евро за мерки за складиране на масло и сметана в сектора на млякото и млечните продукти, </w:t>
      </w:r>
    </w:p>
    <w:p>
      <w:pPr>
        <w:pStyle w:val="Tiret1"/>
        <w:rPr>
          <w:noProof/>
        </w:rPr>
      </w:pPr>
      <w:r>
        <w:rPr>
          <w:noProof/>
        </w:rPr>
        <w:t xml:space="preserve">50,5 млн. евро за извънредните мерки за подпомагане на млекопроизводителите и за частното складиране на сирене в рамките на други мерки за сектора на млякото и млечните продукти, </w:t>
      </w:r>
    </w:p>
    <w:p>
      <w:pPr>
        <w:pStyle w:val="Tiret1"/>
        <w:rPr>
          <w:noProof/>
        </w:rPr>
      </w:pPr>
      <w:r>
        <w:rPr>
          <w:noProof/>
        </w:rPr>
        <w:t xml:space="preserve">1245 млн. евро — за схемата за единно плащане (преки помощи). </w:t>
      </w:r>
    </w:p>
    <w:p>
      <w:pPr>
        <w:pStyle w:val="Tiret1"/>
        <w:numPr>
          <w:ilvl w:val="0"/>
          <w:numId w:val="0"/>
        </w:numPr>
        <w:ind w:left="850"/>
        <w:rPr>
          <w:noProof/>
        </w:rPr>
      </w:pPr>
      <w:r>
        <w:rPr>
          <w:noProof/>
        </w:rPr>
        <w:t>За посочените по-горе схеми сумата на гласуваните от бюджетния орган бюджетни кредити и на горепосочените целеви приходи съответства на общата прогнозна оценка на разполагаемите бюджетни кредити в размер на:</w:t>
      </w:r>
    </w:p>
    <w:p>
      <w:pPr>
        <w:pStyle w:val="Tiret1"/>
        <w:rPr>
          <w:noProof/>
        </w:rPr>
      </w:pPr>
      <w:r>
        <w:rPr>
          <w:noProof/>
        </w:rPr>
        <w:t>903,9 млн. евро за оперативните фондове за организациите на производители в сектора на плодовете и зеленчуците, включително извънредните мерки за подпомагане на членовете на тези организации,</w:t>
      </w:r>
    </w:p>
    <w:p>
      <w:pPr>
        <w:pStyle w:val="Tiret1"/>
        <w:rPr>
          <w:noProof/>
        </w:rPr>
      </w:pPr>
      <w:r>
        <w:rPr>
          <w:noProof/>
        </w:rPr>
        <w:t xml:space="preserve">107,6 млн. евро за извънредните мерки за подпомагане на производители, които не са членове на организации на производители, в рамките на други мерки за подпомагане на сектора на плодовете и зеленчуците, </w:t>
      </w:r>
    </w:p>
    <w:p>
      <w:pPr>
        <w:pStyle w:val="Tiret1"/>
        <w:rPr>
          <w:noProof/>
        </w:rPr>
      </w:pPr>
      <w:r>
        <w:rPr>
          <w:noProof/>
        </w:rPr>
        <w:t xml:space="preserve">50,6 млн. евро за извънредните мерки за подпомагане на млекопроизводителите и за частното складиране на сирене в рамките на други мерки за сектора на млякото и млечните продукти, </w:t>
      </w:r>
    </w:p>
    <w:p>
      <w:pPr>
        <w:pStyle w:val="Tiret1"/>
        <w:rPr>
          <w:noProof/>
        </w:rPr>
      </w:pPr>
      <w:r>
        <w:rPr>
          <w:noProof/>
        </w:rPr>
        <w:t xml:space="preserve">29 587 млн. евро — за схемата за единно плащане (преки помощи). </w:t>
      </w:r>
    </w:p>
    <w:p>
      <w:pPr>
        <w:pStyle w:val="Tiret1"/>
        <w:numPr>
          <w:ilvl w:val="0"/>
          <w:numId w:val="0"/>
        </w:numPr>
        <w:ind w:left="850"/>
        <w:rPr>
          <w:noProof/>
        </w:rPr>
      </w:pPr>
      <w:r>
        <w:rPr>
          <w:noProof/>
        </w:rPr>
        <w:t>Следва да се отбележи, че бюджетният орган не е гласувал бюджетни кредити за мерките за складиране на обезмаслено мляко на прах и на масло и сметана в сектора на млякото и млечните продукти.</w:t>
      </w:r>
    </w:p>
    <w:p>
      <w:pPr>
        <w:pStyle w:val="ManualHeading2"/>
        <w:rPr>
          <w:noProof/>
        </w:rPr>
      </w:pPr>
      <w:bookmarkStart w:id="12" w:name="_Toc322938558"/>
      <w:bookmarkStart w:id="13" w:name="_Toc358122336"/>
      <w:r>
        <w:t>1.4.</w:t>
      </w:r>
      <w:r>
        <w:tab/>
      </w:r>
      <w:r>
        <w:rPr>
          <w:noProof/>
        </w:rPr>
        <w:t>Дял на бюджета на ЕФГЗ в общия бюджет на ЕС</w:t>
      </w:r>
      <w:bookmarkEnd w:id="12"/>
      <w:bookmarkEnd w:id="13"/>
    </w:p>
    <w:p>
      <w:pPr>
        <w:pStyle w:val="Text1"/>
        <w:jc w:val="left"/>
        <w:rPr>
          <w:noProof/>
        </w:rPr>
      </w:pPr>
      <w:r>
        <w:rPr>
          <w:noProof/>
        </w:rPr>
        <w:t>Делът на окончателния бюджет на ЕФГЗ (бюджетни кредити за поети задължения) в общия бюджет на ЕС по години за периода 2009—2015 г. е представен в приложение 2.</w:t>
      </w:r>
    </w:p>
    <w:p>
      <w:pPr>
        <w:pStyle w:val="ManualHeading1"/>
        <w:rPr>
          <w:noProof/>
        </w:rPr>
      </w:pPr>
      <w:bookmarkStart w:id="14" w:name="_Toc322938559"/>
      <w:r>
        <w:rPr>
          <w:noProof/>
        </w:rPr>
        <w:br w:type="page"/>
      </w:r>
      <w:bookmarkStart w:id="15" w:name="_Toc358122337"/>
      <w:bookmarkStart w:id="16" w:name="_Toc456683858"/>
      <w:bookmarkStart w:id="17" w:name="_Toc459130264"/>
      <w:r>
        <w:t>2.</w:t>
      </w:r>
      <w:r>
        <w:tab/>
      </w:r>
      <w:r>
        <w:rPr>
          <w:noProof/>
        </w:rPr>
        <w:t>КАСОВА ПОЗИЦИЯ И УПРАВЛЕНИЕ НА БЮДЖЕТНИТЕ КРЕДИТИ</w:t>
      </w:r>
      <w:bookmarkEnd w:id="14"/>
      <w:bookmarkEnd w:id="15"/>
      <w:bookmarkEnd w:id="16"/>
      <w:bookmarkEnd w:id="17"/>
      <w:r>
        <w:rPr>
          <w:noProof/>
        </w:rPr>
        <w:t xml:space="preserve"> </w:t>
      </w:r>
    </w:p>
    <w:p>
      <w:pPr>
        <w:pStyle w:val="ManualHeading2"/>
        <w:rPr>
          <w:noProof/>
        </w:rPr>
      </w:pPr>
      <w:bookmarkStart w:id="18" w:name="_Toc322938560"/>
      <w:bookmarkStart w:id="19" w:name="_Toc358122338"/>
      <w:r>
        <w:t>2.1.</w:t>
      </w:r>
      <w:r>
        <w:tab/>
      </w:r>
      <w:r>
        <w:rPr>
          <w:noProof/>
        </w:rPr>
        <w:t>Управление на бюджетните кредити</w:t>
      </w:r>
      <w:bookmarkEnd w:id="18"/>
      <w:bookmarkEnd w:id="19"/>
      <w:r>
        <w:rPr>
          <w:noProof/>
        </w:rPr>
        <w:t xml:space="preserve"> </w:t>
      </w:r>
    </w:p>
    <w:p>
      <w:pPr>
        <w:pStyle w:val="ManualHeading3"/>
        <w:rPr>
          <w:noProof/>
        </w:rPr>
      </w:pPr>
      <w:bookmarkStart w:id="20" w:name="_Toc358122339"/>
      <w:bookmarkStart w:id="21" w:name="_Toc322938562"/>
      <w:r>
        <w:t>2.1.1.</w:t>
      </w:r>
      <w:r>
        <w:tab/>
      </w:r>
      <w:r>
        <w:rPr>
          <w:noProof/>
        </w:rPr>
        <w:t>Разполагаеми бюджетни кредити за 2015 бюджетна година:</w:t>
      </w:r>
      <w:bookmarkEnd w:id="20"/>
      <w:r>
        <w:rPr>
          <w:noProof/>
        </w:rPr>
        <w:t xml:space="preserve"> </w:t>
      </w:r>
    </w:p>
    <w:tbl>
      <w:tblPr>
        <w:tblW w:w="8816" w:type="dxa"/>
        <w:tblInd w:w="648" w:type="dxa"/>
        <w:tblLayout w:type="fixed"/>
        <w:tblLook w:val="01E0" w:firstRow="1" w:lastRow="1" w:firstColumn="1" w:lastColumn="1" w:noHBand="0" w:noVBand="0"/>
      </w:tblPr>
      <w:tblGrid>
        <w:gridCol w:w="2437"/>
        <w:gridCol w:w="1583"/>
        <w:gridCol w:w="1676"/>
        <w:gridCol w:w="1800"/>
        <w:gridCol w:w="981"/>
        <w:gridCol w:w="339"/>
      </w:tblGrid>
      <w:tr>
        <w:trPr>
          <w:gridAfter w:val="1"/>
          <w:wAfter w:w="339" w:type="dxa"/>
        </w:trPr>
        <w:tc>
          <w:tcPr>
            <w:tcW w:w="8477" w:type="dxa"/>
            <w:gridSpan w:val="5"/>
            <w:shd w:val="clear" w:color="auto" w:fill="auto"/>
          </w:tcPr>
          <w:p>
            <w:pPr>
              <w:pStyle w:val="Text1"/>
              <w:keepNext/>
              <w:keepLines/>
              <w:spacing w:before="0" w:after="0"/>
              <w:ind w:left="0"/>
              <w:jc w:val="right"/>
              <w:rPr>
                <w:i/>
                <w:noProof/>
                <w:sz w:val="20"/>
              </w:rPr>
            </w:pPr>
            <w:bookmarkStart w:id="22" w:name="_Toc322938564"/>
            <w:bookmarkEnd w:id="21"/>
            <w:r>
              <w:rPr>
                <w:i/>
                <w:noProof/>
                <w:sz w:val="20"/>
              </w:rPr>
              <w:t>в EUR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437" w:type="dxa"/>
            <w:tcBorders>
              <w:top w:val="double" w:sz="4" w:space="0" w:color="auto"/>
              <w:left w:val="double" w:sz="4" w:space="0" w:color="auto"/>
              <w:bottom w:val="single" w:sz="6" w:space="0" w:color="auto"/>
              <w:right w:val="dotted" w:sz="4" w:space="0" w:color="auto"/>
            </w:tcBorders>
            <w:shd w:val="clear" w:color="auto" w:fill="99CC00"/>
            <w:noWrap/>
            <w:vAlign w:val="center"/>
          </w:tcPr>
          <w:p>
            <w:pPr>
              <w:spacing w:after="0" w:line="240" w:lineRule="auto"/>
              <w:jc w:val="center"/>
              <w:rPr>
                <w:b/>
                <w:bCs/>
                <w:noProof/>
                <w:sz w:val="18"/>
                <w:szCs w:val="18"/>
              </w:rPr>
            </w:pPr>
            <w:r>
              <w:rPr>
                <w:b/>
                <w:noProof/>
                <w:sz w:val="18"/>
              </w:rPr>
              <w:t>Разходна част на</w:t>
            </w:r>
          </w:p>
          <w:p>
            <w:pPr>
              <w:spacing w:line="240" w:lineRule="auto"/>
              <w:jc w:val="center"/>
              <w:rPr>
                <w:b/>
                <w:bCs/>
                <w:noProof/>
                <w:sz w:val="18"/>
                <w:szCs w:val="18"/>
              </w:rPr>
            </w:pPr>
            <w:r>
              <w:rPr>
                <w:b/>
                <w:noProof/>
                <w:sz w:val="18"/>
              </w:rPr>
              <w:t xml:space="preserve">бюджета </w:t>
            </w:r>
            <w:r>
              <w:rPr>
                <w:noProof/>
                <w:sz w:val="16"/>
              </w:rPr>
              <w:t>(1)</w:t>
            </w:r>
          </w:p>
        </w:tc>
        <w:tc>
          <w:tcPr>
            <w:tcW w:w="1583" w:type="dxa"/>
            <w:tcBorders>
              <w:top w:val="double" w:sz="4" w:space="0" w:color="auto"/>
              <w:left w:val="dotted" w:sz="4" w:space="0" w:color="auto"/>
              <w:bottom w:val="single" w:sz="6" w:space="0" w:color="auto"/>
              <w:right w:val="dotted" w:sz="4" w:space="0" w:color="auto"/>
            </w:tcBorders>
            <w:shd w:val="clear" w:color="auto" w:fill="99CC00"/>
            <w:vAlign w:val="center"/>
          </w:tcPr>
          <w:p>
            <w:pPr>
              <w:spacing w:line="240" w:lineRule="auto"/>
              <w:jc w:val="center"/>
              <w:rPr>
                <w:noProof/>
                <w:sz w:val="18"/>
                <w:szCs w:val="18"/>
              </w:rPr>
            </w:pPr>
            <w:r>
              <w:rPr>
                <w:noProof/>
                <w:sz w:val="18"/>
              </w:rPr>
              <w:t>Бюджетни кредити за поети задължения</w:t>
            </w:r>
          </w:p>
        </w:tc>
        <w:tc>
          <w:tcPr>
            <w:tcW w:w="1676" w:type="dxa"/>
            <w:tcBorders>
              <w:top w:val="double" w:sz="4" w:space="0" w:color="auto"/>
              <w:left w:val="dotted" w:sz="4" w:space="0" w:color="auto"/>
              <w:bottom w:val="single" w:sz="6" w:space="0" w:color="auto"/>
            </w:tcBorders>
            <w:shd w:val="clear" w:color="auto" w:fill="99CC00"/>
            <w:vAlign w:val="center"/>
          </w:tcPr>
          <w:p>
            <w:pPr>
              <w:spacing w:line="240" w:lineRule="auto"/>
              <w:jc w:val="center"/>
              <w:rPr>
                <w:noProof/>
                <w:sz w:val="18"/>
                <w:szCs w:val="18"/>
              </w:rPr>
            </w:pPr>
            <w:r>
              <w:rPr>
                <w:noProof/>
                <w:sz w:val="18"/>
              </w:rPr>
              <w:t>Бюджетни кредити за плащания</w:t>
            </w:r>
          </w:p>
        </w:tc>
        <w:tc>
          <w:tcPr>
            <w:tcW w:w="1800" w:type="dxa"/>
            <w:tcBorders>
              <w:top w:val="double" w:sz="4" w:space="0" w:color="auto"/>
              <w:right w:val="dotted" w:sz="4" w:space="0" w:color="auto"/>
            </w:tcBorders>
            <w:shd w:val="clear" w:color="auto" w:fill="99CC00"/>
            <w:noWrap/>
            <w:vAlign w:val="center"/>
          </w:tcPr>
          <w:p>
            <w:pPr>
              <w:spacing w:line="240" w:lineRule="auto"/>
              <w:jc w:val="center"/>
              <w:rPr>
                <w:b/>
                <w:bCs/>
                <w:noProof/>
                <w:sz w:val="18"/>
                <w:szCs w:val="18"/>
              </w:rPr>
            </w:pPr>
            <w:r>
              <w:rPr>
                <w:b/>
                <w:noProof/>
                <w:sz w:val="18"/>
              </w:rPr>
              <w:t xml:space="preserve">Приходна част на бюджета (ЦП) </w:t>
            </w:r>
            <w:r>
              <w:rPr>
                <w:noProof/>
                <w:sz w:val="16"/>
              </w:rPr>
              <w:t>(2)</w:t>
            </w:r>
          </w:p>
        </w:tc>
        <w:tc>
          <w:tcPr>
            <w:tcW w:w="1320" w:type="dxa"/>
            <w:gridSpan w:val="2"/>
            <w:tcBorders>
              <w:top w:val="double" w:sz="4" w:space="0" w:color="auto"/>
              <w:left w:val="dotted" w:sz="4" w:space="0" w:color="auto"/>
              <w:right w:val="double" w:sz="4" w:space="0" w:color="auto"/>
            </w:tcBorders>
            <w:shd w:val="clear" w:color="auto" w:fill="99CC00"/>
            <w:noWrap/>
            <w:vAlign w:val="center"/>
          </w:tcPr>
          <w:p>
            <w:pPr>
              <w:spacing w:before="240" w:line="240" w:lineRule="auto"/>
              <w:jc w:val="center"/>
              <w:rPr>
                <w:noProof/>
                <w:sz w:val="18"/>
                <w:szCs w:val="18"/>
              </w:rPr>
            </w:pPr>
            <w:r>
              <w:rPr>
                <w:noProof/>
                <w:sz w:val="18"/>
              </w:rPr>
              <w:t>Прогнози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37"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rPr>
                <w:noProof/>
                <w:sz w:val="18"/>
                <w:szCs w:val="18"/>
              </w:rPr>
            </w:pPr>
            <w:r>
              <w:rPr>
                <w:noProof/>
                <w:sz w:val="18"/>
              </w:rPr>
              <w:t>1. Първоначални бюджетни кредити за ЕФГЗ, от които:</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before="60" w:after="60"/>
              <w:jc w:val="right"/>
              <w:rPr>
                <w:noProof/>
                <w:sz w:val="18"/>
                <w:szCs w:val="18"/>
              </w:rPr>
            </w:pPr>
            <w:r>
              <w:rPr>
                <w:noProof/>
                <w:sz w:val="18"/>
              </w:rPr>
              <w:t>43 455 780 762</w:t>
            </w:r>
          </w:p>
        </w:tc>
        <w:tc>
          <w:tcPr>
            <w:tcW w:w="1676" w:type="dxa"/>
            <w:tcBorders>
              <w:top w:val="single" w:sz="6" w:space="0" w:color="auto"/>
              <w:left w:val="dotted" w:sz="4" w:space="0" w:color="auto"/>
              <w:bottom w:val="single" w:sz="6" w:space="0" w:color="auto"/>
            </w:tcBorders>
            <w:shd w:val="clear" w:color="auto" w:fill="auto"/>
            <w:noWrap/>
            <w:vAlign w:val="center"/>
          </w:tcPr>
          <w:p>
            <w:pPr>
              <w:spacing w:before="60" w:after="60"/>
              <w:jc w:val="right"/>
              <w:rPr>
                <w:noProof/>
                <w:sz w:val="18"/>
                <w:szCs w:val="18"/>
              </w:rPr>
            </w:pPr>
            <w:r>
              <w:rPr>
                <w:noProof/>
                <w:sz w:val="18"/>
              </w:rPr>
              <w:t>43 447 624 585</w:t>
            </w:r>
          </w:p>
        </w:tc>
        <w:tc>
          <w:tcPr>
            <w:tcW w:w="1800" w:type="dxa"/>
            <w:tcBorders>
              <w:right w:val="dotted" w:sz="4" w:space="0" w:color="auto"/>
            </w:tcBorders>
            <w:shd w:val="clear" w:color="auto" w:fill="auto"/>
            <w:noWrap/>
            <w:vAlign w:val="center"/>
          </w:tcPr>
          <w:p>
            <w:pPr>
              <w:spacing w:before="60" w:after="60"/>
              <w:rPr>
                <w:noProof/>
                <w:sz w:val="18"/>
                <w:szCs w:val="18"/>
              </w:rPr>
            </w:pPr>
            <w:r>
              <w:rPr>
                <w:noProof/>
                <w:sz w:val="18"/>
              </w:rPr>
              <w:t>1. Решения за уравняване</w:t>
            </w:r>
          </w:p>
        </w:tc>
        <w:tc>
          <w:tcPr>
            <w:tcW w:w="1320" w:type="dxa"/>
            <w:gridSpan w:val="2"/>
            <w:tcBorders>
              <w:left w:val="dotted" w:sz="4" w:space="0" w:color="auto"/>
              <w:right w:val="double" w:sz="4" w:space="0" w:color="auto"/>
            </w:tcBorders>
            <w:shd w:val="clear" w:color="auto" w:fill="auto"/>
            <w:noWrap/>
            <w:vAlign w:val="center"/>
          </w:tcPr>
          <w:p>
            <w:pPr>
              <w:spacing w:before="60" w:after="60"/>
              <w:jc w:val="right"/>
              <w:rPr>
                <w:noProof/>
                <w:sz w:val="18"/>
                <w:szCs w:val="18"/>
              </w:rPr>
            </w:pPr>
            <w:r>
              <w:rPr>
                <w:noProof/>
                <w:sz w:val="18"/>
              </w:rPr>
              <w:t>868 600 000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37"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rPr>
                <w:noProof/>
                <w:sz w:val="18"/>
                <w:szCs w:val="18"/>
              </w:rPr>
            </w:pPr>
            <w:r>
              <w:rPr>
                <w:noProof/>
                <w:sz w:val="18"/>
              </w:rPr>
              <w:t xml:space="preserve">1а. Бюджетни кредити под споделено управление </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before="60" w:after="60"/>
              <w:jc w:val="right"/>
              <w:rPr>
                <w:noProof/>
                <w:sz w:val="18"/>
                <w:szCs w:val="18"/>
              </w:rPr>
            </w:pPr>
            <w:r>
              <w:rPr>
                <w:noProof/>
                <w:sz w:val="18"/>
              </w:rPr>
              <w:t>43 388 597 789</w:t>
            </w:r>
          </w:p>
        </w:tc>
        <w:tc>
          <w:tcPr>
            <w:tcW w:w="1676" w:type="dxa"/>
            <w:tcBorders>
              <w:top w:val="single" w:sz="6" w:space="0" w:color="auto"/>
              <w:left w:val="dotted" w:sz="4" w:space="0" w:color="auto"/>
              <w:bottom w:val="single" w:sz="6" w:space="0" w:color="auto"/>
            </w:tcBorders>
            <w:shd w:val="clear" w:color="auto" w:fill="auto"/>
            <w:noWrap/>
            <w:vAlign w:val="center"/>
          </w:tcPr>
          <w:p>
            <w:pPr>
              <w:spacing w:before="60" w:after="60"/>
              <w:jc w:val="right"/>
              <w:rPr>
                <w:noProof/>
                <w:sz w:val="18"/>
                <w:szCs w:val="18"/>
              </w:rPr>
            </w:pPr>
            <w:r>
              <w:rPr>
                <w:noProof/>
                <w:sz w:val="18"/>
              </w:rPr>
              <w:t>43 388 597 789</w:t>
            </w:r>
          </w:p>
        </w:tc>
        <w:tc>
          <w:tcPr>
            <w:tcW w:w="1800" w:type="dxa"/>
            <w:tcBorders>
              <w:right w:val="dotted" w:sz="4" w:space="0" w:color="auto"/>
            </w:tcBorders>
            <w:shd w:val="clear" w:color="auto" w:fill="auto"/>
            <w:noWrap/>
            <w:vAlign w:val="center"/>
          </w:tcPr>
          <w:p>
            <w:pPr>
              <w:spacing w:before="60" w:after="60"/>
              <w:rPr>
                <w:noProof/>
                <w:sz w:val="18"/>
                <w:szCs w:val="18"/>
              </w:rPr>
            </w:pPr>
            <w:r>
              <w:rPr>
                <w:noProof/>
                <w:sz w:val="18"/>
              </w:rPr>
              <w:t>2. Нередности</w:t>
            </w:r>
          </w:p>
        </w:tc>
        <w:tc>
          <w:tcPr>
            <w:tcW w:w="1320" w:type="dxa"/>
            <w:gridSpan w:val="2"/>
            <w:tcBorders>
              <w:left w:val="dotted" w:sz="4" w:space="0" w:color="auto"/>
              <w:right w:val="double" w:sz="4" w:space="0" w:color="auto"/>
            </w:tcBorders>
            <w:shd w:val="clear" w:color="auto" w:fill="auto"/>
            <w:noWrap/>
            <w:vAlign w:val="center"/>
          </w:tcPr>
          <w:p>
            <w:pPr>
              <w:spacing w:before="60" w:after="60"/>
              <w:jc w:val="right"/>
              <w:rPr>
                <w:noProof/>
                <w:sz w:val="18"/>
                <w:szCs w:val="18"/>
              </w:rPr>
            </w:pPr>
            <w:r>
              <w:rPr>
                <w:noProof/>
                <w:sz w:val="18"/>
              </w:rPr>
              <w:t>165 000 000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437" w:type="dxa"/>
            <w:tcBorders>
              <w:top w:val="single" w:sz="6" w:space="0" w:color="auto"/>
              <w:left w:val="double" w:sz="4" w:space="0" w:color="auto"/>
              <w:bottom w:val="single" w:sz="6" w:space="0" w:color="auto"/>
              <w:right w:val="dotted" w:sz="4" w:space="0" w:color="auto"/>
            </w:tcBorders>
            <w:shd w:val="clear" w:color="auto" w:fill="auto"/>
          </w:tcPr>
          <w:p>
            <w:pPr>
              <w:spacing w:before="60" w:after="60"/>
              <w:rPr>
                <w:noProof/>
                <w:sz w:val="18"/>
                <w:szCs w:val="18"/>
              </w:rPr>
            </w:pPr>
            <w:r>
              <w:rPr>
                <w:noProof/>
                <w:sz w:val="18"/>
              </w:rPr>
              <w:t>1б. Бюджетни кредити при пряко управление</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before="60" w:after="60"/>
              <w:jc w:val="right"/>
              <w:rPr>
                <w:noProof/>
                <w:sz w:val="18"/>
                <w:szCs w:val="18"/>
              </w:rPr>
            </w:pPr>
            <w:bookmarkStart w:id="23" w:name="OLE_LINK1"/>
            <w:r>
              <w:rPr>
                <w:noProof/>
                <w:sz w:val="18"/>
              </w:rPr>
              <w:t>67 182 973</w:t>
            </w:r>
            <w:bookmarkEnd w:id="23"/>
          </w:p>
        </w:tc>
        <w:tc>
          <w:tcPr>
            <w:tcW w:w="1676" w:type="dxa"/>
            <w:tcBorders>
              <w:top w:val="single" w:sz="6" w:space="0" w:color="auto"/>
              <w:left w:val="dotted" w:sz="4" w:space="0" w:color="auto"/>
              <w:bottom w:val="single" w:sz="6" w:space="0" w:color="auto"/>
            </w:tcBorders>
            <w:shd w:val="clear" w:color="auto" w:fill="auto"/>
            <w:noWrap/>
            <w:vAlign w:val="center"/>
          </w:tcPr>
          <w:p>
            <w:pPr>
              <w:spacing w:before="60" w:after="60"/>
              <w:jc w:val="right"/>
              <w:rPr>
                <w:noProof/>
                <w:sz w:val="18"/>
                <w:szCs w:val="18"/>
              </w:rPr>
            </w:pPr>
            <w:r>
              <w:rPr>
                <w:noProof/>
                <w:sz w:val="18"/>
              </w:rPr>
              <w:t>59 026 796</w:t>
            </w:r>
          </w:p>
        </w:tc>
        <w:tc>
          <w:tcPr>
            <w:tcW w:w="1800" w:type="dxa"/>
            <w:tcBorders>
              <w:right w:val="dotted" w:sz="4" w:space="0" w:color="auto"/>
            </w:tcBorders>
            <w:shd w:val="clear" w:color="auto" w:fill="auto"/>
            <w:noWrap/>
            <w:vAlign w:val="center"/>
          </w:tcPr>
          <w:p>
            <w:pPr>
              <w:spacing w:before="60" w:after="60"/>
              <w:rPr>
                <w:noProof/>
                <w:sz w:val="18"/>
                <w:szCs w:val="18"/>
              </w:rPr>
            </w:pPr>
            <w:r>
              <w:rPr>
                <w:noProof/>
                <w:sz w:val="18"/>
              </w:rPr>
              <w:t>3. Допълнителен налог от млекопроизводителите</w:t>
            </w:r>
          </w:p>
        </w:tc>
        <w:tc>
          <w:tcPr>
            <w:tcW w:w="1320" w:type="dxa"/>
            <w:gridSpan w:val="2"/>
            <w:tcBorders>
              <w:left w:val="dotted" w:sz="4" w:space="0" w:color="auto"/>
              <w:right w:val="double" w:sz="4" w:space="0" w:color="auto"/>
            </w:tcBorders>
            <w:shd w:val="clear" w:color="auto" w:fill="auto"/>
            <w:noWrap/>
            <w:vAlign w:val="center"/>
          </w:tcPr>
          <w:p>
            <w:pPr>
              <w:spacing w:before="60" w:after="60"/>
              <w:jc w:val="right"/>
              <w:rPr>
                <w:noProof/>
                <w:sz w:val="18"/>
                <w:szCs w:val="18"/>
              </w:rPr>
            </w:pPr>
            <w:r>
              <w:rPr>
                <w:noProof/>
                <w:sz w:val="18"/>
              </w:rPr>
              <w:t>405 000 000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437" w:type="dxa"/>
            <w:tcBorders>
              <w:top w:val="single" w:sz="6" w:space="0" w:color="auto"/>
              <w:left w:val="double" w:sz="4" w:space="0" w:color="auto"/>
              <w:bottom w:val="single" w:sz="6" w:space="0" w:color="auto"/>
              <w:right w:val="dotted" w:sz="4" w:space="0" w:color="auto"/>
            </w:tcBorders>
            <w:shd w:val="clear" w:color="auto" w:fill="auto"/>
            <w:vAlign w:val="center"/>
          </w:tcPr>
          <w:p>
            <w:pPr>
              <w:spacing w:before="60" w:after="60"/>
              <w:rPr>
                <w:noProof/>
                <w:sz w:val="18"/>
                <w:szCs w:val="18"/>
              </w:rPr>
            </w:pPr>
            <w:r>
              <w:rPr>
                <w:noProof/>
                <w:sz w:val="18"/>
              </w:rPr>
              <w:t xml:space="preserve">2. Коригиращ бюджет </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before="60" w:after="60"/>
              <w:jc w:val="right"/>
              <w:rPr>
                <w:noProof/>
                <w:sz w:val="18"/>
                <w:szCs w:val="18"/>
              </w:rPr>
            </w:pPr>
            <w:r>
              <w:rPr>
                <w:noProof/>
                <w:sz w:val="18"/>
              </w:rPr>
              <w:t>-900 000</w:t>
            </w:r>
          </w:p>
        </w:tc>
        <w:tc>
          <w:tcPr>
            <w:tcW w:w="1676" w:type="dxa"/>
            <w:tcBorders>
              <w:top w:val="single" w:sz="6" w:space="0" w:color="auto"/>
              <w:left w:val="dotted" w:sz="4" w:space="0" w:color="auto"/>
              <w:bottom w:val="single" w:sz="6" w:space="0" w:color="auto"/>
            </w:tcBorders>
            <w:shd w:val="clear" w:color="auto" w:fill="auto"/>
            <w:noWrap/>
            <w:vAlign w:val="center"/>
          </w:tcPr>
          <w:p>
            <w:pPr>
              <w:spacing w:before="60" w:after="60"/>
              <w:jc w:val="right"/>
              <w:rPr>
                <w:noProof/>
                <w:sz w:val="18"/>
                <w:szCs w:val="18"/>
              </w:rPr>
            </w:pPr>
            <w:r>
              <w:rPr>
                <w:noProof/>
                <w:sz w:val="18"/>
              </w:rPr>
              <w:t>-900 000</w:t>
            </w:r>
          </w:p>
        </w:tc>
        <w:tc>
          <w:tcPr>
            <w:tcW w:w="1800" w:type="dxa"/>
            <w:tcBorders>
              <w:right w:val="dotted" w:sz="4" w:space="0" w:color="auto"/>
            </w:tcBorders>
            <w:shd w:val="clear" w:color="auto" w:fill="auto"/>
            <w:noWrap/>
            <w:vAlign w:val="center"/>
          </w:tcPr>
          <w:p>
            <w:pPr>
              <w:spacing w:before="60" w:after="60"/>
              <w:rPr>
                <w:noProof/>
                <w:sz w:val="18"/>
                <w:szCs w:val="18"/>
              </w:rPr>
            </w:pPr>
            <w:r>
              <w:rPr>
                <w:b/>
                <w:noProof/>
                <w:sz w:val="18"/>
              </w:rPr>
              <w:t>Общо прогнозирани ЦП</w:t>
            </w:r>
          </w:p>
        </w:tc>
        <w:tc>
          <w:tcPr>
            <w:tcW w:w="1320" w:type="dxa"/>
            <w:gridSpan w:val="2"/>
            <w:tcBorders>
              <w:left w:val="dotted" w:sz="4" w:space="0" w:color="auto"/>
              <w:right w:val="double" w:sz="4" w:space="0" w:color="auto"/>
            </w:tcBorders>
            <w:shd w:val="clear" w:color="auto" w:fill="auto"/>
            <w:noWrap/>
            <w:vAlign w:val="center"/>
          </w:tcPr>
          <w:p>
            <w:pPr>
              <w:spacing w:before="60" w:after="60"/>
              <w:jc w:val="right"/>
              <w:rPr>
                <w:noProof/>
                <w:sz w:val="18"/>
                <w:szCs w:val="18"/>
              </w:rPr>
            </w:pPr>
            <w:r>
              <w:rPr>
                <w:b/>
                <w:noProof/>
                <w:sz w:val="18"/>
              </w:rPr>
              <w:t>1 438 600 000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437" w:type="dxa"/>
            <w:tcBorders>
              <w:top w:val="single" w:sz="6" w:space="0" w:color="auto"/>
              <w:left w:val="double" w:sz="4" w:space="0" w:color="auto"/>
              <w:bottom w:val="single" w:sz="6" w:space="0" w:color="auto"/>
              <w:right w:val="dotted" w:sz="4" w:space="0" w:color="auto"/>
            </w:tcBorders>
            <w:shd w:val="clear" w:color="auto" w:fill="auto"/>
          </w:tcPr>
          <w:p>
            <w:pPr>
              <w:spacing w:before="60" w:after="60"/>
              <w:rPr>
                <w:noProof/>
                <w:sz w:val="18"/>
                <w:szCs w:val="18"/>
              </w:rPr>
            </w:pPr>
            <w:r>
              <w:rPr>
                <w:noProof/>
                <w:sz w:val="18"/>
              </w:rPr>
              <w:t>3. Прехвърляне в/от ЕФГЗ през годината</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before="60" w:after="60"/>
              <w:jc w:val="right"/>
              <w:rPr>
                <w:noProof/>
                <w:sz w:val="18"/>
                <w:szCs w:val="18"/>
              </w:rPr>
            </w:pPr>
          </w:p>
        </w:tc>
        <w:tc>
          <w:tcPr>
            <w:tcW w:w="1676" w:type="dxa"/>
            <w:tcBorders>
              <w:top w:val="single" w:sz="6" w:space="0" w:color="auto"/>
              <w:left w:val="dotted" w:sz="4" w:space="0" w:color="auto"/>
              <w:bottom w:val="single" w:sz="6" w:space="0" w:color="auto"/>
            </w:tcBorders>
            <w:shd w:val="clear" w:color="auto" w:fill="auto"/>
            <w:noWrap/>
            <w:vAlign w:val="center"/>
          </w:tcPr>
          <w:p>
            <w:pPr>
              <w:spacing w:before="60" w:after="60"/>
              <w:jc w:val="right"/>
              <w:rPr>
                <w:noProof/>
                <w:sz w:val="18"/>
                <w:szCs w:val="18"/>
              </w:rPr>
            </w:pPr>
            <w:r>
              <w:rPr>
                <w:noProof/>
                <w:sz w:val="18"/>
              </w:rPr>
              <w:t>-107 268</w:t>
            </w:r>
          </w:p>
        </w:tc>
        <w:tc>
          <w:tcPr>
            <w:tcW w:w="1800" w:type="dxa"/>
            <w:tcBorders>
              <w:right w:val="dotted" w:sz="4" w:space="0" w:color="auto"/>
            </w:tcBorders>
            <w:shd w:val="clear" w:color="auto" w:fill="auto"/>
            <w:vAlign w:val="center"/>
          </w:tcPr>
          <w:p>
            <w:pPr>
              <w:spacing w:before="60" w:after="60"/>
              <w:rPr>
                <w:noProof/>
                <w:sz w:val="18"/>
                <w:szCs w:val="18"/>
              </w:rPr>
            </w:pPr>
          </w:p>
        </w:tc>
        <w:tc>
          <w:tcPr>
            <w:tcW w:w="1320" w:type="dxa"/>
            <w:gridSpan w:val="2"/>
            <w:tcBorders>
              <w:left w:val="dotted" w:sz="4" w:space="0" w:color="auto"/>
              <w:right w:val="double" w:sz="4" w:space="0" w:color="auto"/>
            </w:tcBorders>
            <w:shd w:val="clear" w:color="auto" w:fill="auto"/>
            <w:noWrap/>
            <w:vAlign w:val="center"/>
          </w:tcPr>
          <w:p>
            <w:pPr>
              <w:spacing w:before="60" w:after="60"/>
              <w:jc w:val="right"/>
              <w:rPr>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437" w:type="dxa"/>
            <w:tcBorders>
              <w:top w:val="single" w:sz="6" w:space="0" w:color="auto"/>
              <w:left w:val="double" w:sz="4" w:space="0" w:color="auto"/>
              <w:bottom w:val="single" w:sz="6" w:space="0" w:color="auto"/>
              <w:right w:val="dotted" w:sz="4" w:space="0" w:color="auto"/>
            </w:tcBorders>
            <w:shd w:val="clear" w:color="auto" w:fill="auto"/>
          </w:tcPr>
          <w:p>
            <w:pPr>
              <w:spacing w:before="60" w:after="60"/>
              <w:rPr>
                <w:noProof/>
                <w:sz w:val="18"/>
                <w:szCs w:val="18"/>
              </w:rPr>
            </w:pPr>
            <w:r>
              <w:rPr>
                <w:noProof/>
                <w:sz w:val="18"/>
              </w:rPr>
              <w:t>4. Окончателни бюджетни кредити за ЕФГЗ, от които:</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before="60" w:after="60"/>
              <w:jc w:val="right"/>
              <w:rPr>
                <w:b/>
                <w:noProof/>
                <w:sz w:val="18"/>
                <w:szCs w:val="18"/>
              </w:rPr>
            </w:pPr>
            <w:r>
              <w:rPr>
                <w:b/>
                <w:noProof/>
                <w:sz w:val="18"/>
              </w:rPr>
              <w:t>43 454 880 762</w:t>
            </w:r>
          </w:p>
        </w:tc>
        <w:tc>
          <w:tcPr>
            <w:tcW w:w="1676" w:type="dxa"/>
            <w:tcBorders>
              <w:top w:val="single" w:sz="6" w:space="0" w:color="auto"/>
              <w:left w:val="dotted" w:sz="4" w:space="0" w:color="auto"/>
              <w:bottom w:val="single" w:sz="6" w:space="0" w:color="auto"/>
            </w:tcBorders>
            <w:shd w:val="clear" w:color="auto" w:fill="auto"/>
            <w:noWrap/>
            <w:vAlign w:val="center"/>
          </w:tcPr>
          <w:p>
            <w:pPr>
              <w:spacing w:before="60" w:after="60"/>
              <w:jc w:val="right"/>
              <w:rPr>
                <w:b/>
                <w:noProof/>
                <w:sz w:val="18"/>
                <w:szCs w:val="18"/>
              </w:rPr>
            </w:pPr>
            <w:r>
              <w:rPr>
                <w:b/>
                <w:noProof/>
                <w:sz w:val="18"/>
              </w:rPr>
              <w:t>43 446 617 317</w:t>
            </w:r>
          </w:p>
        </w:tc>
        <w:tc>
          <w:tcPr>
            <w:tcW w:w="1800" w:type="dxa"/>
            <w:tcBorders>
              <w:right w:val="dotted" w:sz="4" w:space="0" w:color="auto"/>
            </w:tcBorders>
            <w:shd w:val="clear" w:color="auto" w:fill="auto"/>
            <w:noWrap/>
            <w:vAlign w:val="center"/>
          </w:tcPr>
          <w:p>
            <w:pPr>
              <w:spacing w:before="60" w:after="60"/>
              <w:jc w:val="center"/>
              <w:rPr>
                <w:b/>
                <w:noProof/>
                <w:sz w:val="18"/>
                <w:szCs w:val="18"/>
              </w:rPr>
            </w:pPr>
          </w:p>
        </w:tc>
        <w:tc>
          <w:tcPr>
            <w:tcW w:w="1320" w:type="dxa"/>
            <w:gridSpan w:val="2"/>
            <w:tcBorders>
              <w:left w:val="dotted" w:sz="4" w:space="0" w:color="auto"/>
              <w:right w:val="double" w:sz="4" w:space="0" w:color="auto"/>
            </w:tcBorders>
            <w:shd w:val="clear" w:color="auto" w:fill="auto"/>
            <w:noWrap/>
            <w:vAlign w:val="center"/>
          </w:tcPr>
          <w:p>
            <w:pPr>
              <w:spacing w:before="60" w:after="60"/>
              <w:jc w:val="right"/>
              <w:rPr>
                <w:b/>
                <w:bCs/>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37" w:type="dxa"/>
            <w:tcBorders>
              <w:left w:val="double" w:sz="4" w:space="0" w:color="auto"/>
              <w:right w:val="dotted" w:sz="4" w:space="0" w:color="auto"/>
            </w:tcBorders>
            <w:shd w:val="clear" w:color="auto" w:fill="auto"/>
            <w:noWrap/>
          </w:tcPr>
          <w:p>
            <w:pPr>
              <w:spacing w:before="60" w:after="60"/>
              <w:rPr>
                <w:noProof/>
                <w:sz w:val="18"/>
                <w:szCs w:val="18"/>
              </w:rPr>
            </w:pPr>
            <w:r>
              <w:rPr>
                <w:noProof/>
                <w:sz w:val="18"/>
              </w:rPr>
              <w:t xml:space="preserve">4а. Бюджетни кредити под споделено управление </w:t>
            </w:r>
          </w:p>
        </w:tc>
        <w:tc>
          <w:tcPr>
            <w:tcW w:w="1583" w:type="dxa"/>
            <w:tcBorders>
              <w:left w:val="dotted" w:sz="4" w:space="0" w:color="auto"/>
              <w:right w:val="dotted" w:sz="4" w:space="0" w:color="auto"/>
            </w:tcBorders>
            <w:shd w:val="clear" w:color="auto" w:fill="auto"/>
            <w:noWrap/>
            <w:vAlign w:val="center"/>
          </w:tcPr>
          <w:p>
            <w:pPr>
              <w:spacing w:before="60" w:after="60"/>
              <w:jc w:val="right"/>
              <w:rPr>
                <w:noProof/>
                <w:sz w:val="18"/>
                <w:szCs w:val="18"/>
              </w:rPr>
            </w:pPr>
            <w:r>
              <w:rPr>
                <w:noProof/>
                <w:sz w:val="18"/>
              </w:rPr>
              <w:t>43 388 791 789</w:t>
            </w:r>
          </w:p>
        </w:tc>
        <w:tc>
          <w:tcPr>
            <w:tcW w:w="1676" w:type="dxa"/>
            <w:tcBorders>
              <w:left w:val="dotted" w:sz="4" w:space="0" w:color="auto"/>
            </w:tcBorders>
            <w:shd w:val="clear" w:color="auto" w:fill="auto"/>
            <w:noWrap/>
            <w:vAlign w:val="center"/>
          </w:tcPr>
          <w:p>
            <w:pPr>
              <w:spacing w:before="60" w:after="60"/>
              <w:jc w:val="right"/>
              <w:rPr>
                <w:noProof/>
                <w:sz w:val="18"/>
                <w:szCs w:val="18"/>
              </w:rPr>
            </w:pPr>
            <w:r>
              <w:rPr>
                <w:noProof/>
                <w:sz w:val="18"/>
              </w:rPr>
              <w:t>43 388 791 789</w:t>
            </w:r>
          </w:p>
        </w:tc>
        <w:tc>
          <w:tcPr>
            <w:tcW w:w="1800" w:type="dxa"/>
            <w:tcBorders>
              <w:right w:val="dotted" w:sz="4" w:space="0" w:color="auto"/>
            </w:tcBorders>
            <w:shd w:val="clear" w:color="auto" w:fill="auto"/>
            <w:noWrap/>
          </w:tcPr>
          <w:p>
            <w:pPr>
              <w:spacing w:before="60" w:after="60"/>
              <w:rPr>
                <w:noProof/>
                <w:sz w:val="18"/>
                <w:szCs w:val="18"/>
              </w:rPr>
            </w:pPr>
          </w:p>
        </w:tc>
        <w:tc>
          <w:tcPr>
            <w:tcW w:w="1320" w:type="dxa"/>
            <w:gridSpan w:val="2"/>
            <w:tcBorders>
              <w:left w:val="dotted" w:sz="4" w:space="0" w:color="auto"/>
              <w:right w:val="double" w:sz="4" w:space="0" w:color="auto"/>
            </w:tcBorders>
            <w:shd w:val="clear" w:color="auto" w:fill="auto"/>
            <w:noWrap/>
          </w:tcPr>
          <w:p>
            <w:pPr>
              <w:spacing w:before="60" w:after="60"/>
              <w:jc w:val="right"/>
              <w:rPr>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37" w:type="dxa"/>
            <w:tcBorders>
              <w:left w:val="double" w:sz="4" w:space="0" w:color="auto"/>
              <w:right w:val="dotted" w:sz="4" w:space="0" w:color="auto"/>
            </w:tcBorders>
            <w:shd w:val="clear" w:color="auto" w:fill="auto"/>
            <w:noWrap/>
          </w:tcPr>
          <w:p>
            <w:pPr>
              <w:spacing w:before="60" w:after="60"/>
              <w:rPr>
                <w:noProof/>
                <w:sz w:val="18"/>
                <w:szCs w:val="18"/>
              </w:rPr>
            </w:pPr>
            <w:r>
              <w:rPr>
                <w:noProof/>
                <w:sz w:val="18"/>
              </w:rPr>
              <w:t>4б. Бюджетни кредити при пряко управление</w:t>
            </w:r>
          </w:p>
        </w:tc>
        <w:tc>
          <w:tcPr>
            <w:tcW w:w="1583" w:type="dxa"/>
            <w:tcBorders>
              <w:left w:val="dotted" w:sz="4" w:space="0" w:color="auto"/>
              <w:right w:val="dotted" w:sz="4" w:space="0" w:color="auto"/>
            </w:tcBorders>
            <w:shd w:val="clear" w:color="auto" w:fill="auto"/>
            <w:noWrap/>
            <w:vAlign w:val="center"/>
          </w:tcPr>
          <w:p>
            <w:pPr>
              <w:spacing w:before="60" w:after="60"/>
              <w:jc w:val="right"/>
              <w:rPr>
                <w:noProof/>
                <w:sz w:val="18"/>
                <w:szCs w:val="18"/>
              </w:rPr>
            </w:pPr>
            <w:r>
              <w:rPr>
                <w:noProof/>
                <w:sz w:val="18"/>
              </w:rPr>
              <w:t>66 088 973</w:t>
            </w:r>
          </w:p>
        </w:tc>
        <w:tc>
          <w:tcPr>
            <w:tcW w:w="1676" w:type="dxa"/>
            <w:tcBorders>
              <w:left w:val="dotted" w:sz="4" w:space="0" w:color="auto"/>
            </w:tcBorders>
            <w:shd w:val="clear" w:color="auto" w:fill="auto"/>
            <w:noWrap/>
            <w:vAlign w:val="center"/>
          </w:tcPr>
          <w:p>
            <w:pPr>
              <w:spacing w:before="60" w:after="60"/>
              <w:jc w:val="right"/>
              <w:rPr>
                <w:noProof/>
                <w:sz w:val="18"/>
                <w:szCs w:val="18"/>
              </w:rPr>
            </w:pPr>
            <w:r>
              <w:rPr>
                <w:noProof/>
                <w:sz w:val="18"/>
              </w:rPr>
              <w:t>57 825 528</w:t>
            </w:r>
          </w:p>
        </w:tc>
        <w:tc>
          <w:tcPr>
            <w:tcW w:w="1800" w:type="dxa"/>
            <w:tcBorders>
              <w:right w:val="dotted" w:sz="4" w:space="0" w:color="auto"/>
            </w:tcBorders>
            <w:shd w:val="clear" w:color="auto" w:fill="auto"/>
            <w:noWrap/>
          </w:tcPr>
          <w:p>
            <w:pPr>
              <w:spacing w:before="60" w:after="60"/>
              <w:rPr>
                <w:noProof/>
                <w:sz w:val="18"/>
                <w:szCs w:val="18"/>
              </w:rPr>
            </w:pPr>
          </w:p>
        </w:tc>
        <w:tc>
          <w:tcPr>
            <w:tcW w:w="1320" w:type="dxa"/>
            <w:gridSpan w:val="2"/>
            <w:tcBorders>
              <w:left w:val="dotted" w:sz="4" w:space="0" w:color="auto"/>
              <w:right w:val="double" w:sz="4" w:space="0" w:color="auto"/>
            </w:tcBorders>
            <w:shd w:val="clear" w:color="auto" w:fill="auto"/>
            <w:noWrap/>
          </w:tcPr>
          <w:p>
            <w:pPr>
              <w:spacing w:before="60" w:after="60"/>
              <w:jc w:val="right"/>
              <w:rPr>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4"/>
        </w:trPr>
        <w:tc>
          <w:tcPr>
            <w:tcW w:w="8816" w:type="dxa"/>
            <w:gridSpan w:val="6"/>
            <w:tcBorders>
              <w:left w:val="nil"/>
              <w:bottom w:val="nil"/>
              <w:right w:val="nil"/>
            </w:tcBorders>
            <w:shd w:val="clear" w:color="auto" w:fill="auto"/>
          </w:tcPr>
          <w:p>
            <w:pPr>
              <w:tabs>
                <w:tab w:val="left" w:pos="372"/>
              </w:tabs>
              <w:spacing w:after="0"/>
              <w:ind w:left="372" w:hanging="372"/>
              <w:jc w:val="both"/>
              <w:rPr>
                <w:rFonts w:ascii="Times New Roman" w:hAnsi="Times New Roman"/>
                <w:noProof/>
                <w:sz w:val="18"/>
                <w:szCs w:val="18"/>
              </w:rPr>
            </w:pPr>
            <w:r>
              <w:rPr>
                <w:rFonts w:ascii="Times New Roman" w:hAnsi="Times New Roman"/>
                <w:noProof/>
                <w:sz w:val="18"/>
              </w:rPr>
              <w:t>(1)</w:t>
            </w:r>
            <w:r>
              <w:rPr>
                <w:noProof/>
              </w:rPr>
              <w:tab/>
            </w:r>
            <w:r>
              <w:rPr>
                <w:rFonts w:ascii="Times New Roman" w:hAnsi="Times New Roman"/>
                <w:noProof/>
                <w:sz w:val="18"/>
              </w:rPr>
              <w:t>Бюджетни кредити, вписани в бюджета за 2015 г. след приспадане на целевите приходи, които се е очаквало да постъпят за 2015 г., и сумите, които се е очаквало да бъдат пренесени от 2014 към 2015 г. в съответствие с член 14 от Регламент (ЕС, Евратом) № 966/2012.</w:t>
            </w:r>
          </w:p>
          <w:p>
            <w:pPr>
              <w:tabs>
                <w:tab w:val="left" w:pos="372"/>
              </w:tabs>
              <w:spacing w:after="0"/>
              <w:ind w:left="372" w:hanging="372"/>
              <w:jc w:val="both"/>
              <w:rPr>
                <w:rFonts w:ascii="Times New Roman" w:hAnsi="Times New Roman"/>
                <w:noProof/>
                <w:sz w:val="18"/>
                <w:szCs w:val="18"/>
              </w:rPr>
            </w:pPr>
            <w:r>
              <w:rPr>
                <w:rFonts w:ascii="Times New Roman" w:hAnsi="Times New Roman"/>
                <w:noProof/>
                <w:sz w:val="18"/>
              </w:rPr>
              <w:t>(2)</w:t>
            </w:r>
            <w:r>
              <w:rPr>
                <w:noProof/>
              </w:rPr>
              <w:tab/>
            </w:r>
            <w:r>
              <w:rPr>
                <w:rFonts w:ascii="Times New Roman" w:hAnsi="Times New Roman"/>
                <w:noProof/>
                <w:sz w:val="18"/>
              </w:rPr>
              <w:t>ЦП: Целеви приходи, които се очаква да постъпят. Не са вписани суми от приходи в ред „Приходи“ (p.m.)</w:t>
            </w:r>
            <w:r>
              <w:rPr>
                <w:rFonts w:ascii="Times New Roman" w:hAnsi="Times New Roman"/>
                <w:noProof/>
                <w:sz w:val="18"/>
                <w:vertAlign w:val="superscript"/>
              </w:rPr>
              <w:footnoteReference w:id="4"/>
            </w:r>
            <w:r>
              <w:rPr>
                <w:rFonts w:ascii="Times New Roman" w:hAnsi="Times New Roman"/>
                <w:noProof/>
                <w:sz w:val="18"/>
              </w:rPr>
              <w:t>, но прогнозираната сума е посочена в коментарите по бюджетните редове.</w:t>
            </w:r>
          </w:p>
        </w:tc>
      </w:tr>
    </w:tbl>
    <w:p>
      <w:pPr>
        <w:pStyle w:val="ManualHeading3"/>
        <w:rPr>
          <w:bCs/>
          <w:iCs/>
          <w:noProof/>
        </w:rPr>
      </w:pPr>
      <w:bookmarkStart w:id="24" w:name="_Toc358122340"/>
      <w:r>
        <w:t>2.1.2.</w:t>
      </w:r>
      <w:r>
        <w:tab/>
      </w:r>
      <w:r>
        <w:rPr>
          <w:noProof/>
        </w:rPr>
        <w:t>Усвояване на разполагаемите бюджетни кредити за 2015 бюджетна година</w:t>
      </w:r>
      <w:bookmarkEnd w:id="22"/>
      <w:bookmarkEnd w:id="24"/>
    </w:p>
    <w:tbl>
      <w:tblPr>
        <w:tblW w:w="8280" w:type="dxa"/>
        <w:tblInd w:w="948" w:type="dxa"/>
        <w:tblLayout w:type="fixed"/>
        <w:tblLook w:val="01E0" w:firstRow="1" w:lastRow="1" w:firstColumn="1" w:lastColumn="1" w:noHBand="0" w:noVBand="0"/>
      </w:tblPr>
      <w:tblGrid>
        <w:gridCol w:w="3960"/>
        <w:gridCol w:w="2160"/>
        <w:gridCol w:w="2160"/>
      </w:tblGrid>
      <w:tr>
        <w:tc>
          <w:tcPr>
            <w:tcW w:w="8280" w:type="dxa"/>
            <w:gridSpan w:val="3"/>
            <w:shd w:val="clear" w:color="auto" w:fill="auto"/>
          </w:tcPr>
          <w:p>
            <w:pPr>
              <w:keepNext/>
              <w:keepLines/>
              <w:spacing w:after="0"/>
              <w:jc w:val="right"/>
              <w:rPr>
                <w:i/>
                <w:noProof/>
                <w:sz w:val="20"/>
              </w:rPr>
            </w:pPr>
            <w:r>
              <w:rPr>
                <w:i/>
                <w:noProof/>
                <w:sz w:val="20"/>
              </w:rPr>
              <w:t>в EUR</w:t>
            </w:r>
          </w:p>
        </w:tc>
      </w:tr>
      <w:tr>
        <w:tblPrEx>
          <w:tblLook w:val="0000" w:firstRow="0" w:lastRow="0" w:firstColumn="0" w:lastColumn="0" w:noHBand="0" w:noVBand="0"/>
        </w:tblPrEx>
        <w:trPr>
          <w:trHeight w:val="525"/>
        </w:trPr>
        <w:tc>
          <w:tcPr>
            <w:tcW w:w="3960" w:type="dxa"/>
            <w:tcBorders>
              <w:top w:val="double" w:sz="4" w:space="0" w:color="auto"/>
              <w:left w:val="double" w:sz="4" w:space="0" w:color="auto"/>
              <w:bottom w:val="single" w:sz="4" w:space="0" w:color="auto"/>
              <w:right w:val="single" w:sz="4" w:space="0" w:color="auto"/>
            </w:tcBorders>
            <w:shd w:val="clear" w:color="auto" w:fill="99CC00"/>
            <w:noWrap/>
          </w:tcPr>
          <w:p>
            <w:pPr>
              <w:spacing w:before="240" w:after="60"/>
              <w:jc w:val="center"/>
              <w:rPr>
                <w:b/>
                <w:bCs/>
                <w:noProof/>
              </w:rPr>
            </w:pPr>
          </w:p>
        </w:tc>
        <w:tc>
          <w:tcPr>
            <w:tcW w:w="2160" w:type="dxa"/>
            <w:tcBorders>
              <w:top w:val="double" w:sz="4" w:space="0" w:color="auto"/>
              <w:left w:val="single" w:sz="4" w:space="0" w:color="auto"/>
              <w:bottom w:val="single" w:sz="4" w:space="0" w:color="auto"/>
              <w:right w:val="single" w:sz="4" w:space="0" w:color="auto"/>
            </w:tcBorders>
            <w:shd w:val="clear" w:color="auto" w:fill="99CC00"/>
            <w:vAlign w:val="center"/>
          </w:tcPr>
          <w:p>
            <w:pPr>
              <w:spacing w:after="0"/>
              <w:jc w:val="center"/>
              <w:rPr>
                <w:b/>
                <w:noProof/>
                <w:sz w:val="18"/>
                <w:szCs w:val="18"/>
              </w:rPr>
            </w:pPr>
            <w:r>
              <w:rPr>
                <w:b/>
                <w:noProof/>
                <w:sz w:val="18"/>
              </w:rPr>
              <w:t>Усвояване на бюджетните кредити за поети задължения</w:t>
            </w:r>
          </w:p>
        </w:tc>
        <w:tc>
          <w:tcPr>
            <w:tcW w:w="2160" w:type="dxa"/>
            <w:tcBorders>
              <w:top w:val="double" w:sz="4" w:space="0" w:color="auto"/>
              <w:left w:val="single" w:sz="4" w:space="0" w:color="auto"/>
              <w:bottom w:val="single" w:sz="4" w:space="0" w:color="auto"/>
              <w:right w:val="double" w:sz="4" w:space="0" w:color="auto"/>
            </w:tcBorders>
            <w:shd w:val="clear" w:color="auto" w:fill="99CC00"/>
            <w:vAlign w:val="center"/>
          </w:tcPr>
          <w:p>
            <w:pPr>
              <w:spacing w:after="0"/>
              <w:jc w:val="center"/>
              <w:rPr>
                <w:b/>
                <w:noProof/>
                <w:sz w:val="18"/>
                <w:szCs w:val="18"/>
              </w:rPr>
            </w:pPr>
            <w:r>
              <w:rPr>
                <w:b/>
                <w:noProof/>
                <w:sz w:val="18"/>
              </w:rPr>
              <w:t>Усвояване на бюджетните кредити за плащания</w:t>
            </w:r>
          </w:p>
        </w:tc>
      </w:tr>
      <w:tr>
        <w:tblPrEx>
          <w:tblLook w:val="0000" w:firstRow="0" w:lastRow="0" w:firstColumn="0" w:lastColumn="0" w:noHBand="0" w:noVBand="0"/>
        </w:tblPrEx>
        <w:trPr>
          <w:trHeight w:val="540"/>
        </w:trPr>
        <w:tc>
          <w:tcPr>
            <w:tcW w:w="3960" w:type="dxa"/>
            <w:tcBorders>
              <w:top w:val="single" w:sz="4" w:space="0" w:color="auto"/>
              <w:left w:val="double" w:sz="6" w:space="0" w:color="auto"/>
              <w:bottom w:val="nil"/>
              <w:right w:val="nil"/>
            </w:tcBorders>
            <w:shd w:val="clear" w:color="auto" w:fill="auto"/>
          </w:tcPr>
          <w:p>
            <w:pPr>
              <w:spacing w:before="300" w:after="60"/>
              <w:rPr>
                <w:noProof/>
                <w:sz w:val="20"/>
                <w:szCs w:val="20"/>
              </w:rPr>
            </w:pPr>
            <w:r>
              <w:rPr>
                <w:noProof/>
                <w:sz w:val="20"/>
              </w:rPr>
              <w:t>Споделено управление (1)</w:t>
            </w:r>
          </w:p>
        </w:tc>
        <w:tc>
          <w:tcPr>
            <w:tcW w:w="2160" w:type="dxa"/>
            <w:tcBorders>
              <w:top w:val="single" w:sz="4" w:space="0" w:color="auto"/>
              <w:left w:val="single" w:sz="4" w:space="0" w:color="auto"/>
              <w:bottom w:val="nil"/>
              <w:right w:val="nil"/>
            </w:tcBorders>
            <w:shd w:val="clear" w:color="auto" w:fill="auto"/>
            <w:noWrap/>
          </w:tcPr>
          <w:p>
            <w:pPr>
              <w:tabs>
                <w:tab w:val="left" w:pos="502"/>
              </w:tabs>
              <w:spacing w:before="300" w:after="60"/>
              <w:jc w:val="right"/>
              <w:rPr>
                <w:noProof/>
                <w:sz w:val="18"/>
                <w:szCs w:val="18"/>
              </w:rPr>
            </w:pPr>
            <w:r>
              <w:rPr>
                <w:noProof/>
                <w:sz w:val="18"/>
              </w:rPr>
              <w:t>44 883 460 321,82</w:t>
            </w:r>
          </w:p>
        </w:tc>
        <w:tc>
          <w:tcPr>
            <w:tcW w:w="2160" w:type="dxa"/>
            <w:tcBorders>
              <w:top w:val="single" w:sz="4" w:space="0" w:color="auto"/>
              <w:left w:val="single" w:sz="4" w:space="0" w:color="auto"/>
              <w:bottom w:val="nil"/>
              <w:right w:val="double" w:sz="6" w:space="0" w:color="auto"/>
            </w:tcBorders>
            <w:shd w:val="clear" w:color="auto" w:fill="auto"/>
            <w:noWrap/>
          </w:tcPr>
          <w:p>
            <w:pPr>
              <w:spacing w:before="300" w:after="60"/>
              <w:jc w:val="right"/>
              <w:rPr>
                <w:noProof/>
                <w:sz w:val="18"/>
                <w:szCs w:val="18"/>
              </w:rPr>
            </w:pPr>
            <w:r>
              <w:rPr>
                <w:noProof/>
                <w:sz w:val="18"/>
              </w:rPr>
              <w:t>44 883 460 321,82</w:t>
            </w:r>
          </w:p>
        </w:tc>
      </w:tr>
      <w:tr>
        <w:tblPrEx>
          <w:tblLook w:val="0000" w:firstRow="0" w:lastRow="0" w:firstColumn="0" w:lastColumn="0" w:noHBand="0" w:noVBand="0"/>
        </w:tblPrEx>
        <w:trPr>
          <w:trHeight w:val="495"/>
        </w:trPr>
        <w:tc>
          <w:tcPr>
            <w:tcW w:w="3960" w:type="dxa"/>
            <w:tcBorders>
              <w:top w:val="nil"/>
              <w:left w:val="double" w:sz="6" w:space="0" w:color="auto"/>
              <w:bottom w:val="nil"/>
              <w:right w:val="nil"/>
            </w:tcBorders>
            <w:shd w:val="clear" w:color="auto" w:fill="auto"/>
          </w:tcPr>
          <w:p>
            <w:pPr>
              <w:spacing w:after="0"/>
              <w:rPr>
                <w:noProof/>
                <w:sz w:val="20"/>
                <w:szCs w:val="20"/>
              </w:rPr>
            </w:pPr>
            <w:r>
              <w:rPr>
                <w:noProof/>
                <w:sz w:val="20"/>
              </w:rPr>
              <w:t>Разходи при пряко управление</w:t>
            </w:r>
          </w:p>
        </w:tc>
        <w:tc>
          <w:tcPr>
            <w:tcW w:w="2160" w:type="dxa"/>
            <w:tcBorders>
              <w:top w:val="nil"/>
              <w:left w:val="single" w:sz="4" w:space="0" w:color="auto"/>
              <w:bottom w:val="nil"/>
              <w:right w:val="nil"/>
            </w:tcBorders>
            <w:shd w:val="clear" w:color="auto" w:fill="auto"/>
            <w:noWrap/>
          </w:tcPr>
          <w:p>
            <w:pPr>
              <w:jc w:val="right"/>
              <w:rPr>
                <w:noProof/>
                <w:sz w:val="18"/>
                <w:szCs w:val="18"/>
              </w:rPr>
            </w:pPr>
            <w:r>
              <w:rPr>
                <w:noProof/>
                <w:sz w:val="18"/>
              </w:rPr>
              <w:t>64 654 779,75</w:t>
            </w:r>
          </w:p>
        </w:tc>
        <w:tc>
          <w:tcPr>
            <w:tcW w:w="2160" w:type="dxa"/>
            <w:tcBorders>
              <w:top w:val="nil"/>
              <w:left w:val="single" w:sz="4" w:space="0" w:color="auto"/>
              <w:bottom w:val="nil"/>
              <w:right w:val="double" w:sz="6" w:space="0" w:color="auto"/>
            </w:tcBorders>
            <w:shd w:val="clear" w:color="auto" w:fill="auto"/>
            <w:noWrap/>
          </w:tcPr>
          <w:p>
            <w:pPr>
              <w:jc w:val="right"/>
              <w:rPr>
                <w:noProof/>
                <w:sz w:val="18"/>
                <w:szCs w:val="18"/>
              </w:rPr>
            </w:pPr>
            <w:r>
              <w:rPr>
                <w:noProof/>
                <w:sz w:val="18"/>
              </w:rPr>
              <w:t xml:space="preserve">56 154 302,09 </w:t>
            </w:r>
          </w:p>
        </w:tc>
      </w:tr>
      <w:tr>
        <w:tblPrEx>
          <w:tblLook w:val="0000" w:firstRow="0" w:lastRow="0" w:firstColumn="0" w:lastColumn="0" w:noHBand="0" w:noVBand="0"/>
        </w:tblPrEx>
        <w:trPr>
          <w:trHeight w:val="360"/>
        </w:trPr>
        <w:tc>
          <w:tcPr>
            <w:tcW w:w="3960" w:type="dxa"/>
            <w:tcBorders>
              <w:top w:val="nil"/>
              <w:left w:val="double" w:sz="6" w:space="0" w:color="auto"/>
              <w:bottom w:val="double" w:sz="6" w:space="0" w:color="auto"/>
              <w:right w:val="nil"/>
            </w:tcBorders>
            <w:shd w:val="clear" w:color="auto" w:fill="auto"/>
            <w:noWrap/>
          </w:tcPr>
          <w:p>
            <w:pPr>
              <w:spacing w:after="0"/>
              <w:rPr>
                <w:i/>
                <w:noProof/>
                <w:sz w:val="20"/>
                <w:szCs w:val="20"/>
              </w:rPr>
            </w:pPr>
            <w:r>
              <w:rPr>
                <w:b/>
                <w:noProof/>
                <w:sz w:val="20"/>
              </w:rPr>
              <w:t>Общо</w:t>
            </w:r>
          </w:p>
          <w:p>
            <w:pPr>
              <w:spacing w:after="0"/>
              <w:rPr>
                <w:rFonts w:ascii="Arial Narrow" w:hAnsi="Arial Narrow"/>
                <w:b/>
                <w:noProof/>
                <w:sz w:val="20"/>
                <w:szCs w:val="20"/>
              </w:rPr>
            </w:pPr>
          </w:p>
        </w:tc>
        <w:tc>
          <w:tcPr>
            <w:tcW w:w="2160" w:type="dxa"/>
            <w:tcBorders>
              <w:top w:val="nil"/>
              <w:left w:val="single" w:sz="4" w:space="0" w:color="auto"/>
              <w:bottom w:val="double" w:sz="6" w:space="0" w:color="auto"/>
              <w:right w:val="nil"/>
            </w:tcBorders>
            <w:shd w:val="clear" w:color="auto" w:fill="auto"/>
            <w:noWrap/>
          </w:tcPr>
          <w:p>
            <w:pPr>
              <w:tabs>
                <w:tab w:val="center" w:pos="1712"/>
              </w:tabs>
              <w:ind w:left="54" w:right="48" w:firstLine="337"/>
              <w:jc w:val="right"/>
              <w:rPr>
                <w:b/>
                <w:noProof/>
                <w:sz w:val="18"/>
                <w:szCs w:val="18"/>
              </w:rPr>
            </w:pPr>
            <w:r>
              <w:rPr>
                <w:b/>
                <w:noProof/>
                <w:sz w:val="18"/>
              </w:rPr>
              <w:t>44 948 115 101,57</w:t>
            </w:r>
          </w:p>
        </w:tc>
        <w:tc>
          <w:tcPr>
            <w:tcW w:w="2160" w:type="dxa"/>
            <w:tcBorders>
              <w:top w:val="nil"/>
              <w:left w:val="single" w:sz="4" w:space="0" w:color="auto"/>
              <w:bottom w:val="double" w:sz="6" w:space="0" w:color="auto"/>
              <w:right w:val="double" w:sz="6" w:space="0" w:color="auto"/>
            </w:tcBorders>
            <w:shd w:val="clear" w:color="auto" w:fill="auto"/>
            <w:noWrap/>
          </w:tcPr>
          <w:p>
            <w:pPr>
              <w:jc w:val="right"/>
              <w:rPr>
                <w:b/>
                <w:noProof/>
                <w:sz w:val="18"/>
                <w:szCs w:val="18"/>
              </w:rPr>
            </w:pPr>
            <w:r>
              <w:rPr>
                <w:b/>
                <w:noProof/>
                <w:sz w:val="18"/>
              </w:rPr>
              <w:t xml:space="preserve">44 939 614 623,91 </w:t>
            </w:r>
          </w:p>
        </w:tc>
      </w:tr>
    </w:tbl>
    <w:p>
      <w:pPr>
        <w:ind w:left="850"/>
        <w:rPr>
          <w:noProof/>
          <w:sz w:val="18"/>
          <w:szCs w:val="18"/>
        </w:rPr>
      </w:pPr>
      <w:r>
        <w:rPr>
          <w:noProof/>
          <w:sz w:val="18"/>
        </w:rPr>
        <w:t xml:space="preserve"> (1) Суми, за които е поето задължение. Поети задължения и извършени плащания минус целеви приходи от 1 631 635 502,23 EUR (вж. точка 5 и приложение 4-I), получени за споделено управление: 43 251 824 819,59 EUR.</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За 2015 бюджетна година действително усвоените бюджетни кредити за поети задължения възлизат на 44 948 115 101,57 EUR, а действително усвоените бюджетни кредити за плащания — на 44 939 614 623,91 EUR.</w:t>
      </w:r>
    </w:p>
    <w:p>
      <w:pPr>
        <w:pStyle w:val="ManualHeading3"/>
        <w:rPr>
          <w:bCs/>
          <w:iCs/>
          <w:noProof/>
        </w:rPr>
      </w:pPr>
      <w:bookmarkStart w:id="25" w:name="_Toc322938569"/>
      <w:bookmarkStart w:id="26" w:name="_Toc358122341"/>
      <w:r>
        <w:t>2.1.3.</w:t>
      </w:r>
      <w:r>
        <w:tab/>
      </w:r>
      <w:r>
        <w:rPr>
          <w:noProof/>
        </w:rPr>
        <w:t>Усвояване на гласуваните бюджетни кредити — разходи при пряко управление, извършени от Комисията</w:t>
      </w:r>
      <w:bookmarkEnd w:id="25"/>
      <w:bookmarkEnd w:id="26"/>
      <w:r>
        <w:rPr>
          <w:noProof/>
        </w:rPr>
        <w:t xml:space="preserve"> </w:t>
      </w:r>
    </w:p>
    <w:tbl>
      <w:tblPr>
        <w:tblW w:w="8516" w:type="dxa"/>
        <w:tblInd w:w="948" w:type="dxa"/>
        <w:tblLayout w:type="fixed"/>
        <w:tblLook w:val="01E0" w:firstRow="1" w:lastRow="1" w:firstColumn="1" w:lastColumn="1" w:noHBand="0" w:noVBand="0"/>
      </w:tblPr>
      <w:tblGrid>
        <w:gridCol w:w="2280"/>
        <w:gridCol w:w="1560"/>
        <w:gridCol w:w="1440"/>
        <w:gridCol w:w="1560"/>
        <w:gridCol w:w="1440"/>
        <w:gridCol w:w="236"/>
      </w:tblGrid>
      <w:tr>
        <w:trPr>
          <w:gridAfter w:val="1"/>
          <w:wAfter w:w="236" w:type="dxa"/>
        </w:trPr>
        <w:tc>
          <w:tcPr>
            <w:tcW w:w="8280" w:type="dxa"/>
            <w:gridSpan w:val="5"/>
            <w:shd w:val="clear" w:color="auto" w:fill="auto"/>
          </w:tcPr>
          <w:p>
            <w:pPr>
              <w:keepNext/>
              <w:keepLines/>
              <w:spacing w:after="0"/>
              <w:jc w:val="right"/>
              <w:rPr>
                <w:i/>
                <w:noProof/>
                <w:sz w:val="20"/>
              </w:rPr>
            </w:pPr>
            <w:r>
              <w:rPr>
                <w:i/>
                <w:noProof/>
                <w:sz w:val="20"/>
              </w:rPr>
              <w:t>в EUR</w:t>
            </w:r>
          </w:p>
        </w:tc>
      </w:tr>
      <w:tr>
        <w:tblPrEx>
          <w:tblLook w:val="0000" w:firstRow="0" w:lastRow="0" w:firstColumn="0" w:lastColumn="0" w:noHBand="0" w:noVBand="0"/>
        </w:tblPrEx>
        <w:trPr>
          <w:trHeight w:val="450"/>
        </w:trPr>
        <w:tc>
          <w:tcPr>
            <w:tcW w:w="2280" w:type="dxa"/>
            <w:tcBorders>
              <w:top w:val="double" w:sz="4" w:space="0" w:color="auto"/>
              <w:left w:val="double" w:sz="4" w:space="0" w:color="auto"/>
              <w:bottom w:val="single" w:sz="4" w:space="0" w:color="auto"/>
            </w:tcBorders>
            <w:shd w:val="clear" w:color="auto" w:fill="99CC00"/>
            <w:noWrap/>
            <w:vAlign w:val="center"/>
          </w:tcPr>
          <w:p>
            <w:pPr>
              <w:jc w:val="center"/>
              <w:rPr>
                <w:noProof/>
                <w:sz w:val="20"/>
                <w:szCs w:val="20"/>
              </w:rPr>
            </w:pPr>
            <w:r>
              <w:rPr>
                <w:b/>
                <w:noProof/>
                <w:sz w:val="20"/>
              </w:rPr>
              <w:t>Разходи при пряко управление</w:t>
            </w:r>
          </w:p>
        </w:tc>
        <w:tc>
          <w:tcPr>
            <w:tcW w:w="1560" w:type="dxa"/>
            <w:tcBorders>
              <w:top w:val="double" w:sz="4" w:space="0" w:color="auto"/>
              <w:bottom w:val="single" w:sz="4" w:space="0" w:color="auto"/>
            </w:tcBorders>
            <w:shd w:val="clear" w:color="auto" w:fill="99CC00"/>
            <w:noWrap/>
            <w:vAlign w:val="center"/>
          </w:tcPr>
          <w:p>
            <w:pPr>
              <w:spacing w:after="160"/>
              <w:jc w:val="center"/>
              <w:rPr>
                <w:bCs/>
                <w:noProof/>
                <w:sz w:val="18"/>
                <w:szCs w:val="18"/>
              </w:rPr>
            </w:pPr>
            <w:r>
              <w:rPr>
                <w:noProof/>
                <w:sz w:val="18"/>
              </w:rPr>
              <w:t>Бюджетни кредити за поети задължения</w:t>
            </w:r>
          </w:p>
        </w:tc>
        <w:tc>
          <w:tcPr>
            <w:tcW w:w="1440" w:type="dxa"/>
            <w:tcBorders>
              <w:top w:val="double" w:sz="4" w:space="0" w:color="auto"/>
              <w:bottom w:val="single" w:sz="4" w:space="0" w:color="auto"/>
            </w:tcBorders>
            <w:shd w:val="clear" w:color="auto" w:fill="99CC00"/>
            <w:noWrap/>
            <w:vAlign w:val="center"/>
          </w:tcPr>
          <w:p>
            <w:pPr>
              <w:spacing w:after="160"/>
              <w:jc w:val="center"/>
              <w:rPr>
                <w:bCs/>
                <w:noProof/>
                <w:sz w:val="18"/>
                <w:szCs w:val="18"/>
              </w:rPr>
            </w:pPr>
            <w:r>
              <w:rPr>
                <w:noProof/>
                <w:sz w:val="18"/>
              </w:rPr>
              <w:t>Отмяна на поети бюджетни задължения</w:t>
            </w:r>
          </w:p>
        </w:tc>
        <w:tc>
          <w:tcPr>
            <w:tcW w:w="1560" w:type="dxa"/>
            <w:tcBorders>
              <w:top w:val="double" w:sz="4" w:space="0" w:color="auto"/>
              <w:bottom w:val="single" w:sz="4" w:space="0" w:color="auto"/>
            </w:tcBorders>
            <w:shd w:val="clear" w:color="auto" w:fill="99CC00"/>
            <w:noWrap/>
            <w:vAlign w:val="center"/>
          </w:tcPr>
          <w:p>
            <w:pPr>
              <w:spacing w:after="160"/>
              <w:jc w:val="center"/>
              <w:rPr>
                <w:bCs/>
                <w:noProof/>
                <w:sz w:val="18"/>
                <w:szCs w:val="18"/>
              </w:rPr>
            </w:pPr>
            <w:r>
              <w:rPr>
                <w:noProof/>
                <w:sz w:val="18"/>
              </w:rPr>
              <w:t>Бюджетни кредити за плащания</w:t>
            </w:r>
          </w:p>
        </w:tc>
        <w:tc>
          <w:tcPr>
            <w:tcW w:w="1676" w:type="dxa"/>
            <w:gridSpan w:val="2"/>
            <w:tcBorders>
              <w:top w:val="double" w:sz="4" w:space="0" w:color="auto"/>
              <w:bottom w:val="single" w:sz="4" w:space="0" w:color="auto"/>
              <w:right w:val="double" w:sz="4" w:space="0" w:color="auto"/>
            </w:tcBorders>
            <w:shd w:val="clear" w:color="auto" w:fill="99CC00"/>
            <w:vAlign w:val="center"/>
          </w:tcPr>
          <w:p>
            <w:pPr>
              <w:spacing w:before="240" w:after="0"/>
              <w:jc w:val="center"/>
              <w:rPr>
                <w:bCs/>
                <w:noProof/>
                <w:sz w:val="18"/>
                <w:szCs w:val="18"/>
              </w:rPr>
            </w:pPr>
            <w:r>
              <w:rPr>
                <w:noProof/>
                <w:sz w:val="18"/>
              </w:rPr>
              <w:t>Пренасяне към 2016 г. (2)</w:t>
            </w:r>
          </w:p>
        </w:tc>
      </w:tr>
      <w:tr>
        <w:tblPrEx>
          <w:tblLook w:val="0000" w:firstRow="0" w:lastRow="0" w:firstColumn="0" w:lastColumn="0" w:noHBand="0" w:noVBand="0"/>
        </w:tblPrEx>
        <w:trPr>
          <w:trHeight w:val="255"/>
        </w:trPr>
        <w:tc>
          <w:tcPr>
            <w:tcW w:w="2280" w:type="dxa"/>
            <w:tcBorders>
              <w:top w:val="single" w:sz="4" w:space="0" w:color="auto"/>
              <w:left w:val="double" w:sz="4" w:space="0" w:color="auto"/>
            </w:tcBorders>
            <w:shd w:val="clear" w:color="auto" w:fill="auto"/>
            <w:noWrap/>
            <w:vAlign w:val="bottom"/>
          </w:tcPr>
          <w:p>
            <w:pPr>
              <w:spacing w:before="60" w:after="60"/>
              <w:rPr>
                <w:noProof/>
                <w:sz w:val="18"/>
                <w:szCs w:val="18"/>
              </w:rPr>
            </w:pPr>
            <w:r>
              <w:rPr>
                <w:noProof/>
                <w:sz w:val="18"/>
              </w:rPr>
              <w:t>Бюджетни кредити (C1) (1)</w:t>
            </w:r>
          </w:p>
        </w:tc>
        <w:tc>
          <w:tcPr>
            <w:tcW w:w="1560" w:type="dxa"/>
            <w:tcBorders>
              <w:top w:val="single" w:sz="4" w:space="0" w:color="auto"/>
            </w:tcBorders>
            <w:shd w:val="clear" w:color="auto" w:fill="auto"/>
            <w:noWrap/>
            <w:vAlign w:val="bottom"/>
          </w:tcPr>
          <w:p>
            <w:pPr>
              <w:spacing w:after="0"/>
              <w:jc w:val="right"/>
              <w:rPr>
                <w:noProof/>
                <w:sz w:val="18"/>
                <w:szCs w:val="18"/>
              </w:rPr>
            </w:pPr>
            <w:r>
              <w:rPr>
                <w:noProof/>
                <w:sz w:val="18"/>
              </w:rPr>
              <w:t>66 088 973,00</w:t>
            </w:r>
          </w:p>
        </w:tc>
        <w:tc>
          <w:tcPr>
            <w:tcW w:w="1440" w:type="dxa"/>
            <w:tcBorders>
              <w:top w:val="single" w:sz="4" w:space="0" w:color="auto"/>
            </w:tcBorders>
            <w:shd w:val="clear" w:color="auto" w:fill="auto"/>
            <w:noWrap/>
            <w:vAlign w:val="bottom"/>
          </w:tcPr>
          <w:p>
            <w:pPr>
              <w:spacing w:before="60" w:after="60"/>
              <w:jc w:val="center"/>
              <w:rPr>
                <w:noProof/>
                <w:sz w:val="18"/>
                <w:szCs w:val="18"/>
              </w:rPr>
            </w:pPr>
            <w:r>
              <w:rPr>
                <w:noProof/>
                <w:sz w:val="18"/>
              </w:rPr>
              <w:t>-</w:t>
            </w:r>
          </w:p>
        </w:tc>
        <w:tc>
          <w:tcPr>
            <w:tcW w:w="1560" w:type="dxa"/>
            <w:tcBorders>
              <w:top w:val="single" w:sz="4" w:space="0" w:color="auto"/>
            </w:tcBorders>
            <w:shd w:val="clear" w:color="auto" w:fill="auto"/>
            <w:noWrap/>
            <w:vAlign w:val="bottom"/>
          </w:tcPr>
          <w:p>
            <w:pPr>
              <w:spacing w:after="0"/>
              <w:jc w:val="right"/>
              <w:rPr>
                <w:noProof/>
                <w:sz w:val="18"/>
                <w:szCs w:val="18"/>
              </w:rPr>
            </w:pPr>
            <w:r>
              <w:rPr>
                <w:noProof/>
                <w:sz w:val="18"/>
              </w:rPr>
              <w:t>57 825 528,22</w:t>
            </w:r>
          </w:p>
        </w:tc>
        <w:tc>
          <w:tcPr>
            <w:tcW w:w="1676" w:type="dxa"/>
            <w:gridSpan w:val="2"/>
            <w:tcBorders>
              <w:top w:val="single" w:sz="4" w:space="0" w:color="auto"/>
              <w:right w:val="double" w:sz="4" w:space="0" w:color="auto"/>
            </w:tcBorders>
            <w:shd w:val="clear" w:color="auto" w:fill="auto"/>
            <w:noWrap/>
            <w:vAlign w:val="bottom"/>
          </w:tcPr>
          <w:p>
            <w:pPr>
              <w:spacing w:before="60" w:after="60"/>
              <w:jc w:val="center"/>
              <w:rPr>
                <w:noProof/>
                <w:sz w:val="18"/>
                <w:szCs w:val="18"/>
              </w:rPr>
            </w:pPr>
            <w:r>
              <w:rPr>
                <w:noProof/>
                <w:sz w:val="18"/>
              </w:rPr>
              <w:t>-</w:t>
            </w:r>
          </w:p>
        </w:tc>
      </w:tr>
      <w:tr>
        <w:tblPrEx>
          <w:tblLook w:val="0000" w:firstRow="0" w:lastRow="0" w:firstColumn="0" w:lastColumn="0" w:noHBand="0" w:noVBand="0"/>
        </w:tblPrEx>
        <w:trPr>
          <w:trHeight w:val="255"/>
        </w:trPr>
        <w:tc>
          <w:tcPr>
            <w:tcW w:w="2280" w:type="dxa"/>
            <w:tcBorders>
              <w:left w:val="double" w:sz="4" w:space="0" w:color="auto"/>
            </w:tcBorders>
            <w:shd w:val="clear" w:color="auto" w:fill="auto"/>
            <w:noWrap/>
            <w:vAlign w:val="bottom"/>
          </w:tcPr>
          <w:p>
            <w:pPr>
              <w:spacing w:before="60" w:after="60"/>
              <w:rPr>
                <w:noProof/>
                <w:sz w:val="18"/>
                <w:szCs w:val="18"/>
              </w:rPr>
            </w:pPr>
            <w:r>
              <w:rPr>
                <w:noProof/>
                <w:sz w:val="18"/>
              </w:rPr>
              <w:t>Усвояване (C1)</w:t>
            </w:r>
          </w:p>
        </w:tc>
        <w:tc>
          <w:tcPr>
            <w:tcW w:w="1560" w:type="dxa"/>
            <w:shd w:val="clear" w:color="auto" w:fill="auto"/>
            <w:noWrap/>
            <w:vAlign w:val="bottom"/>
          </w:tcPr>
          <w:p>
            <w:pPr>
              <w:spacing w:after="0"/>
              <w:jc w:val="right"/>
              <w:rPr>
                <w:noProof/>
                <w:sz w:val="18"/>
                <w:szCs w:val="18"/>
              </w:rPr>
            </w:pPr>
            <w:r>
              <w:rPr>
                <w:noProof/>
                <w:sz w:val="18"/>
              </w:rPr>
              <w:t>64 654 779,75</w:t>
            </w:r>
          </w:p>
        </w:tc>
        <w:tc>
          <w:tcPr>
            <w:tcW w:w="1440" w:type="dxa"/>
            <w:shd w:val="clear" w:color="auto" w:fill="auto"/>
            <w:noWrap/>
            <w:vAlign w:val="bottom"/>
          </w:tcPr>
          <w:p>
            <w:pPr>
              <w:spacing w:before="60" w:after="60"/>
              <w:jc w:val="center"/>
              <w:rPr>
                <w:noProof/>
                <w:sz w:val="18"/>
                <w:szCs w:val="18"/>
              </w:rPr>
            </w:pPr>
            <w:r>
              <w:rPr>
                <w:noProof/>
                <w:sz w:val="18"/>
              </w:rPr>
              <w:t>-</w:t>
            </w:r>
          </w:p>
        </w:tc>
        <w:tc>
          <w:tcPr>
            <w:tcW w:w="1560" w:type="dxa"/>
            <w:shd w:val="clear" w:color="auto" w:fill="auto"/>
            <w:noWrap/>
            <w:vAlign w:val="bottom"/>
          </w:tcPr>
          <w:p>
            <w:pPr>
              <w:spacing w:after="0"/>
              <w:jc w:val="right"/>
              <w:rPr>
                <w:noProof/>
                <w:sz w:val="18"/>
                <w:szCs w:val="18"/>
              </w:rPr>
            </w:pPr>
            <w:r>
              <w:rPr>
                <w:noProof/>
                <w:sz w:val="18"/>
              </w:rPr>
              <w:t>41 675 092,27</w:t>
            </w:r>
          </w:p>
        </w:tc>
        <w:tc>
          <w:tcPr>
            <w:tcW w:w="1676" w:type="dxa"/>
            <w:gridSpan w:val="2"/>
            <w:tcBorders>
              <w:right w:val="double" w:sz="4" w:space="0" w:color="auto"/>
            </w:tcBorders>
            <w:shd w:val="clear" w:color="auto" w:fill="auto"/>
            <w:noWrap/>
            <w:vAlign w:val="center"/>
          </w:tcPr>
          <w:p>
            <w:pPr>
              <w:spacing w:before="60" w:after="60"/>
              <w:jc w:val="center"/>
              <w:rPr>
                <w:noProof/>
                <w:sz w:val="18"/>
                <w:szCs w:val="18"/>
              </w:rPr>
            </w:pPr>
            <w:r>
              <w:rPr>
                <w:noProof/>
                <w:sz w:val="18"/>
              </w:rPr>
              <w:t>13 821 274,51</w:t>
            </w:r>
          </w:p>
        </w:tc>
      </w:tr>
      <w:tr>
        <w:tblPrEx>
          <w:tblLook w:val="0000" w:firstRow="0" w:lastRow="0" w:firstColumn="0" w:lastColumn="0" w:noHBand="0" w:noVBand="0"/>
        </w:tblPrEx>
        <w:trPr>
          <w:trHeight w:val="255"/>
        </w:trPr>
        <w:tc>
          <w:tcPr>
            <w:tcW w:w="2280" w:type="dxa"/>
            <w:tcBorders>
              <w:left w:val="double" w:sz="4" w:space="0" w:color="auto"/>
              <w:bottom w:val="double" w:sz="4" w:space="0" w:color="auto"/>
            </w:tcBorders>
            <w:shd w:val="clear" w:color="auto" w:fill="auto"/>
            <w:noWrap/>
            <w:vAlign w:val="bottom"/>
          </w:tcPr>
          <w:p>
            <w:pPr>
              <w:spacing w:before="60"/>
              <w:rPr>
                <w:noProof/>
                <w:sz w:val="18"/>
                <w:szCs w:val="18"/>
              </w:rPr>
            </w:pPr>
            <w:r>
              <w:rPr>
                <w:noProof/>
                <w:sz w:val="18"/>
              </w:rPr>
              <w:t xml:space="preserve">Освободени бюджетни кредити </w:t>
            </w:r>
          </w:p>
        </w:tc>
        <w:tc>
          <w:tcPr>
            <w:tcW w:w="1560" w:type="dxa"/>
            <w:tcBorders>
              <w:bottom w:val="double" w:sz="4" w:space="0" w:color="auto"/>
            </w:tcBorders>
            <w:shd w:val="clear" w:color="auto" w:fill="auto"/>
            <w:noWrap/>
            <w:vAlign w:val="bottom"/>
          </w:tcPr>
          <w:p>
            <w:pPr>
              <w:jc w:val="right"/>
              <w:rPr>
                <w:noProof/>
                <w:sz w:val="18"/>
                <w:szCs w:val="18"/>
              </w:rPr>
            </w:pPr>
            <w:r>
              <w:rPr>
                <w:noProof/>
                <w:sz w:val="18"/>
              </w:rPr>
              <w:t>1 434 193,25</w:t>
            </w:r>
          </w:p>
        </w:tc>
        <w:tc>
          <w:tcPr>
            <w:tcW w:w="1440" w:type="dxa"/>
            <w:tcBorders>
              <w:bottom w:val="double" w:sz="4" w:space="0" w:color="auto"/>
            </w:tcBorders>
            <w:shd w:val="clear" w:color="auto" w:fill="auto"/>
            <w:noWrap/>
            <w:vAlign w:val="bottom"/>
          </w:tcPr>
          <w:p>
            <w:pPr>
              <w:spacing w:before="60"/>
              <w:jc w:val="center"/>
              <w:rPr>
                <w:noProof/>
                <w:sz w:val="18"/>
                <w:szCs w:val="18"/>
              </w:rPr>
            </w:pPr>
            <w:r>
              <w:rPr>
                <w:noProof/>
                <w:sz w:val="18"/>
              </w:rPr>
              <w:t>-</w:t>
            </w:r>
          </w:p>
        </w:tc>
        <w:tc>
          <w:tcPr>
            <w:tcW w:w="1560" w:type="dxa"/>
            <w:tcBorders>
              <w:bottom w:val="double" w:sz="4" w:space="0" w:color="auto"/>
            </w:tcBorders>
            <w:shd w:val="clear" w:color="auto" w:fill="auto"/>
            <w:noWrap/>
            <w:vAlign w:val="bottom"/>
          </w:tcPr>
          <w:p>
            <w:pPr>
              <w:jc w:val="right"/>
              <w:rPr>
                <w:noProof/>
                <w:sz w:val="18"/>
                <w:szCs w:val="18"/>
              </w:rPr>
            </w:pPr>
            <w:r>
              <w:rPr>
                <w:noProof/>
                <w:sz w:val="18"/>
              </w:rPr>
              <w:t>2 329 161,44</w:t>
            </w:r>
          </w:p>
        </w:tc>
        <w:tc>
          <w:tcPr>
            <w:tcW w:w="1676" w:type="dxa"/>
            <w:gridSpan w:val="2"/>
            <w:tcBorders>
              <w:bottom w:val="double" w:sz="4" w:space="0" w:color="auto"/>
              <w:right w:val="double" w:sz="4" w:space="0" w:color="auto"/>
            </w:tcBorders>
            <w:shd w:val="clear" w:color="auto" w:fill="auto"/>
            <w:noWrap/>
            <w:vAlign w:val="bottom"/>
          </w:tcPr>
          <w:p>
            <w:pPr>
              <w:spacing w:before="60"/>
              <w:jc w:val="center"/>
              <w:rPr>
                <w:noProof/>
                <w:sz w:val="18"/>
                <w:szCs w:val="18"/>
              </w:rPr>
            </w:pPr>
            <w:r>
              <w:rPr>
                <w:noProof/>
                <w:sz w:val="18"/>
              </w:rPr>
              <w:t>-</w:t>
            </w:r>
          </w:p>
        </w:tc>
      </w:tr>
      <w:tr>
        <w:tblPrEx>
          <w:tblLook w:val="0000" w:firstRow="0" w:lastRow="0" w:firstColumn="0" w:lastColumn="0" w:noHBand="0" w:noVBand="0"/>
        </w:tblPrEx>
        <w:trPr>
          <w:trHeight w:val="255"/>
        </w:trPr>
        <w:tc>
          <w:tcPr>
            <w:tcW w:w="8516" w:type="dxa"/>
            <w:gridSpan w:val="6"/>
            <w:tcBorders>
              <w:top w:val="double" w:sz="4" w:space="0" w:color="auto"/>
              <w:bottom w:val="nil"/>
            </w:tcBorders>
            <w:noWrap/>
            <w:vAlign w:val="bottom"/>
          </w:tcPr>
          <w:p>
            <w:pPr>
              <w:spacing w:after="0" w:line="240" w:lineRule="auto"/>
              <w:jc w:val="both"/>
              <w:rPr>
                <w:rFonts w:ascii="Times New Roman" w:hAnsi="Times New Roman"/>
                <w:noProof/>
                <w:sz w:val="18"/>
                <w:szCs w:val="18"/>
              </w:rPr>
            </w:pPr>
          </w:p>
          <w:p>
            <w:pPr>
              <w:spacing w:after="0" w:line="240" w:lineRule="auto"/>
              <w:jc w:val="both"/>
              <w:rPr>
                <w:rFonts w:ascii="Times New Roman" w:hAnsi="Times New Roman"/>
                <w:noProof/>
                <w:sz w:val="18"/>
                <w:szCs w:val="18"/>
              </w:rPr>
            </w:pPr>
            <w:r>
              <w:rPr>
                <w:rFonts w:ascii="Times New Roman" w:hAnsi="Times New Roman"/>
                <w:noProof/>
                <w:sz w:val="18"/>
              </w:rPr>
              <w:t>(1) С1 означава гласувани бюджетни кредити. Тази сума включва прехвърляне към „споделено управление“ на обща сума в размер на -194 000,00 EUR за бюджетни кредити за поети задължения и бюджетни кредити за плащания, прехвърляне от ЕФГЗ на -107 267,78 EUR за бюджетни кредити за плащания и коригиращ бюджет в размер на -900 000,00 EUR за бюджетни кредити за поети задължения и бюджетни кредити за плащания.</w:t>
            </w:r>
          </w:p>
          <w:p>
            <w:pPr>
              <w:spacing w:after="0"/>
              <w:jc w:val="both"/>
              <w:rPr>
                <w:noProof/>
                <w:sz w:val="18"/>
                <w:szCs w:val="18"/>
              </w:rPr>
            </w:pPr>
            <w:r>
              <w:rPr>
                <w:rFonts w:ascii="Times New Roman" w:hAnsi="Times New Roman"/>
                <w:noProof/>
                <w:sz w:val="18"/>
              </w:rPr>
              <w:t>(2) Пренасяне към 2016 г. единствено на едногодишни бюджетни кредити.</w:t>
            </w:r>
            <w:r>
              <w:rPr>
                <w:noProof/>
                <w:sz w:val="18"/>
              </w:rPr>
              <w:t xml:space="preserve"> </w:t>
            </w:r>
          </w:p>
        </w:tc>
      </w:tr>
    </w:tbl>
    <w:p>
      <w:pPr>
        <w:spacing w:before="120" w:after="120" w:line="240" w:lineRule="auto"/>
        <w:ind w:left="851"/>
        <w:jc w:val="both"/>
        <w:rPr>
          <w:rFonts w:ascii="Times New Roman" w:hAnsi="Times New Roman"/>
          <w:noProof/>
          <w:sz w:val="24"/>
          <w:szCs w:val="24"/>
        </w:rPr>
      </w:pPr>
      <w:r>
        <w:rPr>
          <w:rFonts w:ascii="Times New Roman" w:hAnsi="Times New Roman"/>
          <w:noProof/>
          <w:sz w:val="24"/>
        </w:rPr>
        <w:t>Разполагаемите бюджетни кредити за поети задължения за разходите при пряко управление в бюджета за 2015 г. бяха в размер на 66,1 млн. евро. През 2015 г. бяха поети задължения в размер на 64,7 млн. евро. Остатъкът от тези бюджетни кредити (1,4 млн. евро) беше освободен.</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По-голямата част от усвоените бюджетни кредити за поети задължения за ЕФГЗ във връзка с разходите при пряко управление, извършени от Комисията, представляват многогодишни бюджетни кредити.</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Автоматичното пренасяне към 2016 г., което се отнася само за едногодишни бюджетни кредити, е за сума от 13,8 млн. евро.</w:t>
      </w:r>
    </w:p>
    <w:p>
      <w:pPr>
        <w:pStyle w:val="ManualHeading2"/>
        <w:rPr>
          <w:noProof/>
        </w:rPr>
      </w:pPr>
      <w:bookmarkStart w:id="27" w:name="_Toc322938571"/>
      <w:bookmarkStart w:id="28" w:name="_Toc358122342"/>
      <w:r>
        <w:t>2.2.</w:t>
      </w:r>
      <w:r>
        <w:tab/>
      </w:r>
      <w:r>
        <w:rPr>
          <w:noProof/>
        </w:rPr>
        <w:t>Месечни плащания</w:t>
      </w:r>
      <w:bookmarkEnd w:id="27"/>
      <w:bookmarkEnd w:id="28"/>
      <w:r>
        <w:rPr>
          <w:noProof/>
        </w:rPr>
        <w:t xml:space="preserve"> </w:t>
      </w:r>
    </w:p>
    <w:p>
      <w:pPr>
        <w:pStyle w:val="ManualHeading3"/>
        <w:rPr>
          <w:noProof/>
        </w:rPr>
      </w:pPr>
      <w:bookmarkStart w:id="29" w:name="_Toc322938572"/>
      <w:bookmarkStart w:id="30" w:name="_Toc358122343"/>
      <w:r>
        <w:t>2.2.1.</w:t>
      </w:r>
      <w:r>
        <w:tab/>
      </w:r>
      <w:r>
        <w:rPr>
          <w:noProof/>
        </w:rPr>
        <w:t>Месечни плащания в полза на държавите членки</w:t>
      </w:r>
      <w:bookmarkEnd w:id="29"/>
      <w:r>
        <w:rPr>
          <w:noProof/>
        </w:rPr>
        <w:t xml:space="preserve"> </w:t>
      </w:r>
      <w:bookmarkEnd w:id="30"/>
      <w:r>
        <w:rPr>
          <w:noProof/>
        </w:rPr>
        <w:t>при споделено управление</w:t>
      </w:r>
    </w:p>
    <w:p>
      <w:pPr>
        <w:pStyle w:val="ManualHeading4"/>
        <w:rPr>
          <w:noProof/>
        </w:rPr>
      </w:pPr>
      <w:bookmarkStart w:id="31" w:name="_Toc322938573"/>
      <w:bookmarkStart w:id="32" w:name="_Toc358122344"/>
      <w:r>
        <w:t>2.2.1.1.</w:t>
      </w:r>
      <w:r>
        <w:tab/>
      </w:r>
      <w:r>
        <w:rPr>
          <w:noProof/>
        </w:rPr>
        <w:t>Месечни плащания за покриване на разходите</w:t>
      </w:r>
      <w:bookmarkEnd w:id="31"/>
      <w:bookmarkEnd w:id="32"/>
    </w:p>
    <w:p>
      <w:pPr>
        <w:pStyle w:val="Text1"/>
        <w:rPr>
          <w:noProof/>
        </w:rPr>
      </w:pPr>
      <w:r>
        <w:rPr>
          <w:noProof/>
        </w:rPr>
        <w:t>В член 18, параграф 1 от Регламент (ЕС) № 1306/2013 се посочва, че „</w:t>
      </w:r>
      <w:r>
        <w:rPr>
          <w:i/>
          <w:noProof/>
        </w:rPr>
        <w:t>Комисията извършва месечни плащания за разходите, направени от акредитираните разплащателни агенции на държавите членки през съответния месец</w:t>
      </w:r>
      <w:r>
        <w:rPr>
          <w:noProof/>
        </w:rPr>
        <w:t>“. Месечните плащания се извършват за всяка държава членка най-късно на третия работен ден от втория месец, следващ този, през който са направени разходите.</w:t>
      </w:r>
    </w:p>
    <w:p>
      <w:pPr>
        <w:pStyle w:val="Text1"/>
        <w:rPr>
          <w:noProof/>
        </w:rPr>
      </w:pPr>
      <w:r>
        <w:rPr>
          <w:noProof/>
        </w:rPr>
        <w:t>Месечните плащания представляват възстановяване на вече извършени нетни разходи (след приспадане на приходите) и се предоставят въз основа на месечните декларации, изпращани от държавите членки</w:t>
      </w:r>
      <w:r>
        <w:rPr>
          <w:noProof/>
          <w:vertAlign w:val="superscript"/>
        </w:rPr>
        <w:footnoteReference w:id="5"/>
      </w:r>
      <w:r>
        <w:rPr>
          <w:noProof/>
        </w:rPr>
        <w:t>. Ежемесечното осчетоводяване на разходите и приходите подлежи на проверки и корекции въз основа на тези декларации. Освен това въпросните плащания ще станат окончателни след като Комисията направи проверките съгласно процедурата за счетоводно уравняване на сметките.</w:t>
      </w:r>
    </w:p>
    <w:p>
      <w:pPr>
        <w:pStyle w:val="Text1"/>
        <w:rPr>
          <w:noProof/>
        </w:rPr>
      </w:pPr>
      <w:r>
        <w:rPr>
          <w:noProof/>
        </w:rPr>
        <w:t xml:space="preserve">Плащанията, извършени от държавите членки от 16 октомври 2014 г. до 15 октомври 2015 г., са обхванати от системата за месечни плащания. </w:t>
      </w:r>
    </w:p>
    <w:p>
      <w:pPr>
        <w:pStyle w:val="Text1"/>
        <w:rPr>
          <w:noProof/>
        </w:rPr>
      </w:pPr>
      <w:r>
        <w:rPr>
          <w:noProof/>
        </w:rPr>
        <w:t>За 2015 бюджетна година общата нетна сума на извършените месечни плащания след приспадане на уравняването и на други корекции е 43 251 824 819,59 EUR.</w:t>
      </w:r>
    </w:p>
    <w:p>
      <w:pPr>
        <w:pStyle w:val="ManualHeading4"/>
        <w:rPr>
          <w:noProof/>
        </w:rPr>
      </w:pPr>
      <w:bookmarkStart w:id="33" w:name="_Toc322938574"/>
      <w:bookmarkStart w:id="34" w:name="_Toc358122345"/>
      <w:r>
        <w:t>2.2.1.2.</w:t>
      </w:r>
      <w:r>
        <w:tab/>
      </w:r>
      <w:r>
        <w:rPr>
          <w:noProof/>
        </w:rPr>
        <w:t>Решения относно месечните плащания за 2015 г.</w:t>
      </w:r>
      <w:bookmarkEnd w:id="33"/>
      <w:bookmarkEnd w:id="34"/>
    </w:p>
    <w:p>
      <w:pPr>
        <w:pStyle w:val="Text1"/>
        <w:rPr>
          <w:noProof/>
        </w:rPr>
      </w:pPr>
      <w:r>
        <w:rPr>
          <w:noProof/>
        </w:rPr>
        <w:t xml:space="preserve">За 2015 бюджетна година Комисията прие дванадесет решения относно месечни плащания. Освен това през декември 2015 г. беше прието решение за допълнително месечно плащане, коригиращо вече отпуснатите спрямо общия размер на разходите за тази година. </w:t>
      </w:r>
    </w:p>
    <w:p>
      <w:pPr>
        <w:pStyle w:val="ManualHeading1"/>
        <w:rPr>
          <w:noProof/>
        </w:rPr>
      </w:pPr>
      <w:bookmarkStart w:id="35" w:name="_Toc322938577"/>
      <w:bookmarkStart w:id="36" w:name="_Toc358122346"/>
      <w:bookmarkStart w:id="37" w:name="_Toc456683859"/>
      <w:bookmarkStart w:id="38" w:name="_Toc459130265"/>
      <w:r>
        <w:t>3.</w:t>
      </w:r>
      <w:r>
        <w:tab/>
      </w:r>
      <w:r>
        <w:rPr>
          <w:noProof/>
        </w:rPr>
        <w:t>ИЗПЪЛНЕНИЕ НА БЮДЖЕТА НА ЕФГЗ ЗА 2015 г.</w:t>
      </w:r>
      <w:bookmarkEnd w:id="35"/>
      <w:bookmarkEnd w:id="36"/>
      <w:bookmarkEnd w:id="37"/>
      <w:bookmarkEnd w:id="38"/>
    </w:p>
    <w:p>
      <w:pPr>
        <w:pStyle w:val="ManualHeading2"/>
        <w:rPr>
          <w:noProof/>
        </w:rPr>
      </w:pPr>
      <w:bookmarkStart w:id="39" w:name="_Toc322938579"/>
      <w:bookmarkStart w:id="40" w:name="_Toc358122347"/>
      <w:r>
        <w:t>3.1.</w:t>
      </w:r>
      <w:r>
        <w:tab/>
      </w:r>
      <w:r>
        <w:rPr>
          <w:noProof/>
        </w:rPr>
        <w:t>Усвояване на бюджетните кредити за ЕФГЗ</w:t>
      </w:r>
      <w:bookmarkEnd w:id="39"/>
      <w:bookmarkEnd w:id="40"/>
    </w:p>
    <w:p>
      <w:pPr>
        <w:pStyle w:val="Text1"/>
        <w:ind w:left="851"/>
        <w:rPr>
          <w:noProof/>
        </w:rPr>
      </w:pPr>
      <w:r>
        <w:rPr>
          <w:noProof/>
        </w:rPr>
        <w:t xml:space="preserve">Изпълнението на бюджета възлезе на 44 948,1 млн. евро. Тези разходи бяха финансирани от първоначалните бюджетни кредити, като бяха използвани целевите приходи по област на политиката 05 — „Земеделие и развитие на селските райони“, състоящи се от целия размер (341,3 млн. евро), пренесени от 2014 г., и част от постъпилите през 2015 г. целеви приходи (възлизащи на 735,2 млн. евро от общо 1631,6 млн. евро). </w:t>
      </w:r>
    </w:p>
    <w:p>
      <w:pPr>
        <w:pStyle w:val="Text1"/>
        <w:ind w:left="851"/>
        <w:rPr>
          <w:noProof/>
        </w:rPr>
      </w:pPr>
      <w:r>
        <w:rPr>
          <w:noProof/>
        </w:rPr>
        <w:t>В рамките на област на политиката 05 — „Земеделие и развитие на селските райони“, разходите за пазарни мерки възлязоха на 2666,9 млн. евро, а за преки помощи — на</w:t>
      </w:r>
      <w:r>
        <w:rPr>
          <w:noProof/>
        </w:rPr>
        <w:br/>
        <w:t xml:space="preserve">42 168 млн. евро. Направените разходи за някои пазарни мерки и преки помощи превишиха гласуваните бюджетни кредити и част от тях беше покрита чрез прехвърляне на кредити от други бюджетни позиции, а друга част — от приходите, предназначени за бюджета на ЕФГЗ. </w:t>
      </w:r>
    </w:p>
    <w:p>
      <w:pPr>
        <w:pStyle w:val="Text1"/>
        <w:ind w:left="851"/>
        <w:rPr>
          <w:noProof/>
        </w:rPr>
      </w:pPr>
      <w:r>
        <w:rPr>
          <w:noProof/>
        </w:rPr>
        <w:t xml:space="preserve">За подробности относно изпълнението на бюджета по области на политиката вж. приложение 3. </w:t>
      </w:r>
    </w:p>
    <w:p>
      <w:pPr>
        <w:pStyle w:val="Text1"/>
        <w:ind w:left="851"/>
        <w:rPr>
          <w:noProof/>
        </w:rPr>
      </w:pPr>
      <w:r>
        <w:rPr>
          <w:noProof/>
        </w:rPr>
        <w:t>В приложение 5 се представя разпределението на разходите за пазарни мерки, преки помощи и одит на разходите за селското стопанство по статии и по държави членки.</w:t>
      </w:r>
    </w:p>
    <w:p>
      <w:pPr>
        <w:pStyle w:val="ManualHeading1"/>
        <w:rPr>
          <w:noProof/>
        </w:rPr>
      </w:pPr>
      <w:bookmarkStart w:id="41" w:name="_Toc322938580"/>
      <w:bookmarkStart w:id="42" w:name="_Toc358122348"/>
      <w:bookmarkStart w:id="43" w:name="_Toc456683860"/>
      <w:bookmarkStart w:id="44" w:name="_Toc459130266"/>
      <w:r>
        <w:t>4.</w:t>
      </w:r>
      <w:r>
        <w:tab/>
      </w:r>
      <w:r>
        <w:rPr>
          <w:noProof/>
        </w:rPr>
        <w:t>КОМЕНТАРИ ОТНОСНО ИЗПЪЛНЕНИЕТО НА БЮДЖЕТА НА ЕФГЗ ЗА 2015 г.</w:t>
      </w:r>
      <w:bookmarkEnd w:id="41"/>
      <w:bookmarkEnd w:id="42"/>
      <w:bookmarkEnd w:id="43"/>
      <w:bookmarkEnd w:id="44"/>
    </w:p>
    <w:p>
      <w:pPr>
        <w:pStyle w:val="Text1"/>
        <w:ind w:left="851"/>
        <w:rPr>
          <w:noProof/>
        </w:rPr>
      </w:pPr>
      <w:r>
        <w:rPr>
          <w:noProof/>
        </w:rPr>
        <w:t>Въз основа на информацията, включена в приложения 3, 4-I и 4-II, по-долу е представен кратък коментар за най-важните сектори относно изпълнението на бюджетните кредити за ЕФГЗ за 2015 г., както и относно усвояването на разполагаемите целеви приходи през 2015 г.</w:t>
      </w:r>
    </w:p>
    <w:p>
      <w:pPr>
        <w:pStyle w:val="ManualHeading2"/>
        <w:rPr>
          <w:noProof/>
        </w:rPr>
      </w:pPr>
      <w:bookmarkStart w:id="45" w:name="_Toc322938581"/>
      <w:bookmarkStart w:id="46" w:name="_Toc358122349"/>
      <w:r>
        <w:t>4.1.</w:t>
      </w:r>
      <w:r>
        <w:tab/>
      </w:r>
      <w:r>
        <w:rPr>
          <w:noProof/>
        </w:rPr>
        <w:t>Глава 05 02: Интервенции на селскостопанските пазари</w:t>
      </w:r>
      <w:bookmarkEnd w:id="45"/>
      <w:bookmarkEnd w:id="46"/>
    </w:p>
    <w:p>
      <w:pPr>
        <w:pStyle w:val="ManualHeading3"/>
        <w:rPr>
          <w:noProof/>
        </w:rPr>
      </w:pPr>
      <w:bookmarkStart w:id="47" w:name="_Toc322938582"/>
      <w:bookmarkStart w:id="48" w:name="_Toc358122350"/>
      <w:r>
        <w:t>4.1.1.</w:t>
      </w:r>
      <w:r>
        <w:tab/>
      </w:r>
      <w:r>
        <w:rPr>
          <w:noProof/>
        </w:rPr>
        <w:t>Въведение</w:t>
      </w:r>
      <w:bookmarkEnd w:id="47"/>
      <w:bookmarkEnd w:id="48"/>
    </w:p>
    <w:p>
      <w:pPr>
        <w:pStyle w:val="Text1"/>
        <w:ind w:left="851"/>
        <w:rPr>
          <w:noProof/>
        </w:rPr>
      </w:pPr>
      <w:r>
        <w:rPr>
          <w:noProof/>
        </w:rPr>
        <w:t xml:space="preserve">Общите плащания за тази глава от бюджета за 2015 г. възлязоха на 2666,9 млн. евро и бяха финансирани от гласуваните бюджетни кредити в размер на 2343 млн. евро и от целеви приходи в размер на 323,8 млн. евро. Последните бяха използвани за покриване на разходите, извършени в сектора на плодовете и зеленчуците и в сектора на млякото и млечните продукти (за подробна информация виж точки 4.1.3 и 4.1.6). Бюджетни кредити в размер на 54,9 млн. евро бяха прехвърлени към други части на бюджета на ЕФГЗ. Останалите целеви приходи, които бяха събрани през 2015 г. и възлизаха на 199,8 млн. евро, бяха пренесени към 2016 г. При позициите, в които бюджетните кредити не стигнаха за пълното задоволяване на нуждите, допълнителните разходи бяха покрити чрез прехвърлянето на средства от други бюджетни позиции. Аналогично, при пазарните мерки, по които разполагаемите бюджетни кредити не са били усвоени изцяло, останалите в резултат на това налични бюджетни кредити бяха прехвърлени към други бюджетни позиции за покриване на допълнителни разходи, където това бе необходимо. </w:t>
      </w:r>
    </w:p>
    <w:p>
      <w:pPr>
        <w:pStyle w:val="ManualHeading3"/>
        <w:rPr>
          <w:noProof/>
        </w:rPr>
      </w:pPr>
      <w:bookmarkStart w:id="49" w:name="_Toc322938587"/>
      <w:bookmarkStart w:id="50" w:name="_Toc422396262"/>
      <w:r>
        <w:t>4.1.2.</w:t>
      </w:r>
      <w:r>
        <w:tab/>
      </w:r>
      <w:r>
        <w:rPr>
          <w:noProof/>
        </w:rPr>
        <w:t>Маслиново масло (зехтин)</w:t>
      </w:r>
      <w:bookmarkEnd w:id="49"/>
      <w:bookmarkEnd w:id="50"/>
      <w:r>
        <w:rPr>
          <w:noProof/>
        </w:rPr>
        <w:t xml:space="preserve"> </w:t>
      </w:r>
    </w:p>
    <w:p>
      <w:pPr>
        <w:pStyle w:val="Text1"/>
        <w:rPr>
          <w:noProof/>
        </w:rPr>
      </w:pPr>
      <w:r>
        <w:rPr>
          <w:noProof/>
        </w:rPr>
        <w:t xml:space="preserve">Неусвоената сума в размер на 2 млн. евро бе вследствие на малко по-ниските разходи на някои държави членки за работните програми за 2014/2015 г., включени в мерките им за подобряване на качеството, в сравнение с разходите, предвидени в бюджета за 2015 г. за тези програми. </w:t>
      </w:r>
    </w:p>
    <w:p>
      <w:pPr>
        <w:pStyle w:val="ManualHeading3"/>
        <w:rPr>
          <w:noProof/>
        </w:rPr>
      </w:pPr>
      <w:bookmarkStart w:id="51" w:name="_Toc322938589"/>
      <w:bookmarkStart w:id="52" w:name="_Toc358122357"/>
      <w:r>
        <w:t>4.1.3.</w:t>
      </w:r>
      <w:r>
        <w:tab/>
      </w:r>
      <w:r>
        <w:rPr>
          <w:noProof/>
        </w:rPr>
        <w:t>Плодове и зеленчуци</w:t>
      </w:r>
      <w:bookmarkEnd w:id="51"/>
      <w:bookmarkEnd w:id="52"/>
      <w:r>
        <w:rPr>
          <w:noProof/>
        </w:rPr>
        <w:t xml:space="preserve"> </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В бюджета за 2015 г. бяха предвидени общи разполагаеми бюджетни кредити в размер на 1305,5 млн. евро за покриване на нуждите по всички мерки за този сектор. Бюджетният орган гласува бюджетни кредити в размер на 836,2 млн. евро, отчитайки прогнозираните целеви приходи за този сектор, възлизащи на 469,3 млн. евро. Разходите, направени от държавите членки през 2015 г., възлизаха на 1118,6 млн. евро. Средствата по всички схеми, финансирани по тази статия, не бяха усвоени изцяло в сравнение с предвиденото в бюджета за 2015 г. Остатъкът от неизползваните целеви приходи в размер на 147 млн. евро беше пренесен към 2016 бюджетна година за покриване на бюджетните нужди за посочената година (подробна информация по тази точка е представена в работния документ на службите на Комисията).</w:t>
      </w:r>
    </w:p>
    <w:p>
      <w:pPr>
        <w:pStyle w:val="ManualHeading3"/>
        <w:rPr>
          <w:noProof/>
        </w:rPr>
      </w:pPr>
      <w:bookmarkStart w:id="53" w:name="_Toc322938590"/>
      <w:bookmarkStart w:id="54" w:name="_Toc358122358"/>
      <w:r>
        <w:t>4.1.4.</w:t>
      </w:r>
      <w:r>
        <w:tab/>
      </w:r>
      <w:r>
        <w:rPr>
          <w:noProof/>
        </w:rPr>
        <w:t>Продукти на лозаро-винарския сектор</w:t>
      </w:r>
      <w:bookmarkEnd w:id="53"/>
      <w:bookmarkEnd w:id="54"/>
    </w:p>
    <w:p>
      <w:pPr>
        <w:pStyle w:val="Text1"/>
        <w:ind w:left="851"/>
        <w:rPr>
          <w:noProof/>
        </w:rPr>
      </w:pPr>
      <w:r>
        <w:rPr>
          <w:noProof/>
        </w:rPr>
        <w:t>Неусвоената сума в размер на 63,2 млн. евро в сравнение с прогнозираните бюджетни нужди за 2015 г. по отношение на националните програми за подпомагане, се дължи на по-ниските разходи, направени от някои държави членки за компонентите „насърчаване“ и „инвестиции“ на техните национални програми в лозаро-винарския сектор, в сравнение със съответните бюджетни тавани, предвидени в бюджета за 2015 г. за тези програми.</w:t>
      </w:r>
    </w:p>
    <w:p>
      <w:pPr>
        <w:pStyle w:val="Text1"/>
        <w:numPr>
          <w:ilvl w:val="2"/>
          <w:numId w:val="32"/>
        </w:numPr>
        <w:rPr>
          <w:i/>
          <w:iCs/>
          <w:noProof/>
        </w:rPr>
      </w:pPr>
      <w:bookmarkStart w:id="55" w:name="_Toc322938591"/>
      <w:bookmarkStart w:id="56" w:name="_Toc453769047"/>
      <w:r>
        <w:rPr>
          <w:i/>
          <w:noProof/>
        </w:rPr>
        <w:t>Насърчаване</w:t>
      </w:r>
      <w:bookmarkEnd w:id="55"/>
      <w:bookmarkEnd w:id="56"/>
    </w:p>
    <w:p>
      <w:pPr>
        <w:pStyle w:val="Text1"/>
        <w:rPr>
          <w:noProof/>
        </w:rPr>
      </w:pPr>
      <w:r>
        <w:rPr>
          <w:noProof/>
        </w:rPr>
        <w:t xml:space="preserve">Що се отнася до извършените от държавите членки плащания по мерките за насърчаване, преизпълнението от 2,3 млн. евро в сравнение с прогнозираните бюджетни нужди за 2015 г. се дължи на по-високите разходи на някои държави членки за техните програми за насърчаване, които са одобрени от Комисията, в сравнение с разходите, предвидени в бюджета за 2015 г. за тези програми. </w:t>
      </w:r>
    </w:p>
    <w:p>
      <w:pPr>
        <w:pStyle w:val="Text1"/>
        <w:rPr>
          <w:noProof/>
        </w:rPr>
      </w:pPr>
      <w:r>
        <w:rPr>
          <w:noProof/>
        </w:rPr>
        <w:t xml:space="preserve">По отношение на директните плащания, извършени от Европейския съюз, поетите от Комисията задължения за бюджетни кредити бяха в размер на около 1,2 млн. евро, което е почти равно на сумата, предвидена в бюджета за 2015 г. за тези плащания. </w:t>
      </w:r>
    </w:p>
    <w:p>
      <w:pPr>
        <w:pStyle w:val="ManualHeading3"/>
        <w:rPr>
          <w:noProof/>
        </w:rPr>
      </w:pPr>
      <w:bookmarkStart w:id="57" w:name="_Toc322938593"/>
      <w:bookmarkStart w:id="58" w:name="_Toc358122361"/>
      <w:r>
        <w:t>4.1.6.</w:t>
      </w:r>
      <w:r>
        <w:tab/>
      </w:r>
      <w:r>
        <w:rPr>
          <w:noProof/>
        </w:rPr>
        <w:t>Мляко и млечни продукти</w:t>
      </w:r>
      <w:bookmarkEnd w:id="57"/>
      <w:bookmarkEnd w:id="58"/>
    </w:p>
    <w:p>
      <w:pPr>
        <w:pStyle w:val="Text1"/>
        <w:rPr>
          <w:noProof/>
        </w:rPr>
      </w:pPr>
      <w:r>
        <w:rPr>
          <w:noProof/>
        </w:rPr>
        <w:t>В бюджета за 2015 г. бяха предвидени общи разполагаеми бюджетни кредити в размер на 131,4 млн. евро за покриване на нуждите по всички мерки за този сектор. Бюджетният орган гласува бюджетни кредити в размер на 77,1 млн. евро, отчитайки прогнозираните целеви приходи за тази бюджетна статия, възлизащи на 54,3 млн. евро. Разходите, направени от държавите членки през 2015 г., възлизаха на 119,6 млн. евро. Средствата по всички схеми, финансирани по тази статия, не бяха усвоени изцяло в сравнение с предвиденото в бюджета за 2015 г. Остатъкът от неизползваните целеви приходи в размер на 52,7 млн. евро беше пренесен към 2016 бюджетна година за покриване на бюджетните нужди за посочената година (подробна информация по тази точка е представена в работния документ на службите на Комисията).</w:t>
      </w:r>
    </w:p>
    <w:p>
      <w:pPr>
        <w:pStyle w:val="ManualHeading3"/>
        <w:rPr>
          <w:noProof/>
        </w:rPr>
      </w:pPr>
      <w:bookmarkStart w:id="59" w:name="_Toc322938595"/>
      <w:bookmarkStart w:id="60" w:name="_Toc422396270"/>
      <w:r>
        <w:t>4.1.7.</w:t>
      </w:r>
      <w:r>
        <w:tab/>
      </w:r>
      <w:r>
        <w:rPr>
          <w:noProof/>
        </w:rPr>
        <w:t>Свинско месо, яйца и птиче месо, пчеларство и други животински продукти</w:t>
      </w:r>
      <w:bookmarkEnd w:id="59"/>
      <w:bookmarkEnd w:id="60"/>
    </w:p>
    <w:p>
      <w:pPr>
        <w:pStyle w:val="Text1"/>
        <w:rPr>
          <w:noProof/>
        </w:rPr>
      </w:pPr>
      <w:r>
        <w:rPr>
          <w:noProof/>
        </w:rPr>
        <w:t>В бюджета за 2015 г. бяха предвидени общи разполагаеми бюджетни кредити в размер на 40,8 млн. евро за покриване на нуждите по всички мерки за този сектор. Разходите, направени от държавите членки през 2015 г., възлизаха на 44,2 млн. евро и бяха финансирани от гласуваните бюджетни кредити в размер на 40,8 млн. евро и от прехвърляне на бюджетни кредити в размер на 3,4 млн. евро от други области на бюджета за 2015 г. (подробна информация по тази точка е представена в работния документ на службите на Комисията).</w:t>
      </w:r>
    </w:p>
    <w:p>
      <w:pPr>
        <w:pStyle w:val="ManualHeading2"/>
        <w:rPr>
          <w:noProof/>
        </w:rPr>
      </w:pPr>
      <w:bookmarkStart w:id="61" w:name="_Toc322938596"/>
      <w:bookmarkStart w:id="62" w:name="_Toc358122364"/>
      <w:r>
        <w:t>4.2.</w:t>
      </w:r>
      <w:r>
        <w:tab/>
      </w:r>
      <w:r>
        <w:rPr>
          <w:noProof/>
        </w:rPr>
        <w:t>Глава 05 03: Преки помощи</w:t>
      </w:r>
      <w:bookmarkEnd w:id="61"/>
      <w:bookmarkEnd w:id="62"/>
    </w:p>
    <w:p>
      <w:pPr>
        <w:pStyle w:val="Text1"/>
        <w:rPr>
          <w:noProof/>
        </w:rPr>
      </w:pPr>
      <w:r>
        <w:rPr>
          <w:noProof/>
        </w:rPr>
        <w:t xml:space="preserve">Общите плащания за тази глава от бюджета за 2015 г. възлязоха на 42 168 млн. евро и бяха финансирани от гласуваните бюджетни кредити в размер на 40 561,4 млн. евро и от целеви приходи в размер на 752,7 млн. евро. Последните бяха използвани за покриване на направените разходи в рамките на схемата за единно плащане (за подробна информация вж. точка 4.2.1). Неизползваните гласувани бюджетни кредити възлизат на 347,2 млн. евро, както е видно от разликата между гласуваните бюджетни кредити в размер на 40 561,4 млн. евро, използвани за възстановяване на държавите членки, и първоначално гласуваните бюджетни кредити в размер на 40 908,6 млн. евро, включени в бюджета за 2015 г. Тези неизползвани гласувани бюджетни кредити бяха увеличени с прехвърляне на гласувани бюджетни кредити в размер на 85,8 млн. евро от други части на бюджета на ЕФГЗ, като по този начин се позволи възстановяване на неизползваните средства от резерва за кризи в размер на 433 млн. евро, който беше създаден с предложения механизъм за финансова дисциплина през 2015 г. и беше прехвърлен към бюджетна статия 05 03 09, така че бе възможно сумата на ефективно прилагания механизъм за финансова дисциплина в размер на 409,8 млн. евро да бъде пренесена към 2016 г., за да бъде възстановена на съответните държави членки. Останалите целеви приходи, които бяха събрани през 2015 г. и възлизаха на 696,6 млн. евро, бяха пренесени към 2016 г. При позициите, в които гласуваните бюджетни кредити не стигнаха за пълното задоволяване на нуждите, допълнителните разходи бяха покрити чрез прехвърлянето на гласувани бюджетни кредити от други бюджетни позиции или на целеви приходи. Аналогично, при директните плащания, по които разполагаемите бюджетни кредити не са били усвоени изцяло, останалите в резултат на това налични бюджетни кредити бяха прехвърлени към други бюджетни позиции за покриване на допълнителни разходи, където това бе необходимо. </w:t>
      </w:r>
    </w:p>
    <w:p>
      <w:pPr>
        <w:pStyle w:val="ManualHeading3"/>
        <w:rPr>
          <w:noProof/>
        </w:rPr>
      </w:pPr>
      <w:bookmarkStart w:id="63" w:name="_Toc322938597"/>
      <w:bookmarkStart w:id="64" w:name="_Toc422396272"/>
      <w:r>
        <w:t>4.2.1.</w:t>
      </w:r>
      <w:r>
        <w:tab/>
      </w:r>
      <w:r>
        <w:rPr>
          <w:noProof/>
        </w:rPr>
        <w:t>Статия 05 03 01: Отделени от производството преки помощи</w:t>
      </w:r>
      <w:bookmarkEnd w:id="63"/>
      <w:bookmarkEnd w:id="64"/>
    </w:p>
    <w:p>
      <w:pPr>
        <w:pStyle w:val="Text1"/>
        <w:rPr>
          <w:noProof/>
        </w:rPr>
      </w:pPr>
      <w:bookmarkStart w:id="65" w:name="_Toc322938598"/>
      <w:r>
        <w:rPr>
          <w:noProof/>
        </w:rPr>
        <w:t xml:space="preserve">Основните схеми, финансирани чрез бюджетни кредити по тази статия, са схемата за единно плащане (СЕП), схемата за единно плащане на площ (СЕПП) и схемата за отделено от производството специфично подпомагане по член 68 от Регламент (ЕО) № 73/2009 на Съвета. Средствата по всички схеми за помощ по тази статия се изплащат независимо от производството, но при определени условия, като например съблюдаване на изискванията за кръстосано спазване. Бюджетните нужди за 2015 г. за отделените от производството преки помощи възлязоха на 38 642 млн. евро, за които бюджетният орган гласува бюджетни кредити в размер на 37 397 млн. евро, след като взе предвид целевите приходи за този сектор, възлизащи на 1245 млн. евро. Разходите, направени от държавите членки за всички схеми по тази статия, възлязоха на 38 293,5 млн. евро, като по този начин надхвърлиха гласуваните бюджетни кредити за 2015 г. в размер на 37 397 млн. евро с 896,5 млн. евро. Тази последна сума на декларираните разходи бе отчасти покрита чрез прехвърляне от други бюджетни позиции в размер на 143,8 млн. евро и отчасти от целеви приходи в размер на 752,7 млн. евро (подробна информация по тази точка е представена в работния документ на службите на Комисията). </w:t>
      </w:r>
    </w:p>
    <w:p>
      <w:pPr>
        <w:pStyle w:val="ManualHeading3"/>
        <w:rPr>
          <w:noProof/>
        </w:rPr>
      </w:pPr>
      <w:bookmarkStart w:id="66" w:name="_Toc422396273"/>
      <w:r>
        <w:t>4.2.2.</w:t>
      </w:r>
      <w:r>
        <w:tab/>
      </w:r>
      <w:r>
        <w:rPr>
          <w:noProof/>
        </w:rPr>
        <w:t>Статия 05 03 02: Други преки помощи</w:t>
      </w:r>
      <w:bookmarkEnd w:id="65"/>
      <w:bookmarkEnd w:id="66"/>
    </w:p>
    <w:p>
      <w:pPr>
        <w:pStyle w:val="Text1"/>
        <w:rPr>
          <w:noProof/>
        </w:rPr>
      </w:pPr>
      <w:r>
        <w:rPr>
          <w:noProof/>
        </w:rPr>
        <w:t>Бюджетните кредити по тази статия покриват разходи за други преки помощи, по отношение на които държавите членки са решили в определен брой сектори да обвържат донякъде изплащането на тези помощи с производството при точно определени условия и в определени граници с цел да се предотврати изоставянето на това производство. По тази статия се финансират тринадесет схеми.</w:t>
      </w:r>
    </w:p>
    <w:p>
      <w:pPr>
        <w:pStyle w:val="Text1"/>
        <w:rPr>
          <w:noProof/>
        </w:rPr>
      </w:pPr>
      <w:r>
        <w:rPr>
          <w:noProof/>
        </w:rPr>
        <w:t xml:space="preserve">Съгласно предварителните изчисления на Комисията за тези схеми са необходими през 2015 г. бюджетни кредити в размер на 3078,4 млн. евро. Държавите членки направиха разходи, възлизащи на 3020,5 млн. евро (подробна информация по тази точка е представена в работния документ на службите на Комисията). </w:t>
      </w:r>
    </w:p>
    <w:p>
      <w:pPr>
        <w:pStyle w:val="ManualHeading3"/>
        <w:rPr>
          <w:noProof/>
        </w:rPr>
      </w:pPr>
      <w:bookmarkStart w:id="67" w:name="_Toc422396275"/>
      <w:r>
        <w:t>4.2.3.</w:t>
      </w:r>
      <w:r>
        <w:tab/>
      </w:r>
      <w:r>
        <w:rPr>
          <w:noProof/>
        </w:rPr>
        <w:t>Статия 05 03 09: Възстановяване на преки помощи във връзка с финансовата дисциплина</w:t>
      </w:r>
      <w:bookmarkEnd w:id="67"/>
    </w:p>
    <w:p>
      <w:pPr>
        <w:pStyle w:val="Text1"/>
        <w:rPr>
          <w:noProof/>
        </w:rPr>
      </w:pPr>
      <w:r>
        <w:rPr>
          <w:noProof/>
        </w:rPr>
        <w:t>По тази статия бюджетният орган не е разпределил бюджетни кредити. Тази статия бе създадена за първи път през 2014 бюджетна година, за да се улесни събирането на гласувани бюджетни кредити, за които няма поети задължения, като бе включена само 2014 бюджетна година, допълнени от бюджетните кредити на неусвоения резерв за кризи, за да бъдат пренесени в следващата 2015 бюджетна година и да се финансира възстановяването на средства във връзка с механизма за финансова дисциплина, прилаган по отношение на преките помощи за календарната 2014 година</w:t>
      </w:r>
      <w:r>
        <w:rPr>
          <w:noProof/>
          <w:vertAlign w:val="superscript"/>
        </w:rPr>
        <w:footnoteReference w:id="6"/>
      </w:r>
      <w:r>
        <w:rPr>
          <w:noProof/>
        </w:rPr>
        <w:t xml:space="preserve">. </w:t>
      </w:r>
    </w:p>
    <w:p>
      <w:pPr>
        <w:pStyle w:val="Text1"/>
        <w:rPr>
          <w:noProof/>
        </w:rPr>
      </w:pPr>
      <w:r>
        <w:rPr>
          <w:noProof/>
        </w:rPr>
        <w:t xml:space="preserve">От сумата от 868,2 млн. евро, съответстваща на приложения през 2014 бюджетна година механизъм за финансова дисциплина, която бе пренесена в бюджета за 2015 г. за възстановяване на разходите, държавите членки са възстановили 854 млн. евро. Разликата от 14,2 млн. евро се връща в бюджета за 2015 г., за да бъде възстановена на държавите членки чрез първия коригиращ бюджет на следващата бюджетна година (подробна информация по тази точка е представена в работния документ на службите на Комисията; вж. също точка 4.2.4 по-долу). </w:t>
      </w:r>
    </w:p>
    <w:p>
      <w:pPr>
        <w:pStyle w:val="ManualHeading3"/>
        <w:rPr>
          <w:noProof/>
        </w:rPr>
      </w:pPr>
      <w:bookmarkStart w:id="68" w:name="_Toc422396276"/>
      <w:r>
        <w:t>4.2.4.</w:t>
      </w:r>
      <w:r>
        <w:tab/>
      </w:r>
      <w:r>
        <w:rPr>
          <w:noProof/>
        </w:rPr>
        <w:t>Статия 05 03 10: Резерв за кризи в селскостопанския сектор</w:t>
      </w:r>
      <w:bookmarkEnd w:id="68"/>
    </w:p>
    <w:p>
      <w:pPr>
        <w:pStyle w:val="Text1"/>
        <w:rPr>
          <w:noProof/>
        </w:rPr>
      </w:pPr>
      <w:r>
        <w:rPr>
          <w:noProof/>
        </w:rPr>
        <w:t>Бюджетните кредити по тази статия са предназначени за покриване на разходите за мерки, необходими за преодоляване на сериозни кризи, които засягат производството и разпространението на земеделски продукти. Резервът се създава, като в началото на всяка година се прилага намаляване на преките плащания, което се извършва чрез механизма за финансова дисциплина в съответствие с членове 25 и 26 от Регламент (ЕС) № 1306/2013, както и с член 8 от Регламент (ЕС) № 1307/2013. Този резерв не може да надхвърля максималния годишен размер от 400 млн. евро (по цени от 2011 г.). За 2015 бюджетна година еквивалентният размер на резерва за кризи по текущи цени бе 433 млн. евро. През 2015 бюджетна година резервът не е бил използван.</w:t>
      </w:r>
    </w:p>
    <w:p>
      <w:pPr>
        <w:pStyle w:val="Text1"/>
        <w:rPr>
          <w:noProof/>
          <w:color w:val="FF0000"/>
        </w:rPr>
      </w:pPr>
      <w:r>
        <w:rPr>
          <w:noProof/>
        </w:rPr>
        <w:t xml:space="preserve">За референтната 2015 година механизмът за финансова дисциплина бе предвиден единствено за създаване на резерва за кризи в размер на 433 млн. евро. При все това, до края на бюджетната година гласуваните бюджетни кредити, за които няма поети задължения, съответстващи на сумата по механизма за финансова дисциплина, ефективно приложен за референтната 2015 година (като се вземат предвид неизползваните средства от резерва), бяха прехвърлени към бюджетна статия 05 03 09 с цел да бъдат пренесени в следващата бюджетна година и по този начин да се финансира възстановяването на средствата във връзка с механизма за финансова дисциплина, прилаган по отношение на земеделските стопани през календарната 2015 година. </w:t>
      </w:r>
    </w:p>
    <w:p>
      <w:pPr>
        <w:pStyle w:val="ManualHeading2"/>
        <w:rPr>
          <w:noProof/>
        </w:rPr>
      </w:pPr>
      <w:bookmarkStart w:id="69" w:name="_Toc322938602"/>
      <w:bookmarkStart w:id="70" w:name="_Toc358122365"/>
      <w:r>
        <w:t>4.3.</w:t>
      </w:r>
      <w:r>
        <w:tab/>
      </w:r>
      <w:r>
        <w:rPr>
          <w:noProof/>
        </w:rPr>
        <w:t>Глава 05 07: Одит на разходите за селско стопанство</w:t>
      </w:r>
      <w:bookmarkEnd w:id="69"/>
      <w:bookmarkEnd w:id="70"/>
    </w:p>
    <w:p>
      <w:pPr>
        <w:pStyle w:val="ManualHeading3"/>
        <w:rPr>
          <w:noProof/>
        </w:rPr>
      </w:pPr>
      <w:bookmarkStart w:id="71" w:name="_Toc322938603"/>
      <w:bookmarkStart w:id="72" w:name="_Toc422396280"/>
      <w:bookmarkStart w:id="73" w:name="_Toc322938628"/>
      <w:bookmarkStart w:id="74" w:name="_Toc358122367"/>
      <w:r>
        <w:t>4.3.1.</w:t>
      </w:r>
      <w:r>
        <w:tab/>
      </w:r>
      <w:r>
        <w:rPr>
          <w:noProof/>
        </w:rPr>
        <w:t>Статия 05 07 01: Контрол на разходите за селско стопанство</w:t>
      </w:r>
      <w:bookmarkEnd w:id="71"/>
      <w:bookmarkEnd w:id="72"/>
    </w:p>
    <w:p>
      <w:pPr>
        <w:pStyle w:val="Text1"/>
        <w:rPr>
          <w:noProof/>
        </w:rPr>
      </w:pPr>
      <w:r>
        <w:rPr>
          <w:noProof/>
        </w:rPr>
        <w:t>Тази статия включва мерките, предприети за засилване на средствата за контрол на място и за подобряване на системите за проверка, така че да се ограничи рискът от измами и нередности в ущърб на бюджета на Съюза. Тя включва и разходи, които биха могли да бъдат необходими за финансиране на евентуални счетоводни корекции и корекции във връзка с привеждане в съответствие в полза на държавите членки (подробна информация по тази точка е представена в работния документ на службите на Комисията).</w:t>
      </w:r>
    </w:p>
    <w:p>
      <w:pPr>
        <w:pStyle w:val="ManualHeading3"/>
        <w:rPr>
          <w:bCs/>
          <w:iCs/>
          <w:noProof/>
        </w:rPr>
      </w:pPr>
      <w:bookmarkStart w:id="75" w:name="_Toc322938604"/>
      <w:bookmarkStart w:id="76" w:name="_Toc422396281"/>
      <w:r>
        <w:t>4.3.2.</w:t>
      </w:r>
      <w:r>
        <w:tab/>
      </w:r>
      <w:r>
        <w:rPr>
          <w:noProof/>
        </w:rPr>
        <w:t>Статия 05 07 02: Разрешаване на спорове</w:t>
      </w:r>
      <w:bookmarkEnd w:id="75"/>
      <w:bookmarkEnd w:id="76"/>
    </w:p>
    <w:p>
      <w:pPr>
        <w:pStyle w:val="Text1"/>
        <w:rPr>
          <w:noProof/>
        </w:rPr>
      </w:pPr>
      <w:r>
        <w:rPr>
          <w:noProof/>
        </w:rPr>
        <w:t>Бюджетните кредити по тази статия са предназначени за покриване на разходи, за които Комисията може да се окаже отговорна вследствие на съдебно решение, включително на разходи за изплащане на обезщетения и лихви. На 27 септември 2012 г. Съдът на Европейския съюз произнесе решението си по съединени дела C-113/10, C-147/10 и C-234/10 (решение Jüllich-II). В бюджета за 2015 г. бяха предвидени бюджетни кредити в размер на 60,5 млн. евро за изплащането на компенсаторна лихва на операторите по силата на това решение. Въпреки това понесените и декларираните от държавите членки разходи за тези плащания са в размер на около 1,7 млн. евро. Поради това бюджетни кредити в размер на 58,8 млн. евро бяха прехвърлени към други позиции на бюджета за 2015 г. за финансиране на нуждите по тези позиции.</w:t>
      </w:r>
    </w:p>
    <w:p>
      <w:pPr>
        <w:pStyle w:val="ManualHeading1"/>
        <w:rPr>
          <w:noProof/>
        </w:rPr>
      </w:pPr>
      <w:bookmarkStart w:id="77" w:name="_Toc456683861"/>
      <w:bookmarkStart w:id="78" w:name="_Toc459130267"/>
      <w:r>
        <w:t>5.</w:t>
      </w:r>
      <w:r>
        <w:tab/>
      </w:r>
      <w:r>
        <w:rPr>
          <w:noProof/>
        </w:rPr>
        <w:t>ИЗПЪЛНЕНИЕ НА ЦЕЛЕВИТЕ ПРИХОДИ</w:t>
      </w:r>
      <w:bookmarkEnd w:id="73"/>
      <w:bookmarkEnd w:id="77"/>
      <w:bookmarkEnd w:id="78"/>
      <w:r>
        <w:rPr>
          <w:noProof/>
        </w:rPr>
        <w:t xml:space="preserve"> </w:t>
      </w:r>
      <w:bookmarkEnd w:id="74"/>
    </w:p>
    <w:p>
      <w:pPr>
        <w:pStyle w:val="ManualHeading2"/>
        <w:rPr>
          <w:noProof/>
        </w:rPr>
      </w:pPr>
      <w:bookmarkStart w:id="79" w:name="_Toc322938629"/>
      <w:bookmarkStart w:id="80" w:name="_Toc358122368"/>
      <w:r>
        <w:t>5.1.</w:t>
      </w:r>
      <w:r>
        <w:tab/>
      </w:r>
      <w:r>
        <w:rPr>
          <w:noProof/>
        </w:rPr>
        <w:t>Целеви приходи, предназначени за ЕФГЗ</w:t>
      </w:r>
      <w:bookmarkEnd w:id="79"/>
      <w:bookmarkEnd w:id="80"/>
    </w:p>
    <w:p>
      <w:pPr>
        <w:pStyle w:val="Text1"/>
        <w:rPr>
          <w:noProof/>
        </w:rPr>
      </w:pPr>
      <w:r>
        <w:rPr>
          <w:noProof/>
        </w:rPr>
        <w:t xml:space="preserve">Действително пренесените от 2014 г. към 2015 г. целеви приходи възлязоха на 341,3 млн. евро и в съответствие с член 14 от Финансовия регламент бяха изцяло усвоени за финансиране на разходите за 2015 бюджетна година. Както е видно от приложение 4-II, в тази сума се включват разходи в размер на 280,6 млн. евро за оперативните фондове за организациите на производители и за други мерки (временни извънредни мерки) в сектора на плодовете и зеленчуците, в размер на 11 млн. евро за мерките за складиране на обезмаслено мляко на прах и масло, както и за други мерки (временни извънредни мерки) в сектора на млякото и млечните продукти, и в размер на 49,7 млн. евро за схемата за единно плащане. </w:t>
      </w:r>
    </w:p>
    <w:p>
      <w:pPr>
        <w:pStyle w:val="Text1"/>
        <w:rPr>
          <w:noProof/>
        </w:rPr>
      </w:pPr>
      <w:r>
        <w:rPr>
          <w:noProof/>
        </w:rPr>
        <w:t>От приложение 4-I става ясно, че размерът на постъпилите през 2015 г. целеви приходи е 1631,6 млн. евро, като те произхождат от:</w:t>
      </w:r>
    </w:p>
    <w:p>
      <w:pPr>
        <w:pStyle w:val="Tiret1"/>
        <w:rPr>
          <w:noProof/>
        </w:rPr>
      </w:pPr>
      <w:r>
        <w:rPr>
          <w:noProof/>
        </w:rPr>
        <w:t>корекциите по процедурата за уравняване по съответствие, които възлизат на 1066,6 млн. евро,</w:t>
      </w:r>
    </w:p>
    <w:p>
      <w:pPr>
        <w:pStyle w:val="Tiret1"/>
        <w:rPr>
          <w:noProof/>
        </w:rPr>
      </w:pPr>
      <w:r>
        <w:rPr>
          <w:noProof/>
        </w:rPr>
        <w:t>постъпленията във връзка с нередности, които постъпления възлизат на 155,5 млн. евро,</w:t>
      </w:r>
    </w:p>
    <w:p>
      <w:pPr>
        <w:pStyle w:val="Tiret1"/>
        <w:rPr>
          <w:noProof/>
        </w:rPr>
      </w:pPr>
      <w:r>
        <w:rPr>
          <w:noProof/>
        </w:rPr>
        <w:t>събрания налог в сектора на млякото и млечните продукти, който възлиза на 409,6 млн. евро.</w:t>
      </w:r>
    </w:p>
    <w:p>
      <w:pPr>
        <w:pStyle w:val="Text1"/>
        <w:rPr>
          <w:noProof/>
        </w:rPr>
      </w:pPr>
      <w:r>
        <w:rPr>
          <w:noProof/>
        </w:rPr>
        <w:t xml:space="preserve">Целевите приходи, събрани през 2015 г., бяха използвани за покриване на направените разходи за следните мерки: </w:t>
      </w:r>
    </w:p>
    <w:p>
      <w:pPr>
        <w:pStyle w:val="Tiret1"/>
        <w:rPr>
          <w:noProof/>
        </w:rPr>
      </w:pPr>
      <w:r>
        <w:rPr>
          <w:noProof/>
        </w:rPr>
        <w:t xml:space="preserve">30,7 млн. евро за извънредните мерки за подпомагане на производители, които не са членове на организации на производители, в рамките на други мерки в сектора на плодовете и зеленчуците, </w:t>
      </w:r>
    </w:p>
    <w:p>
      <w:pPr>
        <w:pStyle w:val="Tiret1"/>
        <w:rPr>
          <w:noProof/>
        </w:rPr>
      </w:pPr>
      <w:r>
        <w:rPr>
          <w:noProof/>
        </w:rPr>
        <w:t xml:space="preserve">0,2 млн. евро и 0,9 млн. евро за мерките за складиране съответно на обезмаслено мляко на прах и на масло и сметана в сектора на млякото и млечните продукти, </w:t>
      </w:r>
    </w:p>
    <w:p>
      <w:pPr>
        <w:pStyle w:val="Tiret1"/>
        <w:rPr>
          <w:noProof/>
        </w:rPr>
      </w:pPr>
      <w:r>
        <w:rPr>
          <w:noProof/>
        </w:rPr>
        <w:t xml:space="preserve">0,5 млн. евро за извънредните мерки за подпомагане на млекопроизводителите и за частното складиране на сирене в рамките на други мерки в сектора на млякото и млечните продукти, </w:t>
      </w:r>
    </w:p>
    <w:p>
      <w:pPr>
        <w:pStyle w:val="Tiret1"/>
        <w:rPr>
          <w:noProof/>
        </w:rPr>
      </w:pPr>
      <w:r>
        <w:rPr>
          <w:noProof/>
        </w:rPr>
        <w:t xml:space="preserve">703 млн. евро — за схемата за единно плащане (преки помощи). </w:t>
      </w:r>
    </w:p>
    <w:p>
      <w:pPr>
        <w:pStyle w:val="Text1"/>
        <w:rPr>
          <w:noProof/>
        </w:rPr>
      </w:pPr>
      <w:r>
        <w:rPr>
          <w:noProof/>
        </w:rPr>
        <w:t xml:space="preserve">Остатъкът от постъпилите през 2015 г. целеви приходи в размер на 896,4 млн. евро автоматично беше пренесен в бюджета за 2016 г. за финансиране на бюджетните нужди за същата година. </w:t>
      </w:r>
    </w:p>
    <w:p>
      <w:pPr>
        <w:pStyle w:val="Text1"/>
        <w:rPr>
          <w:noProof/>
        </w:rPr>
      </w:pPr>
      <w:r>
        <w:rPr>
          <w:noProof/>
        </w:rPr>
        <w:t>За подробности вж. приложения 4-I и 4-II.</w:t>
      </w:r>
    </w:p>
    <w:p>
      <w:pPr>
        <w:pStyle w:val="ManualHeading1"/>
        <w:rPr>
          <w:noProof/>
        </w:rPr>
      </w:pPr>
      <w:bookmarkStart w:id="81" w:name="_Toc322938632"/>
      <w:bookmarkStart w:id="82" w:name="_Toc358122371"/>
      <w:bookmarkStart w:id="83" w:name="_Toc456683862"/>
      <w:bookmarkStart w:id="84" w:name="_Toc459130268"/>
      <w:r>
        <w:t>6.</w:t>
      </w:r>
      <w:r>
        <w:tab/>
      </w:r>
      <w:r>
        <w:rPr>
          <w:noProof/>
        </w:rPr>
        <w:t>РАЗПРЕДЕЛЕНИЕ ПО ВИДОВЕ РАЗХОДИ</w:t>
      </w:r>
      <w:bookmarkEnd w:id="81"/>
      <w:bookmarkEnd w:id="82"/>
      <w:bookmarkEnd w:id="83"/>
      <w:bookmarkEnd w:id="84"/>
      <w:r>
        <w:rPr>
          <w:noProof/>
        </w:rPr>
        <w:t xml:space="preserve"> </w:t>
      </w:r>
    </w:p>
    <w:p>
      <w:pPr>
        <w:pStyle w:val="Text1"/>
        <w:rPr>
          <w:noProof/>
        </w:rPr>
      </w:pPr>
      <w:r>
        <w:rPr>
          <w:noProof/>
        </w:rPr>
        <w:t>Общите разходи по линия на ЕФГЗ възлязоха на 44 948,1 млн. евро. По-долу е представено разпределението на тези разходи по основни категории, заедно с техния дял в общите разходи по линия на ЕФГЗ за 2015 г.:</w:t>
      </w:r>
    </w:p>
    <w:p>
      <w:pPr>
        <w:pStyle w:val="Text1"/>
        <w:rPr>
          <w:b/>
          <w:bCs/>
          <w:iCs/>
          <w:noProof/>
        </w:rPr>
      </w:pPr>
      <w:r>
        <w:rPr>
          <w:b/>
          <w:noProof/>
        </w:rPr>
        <w:t>Складиране</w:t>
      </w:r>
    </w:p>
    <w:p>
      <w:pPr>
        <w:pStyle w:val="Text1"/>
        <w:rPr>
          <w:noProof/>
        </w:rPr>
      </w:pPr>
      <w:r>
        <w:rPr>
          <w:noProof/>
        </w:rPr>
        <w:t xml:space="preserve">Разходите за складиране възлязоха на 18,4 млн. евро, т.е. 0,04 % от общите разходи. Тази сума представлява основно разходите, направени за частното складиране на масло. </w:t>
      </w:r>
    </w:p>
    <w:p>
      <w:pPr>
        <w:pStyle w:val="Text1"/>
        <w:rPr>
          <w:b/>
          <w:iCs/>
          <w:noProof/>
        </w:rPr>
      </w:pPr>
      <w:r>
        <w:rPr>
          <w:b/>
          <w:noProof/>
        </w:rPr>
        <w:t>Възстановявания при износ</w:t>
      </w:r>
    </w:p>
    <w:p>
      <w:pPr>
        <w:pStyle w:val="Text1"/>
        <w:rPr>
          <w:noProof/>
        </w:rPr>
      </w:pPr>
      <w:r>
        <w:rPr>
          <w:noProof/>
        </w:rPr>
        <w:t xml:space="preserve">Разходите за възстановявания при износ възлизаха на 0,3 млн. евро, т.е. 0,001 % от общите разходи, и бяха свързани с изплащане на дължимите оставащи средства за изнесени в миналото продукти, необхванати от приложение I, говеждо месо, свинско месо и птиче месо. </w:t>
      </w:r>
    </w:p>
    <w:p>
      <w:pPr>
        <w:pStyle w:val="Text1"/>
        <w:rPr>
          <w:b/>
          <w:bCs/>
          <w:iCs/>
          <w:noProof/>
        </w:rPr>
      </w:pPr>
      <w:r>
        <w:rPr>
          <w:b/>
          <w:noProof/>
        </w:rPr>
        <w:t>Други пазарни мерки</w:t>
      </w:r>
    </w:p>
    <w:p>
      <w:pPr>
        <w:pStyle w:val="Text1"/>
        <w:rPr>
          <w:noProof/>
        </w:rPr>
      </w:pPr>
      <w:r>
        <w:rPr>
          <w:noProof/>
        </w:rPr>
        <w:t>Разходите за други пазарни мерки, освен складирането и възстановяванията при износ, възлязоха на 2698 млн. евро, т.е. 6 % от общите годишни разходи. Тази категория обхваща разходи, свързани главно с програмите за маслиново масло, плодове и зеленчуци, вино, влакнодайни растения, програмите POSEI, мерките за насърчаване, мляко и млечни продукти и пчеларство. Тези разходи включват и други, по-малки суми, както и корекциите вследствие уравняването на сметки и уреждане на спорове.</w:t>
      </w:r>
    </w:p>
    <w:p>
      <w:pPr>
        <w:pStyle w:val="Text1"/>
        <w:rPr>
          <w:b/>
          <w:bCs/>
          <w:iCs/>
          <w:noProof/>
        </w:rPr>
      </w:pPr>
      <w:r>
        <w:rPr>
          <w:b/>
          <w:noProof/>
        </w:rPr>
        <w:t>Преки помощи</w:t>
      </w:r>
    </w:p>
    <w:p>
      <w:pPr>
        <w:pStyle w:val="Text1"/>
        <w:rPr>
          <w:noProof/>
        </w:rPr>
      </w:pPr>
      <w:r>
        <w:rPr>
          <w:noProof/>
        </w:rPr>
        <w:t>Разходите за преки помощи възлязоха на 42 168 млн. евро, т.е. 93,8 % от общите разходи.</w:t>
      </w:r>
    </w:p>
    <w:p>
      <w:pPr>
        <w:pStyle w:val="Text1"/>
        <w:rPr>
          <w:b/>
          <w:bCs/>
          <w:iCs/>
          <w:noProof/>
        </w:rPr>
      </w:pPr>
      <w:r>
        <w:rPr>
          <w:b/>
          <w:noProof/>
        </w:rPr>
        <w:t>Разходи при пряко управление</w:t>
      </w:r>
    </w:p>
    <w:p>
      <w:pPr>
        <w:pStyle w:val="Text1"/>
        <w:rPr>
          <w:noProof/>
        </w:rPr>
      </w:pPr>
      <w:r>
        <w:rPr>
          <w:noProof/>
        </w:rPr>
        <w:t>Тези разходи възлязоха на 64,7 млн. евро (в бюджетни кредити за поети задължения), т.е. 0,1 % от общите разходи, и бяха изплатени пряко от Комисията. Те обхващаха главно разходите, свързани със системата за земеделска счетоводна информация, проучвания на структурата на земеделските стопанства, информация относно ОСП, техническа помощ и т.н.</w:t>
      </w:r>
    </w:p>
    <w:p>
      <w:pPr>
        <w:pStyle w:val="Text1"/>
        <w:rPr>
          <w:b/>
          <w:bCs/>
          <w:iCs/>
          <w:noProof/>
        </w:rPr>
      </w:pPr>
      <w:r>
        <w:rPr>
          <w:b/>
          <w:noProof/>
        </w:rPr>
        <w:t>Развитие на селските райони, финансирано от секция „Гарантиране“ на бившия ФЕОГА</w:t>
      </w:r>
    </w:p>
    <w:p>
      <w:pPr>
        <w:pStyle w:val="Text1"/>
        <w:rPr>
          <w:noProof/>
        </w:rPr>
      </w:pPr>
      <w:r>
        <w:rPr>
          <w:noProof/>
        </w:rPr>
        <w:t>За тези програми повече не могат да се предоставят бюджетни кредити за поети задължения. Понастоящем държавите членки приключват тези програми и възстановяват неправомерно изплатените суми. Окончателната нетна сума, възстановена по тази статия, възлиза на около 1,3 млн. евро.</w:t>
      </w:r>
    </w:p>
    <w:p>
      <w:pPr>
        <w:pStyle w:val="Text1"/>
        <w:rPr>
          <w:noProof/>
        </w:rPr>
      </w:pPr>
      <w:r>
        <w:rPr>
          <w:noProof/>
        </w:rPr>
        <w:t>Динамиката на разпределението по вид на разходите по линия на ЕФГЗ за периода 2009―2015 г. е представена в приложение 6.</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Тази процедура е представена в приложение 1.</w:t>
      </w:r>
    </w:p>
  </w:footnote>
  <w:footnote w:id="2">
    <w:p>
      <w:pPr>
        <w:pStyle w:val="FootnoteText"/>
      </w:pPr>
      <w:r>
        <w:rPr>
          <w:rStyle w:val="FootnoteReference"/>
        </w:rPr>
        <w:footnoteRef/>
      </w:r>
      <w:r>
        <w:tab/>
        <w:t>Тези суми не са вписани в бюджетните редове „Приходи“ (статия 670 за целевите приходи, предназначени за ЕФГЗ) със символичен запис „p.m.“ („pour mémoire“), но прогнозираната сума е посочена в коментарите по бюджетните редове относно тази статия.</w:t>
      </w:r>
    </w:p>
  </w:footnote>
  <w:footnote w:id="3">
    <w:p>
      <w:pPr>
        <w:pStyle w:val="FootnoteText"/>
      </w:pPr>
      <w:r>
        <w:rPr>
          <w:rStyle w:val="FootnoteReference"/>
        </w:rPr>
        <w:footnoteRef/>
      </w:r>
      <w:r>
        <w:tab/>
        <w:t>ОВ L 347, 20.12.2013 г., стр. 549.</w:t>
      </w:r>
    </w:p>
  </w:footnote>
  <w:footnote w:id="4">
    <w:p>
      <w:pPr>
        <w:pStyle w:val="FootnoteText"/>
      </w:pPr>
      <w:r>
        <w:rPr>
          <w:rStyle w:val="FootnoteReference"/>
        </w:rPr>
        <w:footnoteRef/>
      </w:r>
      <w:r>
        <w:tab/>
        <w:t>p.m. — символичен запис: „pour mémoire“.</w:t>
      </w:r>
    </w:p>
  </w:footnote>
  <w:footnote w:id="5">
    <w:p>
      <w:pPr>
        <w:pStyle w:val="FootnoteText"/>
      </w:pPr>
      <w:r>
        <w:rPr>
          <w:rStyle w:val="FootnoteReference"/>
        </w:rPr>
        <w:footnoteRef/>
      </w:r>
      <w:r>
        <w:tab/>
        <w:t>Въпросните месечни декларации за разходите се изпращат от държавите членки с декларацията на 12-то число на месец N+1.</w:t>
      </w:r>
    </w:p>
  </w:footnote>
  <w:footnote w:id="6">
    <w:p>
      <w:pPr>
        <w:pStyle w:val="FootnoteText"/>
      </w:pPr>
      <w:r>
        <w:rPr>
          <w:rStyle w:val="FootnoteReference"/>
        </w:rPr>
        <w:footnoteRef/>
      </w:r>
      <w:r>
        <w:t xml:space="preserve"> </w:t>
      </w:r>
      <w:r>
        <w:tab/>
        <w:t>Тези бюджетни кредити могат да бъдат пренесени в съответствие с член 169, параграф 3 от Финансовия регламент (ЕС, Евратом) № 966/2012, като в съответствие с член 26, параграф 5 от Регламент (ЕС) № 1306/2013 държавите членки възстановяват бюджетните кредити на крайните получатели, подлежащи на прилагане на механизма за финансова дисциплина през бюджетната година, към която са пренесени бюджетните кредити, в съответствие с член 26, параграфи 1—4 от посочения регламент.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4727C55"/>
    <w:multiLevelType w:val="multilevel"/>
    <w:tmpl w:val="3F0046A6"/>
    <w:lvl w:ilvl="0">
      <w:start w:val="1"/>
      <w:numFmt w:val="decimal"/>
      <w:lvlRestart w:val="0"/>
      <w:pStyle w:val="Heading1"/>
      <w:lvlText w:val="%1."/>
      <w:lvlJc w:val="left"/>
      <w:pPr>
        <w:tabs>
          <w:tab w:val="num" w:pos="850"/>
        </w:tabs>
        <w:ind w:left="850" w:hanging="850"/>
      </w:pPr>
      <w:rPr>
        <w:sz w:val="24"/>
        <w:szCs w:val="24"/>
        <w:vertAlign w:val="baseline"/>
      </w:r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9674C4"/>
    <w:multiLevelType w:val="singleLevel"/>
    <w:tmpl w:val="8A2AF054"/>
    <w:name w:val="0,6340992"/>
    <w:lvl w:ilvl="0">
      <w:start w:val="1"/>
      <w:numFmt w:val="bullet"/>
      <w:lvlRestart w:val="0"/>
      <w:pStyle w:val="Tiret1"/>
      <w:lvlText w:val="–"/>
      <w:lvlJc w:val="left"/>
      <w:pPr>
        <w:tabs>
          <w:tab w:val="num" w:pos="1417"/>
        </w:tabs>
        <w:ind w:left="1417" w:hanging="567"/>
      </w:pPr>
    </w:lvl>
  </w:abstractNum>
  <w:abstractNum w:abstractNumId="8">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3">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1">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25">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7">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2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0">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31">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30"/>
  </w:num>
  <w:num w:numId="2">
    <w:abstractNumId w:val="7"/>
  </w:num>
  <w:num w:numId="3">
    <w:abstractNumId w:val="10"/>
  </w:num>
  <w:num w:numId="4">
    <w:abstractNumId w:val="24"/>
  </w:num>
  <w:num w:numId="5">
    <w:abstractNumId w:val="28"/>
  </w:num>
  <w:num w:numId="6">
    <w:abstractNumId w:val="4"/>
  </w:num>
  <w:num w:numId="7">
    <w:abstractNumId w:val="12"/>
  </w:num>
  <w:num w:numId="8">
    <w:abstractNumId w:val="8"/>
  </w:num>
  <w:num w:numId="9">
    <w:abstractNumId w:val="15"/>
  </w:num>
  <w:num w:numId="10">
    <w:abstractNumId w:val="9"/>
  </w:num>
  <w:num w:numId="11">
    <w:abstractNumId w:val="25"/>
  </w:num>
  <w:num w:numId="12">
    <w:abstractNumId w:val="23"/>
  </w:num>
  <w:num w:numId="13">
    <w:abstractNumId w:val="20"/>
  </w:num>
  <w:num w:numId="14">
    <w:abstractNumId w:val="1"/>
  </w:num>
  <w:num w:numId="15">
    <w:abstractNumId w:val="0"/>
  </w:num>
  <w:num w:numId="16">
    <w:abstractNumId w:val="16"/>
  </w:num>
  <w:num w:numId="17">
    <w:abstractNumId w:val="18"/>
  </w:num>
  <w:num w:numId="18">
    <w:abstractNumId w:val="27"/>
  </w:num>
  <w:num w:numId="19">
    <w:abstractNumId w:val="11"/>
  </w:num>
  <w:num w:numId="20">
    <w:abstractNumId w:val="3"/>
  </w:num>
  <w:num w:numId="21">
    <w:abstractNumId w:val="2"/>
  </w:num>
  <w:num w:numId="22">
    <w:abstractNumId w:val="22"/>
  </w:num>
  <w:num w:numId="23">
    <w:abstractNumId w:val="21"/>
  </w:num>
  <w:num w:numId="24">
    <w:abstractNumId w:val="5"/>
  </w:num>
  <w:num w:numId="25">
    <w:abstractNumId w:val="13"/>
  </w:num>
  <w:num w:numId="26">
    <w:abstractNumId w:val="31"/>
  </w:num>
  <w:num w:numId="27">
    <w:abstractNumId w:val="14"/>
  </w:num>
  <w:num w:numId="28">
    <w:abstractNumId w:val="19"/>
  </w:num>
  <w:num w:numId="29">
    <w:abstractNumId w:val="17"/>
  </w:num>
  <w:num w:numId="30">
    <w:abstractNumId w:val="26"/>
  </w:num>
  <w:num w:numId="31">
    <w:abstractNumId w:val="29"/>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D71EA91C843B4DA5B39DE7F533248343"/>
    <w:docVar w:name="LW_CROSSREFERENCE" w:val="{SWD(2016) 293 final}"/>
    <w:docVar w:name="LW_DocType" w:val="NORMAL"/>
    <w:docVar w:name="LW_EMISSION" w:val="14.9.2016"/>
    <w:docVar w:name="LW_EMISSION_ISODATE" w:val="2016-09-14"/>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78"/>
    <w:docVar w:name="LW_REF.INTERNE" w:val="&lt;UNUSED&gt;"/>
    <w:docVar w:name="LW_SOUS.TITRE.OBJ.CP" w:val="&lt;UNUSED&gt;"/>
    <w:docVar w:name="LW_SUPERTITRE" w:val="&lt;UNUSED&gt;"/>
    <w:docVar w:name="LW_TITRE.OBJ.CP" w:val="\u1044?\u1045?\u1042?\u1045?\u1058?\u1048? \u1060?\u1048?\u1053?\u1040?\u1053?\u1057?\u1054?\u1042? \u1044?\u1054?\u1050?\u1051?\u1040?\u1044? \u1053?\u1040? \u1050?\u1054?\u1052?\u1048?\u1057?\u1048?\u1071?\u1058?\u1040? \u1044?\u1054? \u1045?\u1042?\u1056?\u1054?\u1055?\u1045?\u1049?\u1057?\u1050?\u1048?\u1071?_x000b_\u1055?\u1040?\u1056?\u1051?\u1040?\u1052?\u1045?\u1053?\u1058? \u1048? \u1057?\u1066?\u1042?\u1045?\u1058?\u1040? \u1054?\u1058?\u1053?\u1054?\u1057?\u1053?\u1054? \u1045?\u1042?\u1056?\u1054?\u1055?\u1045?\u1049?\u1057?\u1050?\u1048?\u1071? \u1060?\u1054?\u1053?\u1044? \u1047?\u1040?_x000b_\u1043?\u1040?\u1056?\u1040?\u1053?\u1058?\u1048?\u1056?\u1040?\u1053?\u1045? \u1053?\u1040? \u1047?\u1045?\u1052?\u1045?\u1044?\u1045?\u1051?\u1048?\u1045?\u1058?\u1054?_x000b__x000b_\u1060?\u1048?\u1053?\u1040?\u1053?\u1057?\u1054?\u1042?\u1040? \u1043?\u1054?\u1044?\u1048?\u1053?\u1040? 201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eastAsia="bg-BG" w:bidi="bg-BG"/>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i/>
      <w:iCs/>
      <w:noProof/>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character" w:customStyle="1" w:styleId="Heading5Char">
    <w:name w:val="Heading 5 Char"/>
    <w:link w:val="Heading5"/>
    <w:rPr>
      <w:rFonts w:ascii="Arial" w:eastAsia="Times New Roman" w:hAnsi="Arial"/>
      <w:sz w:val="22"/>
      <w:lang w:eastAsia="bg-BG"/>
    </w:rPr>
  </w:style>
  <w:style w:type="character" w:customStyle="1" w:styleId="Heading6Char">
    <w:name w:val="Heading 6 Char"/>
    <w:link w:val="Heading6"/>
    <w:rPr>
      <w:rFonts w:ascii="Arial" w:eastAsia="Times New Roman" w:hAnsi="Arial"/>
      <w:i/>
      <w:sz w:val="22"/>
      <w:lang w:eastAsia="bg-BG"/>
    </w:rPr>
  </w:style>
  <w:style w:type="character" w:customStyle="1" w:styleId="Heading7Char">
    <w:name w:val="Heading 7 Char"/>
    <w:link w:val="Heading7"/>
    <w:rPr>
      <w:rFonts w:ascii="Arial" w:eastAsia="Times New Roman" w:hAnsi="Arial"/>
      <w:lang w:eastAsia="bg-BG"/>
    </w:rPr>
  </w:style>
  <w:style w:type="character" w:customStyle="1" w:styleId="Heading8Char">
    <w:name w:val="Heading 8 Char"/>
    <w:link w:val="Heading8"/>
    <w:rPr>
      <w:rFonts w:ascii="Arial" w:eastAsia="Times New Roman" w:hAnsi="Arial"/>
      <w:i/>
      <w:lang w:eastAsia="bg-BG"/>
    </w:rPr>
  </w:style>
  <w:style w:type="character" w:customStyle="1" w:styleId="Heading9Char">
    <w:name w:val="Heading 9 Char"/>
    <w:link w:val="Heading9"/>
    <w:rPr>
      <w:rFonts w:ascii="Arial" w:eastAsia="Times New Roman" w:hAnsi="Arial"/>
      <w:i/>
      <w:sz w:val="18"/>
      <w:lang w:eastAsia="bg-BG"/>
    </w:rPr>
  </w:style>
  <w:style w:type="paragraph" w:styleId="Header">
    <w:name w:val="header"/>
    <w:basedOn w:val="Normal"/>
    <w:link w:val="HeaderChar"/>
    <w:uiPriority w:val="99"/>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bg-BG"/>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bg-BG"/>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bg-BG"/>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18"/>
      </w:numPr>
    </w:pPr>
    <w:rPr>
      <w:rFonts w:eastAsia="MS PGothic"/>
      <w:noProof/>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18"/>
      </w:numPr>
    </w:pPr>
    <w:rPr>
      <w:rFonts w:eastAsia="MS PGothic"/>
      <w:noProof/>
    </w:r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18"/>
      </w:numPr>
    </w:pPr>
    <w:rPr>
      <w:rFonts w:eastAsia="MS PGothic"/>
      <w:noProof/>
    </w:r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18"/>
      </w:numPr>
    </w:pPr>
    <w:rPr>
      <w:rFonts w:eastAsia="MS PGothic"/>
      <w:noProof/>
    </w:r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bg-BG"/>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bg-BG"/>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bg-BG"/>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bg-BG"/>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bg-BG"/>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bg-BG"/>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bg-BG"/>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bg-BG"/>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Pr>
      <w:rFonts w:ascii="Times New Roman" w:eastAsia="Times New Roman" w:hAnsi="Times New Roman"/>
      <w:sz w:val="24"/>
      <w:lang w:eastAsia="bg-BG"/>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bg-BG"/>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bg-BG" w:eastAsia="bg-BG" w:bidi="bg-BG"/>
    </w:rPr>
  </w:style>
  <w:style w:type="character" w:customStyle="1" w:styleId="MacroTextChar">
    <w:name w:val="Macro Text Char"/>
    <w:link w:val="MacroText"/>
    <w:semiHidden/>
    <w:rPr>
      <w:rFonts w:ascii="Courier New" w:eastAsia="Times New Roman" w:hAnsi="Courier New"/>
      <w:lan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bg-BG"/>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bg-BG"/>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bg-BG"/>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bg-BG"/>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bg-BG"/>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bg-BG"/>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lang w:val="bg-BG" w:eastAsia="bg-BG" w:bidi="bg-BG"/>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paragraph" w:customStyle="1" w:styleId="Style1">
    <w:name w:val="Style1"/>
    <w:basedOn w:val="Heading1"/>
    <w:pPr>
      <w:numPr>
        <w:numId w:val="0"/>
      </w:numPr>
      <w:tabs>
        <w:tab w:val="left" w:pos="709"/>
      </w:tabs>
      <w:spacing w:before="240" w:after="0"/>
      <w:ind w:left="851" w:hanging="851"/>
      <w:jc w:val="left"/>
    </w:pPr>
    <w:rPr>
      <w:bCs w:val="0"/>
      <w:szCs w:val="20"/>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lang w:val="bg-BG" w:eastAsia="bg-BG" w:bidi="bg-BG"/>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pPr>
      <w:spacing w:before="60" w:after="60" w:line="240" w:lineRule="auto"/>
    </w:pPr>
    <w:rPr>
      <w:rFonts w:ascii="Times New Roman" w:eastAsia="Times New Roman" w:hAnsi="Times New Roman"/>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lang w:val="en-GB" w:eastAsia="en-GB" w:bidi="ar-SA"/>
    </w:rPr>
  </w:style>
  <w:style w:type="character" w:customStyle="1" w:styleId="TOCHeadingChar">
    <w:name w:val="TOC Heading Char"/>
    <w:link w:val="TOCHeading"/>
    <w:rPr>
      <w:rFonts w:ascii="Times New Roman" w:eastAsia="Times New Roman" w:hAnsi="Times New Roman"/>
      <w:b/>
      <w:sz w:val="28"/>
      <w:szCs w:val="24"/>
      <w:lang w:eastAsia="bg-BG"/>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lang w:val="en-GB" w:eastAsia="en-GB" w:bidi="ar-SA"/>
    </w:rPr>
  </w:style>
  <w:style w:type="character" w:customStyle="1" w:styleId="HeaderCoverPageChar">
    <w:name w:val="Header Cover Page Char"/>
    <w:link w:val="HeaderCoverPage"/>
    <w:rPr>
      <w:rFonts w:ascii="Times New Roman" w:eastAsia="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343">
      <w:bodyDiv w:val="1"/>
      <w:marLeft w:val="0"/>
      <w:marRight w:val="0"/>
      <w:marTop w:val="0"/>
      <w:marBottom w:val="0"/>
      <w:divBdr>
        <w:top w:val="none" w:sz="0" w:space="0" w:color="auto"/>
        <w:left w:val="none" w:sz="0" w:space="0" w:color="auto"/>
        <w:bottom w:val="none" w:sz="0" w:space="0" w:color="auto"/>
        <w:right w:val="none" w:sz="0" w:space="0" w:color="auto"/>
      </w:divBdr>
    </w:div>
    <w:div w:id="8328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592E-C917-419E-87CF-BF6C8B67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5069</Words>
  <Characters>27070</Characters>
  <Application>Microsoft Office Word</Application>
  <DocSecurity>0</DocSecurity>
  <Lines>615</Lines>
  <Paragraphs>261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31878</CharactersWithSpaces>
  <SharedDoc>false</SharedDoc>
  <HLinks>
    <vt:vector size="36" baseType="variant">
      <vt:variant>
        <vt:i4>1114162</vt:i4>
      </vt:variant>
      <vt:variant>
        <vt:i4>32</vt:i4>
      </vt:variant>
      <vt:variant>
        <vt:i4>0</vt:i4>
      </vt:variant>
      <vt:variant>
        <vt:i4>5</vt:i4>
      </vt:variant>
      <vt:variant>
        <vt:lpwstr/>
      </vt:variant>
      <vt:variant>
        <vt:lpwstr>_Toc456683862</vt:lpwstr>
      </vt:variant>
      <vt:variant>
        <vt:i4>1114162</vt:i4>
      </vt:variant>
      <vt:variant>
        <vt:i4>26</vt:i4>
      </vt:variant>
      <vt:variant>
        <vt:i4>0</vt:i4>
      </vt:variant>
      <vt:variant>
        <vt:i4>5</vt:i4>
      </vt:variant>
      <vt:variant>
        <vt:lpwstr/>
      </vt:variant>
      <vt:variant>
        <vt:lpwstr>_Toc456683861</vt:lpwstr>
      </vt:variant>
      <vt:variant>
        <vt:i4>1114162</vt:i4>
      </vt:variant>
      <vt:variant>
        <vt:i4>20</vt:i4>
      </vt:variant>
      <vt:variant>
        <vt:i4>0</vt:i4>
      </vt:variant>
      <vt:variant>
        <vt:i4>5</vt:i4>
      </vt:variant>
      <vt:variant>
        <vt:lpwstr/>
      </vt:variant>
      <vt:variant>
        <vt:lpwstr>_Toc456683860</vt:lpwstr>
      </vt:variant>
      <vt:variant>
        <vt:i4>1179698</vt:i4>
      </vt:variant>
      <vt:variant>
        <vt:i4>14</vt:i4>
      </vt:variant>
      <vt:variant>
        <vt:i4>0</vt:i4>
      </vt:variant>
      <vt:variant>
        <vt:i4>5</vt:i4>
      </vt:variant>
      <vt:variant>
        <vt:lpwstr/>
      </vt:variant>
      <vt:variant>
        <vt:lpwstr>_Toc456683859</vt:lpwstr>
      </vt:variant>
      <vt:variant>
        <vt:i4>1179698</vt:i4>
      </vt:variant>
      <vt:variant>
        <vt:i4>8</vt:i4>
      </vt:variant>
      <vt:variant>
        <vt:i4>0</vt:i4>
      </vt:variant>
      <vt:variant>
        <vt:i4>5</vt:i4>
      </vt:variant>
      <vt:variant>
        <vt:lpwstr/>
      </vt:variant>
      <vt:variant>
        <vt:lpwstr>_Toc456683858</vt:lpwstr>
      </vt:variant>
      <vt:variant>
        <vt:i4>1179698</vt:i4>
      </vt:variant>
      <vt:variant>
        <vt:i4>2</vt:i4>
      </vt:variant>
      <vt:variant>
        <vt:i4>0</vt:i4>
      </vt:variant>
      <vt:variant>
        <vt:i4>5</vt:i4>
      </vt:variant>
      <vt:variant>
        <vt:lpwstr/>
      </vt:variant>
      <vt:variant>
        <vt:lpwstr>_Toc456683857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2016-07-26T08:24:00Z</cp:lastPrinted>
  <dcterms:created xsi:type="dcterms:W3CDTF">2016-07-26T08:54:00Z</dcterms:created>
  <dcterms:modified xsi:type="dcterms:W3CDTF">2016-09-12T15:20:00Z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ies>
</file>