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C1" w:rsidRDefault="00F83459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8D739F7F842420AA2C29CBFED8D4C3E" style="width:450.85pt;height:397.7pt">
            <v:imagedata r:id="rId8" o:title=""/>
          </v:shape>
        </w:pict>
      </w:r>
    </w:p>
    <w:p w:rsidR="006751C1" w:rsidRDefault="006751C1">
      <w:pPr>
        <w:rPr>
          <w:noProof/>
        </w:rPr>
        <w:sectPr w:rsidR="006751C1" w:rsidSect="00F834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6751C1" w:rsidRDefault="00F83459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ANNEXE</w:t>
      </w:r>
    </w:p>
    <w:p w:rsidR="006751C1" w:rsidRDefault="006751C1">
      <w:pPr>
        <w:rPr>
          <w:noProof/>
        </w:rPr>
      </w:pPr>
    </w:p>
    <w:p w:rsidR="006751C1" w:rsidRDefault="00F83459">
      <w:pPr>
        <w:rPr>
          <w:noProof/>
        </w:rPr>
      </w:pPr>
      <w:r>
        <w:rPr>
          <w:noProof/>
        </w:rPr>
        <w:t xml:space="preserve">Les États membres agissant conjointement dans l’intérêt de l’Union ne soutiennent que les </w:t>
      </w:r>
      <w:r>
        <w:rPr>
          <w:noProof/>
        </w:rPr>
        <w:t>projets de résolution à l'étape 7 énumérés ci-dessous, relatifs aux méthodes d’analyse permettant d’établir la composition des produits du secteur vitivinicole, aux spécifications de pureté et d'identité des substances utilisées pour les pratiques œnologiq</w:t>
      </w:r>
      <w:r>
        <w:rPr>
          <w:noProof/>
        </w:rPr>
        <w:t>ues et aux pratiques œnologiques, sous réserve d’un éventuel réexamen futur à la lumière de nouveaux éléments:</w:t>
      </w:r>
    </w:p>
    <w:p w:rsidR="006751C1" w:rsidRDefault="00F83459">
      <w:pPr>
        <w:tabs>
          <w:tab w:val="left" w:pos="3228"/>
        </w:tabs>
        <w:rPr>
          <w:noProof/>
          <w:szCs w:val="24"/>
        </w:rPr>
      </w:pPr>
      <w:r>
        <w:rPr>
          <w:noProof/>
        </w:rPr>
        <w:t>OENO</w:t>
      </w:r>
      <w:r>
        <w:rPr>
          <w:noProof/>
          <w:color w:val="000000"/>
        </w:rPr>
        <w:t>-MICRO 14-546</w:t>
      </w:r>
      <w:r>
        <w:rPr>
          <w:noProof/>
        </w:rPr>
        <w:t xml:space="preserve">, </w:t>
      </w:r>
      <w:r>
        <w:rPr>
          <w:noProof/>
          <w:color w:val="000000"/>
        </w:rPr>
        <w:t>utilisation des levures non-Saccharomyces - révision des fiches correspondantes du code international des pratiques œnologique</w:t>
      </w:r>
      <w:r>
        <w:rPr>
          <w:noProof/>
          <w:color w:val="000000"/>
        </w:rPr>
        <w:t>s</w:t>
      </w:r>
    </w:p>
    <w:p w:rsidR="006751C1" w:rsidRDefault="00F83459">
      <w:pPr>
        <w:rPr>
          <w:noProof/>
          <w:color w:val="000000"/>
          <w:szCs w:val="24"/>
        </w:rPr>
      </w:pPr>
      <w:r>
        <w:rPr>
          <w:noProof/>
          <w:color w:val="000000"/>
        </w:rPr>
        <w:t>OENO-SPECIF 12-506, monographie sur zéolite sélective (faujasite)</w:t>
      </w:r>
    </w:p>
    <w:p w:rsidR="006751C1" w:rsidRDefault="00F83459">
      <w:pPr>
        <w:rPr>
          <w:noProof/>
          <w:color w:val="000000"/>
          <w:szCs w:val="24"/>
        </w:rPr>
      </w:pPr>
      <w:bookmarkStart w:id="1" w:name="RANGE!B18"/>
      <w:r>
        <w:rPr>
          <w:noProof/>
          <w:color w:val="000000"/>
        </w:rPr>
        <w:t>OENO-SPECIF 15-575</w:t>
      </w:r>
      <w:bookmarkEnd w:id="1"/>
      <w:r>
        <w:rPr>
          <w:noProof/>
          <w:color w:val="000000"/>
        </w:rPr>
        <w:t>, monographie des protéines d'origine végétale - mise à jour des spécifications en fer et autres métaux</w:t>
      </w:r>
    </w:p>
    <w:p w:rsidR="006751C1" w:rsidRDefault="00F83459">
      <w:pPr>
        <w:rPr>
          <w:noProof/>
          <w:color w:val="000000"/>
          <w:szCs w:val="24"/>
        </w:rPr>
      </w:pPr>
      <w:r>
        <w:rPr>
          <w:noProof/>
          <w:color w:val="000000"/>
        </w:rPr>
        <w:t>OENO-TECHNO 10-444, utilisation d'une plaque filtrante contenant d</w:t>
      </w:r>
      <w:r>
        <w:rPr>
          <w:noProof/>
          <w:color w:val="000000"/>
        </w:rPr>
        <w:t>es zéolithes sélectives pour absorber les chloroanisoles</w:t>
      </w:r>
    </w:p>
    <w:p w:rsidR="006751C1" w:rsidRDefault="00F83459">
      <w:pPr>
        <w:rPr>
          <w:noProof/>
          <w:color w:val="000000"/>
          <w:szCs w:val="24"/>
        </w:rPr>
      </w:pPr>
      <w:r>
        <w:rPr>
          <w:noProof/>
          <w:color w:val="000000"/>
        </w:rPr>
        <w:t>OENO-TECHNO 14-543, traitement des vins aux polyaspartates</w:t>
      </w:r>
    </w:p>
    <w:p w:rsidR="006751C1" w:rsidRDefault="00F83459">
      <w:pPr>
        <w:rPr>
          <w:noProof/>
          <w:color w:val="000000"/>
          <w:szCs w:val="24"/>
        </w:rPr>
      </w:pPr>
      <w:r>
        <w:rPr>
          <w:noProof/>
          <w:color w:val="000000"/>
        </w:rPr>
        <w:t>OENO-TECHNO 14-545 A, actualisation de la fiche concernant l’oxygénation des moûts</w:t>
      </w:r>
    </w:p>
    <w:p w:rsidR="006751C1" w:rsidRDefault="00F83459">
      <w:pPr>
        <w:rPr>
          <w:noProof/>
          <w:color w:val="000000"/>
          <w:szCs w:val="24"/>
        </w:rPr>
      </w:pPr>
      <w:r>
        <w:rPr>
          <w:noProof/>
          <w:color w:val="000000"/>
        </w:rPr>
        <w:t>OENO-TECHNO 14-545 B, actualisation de la fiche concernan</w:t>
      </w:r>
      <w:r>
        <w:rPr>
          <w:noProof/>
          <w:color w:val="000000"/>
        </w:rPr>
        <w:t>t l’oxygénation des vins</w:t>
      </w:r>
    </w:p>
    <w:p w:rsidR="006751C1" w:rsidRDefault="00F83459">
      <w:pPr>
        <w:rPr>
          <w:noProof/>
          <w:color w:val="000000"/>
          <w:szCs w:val="24"/>
        </w:rPr>
      </w:pPr>
      <w:r>
        <w:rPr>
          <w:noProof/>
          <w:color w:val="000000"/>
        </w:rPr>
        <w:t>OENO-TECHNO 14-567 A, distinction entre additifs et auxiliaires technologiques - partie 1</w:t>
      </w:r>
    </w:p>
    <w:p w:rsidR="006751C1" w:rsidRDefault="00F83459">
      <w:pPr>
        <w:rPr>
          <w:noProof/>
          <w:color w:val="000000"/>
          <w:szCs w:val="24"/>
        </w:rPr>
      </w:pPr>
      <w:r>
        <w:rPr>
          <w:noProof/>
        </w:rPr>
        <w:t>ECO-DROCON 13-523, vin ayant une teneur en alcool modifiée par désalcoolisation</w:t>
      </w:r>
    </w:p>
    <w:p w:rsidR="006751C1" w:rsidRDefault="00F83459">
      <w:pPr>
        <w:rPr>
          <w:noProof/>
          <w:color w:val="000000"/>
          <w:szCs w:val="24"/>
        </w:rPr>
      </w:pPr>
      <w:r>
        <w:rPr>
          <w:noProof/>
          <w:color w:val="000000"/>
        </w:rPr>
        <w:t xml:space="preserve">OENO-SCMA 13-526, dispositions concernant l’utilisation des </w:t>
      </w:r>
      <w:r>
        <w:rPr>
          <w:noProof/>
          <w:color w:val="000000"/>
        </w:rPr>
        <w:t>méthodes brevetées devant être adoptées par l’OIV</w:t>
      </w:r>
    </w:p>
    <w:p w:rsidR="006751C1" w:rsidRDefault="00F83459">
      <w:pPr>
        <w:rPr>
          <w:noProof/>
          <w:color w:val="000000"/>
          <w:szCs w:val="24"/>
        </w:rPr>
      </w:pPr>
      <w:r>
        <w:rPr>
          <w:noProof/>
          <w:color w:val="000000"/>
        </w:rPr>
        <w:t>OENO-SCMA 14-553, analyse des composés volatils des vins par chromatographie en phase gazeuse</w:t>
      </w:r>
    </w:p>
    <w:p w:rsidR="006751C1" w:rsidRDefault="00F83459">
      <w:pPr>
        <w:rPr>
          <w:noProof/>
          <w:color w:val="000000"/>
          <w:szCs w:val="24"/>
        </w:rPr>
      </w:pPr>
      <w:r>
        <w:rPr>
          <w:noProof/>
          <w:color w:val="000000"/>
        </w:rPr>
        <w:t>OENO-SCMA 14-552, dosage des sucres dans le vin par chromatographie liquide à haute performance - mise à jour de</w:t>
      </w:r>
      <w:r>
        <w:rPr>
          <w:noProof/>
          <w:color w:val="000000"/>
        </w:rPr>
        <w:t xml:space="preserve"> la méthode OIV-MA-AS311-03</w:t>
      </w:r>
    </w:p>
    <w:p w:rsidR="006751C1" w:rsidRDefault="00F83459">
      <w:pPr>
        <w:rPr>
          <w:noProof/>
        </w:rPr>
      </w:pPr>
      <w:r>
        <w:rPr>
          <w:noProof/>
          <w:color w:val="000000"/>
        </w:rPr>
        <w:t>OENO-SCMA 14-566, boissons à faible teneur en alcool - actualisation de la méthode OIV-MA-AS312-01A</w:t>
      </w:r>
    </w:p>
    <w:sectPr w:rsidR="006751C1" w:rsidSect="00F83459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C1" w:rsidRDefault="00F83459">
      <w:pPr>
        <w:spacing w:before="0" w:after="0"/>
      </w:pPr>
      <w:r>
        <w:separator/>
      </w:r>
    </w:p>
  </w:endnote>
  <w:endnote w:type="continuationSeparator" w:id="0">
    <w:p w:rsidR="006751C1" w:rsidRDefault="00F834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59" w:rsidRPr="00F83459" w:rsidRDefault="00F83459" w:rsidP="00F834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1C1" w:rsidRPr="00F83459" w:rsidRDefault="00F83459" w:rsidP="00F83459">
    <w:pPr>
      <w:pStyle w:val="Footer"/>
      <w:rPr>
        <w:rFonts w:ascii="Arial" w:hAnsi="Arial" w:cs="Arial"/>
        <w:b/>
        <w:sz w:val="48"/>
      </w:rPr>
    </w:pPr>
    <w:r w:rsidRPr="00F83459">
      <w:rPr>
        <w:rFonts w:ascii="Arial" w:hAnsi="Arial" w:cs="Arial"/>
        <w:b/>
        <w:sz w:val="48"/>
      </w:rPr>
      <w:t>FR</w:t>
    </w:r>
    <w:r w:rsidRPr="00F83459">
      <w:rPr>
        <w:rFonts w:ascii="Arial" w:hAnsi="Arial" w:cs="Arial"/>
        <w:b/>
        <w:sz w:val="48"/>
      </w:rPr>
      <w:tab/>
    </w:r>
    <w:r w:rsidRPr="00F83459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F83459">
      <w:tab/>
    </w:r>
    <w:proofErr w:type="spellStart"/>
    <w:r w:rsidRPr="00F83459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59" w:rsidRPr="00F83459" w:rsidRDefault="00F83459" w:rsidP="00F8345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59" w:rsidRPr="00F83459" w:rsidRDefault="00F83459" w:rsidP="00F83459">
    <w:pPr>
      <w:pStyle w:val="Footer"/>
      <w:rPr>
        <w:rFonts w:ascii="Arial" w:hAnsi="Arial" w:cs="Arial"/>
        <w:b/>
        <w:sz w:val="48"/>
      </w:rPr>
    </w:pPr>
    <w:r w:rsidRPr="00F83459">
      <w:rPr>
        <w:rFonts w:ascii="Arial" w:hAnsi="Arial" w:cs="Arial"/>
        <w:b/>
        <w:sz w:val="48"/>
      </w:rPr>
      <w:t>FR</w:t>
    </w:r>
    <w:r w:rsidRPr="00F8345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F83459">
      <w:tab/>
    </w:r>
    <w:r w:rsidRPr="00F83459"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59" w:rsidRPr="00F83459" w:rsidRDefault="00F83459" w:rsidP="00F83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C1" w:rsidRDefault="00F83459">
      <w:pPr>
        <w:spacing w:before="0" w:after="0"/>
      </w:pPr>
      <w:r>
        <w:separator/>
      </w:r>
    </w:p>
  </w:footnote>
  <w:footnote w:type="continuationSeparator" w:id="0">
    <w:p w:rsidR="006751C1" w:rsidRDefault="00F834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59" w:rsidRPr="00F83459" w:rsidRDefault="00F83459" w:rsidP="00F834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59" w:rsidRPr="00F83459" w:rsidRDefault="00F83459" w:rsidP="00F834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59" w:rsidRPr="00F83459" w:rsidRDefault="00F83459" w:rsidP="00F834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E0EEC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65205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A26A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BC09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56481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68C5E4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C5091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3D6D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displayBackgroundShap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02 10:34:4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à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68D739F7F842420AA2C29CBFED8D4C3E"/>
    <w:docVar w:name="LW_CROSSREFERENCE" w:val="&lt;UNUSED&gt;"/>
    <w:docVar w:name="LW_DocType" w:val="ANNEX"/>
    <w:docVar w:name="LW_EMISSION" w:val="14.9.2016"/>
    <w:docVar w:name="LW_EMISSION_ISODATE" w:val="2016-09-14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établissant la position à adopter au nom de l'Union européenne en ce qui concerne certaines résolutions devant être votées dans le cadre de l\u8217?Organisation internationale de la vigne et du vin (OIV)"/>
    <w:docVar w:name="LW_PART_NBR" w:val="1"/>
    <w:docVar w:name="LW_PART_NBR_TOTAL" w:val="1"/>
    <w:docVar w:name="LW_REF.INST.NEW" w:val="COM"/>
    <w:docVar w:name="LW_REF.INST.NEW_ADOPTED" w:val="final"/>
    <w:docVar w:name="LW_REF.INST.NEW_TEXT" w:val="(2016) 579"/>
    <w:docVar w:name="LW_REF.INTERNE" w:val="&lt;UNUSED&gt;"/>
    <w:docVar w:name="LW_SUPERTITRE" w:val="&lt;UNUSED&gt;"/>
    <w:docVar w:name="LW_TITRE.OBJ.CP" w:val="&lt;UNUSED&gt;"/>
    <w:docVar w:name="LW_TYPE.DOC.CP" w:val="ANNEXE"/>
    <w:docVar w:name="LW_TYPEACTEPRINCIPAL.CP" w:val="Proposition de décision du Conseil"/>
  </w:docVars>
  <w:rsids>
    <w:rsidRoot w:val="006751C1"/>
    <w:rsid w:val="006751C1"/>
    <w:rsid w:val="00F8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fr-FR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fr-FR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33</TotalTime>
  <Pages>2</Pages>
  <Words>234</Words>
  <Characters>1530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MCCORD Patricia (AGRI)</dc:creator>
  <cp:lastModifiedBy>DOMINGUEZ AGUIRRE Ana (SG)</cp:lastModifiedBy>
  <cp:revision>10</cp:revision>
  <cp:lastPrinted>2016-09-13T19:00:00Z</cp:lastPrinted>
  <dcterms:created xsi:type="dcterms:W3CDTF">2016-09-02T08:34:00Z</dcterms:created>
  <dcterms:modified xsi:type="dcterms:W3CDTF">2016-09-13T19:25:00Z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