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CEF47F2D48A1411586A91A46DCB2752E" style="width:450.7pt;height:379.6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Предложението се прави в контекста на реформата от 2010 г. на правилата за произход по ОСП, въведена с Регламент (ЕС) № 1063/2010 от 18 ноември 2010 г., с който се измени Регламент (ЕИО) № 2454/93.</w:t>
      </w:r>
    </w:p>
    <w:p>
      <w:pPr>
        <w:rPr>
          <w:noProof/>
        </w:rPr>
      </w:pPr>
      <w:r>
        <w:rPr>
          <w:noProof/>
        </w:rPr>
        <w:t>Вследствие на реформата Турция беше включена под условие в системата за кумулация на произход, която преди това се прилагаше между Съюза, Швейцария и Норвегия.</w:t>
      </w:r>
    </w:p>
    <w:p>
      <w:pPr>
        <w:rPr>
          <w:noProof/>
        </w:rPr>
      </w:pPr>
      <w:r>
        <w:rPr>
          <w:noProof/>
        </w:rPr>
        <w:t>Беше въведена и нова система за удостоверяване на произхода от регистрирани износители, която ще започне да се прилага от 1 януари 2017 г.</w:t>
      </w:r>
    </w:p>
    <w:p>
      <w:pPr>
        <w:rPr>
          <w:noProof/>
        </w:rPr>
      </w:pPr>
      <w:r>
        <w:rPr>
          <w:noProof/>
        </w:rPr>
        <w:t>Предвид горепосоченото съществуващият правен акт, приложими към системата за кумулация на произхода между Съюза и Норвегия, следва да бъде преразгледан. Това е целта на настоящото предложение.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съгласувано с общата търговска политика, по-специално с разпоредбите в митническата област, свободното движение на стоки и правилата за произход.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spacing w:before="75" w:after="75"/>
        <w:rPr>
          <w:bCs/>
          <w:noProof/>
        </w:rPr>
      </w:pPr>
      <w:r>
        <w:rPr>
          <w:noProof/>
        </w:rPr>
        <w:t>Договорът за функционирането на Европейския съюз и по-специално член 218, параграф 6;</w:t>
      </w:r>
      <w:r>
        <w:rPr>
          <w:noProof/>
        </w:rPr>
        <w:br/>
        <w:t>Решение 2001/101/EО на Съвета от 5.12.2000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свързано с общата търговска политика, която е от изключителната компетентност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spacing w:before="75" w:after="150"/>
        <w:rPr>
          <w:bCs/>
          <w:noProof/>
        </w:rPr>
      </w:pPr>
      <w:r>
        <w:rPr>
          <w:noProof/>
        </w:rPr>
        <w:t>Настоящото предложение е в съответствие с принципа на пропорционалност, тъй като ефектът от него е строго ограничен до това, което е необходимо, за да се даде възможност за включване на Турция в кумулацията, съществуваща във връзка с продуктите с произход от Швейцария и Норвегия.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Избор на правния акт</w:t>
      </w:r>
    </w:p>
    <w:p>
      <w:pPr>
        <w:spacing w:before="75" w:after="75"/>
        <w:rPr>
          <w:bCs/>
          <w:noProof/>
        </w:rPr>
      </w:pPr>
      <w:r>
        <w:rPr>
          <w:noProof/>
        </w:rPr>
        <w:t>Съгласно член 218, параграф 6 от Договора за функционирането на Европейския съюз Съветът приема решение, с което разрешава сключването на споразумението по предложение на преговарящия. Настоящото е предложение за такова решение.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>Въз основа на консултациите със заинтересованите страни беше изготвено споразумение, което се приема изцяло във всички негови елементи.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Оценка на въздействието не бе извършена по отношение на придружаващата пътна карта и насоките за по-добро регулиране, тъй като предложението се отнася за кумулация на произхода между Съюза, Швейцария, Норвегия и евентуално Турция — система, която вече съществува и която се адаптира, за да отговаря на техническите изисквания, свързани с прилагането на системата REX, считано от 1 януари 2017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не оказва въздействие върху защитата на основните права.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Мярката ще се оценява периодично от страните, които редовно ще поддържат контакти и ще участват в срещи и обучения, свързани с прилагането на системата REX.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lastRenderedPageBreak/>
        <w:t>•</w:t>
      </w:r>
      <w:r>
        <w:rPr>
          <w:noProof/>
        </w:rPr>
        <w:tab/>
        <w:t>Подробно разяснение на конкретни разпоредби на предложението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Предишното споразумение под формата на размяна на писма между Общността и всяка от страните от ЕАСТ, която предоставя тарифни преференции в съответствие с общата система за преференции (Норвегия и Швейцария), предвиждащо стоки със съдържание с произход от Норвегия или Швейцария да се третират при тяхното пристигане на митническата територия на Общността като стоки със съдържание с произход от Общността, одобрено от името на Европейската общност (Решение на Съвета от 5.12.2000 г.), трябва да бъде заменено с ново споразумение, за да се вземе предвид реформата на правилата за произход по ОСП, приета с Регламент № 1063/2010 от 18.11.2010 г. В резултат на правомощието, предоставено от Съвета на Комисията на 8 март 2012 г., с Норвегия бяха проведени преговори по настоящото ново споразумение, които приключиха.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2016/0329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 на споразумение под формата на размяна на писма между Европейския съюз и Кралство Норвегия за кумулация на произхода между Европейския съюз, Швейцария, Кралство Норвегия и Турция в рамките на общата система за преференции на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във връзка с член 218, параграф 6, буква а), точка v)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 xml:space="preserve">като взе предвид одобрението на Европейския парламент, 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член 41, буква б) от Делегиран регламент (ЕС) 2015/2446 на Комисията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продукти, получени в Норвегия, Швейцария или Турция, с вложени, които не са били изцяло получени там, се считат за продукти с произход от държава бенефициер, при условие че тези материали са претърпели достатъчна обработка или преработка по смисъла на член 45 от посочения делегиран регламент (система на кумулация).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 54 от Делегиран регламент (ЕС) 2015/2446 на Комисията системата за кумулация се прилага, при условие че Норвегия предоставя реципрочно същото третиране на продуктите с произход от държавите бенефициери, в които са вложени материали с произход от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Що се отнася до Норвегия, тази система на кумулация първоначално беше въведена чрез споразумение под формата на размяна на писма между Съюза и Норвегия. Размяната на писма се състоя на 29 януари 2001 г. след одобрението на Съвета с Решение 2001/101/ЕО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Норвегия измени своите правила за произход по общата система за преференции (ОСП), за да гарантира, че прилага концепция за произход, съответстваща на </w:t>
      </w:r>
      <w:r>
        <w:rPr>
          <w:noProof/>
        </w:rPr>
        <w:lastRenderedPageBreak/>
        <w:t>тази, определена в правилата за произход по ОСП на Съюза. Следователно е необходимо споразумението под формата на размяна на писма между Съюза и Норвегия да се преразгледа.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Системата за взаимно приемане на заместващи сертификати за произход — формуляр А, от Съюза, Норвегия и Швейцария следва да продължи да се прилага в рамките на преработена размяна на писма и да се прилага под условие от Турция с цел да се улесни търговията между Съюза, Норвегия, Швейцария и Турция.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Освен това правилата за произход по ОСП на Съюза предвиждат прилагането на нова система от 1 януари 2017 г. за установяване на доказателствата за произход от страна на регистрираните износители. В тази връзка също трябва да бъдат направени изменения в размяната на писма.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Като подготовка за прилагането на тази нова система и свързаните с нея правила, на 8 март 2012 г. Съветът упълномощи Комисията да договори споразумение с Норвегия, под формата на размяна на писма, относно взаимното приемане на заместващи сертификати за произход — формуляр А, или на заместващи изявления за произход, предвиждащо продукти със съдържание с произход от Норвегия, Швейцария или Турция да се третират при пристигането им на митническата територия на Съюза като продукти със съдържание с произход от Съюза.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 xml:space="preserve">Комисията проведе преговори с Норвегия, които приключиха със споразумение под формата на размяна на писма. </w:t>
      </w:r>
    </w:p>
    <w:p>
      <w:pPr>
        <w:pStyle w:val="ManualConsidrant"/>
        <w:rPr>
          <w:noProof/>
        </w:rPr>
      </w:pPr>
      <w:r>
        <w:t>(9)</w:t>
      </w:r>
      <w:r>
        <w:tab/>
      </w:r>
      <w:r>
        <w:rPr>
          <w:noProof/>
        </w:rPr>
        <w:t>Споразумението следва да се одобри от името на Съюза,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before="75" w:after="75"/>
        <w:ind w:right="1"/>
        <w:rPr>
          <w:noProof/>
        </w:rPr>
      </w:pPr>
      <w:r>
        <w:rPr>
          <w:noProof/>
        </w:rPr>
        <w:t>Одобрява се, от името на Съюза, Споразумението под формата на размяна на писма между Европейския съюз и Кралство Норвегия за кумулация на произхода между Европейския съюз, Швейцария, Кралство Норвегия и Турция в рамките на общата система за преференции на Европейския съюз („споразумението“).</w:t>
      </w:r>
    </w:p>
    <w:p>
      <w:pPr>
        <w:rPr>
          <w:noProof/>
        </w:rPr>
      </w:pPr>
      <w:r>
        <w:rPr>
          <w:noProof/>
        </w:rPr>
        <w:t>Текстът на споразумението под формата на размяна на писма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>Председателят на Съвета посочва лицето, упълномощено да извърши от името на Европейския съюз уведомяването, предвидено в член 18 от споразумението под формата на размяна на писма, с което се изразява съгласието на Европейския съюз да бъде обвързан със споразумението.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на 1 януари 2017 г.</w:t>
      </w:r>
    </w:p>
    <w:p>
      <w:pPr>
        <w:pStyle w:val="Fait"/>
        <w:rPr>
          <w:noProof/>
        </w:rPr>
      </w:pPr>
      <w:r>
        <w:rPr>
          <w:noProof/>
        </w:rPr>
        <w:lastRenderedPageBreak/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Делегиран регламент на Комисията (</w:t>
      </w:r>
      <w:r>
        <w:t>EC</w:t>
      </w:r>
      <w:r>
        <w:rPr>
          <w:lang w:val="ru-RU"/>
        </w:rPr>
        <w:t>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 (</w:t>
      </w:r>
      <w:r>
        <w:t>O</w:t>
      </w:r>
      <w:r>
        <w:rPr>
          <w:lang w:val="ru-RU"/>
        </w:rPr>
        <w:t xml:space="preserve">В </w:t>
      </w:r>
      <w:r>
        <w:t>L</w:t>
      </w:r>
      <w:r>
        <w:rPr>
          <w:lang w:val="ru-RU"/>
        </w:rPr>
        <w:t xml:space="preserve"> 343, 29.12.2015</w:t>
      </w:r>
      <w:r>
        <w:t> </w:t>
      </w:r>
      <w:r>
        <w:rPr>
          <w:lang w:val="ru-RU"/>
        </w:rPr>
        <w:t>г., стр.</w:t>
      </w:r>
      <w:r>
        <w:t> </w:t>
      </w:r>
      <w:r>
        <w:rPr>
          <w:lang w:val="ru-RU"/>
        </w:rPr>
        <w:t>1).</w:t>
      </w:r>
    </w:p>
  </w:footnote>
  <w:footnote w:id="2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ab/>
        <w:t>Решение 2001/101/</w:t>
      </w:r>
      <w:r>
        <w:t>E</w:t>
      </w:r>
      <w:r>
        <w:rPr>
          <w:lang w:val="ru-RU"/>
        </w:rPr>
        <w:t>О на Съвета от 5</w:t>
      </w:r>
      <w:r>
        <w:t> </w:t>
      </w:r>
      <w:r>
        <w:rPr>
          <w:lang w:val="ru-RU"/>
        </w:rPr>
        <w:t>декември 2000 г. относно одобряването на Споразумение под формата на размяна на писма между Общността и всяка от страните от Европейската асоциация за свободна търговия която предоставя тарифни преференции в съответствие с Общата система за преференции (Норвегия и Швейцария), като предвижда стоки с норвежки или швейцарски произход да се разглеждат при тяхното пристигане на митническата територия на Общността като стоки с произход от Общността (реципрочно споразумение) (</w:t>
      </w:r>
      <w:r>
        <w:t>OJ</w:t>
      </w:r>
      <w:r>
        <w:rPr>
          <w:lang w:val="ru-RU"/>
        </w:rPr>
        <w:t xml:space="preserve"> В 38, 8.2.2001 г., стр. 24).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1289C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64E2F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9FAE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146D36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7BDE55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EBC443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E4CE3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FA0CF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19 15:26:5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CEF47F2D48A1411586A91A46DCB2752E"/>
    <w:docVar w:name="LW_CROSSREFERENCE" w:val="&lt;UNUSED&gt;"/>
    <w:docVar w:name="LW_DocType" w:val="COM"/>
    <w:docVar w:name="LW_EMISSION" w:val="21.10.2016"/>
    <w:docVar w:name="LW_EMISSION_ISODATE" w:val="2016-10-2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29"/>
    <w:docVar w:name="LW_REF.II.NEW.CP_YEAR" w:val="2016"/>
    <w:docVar w:name="LW_REF.INST.NEW" w:val="COM"/>
    <w:docVar w:name="LW_REF.INST.NEW_ADOPTED" w:val="final"/>
    <w:docVar w:name="LW_REF.INST.NEW_TEXT" w:val="(2016) 668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8?\u1072?\u1083?\u1089?\u1090?\u1074?\u1086? \u1053?\u1086?\u1088?\u1074?\u1077?\u1075?\u1080?\u1103? \u1079?\u1072? \u1082?\u1091?\u1084?\u1091?\u1083?\u1072?\u1094?\u1080?\u1103? \u1085?\u1072? \u1087?\u1088?\u1086?\u1080?\u1079?\u1093?\u1086?\u1076?\u1072? \u1084?\u1077?\u1078?\u1076?\u1091? \u1045?\u1074?\u1088?\u1086?\u1087?\u1077?\u1081?\u1089?\u1082?\u1080?\u1103? \u1089?\u1098?\u1102?\u1079?, \u1064?\u1074?\u1077?\u1081?\u1094?\u1072?\u1088?\u1080?\u1103?, \u1050?\u1088?\u1072?\u1083?\u1089?\u1090?\u1074?\u1086? \u1053?\u1086?\u1088?\u1074?\u1077?\u1075?\u1080?\u1103? \u1080? \u1058?\u1091?\u1088?\u1094?\u1080?\u1103? \u1074? \u1088?\u1072?\u1084?\u1082?\u1080?\u1090?\u1077? \u1085?\u1072? \u1086?\u1073?\u1097?\u1072?\u1090?\u1072? \u1089?\u1080?\u1089?\u1090?\u1077?\u1084?\u1072? \u1079?\u1072? \u1087?\u1088?\u1077?\u1092?\u1077?\u1088?\u1077?\u1085?\u1094?\u1080?\u1080? \u1085?\u1072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7</Pages>
  <Words>1217</Words>
  <Characters>6974</Characters>
  <Application>Microsoft Office Word</Application>
  <DocSecurity>0</DocSecurity>
  <Lines>151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2016-10-14T13:13:00Z</dcterms:created>
  <dcterms:modified xsi:type="dcterms:W3CDTF">2016-10-19T13:26:00Z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