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491BFFC02F849CA8512C5232871D3D5" style="width:451.35pt;height:366.4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 xml:space="preserve">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(наричано по-нататък „Споразумението“), бе подписано от страните по него на два етапа през март и юни 2014 г. Някои части от Споразумението за асоцииране се прилагат временно от 1 ноември 2014 г. насам. Задълбочената и всеобхватна зона за свободна търговия (ЗВЗСТ) се прилага временно от 1 януари 2016 г. </w:t>
      </w:r>
    </w:p>
    <w:p>
      <w:pPr>
        <w:pBdr>
          <w:top w:val="nil"/>
          <w:left w:val="nil"/>
          <w:bottom w:val="nil"/>
          <w:right w:val="nil"/>
          <w:between w:val="nil"/>
          <w:bar w:val="nil"/>
        </w:pBdr>
        <w:spacing w:before="0" w:after="240"/>
        <w:rPr>
          <w:noProof/>
        </w:rPr>
      </w:pPr>
      <w:r>
        <w:rPr>
          <w:noProof/>
        </w:rPr>
        <w:t xml:space="preserve">Една от целите на споразумението е създаване на условия за засилени икономически и търговски отношения, водещи до постепенната интеграция на Украйна във вътрешния пазар на ЕС, включително чрез създаване на задълбочена и всеобхватна зона за свободна търговия, както се посочва в дял IV (Търговия и свързани с търговията въпроси) от Споразумението, и подкрепа за усилията на Украйна да завърши прехода към функционираща пазарна икономика посредством, inter alia, постепенното сближаване на нейното законодателство с това на Съюза. </w:t>
      </w:r>
    </w:p>
    <w:p>
      <w:pPr>
        <w:pBdr>
          <w:top w:val="nil"/>
          <w:left w:val="nil"/>
          <w:bottom w:val="nil"/>
          <w:right w:val="nil"/>
          <w:between w:val="nil"/>
          <w:bar w:val="nil"/>
        </w:pBdr>
        <w:spacing w:before="0" w:after="240"/>
        <w:rPr>
          <w:noProof/>
        </w:rPr>
      </w:pPr>
      <w:r>
        <w:rPr>
          <w:noProof/>
        </w:rPr>
        <w:t xml:space="preserve">С цел увеличаване на съществуващите търговски потоци, отнасящи се до вноса на определени селскостопански продукти от Украйна в Съюза, и насърчаване на двустранната търговия и икономическото сътрудничество със Съюза, е целесъобразно да се предоставят допълнителни автономни търговски преференции по отношение на Украйна. </w:t>
      </w:r>
    </w:p>
    <w:p>
      <w:pPr>
        <w:pBdr>
          <w:top w:val="nil"/>
          <w:left w:val="nil"/>
          <w:bottom w:val="nil"/>
          <w:right w:val="nil"/>
          <w:between w:val="nil"/>
          <w:bar w:val="nil"/>
        </w:pBdr>
        <w:spacing w:before="0" w:after="240"/>
        <w:rPr>
          <w:i/>
          <w:noProof/>
          <w:sz w:val="36"/>
        </w:rPr>
      </w:pPr>
      <w:r>
        <w:rPr>
          <w:noProof/>
        </w:rPr>
        <w:t>Новите автономни мерки ще спазват едни и същи основни принципи като тези, заложени в Споразумението за асоцииране между ЕС и Украйна. По-конкретно, в член 2 от Споразумението за асоцииране с Украйна се предвижда, че зачитането на демократичните принципи, правата на човека и основните свободи и зачитането на принципа на върховенството на закона представляват основни елементи от това споразумение.</w:t>
      </w:r>
      <w:r>
        <w:rPr>
          <w:noProof/>
          <w:color w:val="000000"/>
        </w:rPr>
        <w:t xml:space="preserve"> </w:t>
      </w:r>
    </w:p>
    <w:p>
      <w:pPr>
        <w:pBdr>
          <w:top w:val="nil"/>
          <w:left w:val="nil"/>
          <w:bottom w:val="nil"/>
          <w:right w:val="nil"/>
          <w:between w:val="nil"/>
          <w:bar w:val="nil"/>
        </w:pBdr>
        <w:spacing w:before="0" w:after="240"/>
        <w:rPr>
          <w:rFonts w:cs="EUAlbertina"/>
          <w:noProof/>
          <w:color w:val="000000"/>
        </w:rPr>
      </w:pPr>
      <w:r>
        <w:rPr>
          <w:noProof/>
        </w:rPr>
        <w:t xml:space="preserve">За автономните търговски мерки, предвидени в настоящия регламент, важи условието за съблюдаване на същите тези принципи от страна на Украйна. </w:t>
      </w:r>
    </w:p>
    <w:p>
      <w:pPr>
        <w:pBdr>
          <w:top w:val="nil"/>
          <w:left w:val="nil"/>
          <w:bottom w:val="nil"/>
          <w:right w:val="nil"/>
          <w:between w:val="nil"/>
          <w:bar w:val="nil"/>
        </w:pBdr>
        <w:spacing w:before="0" w:after="240"/>
        <w:rPr>
          <w:rFonts w:eastAsia="Arial Unicode MS"/>
          <w:noProof/>
        </w:rPr>
      </w:pPr>
      <w:r>
        <w:rPr>
          <w:noProof/>
        </w:rPr>
        <w:t xml:space="preserve">Прилагат се обичайните предпазни процедури. </w:t>
      </w:r>
    </w:p>
    <w:p>
      <w:pPr>
        <w:pStyle w:val="ManualHeading2"/>
        <w:rPr>
          <w:rFonts w:eastAsia="Arial Unicode MS"/>
          <w:noProof/>
          <w:u w:color="000000"/>
          <w:bdr w:val="nil"/>
        </w:rPr>
      </w:pPr>
      <w:r>
        <w:rPr>
          <w:noProof/>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Новите автономни търговски мерки биха били в съответствие с прилагането на Споразумението за асоцииране между ЕС и Украйна, и по-специално с временното прилагане на дял IV от Споразумението за ЗВЗСТ, считано от 1 януари 2016 г. </w:t>
      </w:r>
    </w:p>
    <w:p>
      <w:pPr>
        <w:pBdr>
          <w:top w:val="nil"/>
          <w:left w:val="nil"/>
          <w:bottom w:val="nil"/>
          <w:right w:val="nil"/>
          <w:between w:val="nil"/>
          <w:bar w:val="nil"/>
        </w:pBdr>
        <w:spacing w:before="0" w:after="240"/>
        <w:rPr>
          <w:rFonts w:eastAsia="Arial Unicode MS"/>
          <w:noProof/>
        </w:rPr>
      </w:pPr>
      <w:r>
        <w:rPr>
          <w:noProof/>
        </w:rPr>
        <w:t xml:space="preserve">Освен това неотдавнашни споразумения за свободна търговия, сключени от Европейския съюз (по-специално с Перу и Колумбия, с Централна Америка, с Виетнам и с Канада) вече са предоставили неограничен безмитен достъп за някои селскостопански продукти, обхванати от настоящия регламент. </w:t>
      </w:r>
    </w:p>
    <w:p>
      <w:pPr>
        <w:pStyle w:val="ManualHeading2"/>
        <w:rPr>
          <w:rFonts w:eastAsia="Arial Unicode MS"/>
          <w:noProof/>
        </w:rPr>
      </w:pPr>
      <w:r>
        <w:rPr>
          <w:noProof/>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 xml:space="preserve">Досега Европейският съюз подкрепя Украйна в политическото и икономическото стабилизиране и консолидиране на реформите, по-специално в областта на правосъдието и борбата с корупцията, изграждането на капацитет на публичната администрация и децентрализацията. Един мащабен пакет от финансова помощ, възлизаща на 12,8 млрд. евро, включва макрофинансова помощ, както и редица проекти за техническо и финансово подпомагане чрез годишни специални мерки, а също и помощта, предоставена от ЕИБ, наред с други международни финансови институции, за прилагането на ЗВЗСТ.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Times New Roman"/>
          <w:noProof/>
          <w:szCs w:val="24"/>
        </w:rPr>
      </w:pPr>
      <w:r>
        <w:rPr>
          <w:noProof/>
        </w:rPr>
        <w:t>Правното основание за предложението е член 207, параграф 2 от Договора за функционирането на Европейския съюз.</w:t>
      </w:r>
    </w:p>
    <w:p>
      <w:pPr>
        <w:pStyle w:val="Bullet0"/>
        <w:numPr>
          <w:ilvl w:val="0"/>
          <w:numId w:val="12"/>
        </w:numPr>
        <w:rPr>
          <w:b/>
          <w:noProof/>
        </w:rPr>
      </w:pPr>
      <w:r>
        <w:rPr>
          <w:b/>
          <w:noProof/>
        </w:rPr>
        <w:t>Субсидиарност (при неизключителна компетентност)</w:t>
      </w:r>
    </w:p>
    <w:p>
      <w:pPr>
        <w:rPr>
          <w:noProof/>
        </w:rPr>
      </w:pPr>
      <w:r>
        <w:rPr>
          <w:noProof/>
        </w:rPr>
        <w:t>В съответствие с член 3 от ДФЕС общата търговска политика е от изключителната компетентност на Съюза. Поради това принципът на субсидиарност не се прилага.</w:t>
      </w:r>
    </w:p>
    <w:p>
      <w:pPr>
        <w:pStyle w:val="Bullet0"/>
        <w:rPr>
          <w:noProof/>
        </w:rPr>
      </w:pPr>
      <w:r>
        <w:rPr>
          <w:b/>
          <w:noProof/>
          <w:u w:color="000000"/>
          <w:bdr w:val="nil"/>
        </w:rPr>
        <w:t>Пропорционалност</w:t>
      </w:r>
    </w:p>
    <w:p>
      <w:pPr>
        <w:rPr>
          <w:noProof/>
        </w:rPr>
      </w:pPr>
      <w:r>
        <w:rPr>
          <w:noProof/>
        </w:rPr>
        <w:t xml:space="preserve">Настоящото предложение е необходимо за изпълнението на общата търговска политика. </w:t>
      </w:r>
    </w:p>
    <w:p>
      <w:pPr>
        <w:pStyle w:val="Bullet0"/>
        <w:rPr>
          <w:b/>
          <w:noProof/>
        </w:rPr>
      </w:pPr>
      <w:r>
        <w:rPr>
          <w:b/>
          <w:noProof/>
        </w:rPr>
        <w:t>Избор на инструмент</w:t>
      </w:r>
    </w:p>
    <w:p>
      <w:pPr>
        <w:rPr>
          <w:noProof/>
        </w:rPr>
      </w:pPr>
      <w:r>
        <w:rPr>
          <w:noProof/>
        </w:rPr>
        <w:t>Настоящото предложение е в съответствие с член 207, параграф 2 от ДФЕС, в който се предвиждат мерки за изпълнението на общата търговска политика. Не съществува друг правен инструмент, който да може да бъде използван за постигане на целта, изложена в настоящото предложение.</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Bullet0"/>
        <w:rPr>
          <w:b/>
          <w:noProof/>
          <w:u w:color="000000"/>
          <w:bdr w:val="nil"/>
        </w:rPr>
      </w:pPr>
      <w:r>
        <w:rPr>
          <w:b/>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Bullet0"/>
        <w:rPr>
          <w:rFonts w:eastAsia="Arial Unicode MS"/>
          <w:b/>
          <w:noProof/>
          <w:u w:color="000000"/>
          <w:bdr w:val="nil"/>
        </w:rPr>
      </w:pPr>
      <w:r>
        <w:rPr>
          <w:b/>
          <w:noProof/>
          <w:u w:color="000000"/>
          <w:bdr w:val="nil"/>
        </w:rPr>
        <w:t>Консултации със заинтересованите страни</w:t>
      </w:r>
    </w:p>
    <w:p>
      <w:pPr>
        <w:rPr>
          <w:noProof/>
          <w:szCs w:val="24"/>
        </w:rPr>
      </w:pPr>
      <w:r>
        <w:rPr>
          <w:noProof/>
        </w:rPr>
        <w:t>Консултации със заинтересованите страни бяха извършени в рамките на оценката на въздействието върху устойчивото развитие, поръчана от ГД „Търговия“ през 2007 г. Тези действия допринесоха за напредъка по преговорите относно ЗВЗСТ. Освен това мярката трябва да бъде приета в процес на съвместно вземане на решения. Поради това тя ще бъде поставена под надзора на Съвета на ЕС и Европейския парламент.</w:t>
      </w:r>
    </w:p>
    <w:p>
      <w:pPr>
        <w:pStyle w:val="Bullet0"/>
        <w:rPr>
          <w:rFonts w:eastAsia="Arial Unicode MS"/>
          <w:b/>
          <w:noProof/>
          <w:u w:color="000000"/>
          <w:bdr w:val="nil"/>
        </w:rPr>
      </w:pPr>
      <w:r>
        <w:rPr>
          <w:b/>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Bullet0"/>
        <w:rPr>
          <w:rFonts w:eastAsia="Arial Unicode MS"/>
          <w:b/>
          <w:noProof/>
          <w:u w:color="000000"/>
          <w:bdr w:val="nil"/>
        </w:rPr>
      </w:pPr>
      <w:r>
        <w:rPr>
          <w:b/>
          <w:noProof/>
          <w:u w:color="000000"/>
          <w:bdr w:val="nil"/>
        </w:rPr>
        <w:t>Оценка на въздействието</w:t>
      </w:r>
    </w:p>
    <w:p>
      <w:pPr>
        <w:keepNext/>
        <w:tabs>
          <w:tab w:val="left" w:pos="850"/>
        </w:tabs>
        <w:outlineLvl w:val="1"/>
        <w:rPr>
          <w:noProof/>
        </w:rPr>
      </w:pPr>
      <w:r>
        <w:rPr>
          <w:noProof/>
        </w:rPr>
        <w:t xml:space="preserve">С оглед на трудното икономическо положение в Украйна е важно регламентът да влезе в сила възможно най-скоро. Поради това не беше извършена оценка на въздействието за въпросната мярка. Независимо от това обаче, търговските и свързаните с търговията разпоредби на Споразумението бяха предмет на посочената по-горе оценка на въздействието върху устойчивото развитие. Проучването потвърди, че изпълнението на търговските и свързаните с търговията разпоредби ще има благоприятно икономическо въздействие както за ЕС, така и за Украйна. </w:t>
      </w:r>
    </w:p>
    <w:p>
      <w:pPr>
        <w:pStyle w:val="Bullet0"/>
        <w:numPr>
          <w:ilvl w:val="0"/>
          <w:numId w:val="11"/>
        </w:numPr>
        <w:rPr>
          <w:rFonts w:eastAsia="Arial Unicode MS"/>
          <w:b/>
          <w:noProof/>
          <w:u w:color="000000"/>
          <w:bdr w:val="nil"/>
        </w:rPr>
      </w:pPr>
      <w:r>
        <w:rPr>
          <w:b/>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 xml:space="preserve">Мярката не води до увеличаване на регулаторната тежест на предприятията. </w:t>
      </w:r>
    </w:p>
    <w:p>
      <w:pPr>
        <w:pStyle w:val="Bullet0"/>
        <w:rPr>
          <w:rFonts w:eastAsia="Arial Unicode MS"/>
          <w:b/>
          <w:noProof/>
          <w:u w:color="000000"/>
          <w:bdr w:val="nil"/>
        </w:rPr>
      </w:pPr>
      <w:r>
        <w:rPr>
          <w:b/>
          <w:noProof/>
          <w:u w:color="000000"/>
          <w:bdr w:val="nil"/>
        </w:rPr>
        <w:t>Основни права</w:t>
      </w:r>
    </w:p>
    <w:p>
      <w:pPr>
        <w:pBdr>
          <w:top w:val="nil"/>
          <w:left w:val="nil"/>
          <w:bottom w:val="nil"/>
          <w:right w:val="nil"/>
          <w:between w:val="nil"/>
          <w:bar w:val="nil"/>
        </w:pBdr>
        <w:spacing w:before="0" w:after="240"/>
        <w:rPr>
          <w:noProof/>
        </w:rPr>
      </w:pPr>
      <w:r>
        <w:rPr>
          <w:noProof/>
        </w:rPr>
        <w:t xml:space="preserve">Новите автономни мерки ще спазват едни и същи основни принципи като тези, заложени в Споразумението за асоцииране между ЕС и Украйна. По-конкретно, в член 2 от Споразумението за асоцииране с Украйна се предвижда, че зачитането на демократичните принципи, правата на човека и основните свободи и зачитането на принципа на върховенството на закона представляват основни елементи от това споразумение. </w:t>
      </w:r>
    </w:p>
    <w:p>
      <w:pPr>
        <w:pStyle w:val="ManualHeading1"/>
        <w:rPr>
          <w:noProof/>
        </w:rPr>
      </w:pPr>
      <w:r>
        <w:rPr>
          <w:noProof/>
        </w:rPr>
        <w:t>3.</w:t>
      </w:r>
      <w:r>
        <w:rPr>
          <w:noProof/>
        </w:rPr>
        <w:tab/>
        <w:t>ОТРАЖЕНИЕ ВЪРХУ БЮДЖЕТА</w:t>
      </w:r>
    </w:p>
    <w:p>
      <w:pPr>
        <w:pBdr>
          <w:top w:val="nil"/>
          <w:left w:val="nil"/>
          <w:bottom w:val="nil"/>
          <w:right w:val="nil"/>
          <w:between w:val="nil"/>
          <w:bar w:val="nil"/>
        </w:pBdr>
        <w:spacing w:before="0" w:after="240"/>
        <w:rPr>
          <w:noProof/>
        </w:rPr>
      </w:pPr>
      <w:r>
        <w:rPr>
          <w:noProof/>
        </w:rPr>
        <w:t xml:space="preserve">Европейският съюз ще претърпи загуби на приходи от мита в размер на по-малко от 50 милиона евро годишно с много ограничено отражение върху собствените ресурси на ЕС. Стойността на опростените мита по вноса на промишлени продукти ще представлява около 20 % от общата сума. </w:t>
      </w:r>
    </w:p>
    <w:p>
      <w:pPr>
        <w:pStyle w:val="ManualHeading1"/>
        <w:rPr>
          <w:noProof/>
        </w:rPr>
      </w:pPr>
      <w:r>
        <w:rPr>
          <w:noProof/>
        </w:rPr>
        <w:t>4.</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мерки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Докладите относно прилаганите тарифни квоти в селското стопанство са на разположение онлайн чрез специализираните уебстраници на Европейската комисия. </w:t>
      </w:r>
    </w:p>
    <w:p>
      <w:pPr>
        <w:pStyle w:val="ManualHeading2"/>
        <w:rPr>
          <w:rFonts w:eastAsia="Arial Unicode MS"/>
          <w:noProof/>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Calibri"/>
          <w:noProof/>
        </w:rPr>
      </w:pPr>
      <w:r>
        <w:rPr>
          <w:noProof/>
        </w:rPr>
        <w:t>Не се прилага.</w:t>
      </w:r>
    </w:p>
    <w:p>
      <w:pPr>
        <w:pStyle w:val="ManualHeading2"/>
        <w:rPr>
          <w:noProof/>
        </w:rPr>
      </w:pPr>
      <w:r>
        <w:rPr>
          <w:noProof/>
        </w:rPr>
        <w:t>•</w:t>
      </w:r>
      <w:r>
        <w:rPr>
          <w:noProof/>
        </w:rPr>
        <w:tab/>
        <w:t>Подробно обяснение на конкретните разпоредби на предложението</w:t>
      </w:r>
    </w:p>
    <w:p>
      <w:pPr>
        <w:pBdr>
          <w:top w:val="nil"/>
          <w:left w:val="nil"/>
          <w:bottom w:val="nil"/>
          <w:right w:val="nil"/>
          <w:between w:val="nil"/>
          <w:bar w:val="nil"/>
        </w:pBdr>
        <w:spacing w:before="0" w:after="240"/>
        <w:rPr>
          <w:noProof/>
        </w:rPr>
      </w:pPr>
      <w:r>
        <w:rPr>
          <w:noProof/>
        </w:rPr>
        <w:t xml:space="preserve">С оглед на трудното икономическо положение и усилията за икономическа реформа, предприети от Украйна, и с цел подпомагане на развитието на по-тесни икономически връзки с Европейския съюз, с мярката се цели увеличаване на търговските потоци по отношение на вноса на някои селскостопански продукти и предоставяне на отстъпки под формата на автономни търговски мерки за избрани промишлени продукти в съответствие с ускоряването на премахването на митата върху търговията между Европейския съюз и Украйна. </w:t>
      </w:r>
    </w:p>
    <w:p>
      <w:pPr>
        <w:pBdr>
          <w:top w:val="nil"/>
          <w:left w:val="nil"/>
          <w:bottom w:val="nil"/>
          <w:right w:val="nil"/>
          <w:between w:val="nil"/>
          <w:bar w:val="nil"/>
        </w:pBdr>
        <w:spacing w:before="0" w:after="240"/>
        <w:rPr>
          <w:noProof/>
        </w:rPr>
      </w:pPr>
      <w:r>
        <w:rPr>
          <w:noProof/>
        </w:rPr>
        <w:t>Автономните търговски мерки ще бъдат предоставени под формата на квоти с нулеви мита за определени селскостопански продукти, в допълнение към преференциалните тарифни квоти, предвидени в споразумението, и частичното или пълното премахване на вносните мита върху няколко промишлени продукта.</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2016/0308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въвеждането на временни автономни търговски мерки за Украйна за допълване на търговските отстъпки, предоставени в рамките на Споразумението за асоцииране</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207,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w:t>
      </w:r>
      <w:r>
        <w:rPr>
          <w:rStyle w:val="FootnoteReference"/>
          <w:noProof/>
        </w:rPr>
        <w:footnoteReference w:id="1"/>
      </w:r>
      <w:r>
        <w:rPr>
          <w:noProof/>
        </w:rPr>
        <w:t>, представлява основата, върху която се градят отношенията между Европейския съюз и Украйна. Дял IV относно търговията и свързаните с търговията въпроси се прилага временно от 1 януари 2016 г.</w:t>
      </w:r>
      <w:r>
        <w:rPr>
          <w:rStyle w:val="FootnoteReference"/>
          <w:noProof/>
        </w:rPr>
        <w:footnoteReference w:id="2"/>
      </w:r>
      <w:r>
        <w:rPr>
          <w:noProof/>
        </w:rPr>
        <w:t>; В неговия преамбюл страните по Споразумението за асоцииране са изразили своето желание да укрепят и разширят отношенията си по един амбициозен и новаторски начин.</w:t>
      </w:r>
    </w:p>
    <w:p>
      <w:pPr>
        <w:pStyle w:val="ManualConsidrant"/>
        <w:rPr>
          <w:noProof/>
        </w:rPr>
      </w:pPr>
      <w:r>
        <w:t>(2)</w:t>
      </w:r>
      <w:r>
        <w:tab/>
      </w:r>
      <w:r>
        <w:rPr>
          <w:noProof/>
        </w:rPr>
        <w:t xml:space="preserve">С оглед на усилията за икономическа реформа, предприети от Украйна, и с цел подпомагане на развитието на по-тесни икономически връзки с Европейския съюз, уместно е да бъдат увеличени търговските потоци по отношение на вноса на някои селскостопански продукти и да бъдат предоставени отстъпки под формата на автономни търговски мерки за избрани промишлени продукти в съответствие с ускоряването на премахването на митата върху търговията между Европейския съюз и Украйна. </w:t>
      </w:r>
    </w:p>
    <w:p>
      <w:pPr>
        <w:pStyle w:val="ManualConsidrant"/>
        <w:rPr>
          <w:noProof/>
        </w:rPr>
      </w:pPr>
      <w:r>
        <w:t>(3)</w:t>
      </w:r>
      <w:r>
        <w:tab/>
      </w:r>
      <w:r>
        <w:rPr>
          <w:noProof/>
        </w:rPr>
        <w:t xml:space="preserve">Автономните търговски мерки ще бъдат предоставени под формата на квоти с нулеви мита за продуктите, изброени в приложения I и II, в допълнение към преференциалните тарифни квоти, предвидени в Споразумението, и частичното или пълното премахване на вносните мита върху промишлените продукти, изброени в приложение III. </w:t>
      </w:r>
    </w:p>
    <w:p>
      <w:pPr>
        <w:pStyle w:val="ManualConsidrant"/>
        <w:rPr>
          <w:noProof/>
        </w:rPr>
      </w:pPr>
      <w:r>
        <w:t>(4)</w:t>
      </w:r>
      <w:r>
        <w:tab/>
      </w:r>
      <w:r>
        <w:rPr>
          <w:noProof/>
        </w:rPr>
        <w:t xml:space="preserve">С цел да се избегне опасността от измами, правото да се ползват допълнителните квоти с нулеви мита следва да се предостави в зависимост от спазването от Украйна на съответните правила за произход на продуктите и процедурите, свързани с тях, както и от участието ѝ в тясно административно сътрудничество със Съюза, както е предвидено в Споразумението. </w:t>
      </w:r>
    </w:p>
    <w:p>
      <w:pPr>
        <w:pStyle w:val="ManualConsidrant"/>
        <w:rPr>
          <w:noProof/>
        </w:rPr>
      </w:pPr>
      <w:r>
        <w:t>(5)</w:t>
      </w:r>
      <w:r>
        <w:tab/>
      </w:r>
      <w:r>
        <w:rPr>
          <w:noProof/>
        </w:rPr>
        <w:t>Украйна трябва да се въздържа от въвеждане на нови мита или такси с равностоен ефект, на нови количествени ограничения или мерки с равностоен ефект, както и от повишаване на съществуващите нива на мита или такси или от въвеждане на други ограничения. В случай на неспазване на което и да е от тези условия Европейската комисия следва да бъде оправомощена временно да преустанови прилагането на всички или на част от автономните търговски мерки.</w:t>
      </w:r>
    </w:p>
    <w:p>
      <w:pPr>
        <w:pStyle w:val="ManualConsidrant"/>
        <w:rPr>
          <w:noProof/>
        </w:rPr>
      </w:pPr>
      <w:r>
        <w:t>(6)</w:t>
      </w:r>
      <w:r>
        <w:tab/>
      </w:r>
      <w:r>
        <w:rPr>
          <w:noProof/>
        </w:rPr>
        <w:t>Необходимо е да се предвиди възможност за повторно въвеждане на нормалните мита по Общата митническа тарифа за вноса на всички продукти, които причиняват или заплашват да причинят сериозни затруднения на производителите от Европейския съюз на сходни или пряко конкурентни продукти, след провеждане на разследване от страна на Европейската комисия.</w:t>
      </w:r>
    </w:p>
    <w:p>
      <w:pPr>
        <w:pStyle w:val="ManualConsidrant"/>
        <w:rPr>
          <w:noProof/>
        </w:rPr>
      </w:pPr>
      <w:r>
        <w:t>(7)</w:t>
      </w:r>
      <w:r>
        <w:tab/>
      </w:r>
      <w:r>
        <w:rPr>
          <w:noProof/>
        </w:rPr>
        <w:t>С цел да се гарантират еднакви условия за изпълнение на настоящия регламент, на Комисията следва да бъдат предоставени изпълнителни правомощия за временно преустановяване на преференциалното третиране, установено с настоящия регламент, и за въвеждане на коригиращи мерки, когато пазарът на Съюза е засегнат от настоящия регламент.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3"/>
      </w:r>
      <w:r>
        <w:rPr>
          <w:noProof/>
        </w:rPr>
        <w:t xml:space="preserve">. </w:t>
      </w:r>
    </w:p>
    <w:p>
      <w:pPr>
        <w:pStyle w:val="ManualConsidrant"/>
        <w:rPr>
          <w:noProof/>
        </w:rPr>
      </w:pPr>
      <w:r>
        <w:t>(8)</w:t>
      </w:r>
      <w:r>
        <w:tab/>
      </w:r>
      <w:r>
        <w:rPr>
          <w:noProof/>
        </w:rPr>
        <w:t>Тарифните квоти се управляват от Комисията в съответствие с членове 49—54 от Регламента за изпълнение (ЕС) 2015/2447 на Комисията</w:t>
      </w:r>
      <w:r>
        <w:rPr>
          <w:rStyle w:val="FootnoteReference"/>
          <w:noProof/>
        </w:rPr>
        <w:footnoteReference w:id="4"/>
      </w:r>
      <w:r>
        <w:rPr>
          <w:noProof/>
        </w:rPr>
        <w:t>, с изключение на тези за определени селскостопански продукти, които се управляват от Комисията в съответствие с член 184 от Регламент (ЕС) № 1308/2013 на Европейския парламент и на Съвета</w:t>
      </w:r>
      <w:r>
        <w:rPr>
          <w:rStyle w:val="FootnoteReference"/>
          <w:noProof/>
        </w:rPr>
        <w:footnoteReference w:id="5"/>
      </w:r>
      <w:r>
        <w:rPr>
          <w:noProof/>
        </w:rPr>
        <w:t>.</w:t>
      </w:r>
    </w:p>
    <w:p>
      <w:pPr>
        <w:pStyle w:val="ManualConsidrant"/>
        <w:rPr>
          <w:noProof/>
        </w:rPr>
      </w:pPr>
      <w:r>
        <w:t>(9)</w:t>
      </w:r>
      <w:r>
        <w:tab/>
      </w:r>
      <w:r>
        <w:rPr>
          <w:noProof/>
        </w:rPr>
        <w:t>В член 2 от Споразумението за асоцииране се предвижда, че зачитането на демократичните принципи, правата на човека и основните свободи и зачитането на принципа на върховенството на закона представляват основни елементи от това споразумение. Целесъобразно е да се въведе възможността за временно спиране на преференциите в случай на неспазване на основните принципи за правата на човека, демокрацията и принципите на правовата държава в Украйна.</w:t>
      </w:r>
    </w:p>
    <w:p>
      <w:pPr>
        <w:pStyle w:val="ManualConsidrant"/>
        <w:rPr>
          <w:noProof/>
        </w:rPr>
      </w:pPr>
      <w:r>
        <w:t>(10)</w:t>
      </w:r>
      <w:r>
        <w:tab/>
      </w:r>
      <w:r>
        <w:rPr>
          <w:noProof/>
        </w:rPr>
        <w:t>С оглед на трудното икономическо положение в Украйна е важно регламентът да влезе в сила в деня след деня на публикуването му в Официален вестник на Европейския съюз,</w:t>
      </w:r>
    </w:p>
    <w:p>
      <w:pPr>
        <w:pStyle w:val="Formuledadoption"/>
        <w:rPr>
          <w:noProof/>
        </w:rPr>
      </w:pPr>
      <w:r>
        <w:rPr>
          <w:noProof/>
        </w:rPr>
        <w:t>ПРИЕХА НАСТОЯЩИЯ РЕГЛАМЕНТ:</w:t>
      </w:r>
    </w:p>
    <w:p>
      <w:pPr>
        <w:pStyle w:val="Titrearticle"/>
        <w:rPr>
          <w:noProof/>
          <w:szCs w:val="24"/>
        </w:rPr>
      </w:pPr>
      <w:r>
        <w:rPr>
          <w:noProof/>
        </w:rPr>
        <w:t>Член 1</w:t>
      </w:r>
    </w:p>
    <w:p>
      <w:pPr>
        <w:jc w:val="center"/>
        <w:rPr>
          <w:rFonts w:eastAsia="Times New Roman"/>
          <w:b/>
          <w:noProof/>
          <w:szCs w:val="24"/>
        </w:rPr>
      </w:pPr>
      <w:r>
        <w:rPr>
          <w:b/>
          <w:noProof/>
        </w:rPr>
        <w:t>Преференциален режим и достъп до тарифни квоти</w:t>
      </w:r>
    </w:p>
    <w:p>
      <w:pPr>
        <w:pStyle w:val="ManualNumPar1"/>
        <w:rPr>
          <w:noProof/>
        </w:rPr>
      </w:pPr>
      <w:r>
        <w:rPr>
          <w:noProof/>
        </w:rPr>
        <w:t>1.</w:t>
      </w:r>
      <w:r>
        <w:rPr>
          <w:noProof/>
        </w:rPr>
        <w:tab/>
        <w:t>Продуктите, изброени в приложения I и II, се допускат за внос в Европейския съюз в рамките на ограниченията на тарифните квоти на Съюза, определени в тези приложения.</w:t>
      </w:r>
    </w:p>
    <w:p>
      <w:pPr>
        <w:pStyle w:val="ManualNumPar1"/>
        <w:rPr>
          <w:noProof/>
        </w:rPr>
      </w:pPr>
      <w:r>
        <w:rPr>
          <w:noProof/>
        </w:rPr>
        <w:t>2.</w:t>
      </w:r>
      <w:r>
        <w:rPr>
          <w:noProof/>
        </w:rPr>
        <w:tab/>
        <w:t xml:space="preserve">Тарифните квоти за продуктите, изброени в приложение I, се управляват от Комисията в съответствие с членове 49—54 от Регламент за изпълнение (ЕС) 2015/2447 на Комисията от 24 ноември 2015 г. </w:t>
      </w:r>
    </w:p>
    <w:p>
      <w:pPr>
        <w:pStyle w:val="ManualNumPar1"/>
        <w:rPr>
          <w:noProof/>
        </w:rPr>
      </w:pPr>
      <w:r>
        <w:rPr>
          <w:noProof/>
        </w:rPr>
        <w:t>3.</w:t>
      </w:r>
      <w:r>
        <w:rPr>
          <w:noProof/>
        </w:rPr>
        <w:tab/>
        <w:t>Тарифните квоти за определени селскостопански продукти, посочени в приложение II, се управляват от Комисията съгласно правилата, определени в съответствие с член 184 от Регламент (ЕС) № 1308/2013.</w:t>
      </w:r>
    </w:p>
    <w:p>
      <w:pPr>
        <w:pStyle w:val="ManualNumPar1"/>
        <w:rPr>
          <w:noProof/>
        </w:rPr>
      </w:pPr>
      <w:r>
        <w:rPr>
          <w:noProof/>
        </w:rPr>
        <w:t>4.</w:t>
      </w:r>
      <w:r>
        <w:rPr>
          <w:noProof/>
        </w:rPr>
        <w:tab/>
        <w:t>Преференциални мита при внос на някои промишлени продукти с произход от Украйна ще се прилагат в съответствие с приложение III.</w:t>
      </w:r>
    </w:p>
    <w:p>
      <w:pPr>
        <w:pStyle w:val="Titrearticle"/>
        <w:rPr>
          <w:noProof/>
          <w:szCs w:val="24"/>
        </w:rPr>
      </w:pPr>
      <w:r>
        <w:rPr>
          <w:noProof/>
        </w:rPr>
        <w:t>Член 2</w:t>
      </w:r>
    </w:p>
    <w:p>
      <w:pPr>
        <w:jc w:val="center"/>
        <w:rPr>
          <w:rFonts w:eastAsia="Times New Roman"/>
          <w:b/>
          <w:noProof/>
          <w:szCs w:val="24"/>
        </w:rPr>
      </w:pPr>
      <w:r>
        <w:rPr>
          <w:b/>
          <w:noProof/>
        </w:rPr>
        <w:t>Условия за ползването на преференциалния режим</w:t>
      </w:r>
    </w:p>
    <w:p>
      <w:pPr>
        <w:rPr>
          <w:noProof/>
        </w:rPr>
      </w:pPr>
      <w:r>
        <w:rPr>
          <w:noProof/>
        </w:rPr>
        <w:t xml:space="preserve">Правото на ползване на тарифните квоти, въведени с член 1, зависи от: </w:t>
      </w:r>
    </w:p>
    <w:p>
      <w:pPr>
        <w:pStyle w:val="Point0"/>
        <w:rPr>
          <w:noProof/>
        </w:rPr>
      </w:pPr>
      <w:r>
        <w:rPr>
          <w:noProof/>
        </w:rPr>
        <w:t>а)</w:t>
      </w:r>
      <w:r>
        <w:rPr>
          <w:noProof/>
        </w:rPr>
        <w:tab/>
        <w:t>спазването на правилата относно произхода на продуктите и свързаните с това процедури, както е предвидено в Споразумението за асоцииране, и по-специално в протокол I относно определението на понятието „продукти с произход“ и методите на административно сътрудничество, и в протокол II относно административната взаимопомощ по митнически въпроси;</w:t>
      </w:r>
    </w:p>
    <w:p>
      <w:pPr>
        <w:pStyle w:val="Point0"/>
        <w:rPr>
          <w:noProof/>
        </w:rPr>
      </w:pPr>
      <w:r>
        <w:rPr>
          <w:noProof/>
        </w:rPr>
        <w:t>б)</w:t>
      </w:r>
      <w:r>
        <w:rPr>
          <w:noProof/>
        </w:rPr>
        <w:tab/>
        <w:t>въздържането от страна на Украйна от въвеждане на нови мита или такси с равностоен ефект и нови количествени ограничения или мерки с равностоен ефект върху вноса с произход от Съюза, или от повишаване на съществуващите нива на мита или такси, или от въвеждане на други ограничения от деня на влизане в сила на настоящия регламент;</w:t>
      </w:r>
    </w:p>
    <w:p>
      <w:pPr>
        <w:pStyle w:val="Point0"/>
        <w:rPr>
          <w:noProof/>
        </w:rPr>
      </w:pPr>
      <w:r>
        <w:rPr>
          <w:noProof/>
        </w:rPr>
        <w:t>в)</w:t>
      </w:r>
      <w:r>
        <w:rPr>
          <w:noProof/>
        </w:rPr>
        <w:tab/>
        <w:t>зачитане на демократичните принципи, правата на човека и основните свободи и зачитане на принципа на върховенството на закона, предвидени в член 2 от Споразумението за асоцииране.</w:t>
      </w:r>
    </w:p>
    <w:p>
      <w:pPr>
        <w:pStyle w:val="Titrearticle"/>
        <w:rPr>
          <w:rFonts w:eastAsia="Times New Roman"/>
          <w:i w:val="0"/>
          <w:noProof/>
          <w:szCs w:val="24"/>
        </w:rPr>
      </w:pPr>
      <w:r>
        <w:rPr>
          <w:noProof/>
        </w:rPr>
        <w:t xml:space="preserve">Член </w:t>
      </w:r>
      <w:r>
        <w:rPr>
          <w:i w:val="0"/>
          <w:noProof/>
        </w:rPr>
        <w:t>3</w:t>
      </w:r>
    </w:p>
    <w:p>
      <w:pPr>
        <w:jc w:val="center"/>
        <w:rPr>
          <w:rFonts w:eastAsia="Times New Roman"/>
          <w:b/>
          <w:noProof/>
          <w:szCs w:val="24"/>
        </w:rPr>
      </w:pPr>
      <w:r>
        <w:rPr>
          <w:b/>
          <w:noProof/>
        </w:rPr>
        <w:t>Временно преустановяване</w:t>
      </w:r>
    </w:p>
    <w:p>
      <w:pPr>
        <w:rPr>
          <w:noProof/>
          <w:szCs w:val="24"/>
        </w:rPr>
      </w:pPr>
      <w:r>
        <w:rPr>
          <w:noProof/>
        </w:rPr>
        <w:t>Когато Комисията установи, че са налице достатъчно доказателства за неспазване на условията, определени в член 2, тя може да преустанови изцяло или частично прилагането на преференциалния режим, предвиден в настоящия регламент, в съответствие с процедурата по разглеждане, предвидена в член 5, параграф 2.</w:t>
      </w:r>
    </w:p>
    <w:p>
      <w:pPr>
        <w:pStyle w:val="Titrearticle"/>
        <w:rPr>
          <w:rFonts w:eastAsia="Times New Roman"/>
          <w:i w:val="0"/>
          <w:noProof/>
          <w:szCs w:val="24"/>
        </w:rPr>
      </w:pPr>
      <w:r>
        <w:rPr>
          <w:noProof/>
        </w:rPr>
        <w:t xml:space="preserve">Член </w:t>
      </w:r>
      <w:r>
        <w:rPr>
          <w:i w:val="0"/>
          <w:noProof/>
        </w:rPr>
        <w:t>4</w:t>
      </w:r>
    </w:p>
    <w:p>
      <w:pPr>
        <w:jc w:val="center"/>
        <w:rPr>
          <w:rFonts w:eastAsia="Times New Roman"/>
          <w:b/>
          <w:noProof/>
          <w:szCs w:val="24"/>
        </w:rPr>
      </w:pPr>
      <w:r>
        <w:rPr>
          <w:b/>
          <w:noProof/>
        </w:rPr>
        <w:t>Предпазна клауза</w:t>
      </w:r>
    </w:p>
    <w:p>
      <w:pPr>
        <w:pStyle w:val="ManualNumPar1"/>
        <w:rPr>
          <w:noProof/>
        </w:rPr>
      </w:pPr>
      <w:r>
        <w:rPr>
          <w:noProof/>
        </w:rPr>
        <w:t>1.</w:t>
      </w:r>
      <w:r>
        <w:rPr>
          <w:noProof/>
        </w:rPr>
        <w:tab/>
        <w:t>Когато продукт с произход от Украйна е внесен при условия, които причиняват или заплашват да причинят сериозни затруднения на производител от Общността на подобни или пряко конкурентни продукти, по всяко време Съветът, с квалифицирано мнозинство, по предложение на Комисията може да въведе повторно митата от Общата митническа тарифа за такъв продукт.</w:t>
      </w:r>
    </w:p>
    <w:p>
      <w:pPr>
        <w:pStyle w:val="ManualNumPar1"/>
        <w:rPr>
          <w:noProof/>
        </w:rPr>
      </w:pPr>
      <w:r>
        <w:rPr>
          <w:noProof/>
        </w:rPr>
        <w:t>2.</w:t>
      </w:r>
      <w:r>
        <w:rPr>
          <w:noProof/>
        </w:rPr>
        <w:tab/>
        <w:t>По искане на държава членка или по инициатива на Комисията, Комисията взема официално решение да започне разследване в рамките на разумен период от време. Когато Комисията реши да започне разследване, тя публикува известие в Официален вестник на Европейския съюз, обявявайки разследването. Известието съдържа резюме на получената информация и гласи, че всяка съответна информация трябва да се изпраща на Комисията. В него се посочва срокът — не повече от четири месеца от датата на публикуване на известието — в който заинтересованите страни могат да представят писмено становищата си.</w:t>
      </w:r>
    </w:p>
    <w:p>
      <w:pPr>
        <w:pStyle w:val="ManualNumPar1"/>
        <w:rPr>
          <w:noProof/>
        </w:rPr>
      </w:pPr>
      <w:r>
        <w:rPr>
          <w:noProof/>
        </w:rPr>
        <w:t>3.</w:t>
      </w:r>
      <w:r>
        <w:rPr>
          <w:noProof/>
        </w:rPr>
        <w:tab/>
        <w:t xml:space="preserve">Комисията търси цялата информация, която счита за необходима, като може да сверява получената информация с Украйна и с всеки друг съответен източник. Тя може да получава помощ от служители от държавите членки, на чиято територия може да се прави проверка, ако тази държава членка отправи искане за това. </w:t>
      </w:r>
    </w:p>
    <w:p>
      <w:pPr>
        <w:pStyle w:val="ManualNumPar1"/>
        <w:rPr>
          <w:rFonts w:eastAsia="Times New Roman"/>
          <w:noProof/>
          <w:szCs w:val="24"/>
        </w:rPr>
      </w:pPr>
      <w:r>
        <w:rPr>
          <w:noProof/>
        </w:rPr>
        <w:t>4.</w:t>
      </w:r>
      <w:r>
        <w:rPr>
          <w:noProof/>
        </w:rPr>
        <w:tab/>
        <w:t>При проучването дали са налице сериозни трудности Комисията следва да вземе предвид, inter alia, следните фактори, които касаят производителите от Общността, когато информацията е налична:</w:t>
      </w:r>
    </w:p>
    <w:p>
      <w:pPr>
        <w:pStyle w:val="Tiret1"/>
        <w:numPr>
          <w:ilvl w:val="0"/>
          <w:numId w:val="10"/>
        </w:numPr>
        <w:rPr>
          <w:noProof/>
        </w:rPr>
      </w:pPr>
      <w:r>
        <w:rPr>
          <w:noProof/>
        </w:rPr>
        <w:t>пазарен дял,</w:t>
      </w:r>
    </w:p>
    <w:p>
      <w:pPr>
        <w:pStyle w:val="Tiret1"/>
        <w:rPr>
          <w:noProof/>
        </w:rPr>
      </w:pPr>
      <w:r>
        <w:rPr>
          <w:noProof/>
        </w:rPr>
        <w:t>производство,</w:t>
      </w:r>
    </w:p>
    <w:p>
      <w:pPr>
        <w:pStyle w:val="Tiret1"/>
        <w:rPr>
          <w:noProof/>
        </w:rPr>
      </w:pPr>
      <w:r>
        <w:rPr>
          <w:noProof/>
        </w:rPr>
        <w:t>запаси,</w:t>
      </w:r>
    </w:p>
    <w:p>
      <w:pPr>
        <w:pStyle w:val="Tiret1"/>
        <w:rPr>
          <w:noProof/>
        </w:rPr>
      </w:pPr>
      <w:r>
        <w:rPr>
          <w:noProof/>
        </w:rPr>
        <w:t>производствен капацитет,</w:t>
      </w:r>
    </w:p>
    <w:p>
      <w:pPr>
        <w:pStyle w:val="Tiret1"/>
        <w:rPr>
          <w:noProof/>
        </w:rPr>
      </w:pPr>
      <w:r>
        <w:rPr>
          <w:noProof/>
        </w:rPr>
        <w:t>използване на капацитета,</w:t>
      </w:r>
    </w:p>
    <w:p>
      <w:pPr>
        <w:pStyle w:val="Tiret1"/>
        <w:rPr>
          <w:noProof/>
        </w:rPr>
      </w:pPr>
      <w:r>
        <w:rPr>
          <w:noProof/>
        </w:rPr>
        <w:t>заетост,</w:t>
      </w:r>
    </w:p>
    <w:p>
      <w:pPr>
        <w:pStyle w:val="Tiret1"/>
        <w:rPr>
          <w:noProof/>
        </w:rPr>
      </w:pPr>
      <w:r>
        <w:rPr>
          <w:noProof/>
        </w:rPr>
        <w:t>внос,</w:t>
      </w:r>
    </w:p>
    <w:p>
      <w:pPr>
        <w:pStyle w:val="Tiret1"/>
        <w:rPr>
          <w:noProof/>
        </w:rPr>
      </w:pPr>
      <w:r>
        <w:rPr>
          <w:noProof/>
        </w:rPr>
        <w:t>цени.</w:t>
      </w:r>
    </w:p>
    <w:p>
      <w:pPr>
        <w:pStyle w:val="ManualNumPar1"/>
        <w:rPr>
          <w:noProof/>
        </w:rPr>
      </w:pPr>
      <w:r>
        <w:rPr>
          <w:noProof/>
        </w:rPr>
        <w:t>5.</w:t>
      </w:r>
      <w:r>
        <w:rPr>
          <w:noProof/>
        </w:rPr>
        <w:tab/>
        <w:t>Разследването приключва в рамките на шест месеца след публикуване на известието, посочено в параграф 2. При изключителни обстоятелства Комисията може да удължи този срок в съответствие с процедурата, посочена в член 5.</w:t>
      </w:r>
    </w:p>
    <w:p>
      <w:pPr>
        <w:pStyle w:val="ManualNumPar1"/>
        <w:rPr>
          <w:noProof/>
        </w:rPr>
      </w:pPr>
      <w:r>
        <w:rPr>
          <w:noProof/>
        </w:rPr>
        <w:t>6.</w:t>
      </w:r>
      <w:r>
        <w:rPr>
          <w:noProof/>
        </w:rPr>
        <w:tab/>
        <w:t>Комисията взема решение в рамките на три месеца в съответствие с процедурата, посочена в член 5. Посоченото решение влиза в сила в рамките на един месец след публикуването му.</w:t>
      </w:r>
    </w:p>
    <w:p>
      <w:pPr>
        <w:pStyle w:val="ManualNumPar1"/>
        <w:rPr>
          <w:rFonts w:eastAsia="Times New Roman"/>
          <w:noProof/>
          <w:szCs w:val="24"/>
        </w:rPr>
      </w:pPr>
      <w:r>
        <w:rPr>
          <w:noProof/>
        </w:rPr>
        <w:t>7.</w:t>
      </w:r>
      <w:r>
        <w:rPr>
          <w:noProof/>
        </w:rPr>
        <w:tab/>
        <w:t>Ако изключителни обстоятелства, налагащи незабавни мерки, доведат до невъзможност за провеждане на разследване, след като уведоми комитета, Комисията може да предприеме всички строго необходими превантивни мерки.</w:t>
      </w:r>
    </w:p>
    <w:p>
      <w:pPr>
        <w:pStyle w:val="Titrearticle"/>
        <w:rPr>
          <w:rFonts w:eastAsia="Times New Roman"/>
          <w:noProof/>
          <w:szCs w:val="24"/>
        </w:rPr>
      </w:pPr>
      <w:r>
        <w:rPr>
          <w:noProof/>
        </w:rPr>
        <w:t>Член 5</w:t>
      </w:r>
    </w:p>
    <w:p>
      <w:pPr>
        <w:jc w:val="center"/>
        <w:rPr>
          <w:rFonts w:eastAsia="Times New Roman"/>
          <w:b/>
          <w:noProof/>
          <w:szCs w:val="24"/>
        </w:rPr>
      </w:pPr>
      <w:r>
        <w:rPr>
          <w:b/>
          <w:noProof/>
        </w:rPr>
        <w:t>Процедура на комитет</w:t>
      </w:r>
    </w:p>
    <w:p>
      <w:pPr>
        <w:pStyle w:val="ManualNumPar1"/>
        <w:rPr>
          <w:rFonts w:eastAsia="Times New Roman"/>
          <w:noProof/>
          <w:szCs w:val="24"/>
        </w:rPr>
      </w:pPr>
      <w:r>
        <w:rPr>
          <w:noProof/>
        </w:rPr>
        <w:t>1.</w:t>
      </w:r>
      <w:r>
        <w:rPr>
          <w:noProof/>
        </w:rPr>
        <w:tab/>
        <w:t xml:space="preserve">За целите на член 1, параграф 2 и член 4 от настоящия регламент Комисията се подпомага от Комитета по Митническия кодекс, създаден с член 248а от Регламент (ЕИО) № 2913/92. Този комитет е комитет по смисъла на Регламент (ЕС) № 182/2011. </w:t>
      </w:r>
    </w:p>
    <w:p>
      <w:pPr>
        <w:pStyle w:val="ManualNumPar1"/>
        <w:rPr>
          <w:rFonts w:eastAsia="Times New Roman"/>
          <w:noProof/>
          <w:szCs w:val="24"/>
        </w:rPr>
      </w:pPr>
      <w:r>
        <w:rPr>
          <w:noProof/>
        </w:rPr>
        <w:t>2.</w:t>
      </w:r>
      <w:r>
        <w:rPr>
          <w:noProof/>
        </w:rPr>
        <w:tab/>
        <w:t>При позоваване на настоящия параграф се прилага член 5 от Регламент (ЕС) № 182/2011.</w:t>
      </w:r>
    </w:p>
    <w:p>
      <w:pPr>
        <w:pStyle w:val="Titrearticle"/>
        <w:rPr>
          <w:noProof/>
        </w:rPr>
      </w:pPr>
      <w:r>
        <w:rPr>
          <w:noProof/>
        </w:rPr>
        <w:t>Член 6</w:t>
      </w:r>
    </w:p>
    <w:p>
      <w:pPr>
        <w:jc w:val="center"/>
        <w:rPr>
          <w:b/>
          <w:bCs/>
          <w:noProof/>
        </w:rPr>
      </w:pPr>
      <w:r>
        <w:rPr>
          <w:b/>
          <w:noProof/>
        </w:rPr>
        <w:t>Влизане в сила и прилагане</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p>
    <w:p>
      <w:pPr>
        <w:rPr>
          <w:noProof/>
        </w:rPr>
      </w:pPr>
      <w:r>
        <w:rPr>
          <w:noProof/>
        </w:rPr>
        <w:t>Той се прилага за срок от три години.</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 ЗА ПРЕДЛОЖЕНИЯ С ОТРАЖЕНИЕ ВЪРХУ БЮДЖЕТА, СТРОГО ОГРАНИЧЕНО ДО ПРИХОДНАТА ЧАСТ</w:t>
      </w:r>
    </w:p>
    <w:p>
      <w:pPr>
        <w:pStyle w:val="ManualHeading1"/>
        <w:rPr>
          <w:noProof/>
        </w:rPr>
      </w:pPr>
      <w:r>
        <w:rPr>
          <w:noProof/>
        </w:rPr>
        <w:t>1.</w:t>
      </w:r>
      <w:r>
        <w:rPr>
          <w:noProof/>
        </w:rPr>
        <w:tab/>
        <w:t>НАИМЕНОВАНИЕ НА ПРЕДЛОЖЕНИЕТО</w:t>
      </w:r>
    </w:p>
    <w:p>
      <w:pPr>
        <w:pStyle w:val="Text1"/>
        <w:rPr>
          <w:noProof/>
        </w:rPr>
      </w:pPr>
      <w:r>
        <w:rPr>
          <w:noProof/>
        </w:rPr>
        <w:t>Предложение за РЕГЛАМЕНТ НА ЕВРОПЕЙСКИЯ ПАРЛАМЕНТ И НА СЪВЕТА относно въвеждането на временни автономни търговски мерки за Украйна за допълване на търговските отстъпки, предоставени в рамките на Споразумението за асоцииране</w:t>
      </w:r>
    </w:p>
    <w:p>
      <w:pPr>
        <w:pStyle w:val="ManualHeading1"/>
        <w:rPr>
          <w:noProof/>
        </w:rPr>
      </w:pPr>
      <w:r>
        <w:rPr>
          <w:noProof/>
        </w:rPr>
        <w:t>2.</w:t>
      </w:r>
      <w:r>
        <w:rPr>
          <w:noProof/>
        </w:rPr>
        <w:tab/>
        <w:t>БЮДЖЕТНИ РЕДОВЕ</w:t>
      </w:r>
    </w:p>
    <w:p>
      <w:pPr>
        <w:pStyle w:val="Text1"/>
        <w:rPr>
          <w:noProof/>
        </w:rPr>
      </w:pPr>
      <w:r>
        <w:rPr>
          <w:noProof/>
        </w:rPr>
        <w:t>Глава и статия: Глава 12, член 120 (Мита)</w:t>
      </w:r>
    </w:p>
    <w:p>
      <w:pPr>
        <w:pStyle w:val="Text1"/>
        <w:rPr>
          <w:noProof/>
        </w:rPr>
      </w:pPr>
      <w:r>
        <w:rPr>
          <w:noProof/>
        </w:rPr>
        <w:t>Сума, предвидена в бюджета за 2016 г.: 18 465,30 млн. EUR</w:t>
      </w:r>
    </w:p>
    <w:p>
      <w:pPr>
        <w:pStyle w:val="ManualHeading1"/>
        <w:rPr>
          <w:noProof/>
        </w:rPr>
      </w:pPr>
      <w:r>
        <w:rPr>
          <w:noProof/>
        </w:rPr>
        <w:t>3.</w:t>
      </w:r>
      <w:r>
        <w:rPr>
          <w:noProof/>
        </w:rPr>
        <w:tab/>
        <w:t>ФИНАНСОВО ОТРАЖЕНИЕ</w:t>
      </w:r>
    </w:p>
    <w:p>
      <w:pPr>
        <w:pStyle w:val="Point1"/>
        <w:rPr>
          <w:noProof/>
        </w:rPr>
      </w:pPr>
      <w:r>
        <w:rPr>
          <w:noProof/>
        </w:rPr>
        <w:sym w:font="Wingdings" w:char="F0A8"/>
      </w:r>
      <w:r>
        <w:rPr>
          <w:noProof/>
        </w:rPr>
        <w:tab/>
      </w:r>
      <w:r>
        <w:rPr>
          <w:noProof/>
        </w:rPr>
        <w:sym w:font="Wingdings" w:char="F0A8"/>
      </w:r>
      <w:r>
        <w:rPr>
          <w:noProof/>
        </w:rPr>
        <w:t>Предложението няма финансово отражение</w:t>
      </w:r>
    </w:p>
    <w:p>
      <w:pPr>
        <w:pStyle w:val="Point1"/>
        <w:rPr>
          <w:noProof/>
        </w:rPr>
      </w:pPr>
      <w:r>
        <w:rPr>
          <w:noProof/>
        </w:rPr>
        <w:sym w:font="Wingdings" w:char="F078"/>
      </w:r>
      <w:r>
        <w:rPr>
          <w:noProof/>
        </w:rPr>
        <w:tab/>
      </w:r>
      <w:r>
        <w:rPr>
          <w:noProof/>
        </w:rPr>
        <w:sym w:font="Wingdings" w:char="F078"/>
      </w:r>
      <w:r>
        <w:rPr>
          <w:noProof/>
        </w:rPr>
        <w:t>Предложението няма финансово отражение върху разходите, но има финансово отражение върху приходите, както следва:</w:t>
      </w:r>
    </w:p>
    <w:p>
      <w:pPr>
        <w:pStyle w:val="NormalRight"/>
        <w:rPr>
          <w:noProof/>
        </w:rPr>
      </w:pPr>
      <w:r>
        <w:rPr>
          <w:noProof/>
        </w:rPr>
        <w:t>(в милиони евро, до един знак след десетичната запетая)</w:t>
      </w:r>
    </w:p>
    <w:tbl>
      <w:tblPr>
        <w:tblW w:w="83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725"/>
        <w:gridCol w:w="3345"/>
        <w:gridCol w:w="3270"/>
      </w:tblGrid>
      <w:tr>
        <w:trPr>
          <w:cantSplit/>
        </w:trPr>
        <w:tc>
          <w:tcPr>
            <w:tcW w:w="1725"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2"/>
              </w:rPr>
              <w:t>Приходен бюджетен ред</w:t>
            </w:r>
            <w:r>
              <w:rPr>
                <w:rStyle w:val="FootnoteReference"/>
                <w:noProof/>
                <w:sz w:val="22"/>
              </w:rPr>
              <w:footnoteReference w:id="6"/>
            </w:r>
          </w:p>
        </w:tc>
        <w:tc>
          <w:tcPr>
            <w:tcW w:w="3346"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sz w:val="22"/>
              </w:rPr>
              <w:t>2016</w:t>
            </w:r>
          </w:p>
        </w:tc>
        <w:tc>
          <w:tcPr>
            <w:tcW w:w="3271"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snapToGrid w:val="0"/>
                <w:sz w:val="22"/>
              </w:rPr>
              <w:t>2017</w:t>
            </w:r>
          </w:p>
        </w:tc>
      </w:tr>
      <w:tr>
        <w:trPr>
          <w:cantSplit/>
        </w:trPr>
        <w:tc>
          <w:tcPr>
            <w:tcW w:w="1725"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rPr>
              <w:t>Член 120</w:t>
            </w:r>
          </w:p>
        </w:tc>
        <w:tc>
          <w:tcPr>
            <w:tcW w:w="3346"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rPr>
              <w:t>0</w:t>
            </w:r>
          </w:p>
        </w:tc>
        <w:tc>
          <w:tcPr>
            <w:tcW w:w="3271"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rPr>
              <w:t xml:space="preserve">35,3 </w:t>
            </w:r>
          </w:p>
        </w:tc>
      </w:tr>
    </w:tbl>
    <w:p>
      <w:pPr>
        <w:rPr>
          <w:noProof/>
        </w:rPr>
      </w:pPr>
    </w:p>
    <w:tbl>
      <w:tblPr>
        <w:tblW w:w="83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321"/>
        <w:gridCol w:w="1439"/>
        <w:gridCol w:w="1440"/>
        <w:gridCol w:w="1260"/>
        <w:gridCol w:w="1440"/>
        <w:gridCol w:w="1440"/>
      </w:tblGrid>
      <w:tr>
        <w:trPr>
          <w:cantSplit/>
        </w:trPr>
        <w:tc>
          <w:tcPr>
            <w:tcW w:w="8342" w:type="dxa"/>
            <w:gridSpan w:val="6"/>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sz w:val="18"/>
              </w:rPr>
              <w:t>Положение след действието</w:t>
            </w:r>
          </w:p>
        </w:tc>
      </w:tr>
      <w:tr>
        <w:trPr>
          <w:cantSplit/>
        </w:trPr>
        <w:tc>
          <w:tcPr>
            <w:tcW w:w="1322"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sz w:val="18"/>
              </w:rPr>
            </w:pPr>
            <w:r>
              <w:rPr>
                <w:noProof/>
                <w:sz w:val="22"/>
              </w:rPr>
              <w:t>Приходен бюджетен ред</w:t>
            </w:r>
          </w:p>
        </w:tc>
        <w:tc>
          <w:tcPr>
            <w:tcW w:w="14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sz w:val="18"/>
              </w:rPr>
              <w:t>2016</w:t>
            </w:r>
          </w:p>
        </w:tc>
        <w:tc>
          <w:tcPr>
            <w:tcW w:w="14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sz w:val="18"/>
              </w:rPr>
              <w:t>2017</w:t>
            </w:r>
          </w:p>
        </w:tc>
        <w:tc>
          <w:tcPr>
            <w:tcW w:w="126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sz w:val="18"/>
              </w:rPr>
              <w:t>2018</w:t>
            </w:r>
          </w:p>
        </w:tc>
        <w:tc>
          <w:tcPr>
            <w:tcW w:w="14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sz w:val="18"/>
              </w:rPr>
              <w:t>2019</w:t>
            </w:r>
          </w:p>
        </w:tc>
        <w:tc>
          <w:tcPr>
            <w:tcW w:w="14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sz w:val="18"/>
              </w:rPr>
              <w:t>2020</w:t>
            </w:r>
          </w:p>
        </w:tc>
      </w:tr>
      <w:tr>
        <w:trPr>
          <w:cantSplit/>
        </w:trPr>
        <w:tc>
          <w:tcPr>
            <w:tcW w:w="1322"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rPr>
              <w:t>Член 120</w:t>
            </w:r>
          </w:p>
        </w:tc>
        <w:tc>
          <w:tcPr>
            <w:tcW w:w="14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rPr>
              <w:t>18 465,30</w:t>
            </w:r>
          </w:p>
        </w:tc>
        <w:tc>
          <w:tcPr>
            <w:tcW w:w="14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rPr>
              <w:t>18 430</w:t>
            </w:r>
          </w:p>
        </w:tc>
        <w:tc>
          <w:tcPr>
            <w:tcW w:w="126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rPr>
              <w:t>18 430</w:t>
            </w:r>
          </w:p>
        </w:tc>
        <w:tc>
          <w:tcPr>
            <w:tcW w:w="14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rPr>
            </w:pPr>
            <w:r>
              <w:rPr>
                <w:noProof/>
              </w:rPr>
              <w:t>18 430</w:t>
            </w:r>
          </w:p>
        </w:tc>
        <w:tc>
          <w:tcPr>
            <w:tcW w:w="1440" w:type="dxa"/>
            <w:tcBorders>
              <w:top w:val="single" w:sz="4" w:space="0" w:color="auto"/>
              <w:left w:val="single" w:sz="4" w:space="0" w:color="auto"/>
              <w:bottom w:val="single" w:sz="4" w:space="0" w:color="auto"/>
              <w:right w:val="single" w:sz="4" w:space="0" w:color="auto"/>
            </w:tcBorders>
          </w:tcPr>
          <w:p>
            <w:pPr>
              <w:spacing w:line="276" w:lineRule="auto"/>
              <w:jc w:val="center"/>
              <w:rPr>
                <w:noProof/>
              </w:rPr>
            </w:pPr>
          </w:p>
        </w:tc>
      </w:tr>
    </w:tbl>
    <w:p>
      <w:pPr>
        <w:pStyle w:val="NormalRight"/>
        <w:rPr>
          <w:noProof/>
          <w:sz w:val="18"/>
        </w:rPr>
      </w:pPr>
    </w:p>
    <w:p>
      <w:pPr>
        <w:pStyle w:val="ManualHeading1"/>
        <w:rPr>
          <w:noProof/>
        </w:rPr>
      </w:pPr>
      <w:r>
        <w:rPr>
          <w:noProof/>
        </w:rPr>
        <w:t>4.</w:t>
      </w:r>
      <w:r>
        <w:rPr>
          <w:noProof/>
        </w:rPr>
        <w:tab/>
        <w:t>МЕРКИ ЗА БОРБА С ИЗМАМИТЕ</w:t>
      </w:r>
    </w:p>
    <w:p>
      <w:pPr>
        <w:rPr>
          <w:noProof/>
        </w:rPr>
      </w:pPr>
      <w:r>
        <w:rPr>
          <w:noProof/>
        </w:rPr>
        <w:t>Митническото законодателство на ЕС има за цел да гарантира правилното прилагане на всички мерки на ЕС в митническата област, включително тарифните преференции, предвидени в настоящия регламент, в който също така се предвижда прилагането на необходимите разпоредби от Споразумението за асоцииране между ЕС и Украйна, прилагането на протокол I към него относно определението на понятието „продукти с произход“ и методите на административно сътрудничество и на съответните приложения към него, както и възможността за временно преустановяване на тарифните преференции след провеждане на консултации в случай на измами и нередности, свързани с преференциалното третиране.</w:t>
      </w:r>
    </w:p>
    <w:p>
      <w:pPr>
        <w:pStyle w:val="ManualHeading1"/>
        <w:rPr>
          <w:noProof/>
        </w:rPr>
      </w:pPr>
      <w:r>
        <w:rPr>
          <w:noProof/>
        </w:rPr>
        <w:t>5.</w:t>
      </w:r>
      <w:r>
        <w:rPr>
          <w:noProof/>
        </w:rPr>
        <w:tab/>
        <w:t>ДРУГИ ЗАБЕЛЕЖКИ</w:t>
      </w:r>
    </w:p>
    <w:p>
      <w:pPr>
        <w:rPr>
          <w:noProof/>
        </w:rPr>
      </w:pPr>
      <w:r>
        <w:rPr>
          <w:noProof/>
        </w:rPr>
        <w:t>Тази прогнозна оценка се основава на вътрешни изчисления.</w:t>
      </w:r>
      <w:r>
        <w:rPr>
          <w:rStyle w:val="CommentReference"/>
          <w:noProof/>
        </w:rPr>
        <w:t xml:space="preserve">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161, 29.5.2014 г., стр. 3.</w:t>
      </w:r>
    </w:p>
  </w:footnote>
  <w:footnote w:id="2">
    <w:p>
      <w:pPr>
        <w:pStyle w:val="FootnoteText"/>
      </w:pPr>
      <w:r>
        <w:rPr>
          <w:rStyle w:val="FootnoteReference"/>
        </w:rPr>
        <w:footnoteRef/>
      </w:r>
      <w:r>
        <w:tab/>
        <w:t>Решение 2014/668/ЕС на Съвета от 23 юни 2014 г. (ОВ L 278, 20.9.2014 г., стр. 1).</w:t>
      </w:r>
    </w:p>
  </w:footnote>
  <w:footnote w:id="3">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4">
    <w:p>
      <w:pPr>
        <w:pStyle w:val="FootnoteText"/>
      </w:pPr>
      <w:r>
        <w:rPr>
          <w:rStyle w:val="FootnoteReference"/>
        </w:rPr>
        <w:footnoteRef/>
      </w:r>
      <w:r>
        <w:tab/>
        <w:t>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w:t>
      </w:r>
      <w:r>
        <w:rPr>
          <w:color w:val="000000"/>
        </w:rPr>
        <w:t>ОВ L 343, 29.12.2015 г., стр. 558).</w:t>
      </w:r>
    </w:p>
  </w:footnote>
  <w:footnote w:id="5">
    <w:p>
      <w:pPr>
        <w:pStyle w:val="FootnoteText"/>
        <w:rPr>
          <w:i/>
        </w:rPr>
      </w:pPr>
      <w:r>
        <w:rPr>
          <w:rStyle w:val="FootnoteReference"/>
        </w:rPr>
        <w:footnoteRef/>
      </w:r>
      <w:r>
        <w:tab/>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на Съвета (</w:t>
      </w:r>
      <w:r>
        <w:rPr>
          <w:rStyle w:val="Emphasis"/>
          <w:i w:val="0"/>
        </w:rPr>
        <w:t>ОВ L 347, 20.12.2013 г., стр. 671).</w:t>
      </w:r>
      <w:r>
        <w:rPr>
          <w:i/>
        </w:rPr>
        <w:t xml:space="preserve"> </w:t>
      </w:r>
    </w:p>
  </w:footnote>
  <w:footnote w:id="6">
    <w:p>
      <w:pPr>
        <w:pStyle w:val="FootnoteText"/>
      </w:pPr>
      <w:r>
        <w:rPr>
          <w:rStyle w:val="FootnoteReference"/>
        </w:rPr>
        <w:footnoteRef/>
      </w:r>
      <w:r>
        <w:tab/>
        <w:t xml:space="preserve">По отношение на традиционните собствени ресурси (селскостопански мита, налози върху захарта, мита) посочените суми трябва да бъдат нетни, т.е. след приспадането от брутните суми на 25 % за разходи по събирането.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DCFD6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E2244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FC3409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3F8FB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E6A98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3226F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034AAF2"/>
    <w:lvl w:ilvl="0">
      <w:start w:val="1"/>
      <w:numFmt w:val="decimal"/>
      <w:pStyle w:val="ListNumber"/>
      <w:lvlText w:val="%1."/>
      <w:lvlJc w:val="left"/>
      <w:pPr>
        <w:tabs>
          <w:tab w:val="num" w:pos="360"/>
        </w:tabs>
        <w:ind w:left="360" w:hanging="360"/>
      </w:pPr>
    </w:lvl>
  </w:abstractNum>
  <w:abstractNum w:abstractNumId="7">
    <w:nsid w:val="FFFFFF89"/>
    <w:multiLevelType w:val="singleLevel"/>
    <w:tmpl w:val="773221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6"/>
  </w:num>
  <w:num w:numId="7">
    <w:abstractNumId w:val="2"/>
  </w:num>
  <w:num w:numId="8">
    <w:abstractNumId w:val="0"/>
  </w:num>
  <w:num w:numId="9">
    <w:abstractNumId w:val="21"/>
    <w:lvlOverride w:ilvl="0">
      <w:startOverride w:val="1"/>
    </w:lvlOverride>
  </w:num>
  <w:num w:numId="10">
    <w:abstractNumId w:val="12"/>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29 08:12: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491BFFC02F849CA8512C5232871D3D5"/>
    <w:docVar w:name="LW_CROSSREFERENCE" w:val="&lt;UNUSED&gt;"/>
    <w:docVar w:name="LW_DocType" w:val="COM"/>
    <w:docVar w:name="LW_EMISSION" w:val="29.9.2016"/>
    <w:docVar w:name="LW_EMISSION_ISODATE" w:val="2016-09-29"/>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08"/>
    <w:docVar w:name="LW_REF.II.NEW.CP_YEAR" w:val="2016"/>
    <w:docVar w:name="LW_REF.INST.NEW" w:val="COM"/>
    <w:docVar w:name="LW_REF.INST.NEW_ADOPTED" w:val="final"/>
    <w:docVar w:name="LW_REF.INST.NEW_TEXT" w:val="(2016) 631"/>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74?\u1098?\u1074?\u1077?\u1078?\u1076?\u1072?\u1085?\u1077?\u1090?\u1086? \u1085?\u1072? \u1074?\u1088?\u1077?\u1084?\u1077?\u1085?\u1085?\u1080? \u1072?\u1074?\u1090?\u1086?\u1085?\u1086?\u1084?\u1085?\u1080? \u1090?\u1098?\u1088?\u1075?\u1086?\u1074?\u1089?\u1082?\u1080? \u1084?\u1077?\u1088?\u1082?\u1080? \u1079?\u1072? \u1059?\u1082?\u1088?\u1072?\u1081?\u1085?\u1072? \u1079?\u1072? \u1076?\u1086?\u1087?\u1098?\u1083?\u1074?\u1072?\u1085?\u1077? \u1085?\u1072? \u1090?\u1098?\u1088?\u1075?\u1086?\u1074?\u1089?\u1082?\u1080?\u1090?\u1077? \u1086?\u1090?\u1089?\u1090?\u1098?\u1087?\u1082?\u1080?, \u1087?\u1088?\u1077?\u1076?\u1086?\u1089?\u1090?\u1072?\u1074?\u1077?\u1085?\u1080? \u1074? \u1088?\u1072?\u1084?\u1082?\u1080?\u1090?\u1077? \u1085?\u1072? \u1057?\u1087?\u1086?\u1088?\u1072?\u1079?\u1091?\u1084?\u1077?\u1085?\u1080?\u1077?\u1090?\u1086? \u1079?\u1072? \u1072?\u1089?\u1086?\u1094?\u1080?\u1080?\u1088?\u1072?\u1085?\u1077?"/>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ListNumber3">
    <w:name w:val="List Number 3"/>
    <w:basedOn w:val="Normal"/>
    <w:uiPriority w:val="99"/>
    <w:semiHidden/>
    <w:unhideWhenUsed/>
    <w:pPr>
      <w:numPr>
        <w:numId w:val="5"/>
      </w:numPr>
      <w:contextualSpacing/>
    </w:pPr>
    <w:rPr>
      <w:rFonts w:eastAsia="Calibri"/>
    </w:rPr>
  </w:style>
  <w:style w:type="character" w:styleId="Emphasis">
    <w:name w:val="Emphasis"/>
    <w:uiPriority w:val="20"/>
    <w:qForma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ListNumber3">
    <w:name w:val="List Number 3"/>
    <w:basedOn w:val="Normal"/>
    <w:uiPriority w:val="99"/>
    <w:semiHidden/>
    <w:unhideWhenUsed/>
    <w:pPr>
      <w:numPr>
        <w:numId w:val="5"/>
      </w:numPr>
      <w:contextualSpacing/>
    </w:pPr>
    <w:rPr>
      <w:rFonts w:eastAsia="Calibri"/>
    </w:rPr>
  </w:style>
  <w:style w:type="character" w:styleId="Emphasis">
    <w:name w:val="Emphasis"/>
    <w:uiPriority w:val="20"/>
    <w:qForma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274">
      <w:bodyDiv w:val="1"/>
      <w:marLeft w:val="0"/>
      <w:marRight w:val="0"/>
      <w:marTop w:val="0"/>
      <w:marBottom w:val="0"/>
      <w:divBdr>
        <w:top w:val="none" w:sz="0" w:space="0" w:color="auto"/>
        <w:left w:val="none" w:sz="0" w:space="0" w:color="auto"/>
        <w:bottom w:val="none" w:sz="0" w:space="0" w:color="auto"/>
        <w:right w:val="none" w:sz="0" w:space="0" w:color="auto"/>
      </w:divBdr>
    </w:div>
    <w:div w:id="1010108997">
      <w:bodyDiv w:val="1"/>
      <w:marLeft w:val="0"/>
      <w:marRight w:val="0"/>
      <w:marTop w:val="0"/>
      <w:marBottom w:val="0"/>
      <w:divBdr>
        <w:top w:val="none" w:sz="0" w:space="0" w:color="auto"/>
        <w:left w:val="none" w:sz="0" w:space="0" w:color="auto"/>
        <w:bottom w:val="none" w:sz="0" w:space="0" w:color="auto"/>
        <w:right w:val="none" w:sz="0" w:space="0" w:color="auto"/>
      </w:divBdr>
    </w:div>
    <w:div w:id="149306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4AFB8-9066-46F1-9982-393ABF85A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2680</Words>
  <Characters>15732</Characters>
  <Application>Microsoft Office Word</Application>
  <DocSecurity>0</DocSecurity>
  <Lines>342</Lines>
  <Paragraphs>167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2016-07-19T11:34:00Z</cp:lastPrinted>
  <dcterms:created xsi:type="dcterms:W3CDTF">2016-09-27T13:13:00Z</dcterms:created>
  <dcterms:modified xsi:type="dcterms:W3CDTF">2016-09-29T06:12:00Z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