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BBA599E9C1459DA1351FC5BEF29052"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ANNEXES</w:t>
      </w:r>
    </w:p>
    <w:p>
      <w:pPr>
        <w:spacing w:before="240"/>
        <w:jc w:val="center"/>
        <w:rPr>
          <w:b/>
          <w:noProof/>
          <w:u w:val="single"/>
        </w:rPr>
      </w:pPr>
      <w:r>
        <w:rPr>
          <w:b/>
          <w:noProof/>
          <w:color w:val="000000"/>
          <w:sz w:val="22"/>
          <w:u w:val="single"/>
        </w:rPr>
        <w:t>ANNEX</w:t>
      </w:r>
      <w:r>
        <w:rPr>
          <w:b/>
          <w:noProof/>
          <w:u w:val="single"/>
        </w:rPr>
        <w:t xml:space="preserve"> I</w:t>
      </w:r>
    </w:p>
    <w:p>
      <w:pPr>
        <w:spacing w:before="240"/>
        <w:rPr>
          <w:noProof/>
          <w:sz w:val="22"/>
        </w:rPr>
      </w:pPr>
      <w:r>
        <w:rPr>
          <w:noProof/>
          <w:color w:val="000000"/>
          <w:sz w:val="22"/>
        </w:rPr>
        <w:t>Notwithstanding the rules for the interpretation of the Combined Nomenclature, the wording of the description of the products is to be considered as having no more than an indicative value, the scope of the preferential scheme being determined, within the context of this Annex, by CN codes as they exist at the time of adoption of this Regulation.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52"/>
        <w:gridCol w:w="3239"/>
        <w:gridCol w:w="2116"/>
        <w:gridCol w:w="1556"/>
      </w:tblGrid>
      <w:tr>
        <w:trPr>
          <w:tblHeader/>
        </w:trPr>
        <w:tc>
          <w:tcPr>
            <w:tcW w:w="1101" w:type="dxa"/>
            <w:shd w:val="clear" w:color="auto" w:fill="auto"/>
          </w:tcPr>
          <w:p>
            <w:pPr>
              <w:jc w:val="center"/>
              <w:rPr>
                <w:b/>
                <w:noProof/>
                <w:sz w:val="20"/>
                <w:szCs w:val="20"/>
              </w:rPr>
            </w:pPr>
            <w:r>
              <w:rPr>
                <w:b/>
                <w:noProof/>
                <w:sz w:val="20"/>
                <w:szCs w:val="20"/>
              </w:rPr>
              <w:t>Order No</w:t>
            </w:r>
          </w:p>
        </w:tc>
        <w:tc>
          <w:tcPr>
            <w:tcW w:w="1452" w:type="dxa"/>
            <w:shd w:val="clear" w:color="auto" w:fill="auto"/>
          </w:tcPr>
          <w:p>
            <w:pPr>
              <w:jc w:val="left"/>
              <w:rPr>
                <w:b/>
                <w:noProof/>
                <w:sz w:val="20"/>
                <w:szCs w:val="20"/>
              </w:rPr>
            </w:pPr>
            <w:r>
              <w:rPr>
                <w:b/>
                <w:noProof/>
                <w:sz w:val="20"/>
                <w:szCs w:val="20"/>
              </w:rPr>
              <w:t>CN code</w:t>
            </w:r>
          </w:p>
        </w:tc>
        <w:tc>
          <w:tcPr>
            <w:tcW w:w="3239" w:type="dxa"/>
            <w:shd w:val="clear" w:color="auto" w:fill="auto"/>
          </w:tcPr>
          <w:p>
            <w:pPr>
              <w:jc w:val="center"/>
              <w:rPr>
                <w:b/>
                <w:noProof/>
                <w:sz w:val="20"/>
                <w:szCs w:val="20"/>
              </w:rPr>
            </w:pPr>
            <w:r>
              <w:rPr>
                <w:b/>
                <w:noProof/>
                <w:sz w:val="20"/>
                <w:szCs w:val="20"/>
              </w:rPr>
              <w:t>Description of goods</w:t>
            </w:r>
          </w:p>
        </w:tc>
        <w:tc>
          <w:tcPr>
            <w:tcW w:w="2116" w:type="dxa"/>
            <w:shd w:val="clear" w:color="auto" w:fill="auto"/>
          </w:tcPr>
          <w:p>
            <w:pPr>
              <w:jc w:val="center"/>
              <w:rPr>
                <w:b/>
                <w:noProof/>
                <w:sz w:val="20"/>
                <w:szCs w:val="20"/>
              </w:rPr>
            </w:pPr>
            <w:r>
              <w:rPr>
                <w:b/>
                <w:noProof/>
                <w:sz w:val="20"/>
                <w:szCs w:val="20"/>
              </w:rPr>
              <w:t>Quota period</w:t>
            </w:r>
          </w:p>
          <w:p>
            <w:pPr>
              <w:jc w:val="center"/>
              <w:rPr>
                <w:noProof/>
                <w:sz w:val="20"/>
                <w:szCs w:val="20"/>
              </w:rPr>
            </w:pPr>
            <w:r>
              <w:rPr>
                <w:noProof/>
                <w:sz w:val="20"/>
                <w:szCs w:val="20"/>
              </w:rPr>
              <w:t>From entry into force of this Regulation for 36 months</w:t>
            </w:r>
          </w:p>
          <w:p>
            <w:pPr>
              <w:jc w:val="center"/>
              <w:rPr>
                <w:b/>
                <w:noProof/>
                <w:sz w:val="20"/>
                <w:szCs w:val="20"/>
              </w:rPr>
            </w:pPr>
          </w:p>
        </w:tc>
        <w:tc>
          <w:tcPr>
            <w:tcW w:w="1556" w:type="dxa"/>
            <w:shd w:val="clear" w:color="auto" w:fill="auto"/>
          </w:tcPr>
          <w:p>
            <w:pPr>
              <w:spacing w:after="0"/>
              <w:jc w:val="center"/>
              <w:rPr>
                <w:b/>
                <w:noProof/>
                <w:sz w:val="20"/>
                <w:szCs w:val="20"/>
              </w:rPr>
            </w:pPr>
            <w:r>
              <w:rPr>
                <w:b/>
                <w:noProof/>
                <w:sz w:val="20"/>
                <w:szCs w:val="20"/>
              </w:rPr>
              <w:t>Annual quota volume</w:t>
            </w:r>
          </w:p>
          <w:p>
            <w:pPr>
              <w:spacing w:before="0"/>
              <w:jc w:val="center"/>
              <w:rPr>
                <w:b/>
                <w:noProof/>
                <w:sz w:val="20"/>
                <w:szCs w:val="20"/>
              </w:rPr>
            </w:pPr>
            <w:r>
              <w:rPr>
                <w:b/>
                <w:noProof/>
                <w:sz w:val="20"/>
                <w:szCs w:val="20"/>
              </w:rPr>
              <w:t>(in tonnes net weight unless otherwise specified)</w:t>
            </w:r>
          </w:p>
        </w:tc>
      </w:tr>
      <w:tr>
        <w:trPr>
          <w:trHeight w:val="1845"/>
        </w:trPr>
        <w:tc>
          <w:tcPr>
            <w:tcW w:w="1101" w:type="dxa"/>
            <w:shd w:val="clear" w:color="auto" w:fill="auto"/>
          </w:tcPr>
          <w:p>
            <w:pPr>
              <w:rPr>
                <w:noProof/>
                <w:sz w:val="20"/>
                <w:szCs w:val="20"/>
              </w:rPr>
            </w:pPr>
            <w:r>
              <w:rPr>
                <w:noProof/>
                <w:sz w:val="20"/>
                <w:szCs w:val="20"/>
              </w:rPr>
              <w:t>09.6750</w:t>
            </w:r>
          </w:p>
        </w:tc>
        <w:tc>
          <w:tcPr>
            <w:tcW w:w="1452" w:type="dxa"/>
            <w:shd w:val="clear" w:color="auto" w:fill="auto"/>
          </w:tcPr>
          <w:p>
            <w:pPr>
              <w:jc w:val="left"/>
              <w:rPr>
                <w:noProof/>
                <w:sz w:val="20"/>
                <w:szCs w:val="20"/>
              </w:rPr>
            </w:pPr>
            <w:r>
              <w:rPr>
                <w:noProof/>
                <w:sz w:val="20"/>
                <w:szCs w:val="20"/>
              </w:rPr>
              <w:t>0409</w:t>
            </w:r>
            <w:r>
              <w:rPr>
                <w:noProof/>
                <w:sz w:val="20"/>
                <w:szCs w:val="20"/>
              </w:rPr>
              <w:br/>
            </w:r>
            <w:r>
              <w:rPr>
                <w:noProof/>
                <w:sz w:val="20"/>
                <w:szCs w:val="20"/>
              </w:rPr>
              <w:br/>
            </w:r>
            <w:r>
              <w:rPr>
                <w:noProof/>
                <w:sz w:val="20"/>
                <w:szCs w:val="20"/>
              </w:rPr>
              <w:br/>
            </w:r>
            <w:r>
              <w:rPr>
                <w:noProof/>
                <w:sz w:val="20"/>
                <w:szCs w:val="20"/>
              </w:rPr>
              <w:br/>
            </w:r>
          </w:p>
        </w:tc>
        <w:tc>
          <w:tcPr>
            <w:tcW w:w="3239" w:type="dxa"/>
            <w:shd w:val="clear" w:color="auto" w:fill="auto"/>
          </w:tcPr>
          <w:p>
            <w:pPr>
              <w:jc w:val="left"/>
              <w:rPr>
                <w:noProof/>
                <w:sz w:val="20"/>
                <w:szCs w:val="20"/>
              </w:rPr>
            </w:pPr>
            <w:r>
              <w:rPr>
                <w:noProof/>
                <w:sz w:val="20"/>
                <w:szCs w:val="20"/>
              </w:rPr>
              <w:t>Natural honey</w:t>
            </w:r>
            <w:r>
              <w:rPr>
                <w:noProof/>
                <w:sz w:val="20"/>
                <w:szCs w:val="20"/>
              </w:rPr>
              <w:br/>
            </w:r>
            <w:r>
              <w:rPr>
                <w:noProof/>
                <w:sz w:val="20"/>
                <w:szCs w:val="20"/>
              </w:rPr>
              <w:br/>
            </w:r>
            <w:r>
              <w:rPr>
                <w:noProof/>
                <w:sz w:val="20"/>
                <w:szCs w:val="20"/>
              </w:rPr>
              <w:br/>
            </w:r>
          </w:p>
        </w:tc>
        <w:tc>
          <w:tcPr>
            <w:tcW w:w="2116" w:type="dxa"/>
            <w:shd w:val="clear" w:color="auto" w:fill="auto"/>
          </w:tcPr>
          <w:p>
            <w:pPr>
              <w:rPr>
                <w:noProof/>
                <w:sz w:val="20"/>
                <w:szCs w:val="20"/>
              </w:rPr>
            </w:pPr>
          </w:p>
        </w:tc>
        <w:tc>
          <w:tcPr>
            <w:tcW w:w="1556" w:type="dxa"/>
            <w:shd w:val="clear" w:color="auto" w:fill="auto"/>
          </w:tcPr>
          <w:p>
            <w:pPr>
              <w:jc w:val="center"/>
              <w:rPr>
                <w:noProof/>
                <w:sz w:val="20"/>
                <w:szCs w:val="20"/>
              </w:rPr>
            </w:pPr>
            <w:r>
              <w:rPr>
                <w:noProof/>
                <w:sz w:val="20"/>
                <w:szCs w:val="20"/>
              </w:rPr>
              <w:t>3 000</w:t>
            </w:r>
          </w:p>
        </w:tc>
      </w:tr>
      <w:tr>
        <w:trPr>
          <w:trHeight w:val="4965"/>
        </w:trPr>
        <w:tc>
          <w:tcPr>
            <w:tcW w:w="1101" w:type="dxa"/>
            <w:shd w:val="clear" w:color="auto" w:fill="auto"/>
          </w:tcPr>
          <w:p>
            <w:pPr>
              <w:rPr>
                <w:noProof/>
                <w:sz w:val="20"/>
                <w:szCs w:val="20"/>
              </w:rPr>
            </w:pPr>
            <w:r>
              <w:rPr>
                <w:noProof/>
                <w:sz w:val="20"/>
                <w:szCs w:val="20"/>
              </w:rPr>
              <w:t>09.6751</w:t>
            </w:r>
          </w:p>
        </w:tc>
        <w:tc>
          <w:tcPr>
            <w:tcW w:w="1452" w:type="dxa"/>
            <w:shd w:val="clear" w:color="auto" w:fill="auto"/>
          </w:tcPr>
          <w:p>
            <w:pPr>
              <w:jc w:val="left"/>
              <w:rPr>
                <w:noProof/>
                <w:sz w:val="20"/>
                <w:szCs w:val="20"/>
              </w:rPr>
            </w:pPr>
            <w:r>
              <w:rPr>
                <w:noProof/>
                <w:sz w:val="20"/>
                <w:szCs w:val="20"/>
              </w:rPr>
              <w:t>Ex 1103 19 20</w:t>
            </w:r>
            <w:r>
              <w:rPr>
                <w:noProof/>
                <w:sz w:val="20"/>
                <w:szCs w:val="20"/>
              </w:rPr>
              <w:br/>
            </w:r>
            <w:r>
              <w:rPr>
                <w:noProof/>
                <w:sz w:val="20"/>
                <w:szCs w:val="20"/>
              </w:rPr>
              <w:br/>
              <w:t>1103 19 90</w:t>
            </w:r>
            <w:r>
              <w:rPr>
                <w:noProof/>
                <w:sz w:val="20"/>
                <w:szCs w:val="20"/>
              </w:rPr>
              <w:br/>
            </w:r>
            <w:r>
              <w:rPr>
                <w:noProof/>
                <w:sz w:val="20"/>
                <w:szCs w:val="20"/>
              </w:rPr>
              <w:br/>
            </w:r>
            <w:r>
              <w:rPr>
                <w:noProof/>
                <w:sz w:val="20"/>
                <w:szCs w:val="20"/>
              </w:rPr>
              <w:br/>
            </w:r>
            <w:r>
              <w:rPr>
                <w:noProof/>
                <w:sz w:val="20"/>
                <w:szCs w:val="20"/>
              </w:rPr>
              <w:br/>
              <w:t>1103 20 90</w:t>
            </w:r>
            <w:r>
              <w:rPr>
                <w:noProof/>
                <w:sz w:val="20"/>
                <w:szCs w:val="20"/>
              </w:rPr>
              <w:br/>
            </w:r>
            <w:r>
              <w:rPr>
                <w:noProof/>
                <w:sz w:val="20"/>
                <w:szCs w:val="20"/>
              </w:rPr>
              <w:br/>
            </w:r>
            <w:r>
              <w:rPr>
                <w:noProof/>
                <w:sz w:val="20"/>
                <w:szCs w:val="20"/>
              </w:rPr>
              <w:br/>
              <w:t>1104 19 10</w:t>
            </w:r>
            <w:r>
              <w:rPr>
                <w:noProof/>
                <w:sz w:val="20"/>
                <w:szCs w:val="20"/>
              </w:rPr>
              <w:br/>
              <w:t>1104 19 50</w:t>
            </w:r>
            <w:r>
              <w:rPr>
                <w:noProof/>
                <w:sz w:val="20"/>
                <w:szCs w:val="20"/>
              </w:rPr>
              <w:br/>
              <w:t>1104 19 61</w:t>
            </w:r>
            <w:r>
              <w:rPr>
                <w:noProof/>
                <w:sz w:val="20"/>
                <w:szCs w:val="20"/>
              </w:rPr>
              <w:br/>
              <w:t>1104 19 69</w:t>
            </w:r>
            <w:r>
              <w:rPr>
                <w:noProof/>
                <w:sz w:val="20"/>
                <w:szCs w:val="20"/>
              </w:rPr>
              <w:br/>
            </w:r>
            <w:r>
              <w:rPr>
                <w:noProof/>
                <w:sz w:val="20"/>
                <w:szCs w:val="20"/>
              </w:rPr>
              <w:br/>
              <w:t>ex 1104 29</w:t>
            </w:r>
            <w:r>
              <w:rPr>
                <w:noProof/>
                <w:sz w:val="20"/>
                <w:szCs w:val="20"/>
              </w:rPr>
              <w:br/>
            </w:r>
            <w:r>
              <w:rPr>
                <w:noProof/>
                <w:sz w:val="20"/>
                <w:szCs w:val="20"/>
              </w:rPr>
              <w:br/>
            </w:r>
            <w:r>
              <w:rPr>
                <w:noProof/>
                <w:sz w:val="20"/>
                <w:szCs w:val="20"/>
              </w:rPr>
              <w:br/>
            </w:r>
            <w:r>
              <w:rPr>
                <w:noProof/>
                <w:sz w:val="20"/>
                <w:szCs w:val="20"/>
              </w:rPr>
              <w:br/>
              <w:t>1104 30</w:t>
            </w:r>
            <w:r>
              <w:rPr>
                <w:noProof/>
                <w:sz w:val="20"/>
                <w:szCs w:val="20"/>
              </w:rPr>
              <w:br/>
            </w:r>
            <w:r>
              <w:rPr>
                <w:noProof/>
                <w:sz w:val="20"/>
                <w:szCs w:val="20"/>
              </w:rPr>
              <w:br/>
            </w:r>
          </w:p>
        </w:tc>
        <w:tc>
          <w:tcPr>
            <w:tcW w:w="3239" w:type="dxa"/>
            <w:shd w:val="clear" w:color="auto" w:fill="auto"/>
          </w:tcPr>
          <w:p>
            <w:pPr>
              <w:jc w:val="left"/>
              <w:rPr>
                <w:noProof/>
                <w:sz w:val="20"/>
                <w:szCs w:val="20"/>
              </w:rPr>
            </w:pPr>
            <w:r>
              <w:rPr>
                <w:noProof/>
                <w:sz w:val="20"/>
                <w:szCs w:val="20"/>
              </w:rPr>
              <w:t>Barley groats</w:t>
            </w:r>
            <w:r>
              <w:rPr>
                <w:noProof/>
                <w:sz w:val="20"/>
                <w:szCs w:val="20"/>
              </w:rPr>
              <w:br/>
            </w:r>
            <w:r>
              <w:rPr>
                <w:noProof/>
                <w:sz w:val="20"/>
                <w:szCs w:val="20"/>
              </w:rPr>
              <w:br/>
              <w:t>Groats and meals of cereals (excl. wheat, rye, oats, maize, rice and barley)</w:t>
            </w:r>
            <w:r>
              <w:rPr>
                <w:noProof/>
                <w:sz w:val="20"/>
                <w:szCs w:val="20"/>
              </w:rPr>
              <w:br/>
            </w:r>
            <w:r>
              <w:rPr>
                <w:noProof/>
                <w:sz w:val="20"/>
                <w:szCs w:val="20"/>
              </w:rPr>
              <w:br/>
              <w:t>Cereal pellets (excl. wheat, rye, oats, maize, rice and barley)</w:t>
            </w:r>
            <w:r>
              <w:rPr>
                <w:noProof/>
                <w:sz w:val="20"/>
                <w:szCs w:val="20"/>
              </w:rPr>
              <w:br/>
            </w:r>
            <w:r>
              <w:rPr>
                <w:noProof/>
                <w:sz w:val="20"/>
                <w:szCs w:val="20"/>
              </w:rPr>
              <w:br/>
              <w:t>Rolled or flaked wheat grains</w:t>
            </w:r>
            <w:r>
              <w:rPr>
                <w:noProof/>
                <w:sz w:val="20"/>
                <w:szCs w:val="20"/>
              </w:rPr>
              <w:br/>
              <w:t>Rolled or flaked maize grains</w:t>
            </w:r>
            <w:r>
              <w:rPr>
                <w:noProof/>
                <w:sz w:val="20"/>
                <w:szCs w:val="20"/>
              </w:rPr>
              <w:br/>
              <w:t>Rolled barley grains</w:t>
            </w:r>
            <w:r>
              <w:rPr>
                <w:noProof/>
                <w:sz w:val="20"/>
                <w:szCs w:val="20"/>
              </w:rPr>
              <w:br/>
              <w:t>Flaked barley grains</w:t>
            </w:r>
            <w:r>
              <w:rPr>
                <w:noProof/>
                <w:sz w:val="20"/>
                <w:szCs w:val="20"/>
              </w:rPr>
              <w:br/>
            </w:r>
            <w:r>
              <w:rPr>
                <w:noProof/>
                <w:sz w:val="20"/>
                <w:szCs w:val="20"/>
              </w:rPr>
              <w:br/>
              <w:t>Worked grains (for example, hulled, pearled, sliced or kibbled), other than of oats, of rye or of maize</w:t>
            </w:r>
            <w:r>
              <w:rPr>
                <w:noProof/>
                <w:sz w:val="20"/>
                <w:szCs w:val="20"/>
              </w:rPr>
              <w:br/>
            </w:r>
            <w:r>
              <w:rPr>
                <w:noProof/>
                <w:sz w:val="20"/>
                <w:szCs w:val="20"/>
              </w:rPr>
              <w:br/>
              <w:t>Germ of cereals, whole, rolled, flaked or ground</w:t>
            </w:r>
          </w:p>
        </w:tc>
        <w:tc>
          <w:tcPr>
            <w:tcW w:w="2116" w:type="dxa"/>
            <w:shd w:val="clear" w:color="auto" w:fill="auto"/>
          </w:tcPr>
          <w:p>
            <w:pPr>
              <w:jc w:val="center"/>
              <w:rPr>
                <w:noProof/>
                <w:sz w:val="20"/>
                <w:szCs w:val="20"/>
              </w:rPr>
            </w:pPr>
          </w:p>
        </w:tc>
        <w:tc>
          <w:tcPr>
            <w:tcW w:w="1556" w:type="dxa"/>
            <w:shd w:val="clear" w:color="auto" w:fill="auto"/>
          </w:tcPr>
          <w:p>
            <w:pPr>
              <w:jc w:val="center"/>
              <w:rPr>
                <w:noProof/>
                <w:sz w:val="20"/>
                <w:szCs w:val="20"/>
              </w:rPr>
            </w:pPr>
            <w:r>
              <w:rPr>
                <w:noProof/>
                <w:sz w:val="20"/>
                <w:szCs w:val="20"/>
              </w:rPr>
              <w:t>7 800</w:t>
            </w:r>
          </w:p>
        </w:tc>
      </w:tr>
      <w:tr>
        <w:trPr>
          <w:trHeight w:val="1845"/>
        </w:trPr>
        <w:tc>
          <w:tcPr>
            <w:tcW w:w="1101" w:type="dxa"/>
            <w:shd w:val="clear" w:color="auto" w:fill="auto"/>
          </w:tcPr>
          <w:p>
            <w:pPr>
              <w:rPr>
                <w:noProof/>
                <w:sz w:val="20"/>
              </w:rPr>
            </w:pPr>
            <w:r>
              <w:rPr>
                <w:noProof/>
                <w:sz w:val="20"/>
              </w:rPr>
              <w:t>09.6752</w:t>
            </w:r>
          </w:p>
        </w:tc>
        <w:tc>
          <w:tcPr>
            <w:tcW w:w="1452" w:type="dxa"/>
            <w:shd w:val="clear" w:color="auto" w:fill="auto"/>
          </w:tcPr>
          <w:p>
            <w:pPr>
              <w:jc w:val="left"/>
              <w:rPr>
                <w:noProof/>
                <w:sz w:val="20"/>
              </w:rPr>
            </w:pPr>
            <w:r>
              <w:rPr>
                <w:noProof/>
                <w:sz w:val="20"/>
              </w:rPr>
              <w:t>2002</w:t>
            </w:r>
          </w:p>
        </w:tc>
        <w:tc>
          <w:tcPr>
            <w:tcW w:w="3239" w:type="dxa"/>
            <w:shd w:val="clear" w:color="auto" w:fill="auto"/>
          </w:tcPr>
          <w:p>
            <w:pPr>
              <w:rPr>
                <w:noProof/>
                <w:sz w:val="20"/>
              </w:rPr>
            </w:pPr>
            <w:r>
              <w:rPr>
                <w:noProof/>
                <w:sz w:val="20"/>
              </w:rPr>
              <w:t>Tomatoes prepared or preserved otherwise than by vinegar or acetic acid</w:t>
            </w:r>
          </w:p>
        </w:tc>
        <w:tc>
          <w:tcPr>
            <w:tcW w:w="2116" w:type="dxa"/>
            <w:shd w:val="clear" w:color="auto" w:fill="auto"/>
          </w:tcPr>
          <w:p>
            <w:pPr>
              <w:jc w:val="center"/>
              <w:rPr>
                <w:noProof/>
                <w:sz w:val="20"/>
              </w:rPr>
            </w:pPr>
          </w:p>
        </w:tc>
        <w:tc>
          <w:tcPr>
            <w:tcW w:w="1556" w:type="dxa"/>
            <w:shd w:val="clear" w:color="auto" w:fill="auto"/>
          </w:tcPr>
          <w:p>
            <w:pPr>
              <w:jc w:val="center"/>
              <w:rPr>
                <w:noProof/>
                <w:sz w:val="20"/>
              </w:rPr>
            </w:pPr>
            <w:r>
              <w:rPr>
                <w:noProof/>
                <w:sz w:val="20"/>
              </w:rPr>
              <w:t>5 000</w:t>
            </w:r>
          </w:p>
        </w:tc>
      </w:tr>
      <w:tr>
        <w:trPr>
          <w:trHeight w:val="4515"/>
        </w:trPr>
        <w:tc>
          <w:tcPr>
            <w:tcW w:w="1101" w:type="dxa"/>
            <w:shd w:val="clear" w:color="auto" w:fill="auto"/>
          </w:tcPr>
          <w:p>
            <w:pPr>
              <w:rPr>
                <w:noProof/>
                <w:sz w:val="20"/>
                <w:szCs w:val="20"/>
              </w:rPr>
            </w:pPr>
            <w:r>
              <w:rPr>
                <w:noProof/>
                <w:sz w:val="20"/>
                <w:szCs w:val="20"/>
              </w:rPr>
              <w:lastRenderedPageBreak/>
              <w:t>09.6753</w:t>
            </w:r>
          </w:p>
        </w:tc>
        <w:tc>
          <w:tcPr>
            <w:tcW w:w="1452" w:type="dxa"/>
            <w:shd w:val="clear" w:color="auto" w:fill="auto"/>
          </w:tcPr>
          <w:p>
            <w:pPr>
              <w:jc w:val="left"/>
              <w:rPr>
                <w:noProof/>
                <w:sz w:val="20"/>
                <w:szCs w:val="20"/>
              </w:rPr>
            </w:pPr>
            <w:r>
              <w:rPr>
                <w:noProof/>
                <w:sz w:val="20"/>
                <w:szCs w:val="20"/>
              </w:rPr>
              <w:t>2009 61 90</w:t>
            </w:r>
            <w:r>
              <w:rPr>
                <w:noProof/>
                <w:sz w:val="20"/>
                <w:szCs w:val="20"/>
              </w:rPr>
              <w:br/>
            </w:r>
          </w:p>
          <w:p>
            <w:pPr>
              <w:jc w:val="left"/>
              <w:rPr>
                <w:noProof/>
                <w:sz w:val="20"/>
                <w:szCs w:val="20"/>
              </w:rPr>
            </w:pPr>
          </w:p>
          <w:p>
            <w:pPr>
              <w:jc w:val="left"/>
              <w:rPr>
                <w:noProof/>
                <w:sz w:val="20"/>
                <w:szCs w:val="20"/>
              </w:rPr>
            </w:pPr>
          </w:p>
          <w:p>
            <w:pPr>
              <w:jc w:val="left"/>
              <w:rPr>
                <w:noProof/>
                <w:sz w:val="20"/>
                <w:szCs w:val="20"/>
              </w:rPr>
            </w:pPr>
            <w:r>
              <w:rPr>
                <w:noProof/>
                <w:sz w:val="20"/>
                <w:szCs w:val="20"/>
              </w:rPr>
              <w:t>2009 69 11</w:t>
            </w:r>
          </w:p>
          <w:p>
            <w:pPr>
              <w:jc w:val="left"/>
              <w:rPr>
                <w:noProof/>
                <w:sz w:val="20"/>
                <w:szCs w:val="20"/>
              </w:rPr>
            </w:pPr>
          </w:p>
          <w:p>
            <w:pPr>
              <w:jc w:val="left"/>
              <w:rPr>
                <w:noProof/>
                <w:sz w:val="20"/>
                <w:szCs w:val="20"/>
              </w:rPr>
            </w:pPr>
          </w:p>
          <w:p>
            <w:pPr>
              <w:jc w:val="left"/>
              <w:rPr>
                <w:noProof/>
                <w:sz w:val="20"/>
                <w:szCs w:val="20"/>
              </w:rPr>
            </w:pPr>
            <w:r>
              <w:rPr>
                <w:noProof/>
                <w:sz w:val="20"/>
                <w:szCs w:val="20"/>
              </w:rPr>
              <w:t>2009 69 71 2009 69 79 2009 69 90</w:t>
            </w:r>
          </w:p>
          <w:p>
            <w:pPr>
              <w:jc w:val="left"/>
              <w:rPr>
                <w:noProof/>
                <w:sz w:val="20"/>
                <w:szCs w:val="20"/>
              </w:rPr>
            </w:pPr>
          </w:p>
        </w:tc>
        <w:tc>
          <w:tcPr>
            <w:tcW w:w="3239" w:type="dxa"/>
            <w:shd w:val="clear" w:color="auto" w:fill="auto"/>
          </w:tcPr>
          <w:p>
            <w:pPr>
              <w:jc w:val="left"/>
              <w:rPr>
                <w:noProof/>
                <w:sz w:val="20"/>
                <w:szCs w:val="20"/>
              </w:rPr>
            </w:pPr>
            <w:r>
              <w:rPr>
                <w:noProof/>
                <w:sz w:val="20"/>
                <w:szCs w:val="20"/>
              </w:rPr>
              <w:t>Grape juice (including grape must), of a Brix value not exceeding 30, of a value not exceeding 18 EUR per 100 kg net weight</w:t>
            </w:r>
          </w:p>
          <w:p>
            <w:pPr>
              <w:jc w:val="left"/>
              <w:rPr>
                <w:noProof/>
                <w:sz w:val="20"/>
                <w:szCs w:val="20"/>
              </w:rPr>
            </w:pPr>
            <w:r>
              <w:rPr>
                <w:noProof/>
                <w:sz w:val="20"/>
                <w:szCs w:val="20"/>
              </w:rPr>
              <w:t xml:space="preserve">Grape juice (including grape must), of a Brix value exceeding 67, of a value not exceeding 22 EUR per 100 kg net weight </w:t>
            </w:r>
            <w:r>
              <w:rPr>
                <w:noProof/>
                <w:sz w:val="20"/>
                <w:szCs w:val="20"/>
              </w:rPr>
              <w:br/>
            </w:r>
          </w:p>
          <w:p>
            <w:pPr>
              <w:jc w:val="left"/>
              <w:rPr>
                <w:noProof/>
                <w:sz w:val="20"/>
                <w:szCs w:val="20"/>
              </w:rPr>
            </w:pPr>
            <w:r>
              <w:rPr>
                <w:noProof/>
                <w:sz w:val="20"/>
                <w:szCs w:val="20"/>
              </w:rPr>
              <w:t>Grape juice (including grape must), of a Brix value exceeding 30 but not exceeding 67, of a value not exceeding 18 EUR per 100 kg net weight</w:t>
            </w:r>
          </w:p>
        </w:tc>
        <w:tc>
          <w:tcPr>
            <w:tcW w:w="2116" w:type="dxa"/>
            <w:shd w:val="clear" w:color="auto" w:fill="auto"/>
          </w:tcPr>
          <w:p>
            <w:pPr>
              <w:jc w:val="center"/>
              <w:rPr>
                <w:noProof/>
                <w:sz w:val="20"/>
                <w:szCs w:val="20"/>
              </w:rPr>
            </w:pPr>
          </w:p>
        </w:tc>
        <w:tc>
          <w:tcPr>
            <w:tcW w:w="1556" w:type="dxa"/>
            <w:shd w:val="clear" w:color="auto" w:fill="auto"/>
          </w:tcPr>
          <w:p>
            <w:pPr>
              <w:jc w:val="center"/>
              <w:rPr>
                <w:noProof/>
                <w:sz w:val="20"/>
                <w:szCs w:val="20"/>
              </w:rPr>
            </w:pPr>
            <w:r>
              <w:rPr>
                <w:noProof/>
                <w:sz w:val="20"/>
                <w:szCs w:val="20"/>
              </w:rPr>
              <w:t>500</w:t>
            </w:r>
          </w:p>
        </w:tc>
      </w:tr>
      <w:tr>
        <w:trPr>
          <w:trHeight w:val="1845"/>
        </w:trPr>
        <w:tc>
          <w:tcPr>
            <w:tcW w:w="1101" w:type="dxa"/>
            <w:shd w:val="clear" w:color="auto" w:fill="auto"/>
          </w:tcPr>
          <w:p>
            <w:pPr>
              <w:rPr>
                <w:noProof/>
                <w:sz w:val="20"/>
              </w:rPr>
            </w:pPr>
            <w:r>
              <w:rPr>
                <w:noProof/>
                <w:sz w:val="20"/>
              </w:rPr>
              <w:t>09.6754</w:t>
            </w:r>
          </w:p>
        </w:tc>
        <w:tc>
          <w:tcPr>
            <w:tcW w:w="1452" w:type="dxa"/>
            <w:shd w:val="clear" w:color="auto" w:fill="auto"/>
          </w:tcPr>
          <w:p>
            <w:pPr>
              <w:jc w:val="left"/>
              <w:rPr>
                <w:noProof/>
                <w:sz w:val="20"/>
              </w:rPr>
            </w:pPr>
            <w:r>
              <w:rPr>
                <w:noProof/>
                <w:sz w:val="20"/>
              </w:rPr>
              <w:t>1004</w:t>
            </w:r>
          </w:p>
        </w:tc>
        <w:tc>
          <w:tcPr>
            <w:tcW w:w="3239" w:type="dxa"/>
            <w:shd w:val="clear" w:color="auto" w:fill="auto"/>
          </w:tcPr>
          <w:p>
            <w:pPr>
              <w:rPr>
                <w:noProof/>
                <w:sz w:val="20"/>
              </w:rPr>
            </w:pPr>
            <w:r>
              <w:rPr>
                <w:noProof/>
                <w:sz w:val="20"/>
              </w:rPr>
              <w:t>Oats</w:t>
            </w:r>
          </w:p>
        </w:tc>
        <w:tc>
          <w:tcPr>
            <w:tcW w:w="2116" w:type="dxa"/>
            <w:shd w:val="clear" w:color="auto" w:fill="auto"/>
          </w:tcPr>
          <w:p>
            <w:pPr>
              <w:jc w:val="center"/>
              <w:rPr>
                <w:noProof/>
                <w:sz w:val="20"/>
              </w:rPr>
            </w:pPr>
          </w:p>
        </w:tc>
        <w:tc>
          <w:tcPr>
            <w:tcW w:w="1556" w:type="dxa"/>
            <w:shd w:val="clear" w:color="auto" w:fill="auto"/>
          </w:tcPr>
          <w:p>
            <w:pPr>
              <w:jc w:val="center"/>
              <w:rPr>
                <w:noProof/>
                <w:sz w:val="20"/>
              </w:rPr>
            </w:pPr>
            <w:r>
              <w:rPr>
                <w:noProof/>
                <w:sz w:val="20"/>
              </w:rPr>
              <w:t>4 000</w:t>
            </w:r>
          </w:p>
        </w:tc>
      </w:tr>
    </w:tbl>
    <w:p>
      <w:pPr>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ANNEX II</w:t>
      </w:r>
    </w:p>
    <w:p>
      <w:pPr>
        <w:spacing w:before="240"/>
        <w:jc w:val="center"/>
        <w:rPr>
          <w:noProof/>
          <w:sz w:val="22"/>
        </w:rPr>
      </w:pPr>
      <w:r>
        <w:rPr>
          <w:noProof/>
          <w:sz w:val="22"/>
        </w:rPr>
        <w:t>Tariff rate quotas for specific agricultural products referred to in Article 1(3)</w:t>
      </w:r>
    </w:p>
    <w:p>
      <w:pPr>
        <w:spacing w:before="240"/>
        <w:rPr>
          <w:noProof/>
          <w:sz w:val="22"/>
        </w:rPr>
      </w:pPr>
      <w:r>
        <w:rPr>
          <w:noProof/>
          <w:sz w:val="22"/>
        </w:rPr>
        <w:t>Notwithstanding the rules for the interpretation of the Combined Nomenclature, the wording of the description of the products is to be considered as having no more than an indicative value, the scope of the preferential scheme being determined, within the context of this Annex, by CN codes as they exist at the time of adoption of this Regulation.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328"/>
        <w:gridCol w:w="5196"/>
      </w:tblGrid>
      <w:tr>
        <w:trPr>
          <w:tblHeader/>
        </w:trPr>
        <w:tc>
          <w:tcPr>
            <w:tcW w:w="950" w:type="pct"/>
            <w:shd w:val="clear" w:color="auto" w:fill="auto"/>
            <w:vAlign w:val="center"/>
          </w:tcPr>
          <w:p>
            <w:pPr>
              <w:ind w:left="-85" w:right="-85"/>
              <w:jc w:val="center"/>
              <w:rPr>
                <w:rFonts w:eastAsia="Times New Roman"/>
                <w:bCs/>
                <w:noProof/>
                <w:sz w:val="20"/>
                <w:szCs w:val="20"/>
                <w:lang w:val="en-US"/>
              </w:rPr>
            </w:pPr>
            <w:r>
              <w:rPr>
                <w:rFonts w:eastAsia="Times New Roman"/>
                <w:bCs/>
                <w:noProof/>
                <w:sz w:val="20"/>
                <w:szCs w:val="20"/>
                <w:lang w:val="en-US"/>
              </w:rPr>
              <w:t>Product</w:t>
            </w:r>
          </w:p>
        </w:tc>
        <w:tc>
          <w:tcPr>
            <w:tcW w:w="1253" w:type="pct"/>
            <w:shd w:val="clear" w:color="auto" w:fill="auto"/>
            <w:vAlign w:val="center"/>
          </w:tcPr>
          <w:p>
            <w:pPr>
              <w:ind w:left="-85" w:right="-85"/>
              <w:jc w:val="center"/>
              <w:rPr>
                <w:rFonts w:eastAsia="Times New Roman"/>
                <w:bCs/>
                <w:noProof/>
                <w:sz w:val="20"/>
                <w:szCs w:val="20"/>
                <w:lang w:val="en-US"/>
              </w:rPr>
            </w:pPr>
            <w:r>
              <w:rPr>
                <w:rFonts w:eastAsia="Times New Roman"/>
                <w:bCs/>
                <w:noProof/>
                <w:sz w:val="20"/>
                <w:szCs w:val="20"/>
                <w:lang w:val="en-US"/>
              </w:rPr>
              <w:t>Tariff classification</w:t>
            </w:r>
          </w:p>
        </w:tc>
        <w:tc>
          <w:tcPr>
            <w:tcW w:w="2796" w:type="pct"/>
            <w:shd w:val="clear" w:color="auto" w:fill="auto"/>
            <w:vAlign w:val="center"/>
          </w:tcPr>
          <w:p>
            <w:pPr>
              <w:ind w:left="-85" w:right="-85"/>
              <w:jc w:val="center"/>
              <w:rPr>
                <w:rFonts w:eastAsia="Times New Roman"/>
                <w:noProof/>
                <w:sz w:val="20"/>
                <w:szCs w:val="20"/>
                <w:lang w:val="en-US"/>
              </w:rPr>
            </w:pPr>
            <w:r>
              <w:rPr>
                <w:rFonts w:eastAsia="Times New Roman"/>
                <w:bCs/>
                <w:noProof/>
                <w:sz w:val="20"/>
                <w:szCs w:val="20"/>
                <w:lang w:val="en-US"/>
              </w:rPr>
              <w:t xml:space="preserve">Quantity </w:t>
            </w:r>
          </w:p>
        </w:tc>
      </w:tr>
      <w:tr>
        <w:trPr>
          <w:tblHeader/>
        </w:trPr>
        <w:tc>
          <w:tcPr>
            <w:tcW w:w="950" w:type="pct"/>
            <w:shd w:val="clear" w:color="auto" w:fill="auto"/>
            <w:vAlign w:val="center"/>
          </w:tcPr>
          <w:p>
            <w:pPr>
              <w:spacing w:after="0"/>
              <w:ind w:left="-57" w:right="-57"/>
              <w:jc w:val="left"/>
              <w:rPr>
                <w:rFonts w:eastAsia="Times New Roman"/>
                <w:noProof/>
                <w:sz w:val="20"/>
                <w:szCs w:val="20"/>
                <w:lang w:val="en-US"/>
              </w:rPr>
            </w:pPr>
            <w:r>
              <w:rPr>
                <w:rFonts w:eastAsia="Times New Roman"/>
                <w:noProof/>
                <w:sz w:val="20"/>
                <w:szCs w:val="20"/>
                <w:lang w:val="en-US"/>
              </w:rPr>
              <w:t xml:space="preserve">Common </w:t>
            </w:r>
            <w:r>
              <w:rPr>
                <w:rFonts w:eastAsia="Times New Roman"/>
                <w:noProof/>
                <w:sz w:val="20"/>
                <w:szCs w:val="20"/>
                <w:u w:val="single"/>
                <w:lang w:val="en-US"/>
              </w:rPr>
              <w:t>wheat</w:t>
            </w:r>
            <w:r>
              <w:rPr>
                <w:rFonts w:eastAsia="Times New Roman"/>
                <w:noProof/>
                <w:sz w:val="20"/>
                <w:szCs w:val="20"/>
                <w:lang w:val="en-US"/>
              </w:rPr>
              <w:t>, spelt and meslin, flour, groats, meal and pellets</w:t>
            </w:r>
          </w:p>
        </w:tc>
        <w:tc>
          <w:tcPr>
            <w:tcW w:w="1253" w:type="pct"/>
            <w:shd w:val="clear" w:color="auto" w:fill="auto"/>
            <w:vAlign w:val="center"/>
          </w:tcPr>
          <w:p>
            <w:pPr>
              <w:spacing w:after="0"/>
              <w:ind w:left="-85" w:right="-85"/>
              <w:rPr>
                <w:rFonts w:eastAsia="Times New Roman"/>
                <w:noProof/>
                <w:sz w:val="20"/>
                <w:szCs w:val="20"/>
                <w:lang w:val="en-US"/>
              </w:rPr>
            </w:pPr>
            <w:r>
              <w:rPr>
                <w:rFonts w:eastAsia="Times New Roman"/>
                <w:noProof/>
                <w:sz w:val="20"/>
                <w:szCs w:val="20"/>
                <w:lang w:val="en-US"/>
              </w:rPr>
              <w:t xml:space="preserve">1001 99 00 </w:t>
            </w:r>
          </w:p>
          <w:p>
            <w:pPr>
              <w:spacing w:after="0"/>
              <w:ind w:left="-85" w:right="-85"/>
              <w:rPr>
                <w:rFonts w:eastAsia="Times New Roman"/>
                <w:noProof/>
                <w:sz w:val="20"/>
                <w:szCs w:val="20"/>
                <w:lang w:val="en-US"/>
              </w:rPr>
            </w:pPr>
            <w:r>
              <w:rPr>
                <w:rFonts w:eastAsia="Times New Roman"/>
                <w:noProof/>
                <w:sz w:val="20"/>
                <w:szCs w:val="20"/>
                <w:lang w:val="en-US"/>
              </w:rPr>
              <w:t>1101 00 15, 1101 00 90</w:t>
            </w:r>
          </w:p>
          <w:p>
            <w:pPr>
              <w:spacing w:after="0"/>
              <w:ind w:left="-85" w:right="-85"/>
              <w:rPr>
                <w:rFonts w:eastAsia="Times New Roman"/>
                <w:noProof/>
                <w:sz w:val="20"/>
                <w:szCs w:val="20"/>
                <w:lang w:val="en-US"/>
              </w:rPr>
            </w:pPr>
            <w:r>
              <w:rPr>
                <w:rFonts w:eastAsia="Times New Roman"/>
                <w:noProof/>
                <w:sz w:val="20"/>
                <w:szCs w:val="20"/>
                <w:lang w:val="en-US"/>
              </w:rPr>
              <w:t>1102 90 90</w:t>
            </w:r>
          </w:p>
          <w:p>
            <w:pPr>
              <w:spacing w:after="0"/>
              <w:ind w:left="-85" w:right="-85"/>
              <w:rPr>
                <w:rFonts w:eastAsia="Times New Roman"/>
                <w:noProof/>
                <w:sz w:val="20"/>
                <w:szCs w:val="20"/>
                <w:lang w:val="en-US"/>
              </w:rPr>
            </w:pPr>
            <w:r>
              <w:rPr>
                <w:rFonts w:eastAsia="Times New Roman"/>
                <w:noProof/>
                <w:sz w:val="20"/>
                <w:szCs w:val="20"/>
                <w:lang w:val="en-US"/>
              </w:rPr>
              <w:t>1103 11 90 1103 20 60</w:t>
            </w:r>
          </w:p>
        </w:tc>
        <w:tc>
          <w:tcPr>
            <w:tcW w:w="2796" w:type="pct"/>
            <w:shd w:val="clear" w:color="auto" w:fill="auto"/>
            <w:vAlign w:val="center"/>
          </w:tcPr>
          <w:p>
            <w:pPr>
              <w:spacing w:after="0"/>
              <w:ind w:left="-85" w:right="-85"/>
              <w:jc w:val="center"/>
              <w:rPr>
                <w:rFonts w:eastAsia="Times New Roman"/>
                <w:bCs/>
                <w:noProof/>
                <w:sz w:val="20"/>
                <w:szCs w:val="20"/>
                <w:lang w:val="en-US"/>
              </w:rPr>
            </w:pPr>
            <w:r>
              <w:rPr>
                <w:rFonts w:eastAsia="Times New Roman"/>
                <w:noProof/>
                <w:sz w:val="20"/>
                <w:szCs w:val="20"/>
                <w:lang w:val="en-US"/>
              </w:rPr>
              <w:t xml:space="preserve">100 000 </w:t>
            </w:r>
            <w:r>
              <w:rPr>
                <w:rFonts w:eastAsia="Times New Roman"/>
                <w:bCs/>
                <w:noProof/>
                <w:sz w:val="20"/>
                <w:szCs w:val="20"/>
                <w:lang w:val="en-US"/>
              </w:rPr>
              <w:t xml:space="preserve">tons/year </w:t>
            </w:r>
          </w:p>
          <w:p>
            <w:pPr>
              <w:spacing w:after="0"/>
              <w:ind w:left="-85" w:right="-85"/>
              <w:jc w:val="center"/>
              <w:rPr>
                <w:rFonts w:eastAsia="Times New Roman"/>
                <w:noProof/>
                <w:sz w:val="20"/>
                <w:szCs w:val="20"/>
                <w:lang w:val="en-US"/>
              </w:rPr>
            </w:pPr>
          </w:p>
        </w:tc>
      </w:tr>
      <w:tr>
        <w:trPr>
          <w:tblHeader/>
        </w:trPr>
        <w:tc>
          <w:tcPr>
            <w:tcW w:w="950" w:type="pct"/>
            <w:shd w:val="clear" w:color="auto" w:fill="auto"/>
            <w:vAlign w:val="center"/>
          </w:tcPr>
          <w:p>
            <w:pPr>
              <w:spacing w:after="0"/>
              <w:ind w:left="-57" w:right="-57"/>
              <w:jc w:val="left"/>
              <w:rPr>
                <w:rFonts w:eastAsia="Times New Roman"/>
                <w:noProof/>
                <w:sz w:val="20"/>
                <w:szCs w:val="20"/>
                <w:lang w:val="en-US"/>
              </w:rPr>
            </w:pPr>
            <w:r>
              <w:rPr>
                <w:rFonts w:eastAsia="Times New Roman"/>
                <w:noProof/>
                <w:sz w:val="20"/>
                <w:szCs w:val="20"/>
                <w:u w:val="single"/>
                <w:lang w:val="en-US"/>
              </w:rPr>
              <w:t>Maize</w:t>
            </w:r>
            <w:r>
              <w:rPr>
                <w:rFonts w:eastAsia="Times New Roman"/>
                <w:noProof/>
                <w:sz w:val="20"/>
                <w:szCs w:val="20"/>
                <w:lang w:val="en-US"/>
              </w:rPr>
              <w:t>, other than seed, flour, groats, meal, pellets and grains</w:t>
            </w:r>
          </w:p>
        </w:tc>
        <w:tc>
          <w:tcPr>
            <w:tcW w:w="1253" w:type="pct"/>
            <w:shd w:val="clear" w:color="auto" w:fill="auto"/>
            <w:vAlign w:val="center"/>
          </w:tcPr>
          <w:p>
            <w:pPr>
              <w:spacing w:after="0"/>
              <w:ind w:left="-85" w:right="-85"/>
              <w:rPr>
                <w:rFonts w:eastAsia="Times New Roman"/>
                <w:noProof/>
                <w:sz w:val="20"/>
                <w:szCs w:val="20"/>
                <w:lang w:val="en-US"/>
              </w:rPr>
            </w:pPr>
            <w:r>
              <w:rPr>
                <w:rFonts w:eastAsia="Times New Roman"/>
                <w:noProof/>
                <w:sz w:val="20"/>
                <w:szCs w:val="20"/>
                <w:lang w:val="en-US"/>
              </w:rPr>
              <w:t>1005 90 00</w:t>
            </w:r>
          </w:p>
          <w:p>
            <w:pPr>
              <w:spacing w:after="0"/>
              <w:ind w:left="-85" w:right="-85"/>
              <w:rPr>
                <w:rFonts w:eastAsia="Times New Roman"/>
                <w:noProof/>
                <w:sz w:val="20"/>
                <w:szCs w:val="20"/>
                <w:lang w:val="en-US"/>
              </w:rPr>
            </w:pPr>
            <w:r>
              <w:rPr>
                <w:rFonts w:eastAsia="Times New Roman"/>
                <w:noProof/>
                <w:sz w:val="20"/>
                <w:szCs w:val="20"/>
                <w:lang w:val="en-US"/>
              </w:rPr>
              <w:t>1102 20</w:t>
            </w:r>
          </w:p>
          <w:p>
            <w:pPr>
              <w:spacing w:after="0"/>
              <w:ind w:left="-85" w:right="-85"/>
              <w:rPr>
                <w:rFonts w:eastAsia="Times New Roman"/>
                <w:noProof/>
                <w:sz w:val="20"/>
                <w:szCs w:val="20"/>
                <w:lang w:val="en-US"/>
              </w:rPr>
            </w:pPr>
            <w:r>
              <w:rPr>
                <w:rFonts w:eastAsia="Times New Roman"/>
                <w:noProof/>
                <w:sz w:val="20"/>
                <w:szCs w:val="20"/>
                <w:lang w:val="en-US"/>
              </w:rPr>
              <w:t>1103 13</w:t>
            </w:r>
          </w:p>
          <w:p>
            <w:pPr>
              <w:spacing w:after="0"/>
              <w:ind w:left="-85" w:right="-85"/>
              <w:rPr>
                <w:rFonts w:eastAsia="Times New Roman"/>
                <w:noProof/>
                <w:sz w:val="20"/>
                <w:szCs w:val="20"/>
                <w:lang w:val="en-US"/>
              </w:rPr>
            </w:pPr>
            <w:r>
              <w:rPr>
                <w:rFonts w:eastAsia="Times New Roman"/>
                <w:noProof/>
                <w:sz w:val="20"/>
                <w:szCs w:val="20"/>
                <w:lang w:val="en-US"/>
              </w:rPr>
              <w:t>1103 20 40</w:t>
            </w:r>
          </w:p>
          <w:p>
            <w:pPr>
              <w:spacing w:after="0"/>
              <w:ind w:left="-85" w:right="-85"/>
              <w:rPr>
                <w:rFonts w:eastAsia="Times New Roman"/>
                <w:noProof/>
                <w:sz w:val="20"/>
                <w:szCs w:val="20"/>
                <w:lang w:val="en-US"/>
              </w:rPr>
            </w:pPr>
            <w:r>
              <w:rPr>
                <w:rFonts w:eastAsia="Times New Roman"/>
                <w:noProof/>
                <w:sz w:val="20"/>
                <w:szCs w:val="20"/>
                <w:lang w:val="en-US"/>
              </w:rPr>
              <w:t>1104 23</w:t>
            </w:r>
          </w:p>
        </w:tc>
        <w:tc>
          <w:tcPr>
            <w:tcW w:w="2796" w:type="pct"/>
            <w:shd w:val="clear" w:color="auto" w:fill="auto"/>
            <w:vAlign w:val="center"/>
          </w:tcPr>
          <w:p>
            <w:pPr>
              <w:spacing w:after="0"/>
              <w:ind w:left="-85" w:right="-85"/>
              <w:jc w:val="center"/>
              <w:rPr>
                <w:rFonts w:eastAsia="Times New Roman"/>
                <w:bCs/>
                <w:noProof/>
                <w:sz w:val="20"/>
                <w:szCs w:val="20"/>
                <w:lang w:val="en-US"/>
              </w:rPr>
            </w:pPr>
            <w:r>
              <w:rPr>
                <w:rFonts w:eastAsia="Times New Roman"/>
                <w:noProof/>
                <w:sz w:val="20"/>
                <w:szCs w:val="20"/>
                <w:lang w:val="en-US"/>
              </w:rPr>
              <w:t xml:space="preserve">650 000 </w:t>
            </w:r>
            <w:r>
              <w:rPr>
                <w:rFonts w:eastAsia="Times New Roman"/>
                <w:bCs/>
                <w:noProof/>
                <w:sz w:val="20"/>
                <w:szCs w:val="20"/>
                <w:lang w:val="en-US"/>
              </w:rPr>
              <w:t xml:space="preserve">tons/year </w:t>
            </w:r>
          </w:p>
          <w:p>
            <w:pPr>
              <w:spacing w:after="0"/>
              <w:ind w:left="-85" w:right="-85"/>
              <w:jc w:val="center"/>
              <w:rPr>
                <w:rFonts w:eastAsia="Times New Roman"/>
                <w:noProof/>
                <w:sz w:val="20"/>
                <w:szCs w:val="20"/>
                <w:lang w:val="en-US"/>
              </w:rPr>
            </w:pPr>
          </w:p>
        </w:tc>
      </w:tr>
      <w:tr>
        <w:trPr>
          <w:tblHeader/>
        </w:trPr>
        <w:tc>
          <w:tcPr>
            <w:tcW w:w="950" w:type="pct"/>
            <w:shd w:val="clear" w:color="auto" w:fill="auto"/>
            <w:vAlign w:val="center"/>
          </w:tcPr>
          <w:p>
            <w:pPr>
              <w:spacing w:after="0"/>
              <w:ind w:left="-57" w:right="-57"/>
              <w:jc w:val="left"/>
              <w:rPr>
                <w:rFonts w:eastAsia="Times New Roman"/>
                <w:noProof/>
                <w:sz w:val="20"/>
                <w:szCs w:val="20"/>
                <w:lang w:val="en-US"/>
              </w:rPr>
            </w:pPr>
            <w:r>
              <w:rPr>
                <w:rFonts w:eastAsia="Times New Roman"/>
                <w:noProof/>
                <w:sz w:val="20"/>
                <w:szCs w:val="20"/>
                <w:u w:val="single"/>
                <w:lang w:val="en-US"/>
              </w:rPr>
              <w:t>Barley</w:t>
            </w:r>
            <w:r>
              <w:rPr>
                <w:rFonts w:eastAsia="Times New Roman"/>
                <w:noProof/>
                <w:sz w:val="20"/>
                <w:szCs w:val="20"/>
                <w:lang w:val="en-US"/>
              </w:rPr>
              <w:t>, other than seed, flour and pellets</w:t>
            </w:r>
          </w:p>
        </w:tc>
        <w:tc>
          <w:tcPr>
            <w:tcW w:w="1253" w:type="pct"/>
            <w:shd w:val="clear" w:color="auto" w:fill="auto"/>
            <w:vAlign w:val="center"/>
          </w:tcPr>
          <w:p>
            <w:pPr>
              <w:spacing w:after="0"/>
              <w:ind w:left="-85" w:right="-85"/>
              <w:rPr>
                <w:rFonts w:eastAsia="Times New Roman"/>
                <w:noProof/>
                <w:sz w:val="20"/>
                <w:szCs w:val="20"/>
                <w:lang w:val="en-US"/>
              </w:rPr>
            </w:pPr>
            <w:r>
              <w:rPr>
                <w:rFonts w:eastAsia="Times New Roman"/>
                <w:noProof/>
                <w:sz w:val="20"/>
                <w:szCs w:val="20"/>
                <w:lang w:val="en-US"/>
              </w:rPr>
              <w:t>1003 90 00</w:t>
            </w:r>
          </w:p>
          <w:p>
            <w:pPr>
              <w:spacing w:after="0"/>
              <w:ind w:left="-85" w:right="-85"/>
              <w:rPr>
                <w:rFonts w:eastAsia="Times New Roman"/>
                <w:noProof/>
                <w:sz w:val="20"/>
                <w:szCs w:val="20"/>
                <w:lang w:val="en-US"/>
              </w:rPr>
            </w:pPr>
            <w:r>
              <w:rPr>
                <w:rFonts w:eastAsia="Times New Roman"/>
                <w:noProof/>
                <w:sz w:val="20"/>
                <w:szCs w:val="20"/>
                <w:lang w:val="en-US"/>
              </w:rPr>
              <w:t>1102 90 10</w:t>
            </w:r>
          </w:p>
          <w:p>
            <w:pPr>
              <w:spacing w:after="0"/>
              <w:ind w:left="-85" w:right="-85"/>
              <w:rPr>
                <w:rFonts w:eastAsia="Times New Roman"/>
                <w:noProof/>
                <w:sz w:val="20"/>
                <w:szCs w:val="20"/>
                <w:lang w:val="en-US"/>
              </w:rPr>
            </w:pPr>
            <w:r>
              <w:rPr>
                <w:rFonts w:eastAsia="Times New Roman"/>
                <w:noProof/>
                <w:sz w:val="20"/>
                <w:szCs w:val="20"/>
                <w:lang w:val="en-US"/>
              </w:rPr>
              <w:t>ex 1103 20 25</w:t>
            </w:r>
          </w:p>
        </w:tc>
        <w:tc>
          <w:tcPr>
            <w:tcW w:w="2796" w:type="pct"/>
            <w:shd w:val="clear" w:color="auto" w:fill="auto"/>
            <w:vAlign w:val="center"/>
          </w:tcPr>
          <w:p>
            <w:pPr>
              <w:spacing w:after="0"/>
              <w:ind w:left="-85" w:right="-85"/>
              <w:jc w:val="center"/>
              <w:rPr>
                <w:rFonts w:eastAsia="Times New Roman"/>
                <w:bCs/>
                <w:noProof/>
                <w:sz w:val="20"/>
                <w:szCs w:val="20"/>
                <w:lang w:val="en-US"/>
              </w:rPr>
            </w:pPr>
            <w:r>
              <w:rPr>
                <w:rFonts w:eastAsia="Times New Roman"/>
                <w:noProof/>
                <w:sz w:val="20"/>
                <w:szCs w:val="20"/>
                <w:lang w:val="en-US"/>
              </w:rPr>
              <w:t xml:space="preserve">350 000 </w:t>
            </w:r>
            <w:r>
              <w:rPr>
                <w:rFonts w:eastAsia="Times New Roman"/>
                <w:bCs/>
                <w:noProof/>
                <w:sz w:val="20"/>
                <w:szCs w:val="20"/>
                <w:lang w:val="en-US"/>
              </w:rPr>
              <w:t xml:space="preserve">tons/year </w:t>
            </w:r>
          </w:p>
          <w:p>
            <w:pPr>
              <w:spacing w:after="0"/>
              <w:ind w:left="-85" w:right="-85"/>
              <w:jc w:val="center"/>
              <w:rPr>
                <w:rFonts w:eastAsia="Times New Roman"/>
                <w:noProof/>
                <w:sz w:val="20"/>
                <w:szCs w:val="20"/>
                <w:lang w:val="en-US"/>
              </w:rPr>
            </w:pPr>
          </w:p>
        </w:tc>
      </w:tr>
    </w:tbl>
    <w:p>
      <w:pPr>
        <w:rPr>
          <w:noProof/>
        </w:rPr>
        <w:sectPr>
          <w:pgSz w:w="11907" w:h="16839"/>
          <w:pgMar w:top="1134" w:right="1417" w:bottom="1134" w:left="1417" w:header="709" w:footer="709" w:gutter="0"/>
          <w:cols w:space="720"/>
          <w:docGrid w:linePitch="360"/>
        </w:sectPr>
      </w:pPr>
    </w:p>
    <w:p>
      <w:pPr>
        <w:spacing w:before="240"/>
        <w:jc w:val="center"/>
        <w:rPr>
          <w:b/>
          <w:noProof/>
          <w:u w:val="single"/>
        </w:rPr>
      </w:pPr>
      <w:r>
        <w:rPr>
          <w:b/>
          <w:noProof/>
          <w:u w:val="single"/>
        </w:rPr>
        <w:lastRenderedPageBreak/>
        <w:t>ANNEX III</w:t>
      </w:r>
    </w:p>
    <w:p>
      <w:pPr>
        <w:spacing w:before="240"/>
        <w:jc w:val="center"/>
        <w:rPr>
          <w:noProof/>
          <w:sz w:val="22"/>
        </w:rPr>
      </w:pPr>
      <w:r>
        <w:rPr>
          <w:noProof/>
        </w:rPr>
        <w:t>Preferential t</w:t>
      </w:r>
      <w:r>
        <w:rPr>
          <w:noProof/>
          <w:sz w:val="22"/>
        </w:rPr>
        <w:t>ariffs applied for specific products referred to in Article 1(4)</w:t>
      </w:r>
    </w:p>
    <w:p>
      <w:pPr>
        <w:spacing w:before="240"/>
        <w:rPr>
          <w:noProof/>
          <w:sz w:val="22"/>
        </w:rPr>
      </w:pPr>
      <w:r>
        <w:rPr>
          <w:noProof/>
          <w:sz w:val="22"/>
        </w:rPr>
        <w:t>Notwithstanding the rules for the interpretation of the Combined Nomenclature, the wording of the description of the products is to be considered as having no more than an indicative value, the scope of the preferential scheme being determined, within the context of this Annex, by CN codes as they exist at the time of adoption of this Regulation.</w:t>
      </w:r>
    </w:p>
    <w:tbl>
      <w:tblPr>
        <w:tblW w:w="5000" w:type="pct"/>
        <w:tblLook w:val="04A0" w:firstRow="1" w:lastRow="0" w:firstColumn="1" w:lastColumn="0" w:noHBand="0" w:noVBand="1"/>
      </w:tblPr>
      <w:tblGrid>
        <w:gridCol w:w="1431"/>
        <w:gridCol w:w="10475"/>
        <w:gridCol w:w="2881"/>
      </w:tblGrid>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CN 2016</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DESCRIPTION</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Applied duties</w:t>
            </w:r>
          </w:p>
        </w:tc>
      </w:tr>
      <w:tr>
        <w:trPr>
          <w:trHeight w:val="76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 xml:space="preserve"> </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rFonts w:cs="EUAlbertina"/>
                <w:noProof/>
                <w:color w:val="000000"/>
                <w:sz w:val="19"/>
                <w:szCs w:val="19"/>
              </w:rPr>
              <w:t>CHAPTER 31 - FERTILISERS</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3102 10 10</w:t>
            </w:r>
          </w:p>
        </w:tc>
        <w:tc>
          <w:tcPr>
            <w:tcW w:w="3542" w:type="pct"/>
            <w:tcBorders>
              <w:top w:val="nil"/>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Urea, whether or not in aqueous solution, containing more than 45% by weight of nitrogen on the dry anhydrous product (excl. that in pellet or similar forms, or in packages with a gross weight not exceeding 10 kg)</w:t>
            </w:r>
          </w:p>
        </w:tc>
        <w:tc>
          <w:tcPr>
            <w:tcW w:w="974" w:type="pct"/>
            <w:tcBorders>
              <w:top w:val="nil"/>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3%</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3102 21 00</w:t>
            </w:r>
          </w:p>
        </w:tc>
        <w:tc>
          <w:tcPr>
            <w:tcW w:w="3542" w:type="pct"/>
            <w:tcBorders>
              <w:top w:val="nil"/>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Ammonium sulphate (excl. that in pellet or similar forms, or in packages with a gross weight not exceeding 10 kg)</w:t>
            </w:r>
          </w:p>
          <w:p>
            <w:pPr>
              <w:spacing w:before="0" w:after="0"/>
              <w:jc w:val="left"/>
              <w:rPr>
                <w:noProof/>
                <w:sz w:val="20"/>
                <w:szCs w:val="20"/>
                <w:lang w:eastAsia="en-GB"/>
              </w:rPr>
            </w:pPr>
          </w:p>
        </w:tc>
        <w:tc>
          <w:tcPr>
            <w:tcW w:w="974" w:type="pct"/>
            <w:tcBorders>
              <w:top w:val="nil"/>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tc>
      </w:tr>
      <w:tr>
        <w:trPr>
          <w:trHeight w:val="510"/>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3102 40 10</w:t>
            </w:r>
          </w:p>
        </w:tc>
        <w:tc>
          <w:tcPr>
            <w:tcW w:w="3542" w:type="pct"/>
            <w:tcBorders>
              <w:top w:val="nil"/>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Mixtures of ammonium nitrate with calcium carbonate or other inorganic non-fertilising substances, with a nitrogen content not exceeding 28 % by weight (excl. those in pellet or similar forms, or in packages with a gross weight not exceeding 10 kg)</w:t>
            </w:r>
          </w:p>
        </w:tc>
        <w:tc>
          <w:tcPr>
            <w:tcW w:w="974" w:type="pct"/>
            <w:tcBorders>
              <w:top w:val="nil"/>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3102 50 00</w:t>
            </w:r>
          </w:p>
        </w:tc>
        <w:tc>
          <w:tcPr>
            <w:tcW w:w="3542" w:type="pct"/>
            <w:tcBorders>
              <w:top w:val="nil"/>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Sodium nitrate (excl. that in pellet or similar forms, or in packages with a gross weight not exceeding 10 kg)</w:t>
            </w:r>
          </w:p>
        </w:tc>
        <w:tc>
          <w:tcPr>
            <w:tcW w:w="974" w:type="pct"/>
            <w:tcBorders>
              <w:top w:val="nil"/>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3105 20 10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Mineral or chemical fertilisers containing nitrogen, phosphorus and potassium, with a nitrogen content exceeding 10 % by weight on the dry anhydrous product (excl. those in tablets or similar forms, or in packages with a gross weight not exceeding 10 kg)</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tc>
      </w:tr>
      <w:tr>
        <w:trPr>
          <w:trHeight w:val="255"/>
        </w:trPr>
        <w:tc>
          <w:tcPr>
            <w:tcW w:w="484" w:type="pct"/>
            <w:tcBorders>
              <w:top w:val="nil"/>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3105 51 00</w:t>
            </w:r>
          </w:p>
        </w:tc>
        <w:tc>
          <w:tcPr>
            <w:tcW w:w="3542" w:type="pct"/>
            <w:tcBorders>
              <w:top w:val="nil"/>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Mineral or chemical fertilisers containing nitrates and phosphates</w:t>
            </w:r>
          </w:p>
          <w:p>
            <w:pPr>
              <w:spacing w:before="0" w:after="0"/>
              <w:jc w:val="left"/>
              <w:rPr>
                <w:noProof/>
                <w:sz w:val="20"/>
                <w:szCs w:val="20"/>
                <w:lang w:eastAsia="en-GB"/>
              </w:rPr>
            </w:pPr>
          </w:p>
        </w:tc>
        <w:tc>
          <w:tcPr>
            <w:tcW w:w="974" w:type="pct"/>
            <w:tcBorders>
              <w:top w:val="nil"/>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CHAPTER 32 - TANNING OR DYEING EXTRACTS; TANNINS AND THEIR DERIVATIVES; DYES, PIGMENTS AND OTHER COLOURING MATTER; PAINTS AND VARNISHES; PUTTY AND OTHER MASTICS; INKS</w:t>
            </w: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320611 00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Pigments and preparations based on titanium dioxide , containing 80% or more by weight of titanium dioxide calculated on the dry matter</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rFonts w:cs="EUAlbertina"/>
                <w:noProof/>
                <w:color w:val="000000"/>
                <w:sz w:val="19"/>
                <w:szCs w:val="19"/>
              </w:rPr>
              <w:t>CHAPTER 64 - FOOTWEAR, GAITERS AND THE LIKE; PARTS OF SUCH ARTICLES</w:t>
            </w:r>
          </w:p>
          <w:p>
            <w:pPr>
              <w:spacing w:before="0" w:after="0"/>
              <w:jc w:val="left"/>
              <w:rPr>
                <w:rFonts w:cs="EUAlbertina"/>
                <w:noProof/>
                <w:color w:val="000000"/>
                <w:sz w:val="19"/>
                <w:szCs w:val="19"/>
              </w:rPr>
            </w:pP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lastRenderedPageBreak/>
              <w:t>6402 91 90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Footwear covering the ankle, with outer soles and uppers of rubber or plastics</w:t>
            </w: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r>
              <w:rPr>
                <w:noProof/>
                <w:sz w:val="20"/>
                <w:szCs w:val="20"/>
                <w:lang w:eastAsia="en-GB"/>
              </w:rPr>
              <w:t>0%</w:t>
            </w:r>
          </w:p>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6402 99 98</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Footwear with outer soles of rubber or plastics and uppers of plastics, with in-soles of a length of 24 cm or more, for women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6403 99 96</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Men's footwear with outer soles of rubber, plastics or composition leather and uppers of leather (not covering the ankle), with in-soles of a length of 24 cm or more (excl. 6403.11-00 to 6403.40.00, 6403.99.11, 6403.99.36, 6403.99.50)</w:t>
            </w: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6403 99 98</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Footwear with outer soles of rubber, plastics or composition leather and uppers of leather, with in-soles of a length of 24 cm or more, for women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rFonts w:cs="EUAlbertina"/>
                <w:noProof/>
                <w:color w:val="000000"/>
                <w:sz w:val="19"/>
                <w:szCs w:val="19"/>
              </w:rPr>
              <w:t>CHAPTER 74 - COPPER AND ARTICLES THEREOF</w:t>
            </w: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7407 21 10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Bars and rods, of copper-zinc base alloys "brass"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7408 11 00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Wire of refined copper, with a maximum cross-sectional dimension of more than 6 mm</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p>
          <w:p>
            <w:pPr>
              <w:spacing w:before="0" w:after="0"/>
              <w:jc w:val="left"/>
              <w:rPr>
                <w:noProof/>
                <w:sz w:val="20"/>
                <w:szCs w:val="20"/>
                <w:lang w:eastAsia="en-GB"/>
              </w:rPr>
            </w:pPr>
            <w:r>
              <w:rPr>
                <w:noProof/>
                <w:sz w:val="20"/>
                <w:szCs w:val="20"/>
                <w:lang w:eastAsia="en-GB"/>
              </w:rPr>
              <w:t>CHAPTER 76 - ALUMINIUM AND ARTICLES THEREOF</w:t>
            </w: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7601 10 00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Aluminium, not alloyed, unwrought</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7601 20 20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Unwrought aluminium alloys in the form of slabs or billets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7601 20 80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Unwrought aluminium alloys (other than slabs and billets)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7604 21 00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Hollow profiles of aluminium alloys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760429 90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Solid profiles, of aluminium alloys</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7616 99 90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Articles of aluminium, uncast</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p>
        </w:tc>
        <w:tc>
          <w:tcPr>
            <w:tcW w:w="3542" w:type="pct"/>
            <w:tcBorders>
              <w:top w:val="single" w:sz="4" w:space="0" w:color="auto"/>
              <w:left w:val="nil"/>
              <w:bottom w:val="single" w:sz="4" w:space="0" w:color="auto"/>
              <w:right w:val="single" w:sz="4" w:space="0" w:color="auto"/>
            </w:tcBorders>
          </w:tcPr>
          <w:p>
            <w:pPr>
              <w:spacing w:before="0" w:after="0"/>
              <w:jc w:val="left"/>
              <w:rPr>
                <w:rFonts w:cs="EUAlbertina"/>
                <w:noProof/>
                <w:color w:val="000000"/>
                <w:sz w:val="19"/>
                <w:szCs w:val="19"/>
              </w:rPr>
            </w:pPr>
          </w:p>
          <w:p>
            <w:pPr>
              <w:spacing w:before="0" w:after="0"/>
              <w:jc w:val="left"/>
              <w:rPr>
                <w:rFonts w:cs="EUAlbertina"/>
                <w:noProof/>
                <w:color w:val="000000"/>
                <w:sz w:val="19"/>
                <w:szCs w:val="19"/>
              </w:rPr>
            </w:pPr>
            <w:r>
              <w:rPr>
                <w:rFonts w:cs="EUAlbertina"/>
                <w:noProof/>
                <w:color w:val="000000"/>
                <w:sz w:val="19"/>
                <w:szCs w:val="19"/>
              </w:rPr>
              <w:t>CHAPTER 85 - ELECTRICAL MACHINERY AND EQUIPMENT AND PARTS THEREOF; SOUND RECORDERS AND REPRODUCERS, TELEVISION IMAGE AND SOUND RECORDERS AND REPRODUCERS, AND PARTS AND ACCESSORIES OF SUCH ARTICLES</w:t>
            </w:r>
          </w:p>
          <w:p>
            <w:pPr>
              <w:spacing w:before="0" w:after="0"/>
              <w:jc w:val="left"/>
              <w:rPr>
                <w:noProof/>
                <w:sz w:val="20"/>
                <w:szCs w:val="20"/>
                <w:lang w:eastAsia="en-GB"/>
              </w:rPr>
            </w:pPr>
          </w:p>
        </w:tc>
        <w:tc>
          <w:tcPr>
            <w:tcW w:w="974" w:type="pct"/>
            <w:tcBorders>
              <w:top w:val="single" w:sz="4" w:space="0" w:color="auto"/>
              <w:left w:val="nil"/>
              <w:bottom w:val="single" w:sz="4" w:space="0" w:color="auto"/>
              <w:right w:val="single" w:sz="4" w:space="0" w:color="auto"/>
            </w:tcBorders>
          </w:tcPr>
          <w:p>
            <w:pPr>
              <w:spacing w:before="0" w:after="0"/>
              <w:jc w:val="center"/>
              <w:rPr>
                <w:noProof/>
                <w:sz w:val="20"/>
                <w:szCs w:val="20"/>
                <w:lang w:eastAsia="en-GB"/>
              </w:rPr>
            </w:pP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lastRenderedPageBreak/>
              <w:t>8525 80 99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 xml:space="preserve">Video camera recorders other than those only able to record sound and images taken by the television camera </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8528 71 19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Video tuners (excl. electronic assemblies for incorporation into automatic data-processing machines and apparatus with a microprocessor-based device incorporating a modem for gaining access to the Internet and having a function of interactive information exchange capable of receiving television signals "set-top boxes with communication function")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8528 71 99</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Reception apparatus for television, whether or not incorporating radio-broadcast receivers or sound or video recording or reproducing apparatus, not designed to incorporate a video display or screen (excl. video tuners, set-top boxes with a communication function)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r>
        <w:trPr>
          <w:trHeight w:val="255"/>
        </w:trPr>
        <w:tc>
          <w:tcPr>
            <w:tcW w:w="484" w:type="pct"/>
            <w:tcBorders>
              <w:top w:val="single" w:sz="4" w:space="0" w:color="auto"/>
              <w:left w:val="single" w:sz="4" w:space="0" w:color="auto"/>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8528 72 40</w:t>
            </w:r>
          </w:p>
        </w:tc>
        <w:tc>
          <w:tcPr>
            <w:tcW w:w="3542" w:type="pct"/>
            <w:tcBorders>
              <w:top w:val="single" w:sz="4" w:space="0" w:color="auto"/>
              <w:left w:val="nil"/>
              <w:bottom w:val="single" w:sz="4" w:space="0" w:color="auto"/>
              <w:right w:val="single" w:sz="4" w:space="0" w:color="auto"/>
            </w:tcBorders>
          </w:tcPr>
          <w:p>
            <w:pPr>
              <w:spacing w:before="0" w:after="0"/>
              <w:jc w:val="left"/>
              <w:rPr>
                <w:noProof/>
                <w:sz w:val="20"/>
                <w:szCs w:val="20"/>
                <w:lang w:eastAsia="en-GB"/>
              </w:rPr>
            </w:pPr>
            <w:r>
              <w:rPr>
                <w:noProof/>
                <w:sz w:val="20"/>
                <w:szCs w:val="20"/>
                <w:lang w:eastAsia="en-GB"/>
              </w:rPr>
              <w:t>Reception apparatus for television, colour, with LCD screen</w:t>
            </w:r>
          </w:p>
        </w:tc>
        <w:tc>
          <w:tcPr>
            <w:tcW w:w="974" w:type="pct"/>
            <w:tcBorders>
              <w:top w:val="single" w:sz="4" w:space="0" w:color="auto"/>
              <w:left w:val="nil"/>
              <w:bottom w:val="single" w:sz="4" w:space="0" w:color="auto"/>
              <w:right w:val="single" w:sz="4" w:space="0" w:color="auto"/>
            </w:tcBorders>
          </w:tcPr>
          <w:p>
            <w:pPr>
              <w:jc w:val="center"/>
              <w:rPr>
                <w:noProof/>
              </w:rPr>
            </w:pPr>
            <w:r>
              <w:rPr>
                <w:noProof/>
                <w:sz w:val="20"/>
                <w:szCs w:val="20"/>
                <w:lang w:eastAsia="en-GB"/>
              </w:rPr>
              <w:t>0%</w:t>
            </w:r>
          </w:p>
        </w:tc>
      </w:tr>
    </w:tbl>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EEA0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464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E029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CF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4AE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A89E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E3814"/>
    <w:lvl w:ilvl="0">
      <w:start w:val="1"/>
      <w:numFmt w:val="decimal"/>
      <w:pStyle w:val="ListNumber"/>
      <w:lvlText w:val="%1."/>
      <w:lvlJc w:val="left"/>
      <w:pPr>
        <w:tabs>
          <w:tab w:val="num" w:pos="360"/>
        </w:tabs>
        <w:ind w:left="360" w:hanging="360"/>
      </w:pPr>
    </w:lvl>
  </w:abstractNum>
  <w:abstractNum w:abstractNumId="7">
    <w:nsid w:val="FFFFFF89"/>
    <w:multiLevelType w:val="singleLevel"/>
    <w:tmpl w:val="94F4EF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6:27: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3"/>
    <w:docVar w:name="LW_CONFIDENCE" w:val=" "/>
    <w:docVar w:name="LW_CONST_RESTREINT_UE" w:val="RESTREINT UE"/>
    <w:docVar w:name="LW_CORRIGENDUM" w:val="&lt;UNUSED&gt;"/>
    <w:docVar w:name="LW_COVERPAGE_GUID" w:val="E9BBA599E9C1459DA1351FC5BEF29052"/>
    <w:docVar w:name="LW_CROSSREFERENCE" w:val="&lt;UNUSED&gt;"/>
    <w:docVar w:name="LW_DocType" w:val="ANNEX"/>
    <w:docVar w:name="LW_EMISSION" w:val="29.9.2016"/>
    <w:docVar w:name="LW_EMISSION_ISODATE" w:val="2016-09-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introduction of temporary autonomous trade measures for Ukraine supplementing the trade concessions available under the Association Agreement"/>
    <w:docVar w:name="LW_OBJETACTEPRINCIPAL.CP" w:val="on the introduction of temporary autonomous trade measures for Ukraine supplementing the trade concessions available under the Association Agreement"/>
    <w:docVar w:name="LW_PART_NBR" w:val="&lt;UNUSED&gt;"/>
    <w:docVar w:name="LW_PART_NBR_TOTAL" w:val="&lt;UNUSED&gt;"/>
    <w:docVar w:name="LW_REF.INST.NEW" w:val="COM"/>
    <w:docVar w:name="LW_REF.INST.NEW_ADOPTED" w:val="final"/>
    <w:docVar w:name="LW_REF.INST.NEW_TEXT" w:val="(2016) 631"/>
    <w:docVar w:name="LW_REF.INTERNE" w:val="&lt;UNUSED&gt;"/>
    <w:docVar w:name="LW_SUPERTITRE" w:val="&lt;UNUSED&gt;"/>
    <w:docVar w:name="LW_TITRE.OBJ.CP" w:val="&lt;UNUSED&gt;"/>
    <w:docVar w:name="LW_TYPE.DOC" w:val="ANNEXES"/>
    <w:docVar w:name="LW_TYPE.DOC.CP" w:val="ANNEXES"/>
    <w:docVar w:name="LW_TYPEACTEPRINCIPAL" w:val="Proposal for a Regulation of the European Parliament and the Council"/>
    <w:docVar w:name="LW_TYPEACTEPRINCIPAL.CP" w:val="Proposal for a Regulation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24">
    <w:name w:val="CM1+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4">
    <w:name w:val="CM3+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7">
    <w:name w:val="CM1+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7">
    <w:name w:val="CM3+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8">
    <w:name w:val="CM1+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8">
    <w:name w:val="CM3+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9">
    <w:name w:val="CM1+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9">
    <w:name w:val="CM3+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31">
    <w:name w:val="CM1+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31">
    <w:name w:val="CM3+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24">
    <w:name w:val="CM1+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4">
    <w:name w:val="CM3+2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7">
    <w:name w:val="CM1+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7">
    <w:name w:val="CM3+27"/>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8">
    <w:name w:val="CM1+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8">
    <w:name w:val="CM3+28"/>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29">
    <w:name w:val="CM1+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29">
    <w:name w:val="CM3+29"/>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31">
    <w:name w:val="CM1+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31">
    <w:name w:val="CM3+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78847">
      <w:bodyDiv w:val="1"/>
      <w:marLeft w:val="0"/>
      <w:marRight w:val="0"/>
      <w:marTop w:val="0"/>
      <w:marBottom w:val="0"/>
      <w:divBdr>
        <w:top w:val="none" w:sz="0" w:space="0" w:color="auto"/>
        <w:left w:val="none" w:sz="0" w:space="0" w:color="auto"/>
        <w:bottom w:val="none" w:sz="0" w:space="0" w:color="auto"/>
        <w:right w:val="none" w:sz="0" w:space="0" w:color="auto"/>
      </w:divBdr>
    </w:div>
    <w:div w:id="363753755">
      <w:bodyDiv w:val="1"/>
      <w:marLeft w:val="0"/>
      <w:marRight w:val="0"/>
      <w:marTop w:val="0"/>
      <w:marBottom w:val="0"/>
      <w:divBdr>
        <w:top w:val="none" w:sz="0" w:space="0" w:color="auto"/>
        <w:left w:val="none" w:sz="0" w:space="0" w:color="auto"/>
        <w:bottom w:val="none" w:sz="0" w:space="0" w:color="auto"/>
        <w:right w:val="none" w:sz="0" w:space="0" w:color="auto"/>
      </w:divBdr>
    </w:div>
    <w:div w:id="809320460">
      <w:bodyDiv w:val="1"/>
      <w:marLeft w:val="0"/>
      <w:marRight w:val="0"/>
      <w:marTop w:val="0"/>
      <w:marBottom w:val="0"/>
      <w:divBdr>
        <w:top w:val="none" w:sz="0" w:space="0" w:color="auto"/>
        <w:left w:val="none" w:sz="0" w:space="0" w:color="auto"/>
        <w:bottom w:val="none" w:sz="0" w:space="0" w:color="auto"/>
        <w:right w:val="none" w:sz="0" w:space="0" w:color="auto"/>
      </w:divBdr>
    </w:div>
    <w:div w:id="964232367">
      <w:bodyDiv w:val="1"/>
      <w:marLeft w:val="0"/>
      <w:marRight w:val="0"/>
      <w:marTop w:val="0"/>
      <w:marBottom w:val="0"/>
      <w:divBdr>
        <w:top w:val="none" w:sz="0" w:space="0" w:color="auto"/>
        <w:left w:val="none" w:sz="0" w:space="0" w:color="auto"/>
        <w:bottom w:val="none" w:sz="0" w:space="0" w:color="auto"/>
        <w:right w:val="none" w:sz="0" w:space="0" w:color="auto"/>
      </w:divBdr>
    </w:div>
    <w:div w:id="1144932345">
      <w:bodyDiv w:val="1"/>
      <w:marLeft w:val="0"/>
      <w:marRight w:val="0"/>
      <w:marTop w:val="0"/>
      <w:marBottom w:val="0"/>
      <w:divBdr>
        <w:top w:val="none" w:sz="0" w:space="0" w:color="auto"/>
        <w:left w:val="none" w:sz="0" w:space="0" w:color="auto"/>
        <w:bottom w:val="none" w:sz="0" w:space="0" w:color="auto"/>
        <w:right w:val="none" w:sz="0" w:space="0" w:color="auto"/>
      </w:divBdr>
    </w:div>
    <w:div w:id="1837964156">
      <w:bodyDiv w:val="1"/>
      <w:marLeft w:val="0"/>
      <w:marRight w:val="0"/>
      <w:marTop w:val="0"/>
      <w:marBottom w:val="0"/>
      <w:divBdr>
        <w:top w:val="none" w:sz="0" w:space="0" w:color="auto"/>
        <w:left w:val="none" w:sz="0" w:space="0" w:color="auto"/>
        <w:bottom w:val="none" w:sz="0" w:space="0" w:color="auto"/>
        <w:right w:val="none" w:sz="0" w:space="0" w:color="auto"/>
      </w:divBdr>
    </w:div>
    <w:div w:id="19660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CD2A-2DDF-4484-B94D-F639690E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1178</Words>
  <Characters>5695</Characters>
  <Application>Microsoft Office Word</Application>
  <DocSecurity>0</DocSecurity>
  <Lines>299</Lines>
  <Paragraphs>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2016-08-30T08:40:00Z</cp:lastPrinted>
  <dcterms:created xsi:type="dcterms:W3CDTF">2016-09-20T10:41:00Z</dcterms:created>
  <dcterms:modified xsi:type="dcterms:W3CDTF">2016-09-27T14:27:00Z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