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A136CB6429748558AD6FC201D8ECA1F"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ANNEXES</w:t>
      </w:r>
    </w:p>
    <w:p>
      <w:pPr>
        <w:spacing w:before="240"/>
        <w:jc w:val="center"/>
        <w:rPr>
          <w:b/>
          <w:noProof/>
          <w:u w:val="single"/>
        </w:rPr>
      </w:pPr>
      <w:r>
        <w:rPr>
          <w:b/>
          <w:noProof/>
          <w:color w:val="000000"/>
          <w:sz w:val="22"/>
          <w:u w:val="single"/>
        </w:rPr>
        <w:t>ANNEXE</w:t>
      </w:r>
      <w:r>
        <w:rPr>
          <w:b/>
          <w:noProof/>
          <w:u w:val="single"/>
        </w:rPr>
        <w:t xml:space="preserve"> I</w:t>
      </w:r>
    </w:p>
    <w:p>
      <w:pPr>
        <w:spacing w:before="240"/>
        <w:rPr>
          <w:noProof/>
          <w:sz w:val="22"/>
        </w:rPr>
      </w:pPr>
      <w:r>
        <w:rPr>
          <w:noProof/>
          <w:color w:val="000000"/>
          <w:sz w:val="22"/>
        </w:rPr>
        <w:t>Sans préjudice des règles relatives à l’interprétation de la nomenclature combinée, le libellé de la désignation des marchandises doit être considéré comme n’ayant qu’une valeur indicative, le champ d’application du régime préférentiel étant déterminé, dans le cadre de la présente annexe, par les codes NC tels qu’ils existent au moment de l’adoption du présent règlement.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52"/>
        <w:gridCol w:w="3239"/>
        <w:gridCol w:w="2116"/>
        <w:gridCol w:w="1556"/>
      </w:tblGrid>
      <w:tr>
        <w:trPr>
          <w:tblHeader/>
        </w:trPr>
        <w:tc>
          <w:tcPr>
            <w:tcW w:w="1101" w:type="dxa"/>
            <w:shd w:val="clear" w:color="auto" w:fill="auto"/>
          </w:tcPr>
          <w:p>
            <w:pPr>
              <w:jc w:val="center"/>
              <w:rPr>
                <w:b/>
                <w:noProof/>
                <w:sz w:val="20"/>
                <w:szCs w:val="20"/>
              </w:rPr>
            </w:pPr>
            <w:r>
              <w:rPr>
                <w:b/>
                <w:noProof/>
                <w:sz w:val="20"/>
              </w:rPr>
              <w:t>Numéro d’ordre</w:t>
            </w:r>
          </w:p>
        </w:tc>
        <w:tc>
          <w:tcPr>
            <w:tcW w:w="1452" w:type="dxa"/>
            <w:shd w:val="clear" w:color="auto" w:fill="auto"/>
          </w:tcPr>
          <w:p>
            <w:pPr>
              <w:jc w:val="left"/>
              <w:rPr>
                <w:b/>
                <w:noProof/>
                <w:sz w:val="20"/>
                <w:szCs w:val="20"/>
              </w:rPr>
            </w:pPr>
            <w:r>
              <w:rPr>
                <w:b/>
                <w:noProof/>
                <w:sz w:val="20"/>
              </w:rPr>
              <w:t>Code NC</w:t>
            </w:r>
          </w:p>
        </w:tc>
        <w:tc>
          <w:tcPr>
            <w:tcW w:w="3239" w:type="dxa"/>
            <w:shd w:val="clear" w:color="auto" w:fill="auto"/>
          </w:tcPr>
          <w:p>
            <w:pPr>
              <w:jc w:val="center"/>
              <w:rPr>
                <w:b/>
                <w:noProof/>
                <w:sz w:val="20"/>
                <w:szCs w:val="20"/>
              </w:rPr>
            </w:pPr>
            <w:r>
              <w:rPr>
                <w:b/>
                <w:noProof/>
                <w:sz w:val="20"/>
              </w:rPr>
              <w:t>Désignation des marchandises</w:t>
            </w:r>
          </w:p>
        </w:tc>
        <w:tc>
          <w:tcPr>
            <w:tcW w:w="2116" w:type="dxa"/>
            <w:shd w:val="clear" w:color="auto" w:fill="auto"/>
          </w:tcPr>
          <w:p>
            <w:pPr>
              <w:jc w:val="center"/>
              <w:rPr>
                <w:b/>
                <w:noProof/>
                <w:sz w:val="20"/>
                <w:szCs w:val="20"/>
              </w:rPr>
            </w:pPr>
            <w:r>
              <w:rPr>
                <w:b/>
                <w:noProof/>
                <w:sz w:val="20"/>
              </w:rPr>
              <w:t>Période contingentaire</w:t>
            </w:r>
          </w:p>
          <w:p>
            <w:pPr>
              <w:jc w:val="center"/>
              <w:rPr>
                <w:noProof/>
                <w:sz w:val="20"/>
                <w:szCs w:val="20"/>
              </w:rPr>
            </w:pPr>
            <w:r>
              <w:rPr>
                <w:noProof/>
                <w:sz w:val="20"/>
              </w:rPr>
              <w:t>À compter de l’entrée en vigueur du présent règlement pour une période de 36 mois</w:t>
            </w:r>
          </w:p>
          <w:p>
            <w:pPr>
              <w:jc w:val="center"/>
              <w:rPr>
                <w:b/>
                <w:noProof/>
                <w:sz w:val="20"/>
                <w:szCs w:val="20"/>
              </w:rPr>
            </w:pPr>
          </w:p>
        </w:tc>
        <w:tc>
          <w:tcPr>
            <w:tcW w:w="1556" w:type="dxa"/>
            <w:shd w:val="clear" w:color="auto" w:fill="auto"/>
          </w:tcPr>
          <w:p>
            <w:pPr>
              <w:spacing w:after="0"/>
              <w:jc w:val="center"/>
              <w:rPr>
                <w:b/>
                <w:noProof/>
                <w:sz w:val="20"/>
                <w:szCs w:val="20"/>
              </w:rPr>
            </w:pPr>
            <w:r>
              <w:rPr>
                <w:b/>
                <w:noProof/>
                <w:sz w:val="20"/>
              </w:rPr>
              <w:t>Volume du contingent annuel</w:t>
            </w:r>
          </w:p>
          <w:p>
            <w:pPr>
              <w:spacing w:before="0"/>
              <w:jc w:val="center"/>
              <w:rPr>
                <w:b/>
                <w:noProof/>
                <w:sz w:val="20"/>
                <w:szCs w:val="20"/>
              </w:rPr>
            </w:pPr>
            <w:r>
              <w:rPr>
                <w:b/>
                <w:noProof/>
                <w:sz w:val="20"/>
              </w:rPr>
              <w:t>(tonnes en poids net, sauf indication contraire)</w:t>
            </w:r>
          </w:p>
        </w:tc>
      </w:tr>
      <w:tr>
        <w:trPr>
          <w:trHeight w:val="1845"/>
        </w:trPr>
        <w:tc>
          <w:tcPr>
            <w:tcW w:w="1101" w:type="dxa"/>
            <w:shd w:val="clear" w:color="auto" w:fill="auto"/>
          </w:tcPr>
          <w:p>
            <w:pPr>
              <w:rPr>
                <w:noProof/>
                <w:sz w:val="20"/>
                <w:szCs w:val="20"/>
              </w:rPr>
            </w:pPr>
            <w:r>
              <w:rPr>
                <w:noProof/>
                <w:sz w:val="20"/>
              </w:rPr>
              <w:t>09.6750</w:t>
            </w:r>
          </w:p>
        </w:tc>
        <w:tc>
          <w:tcPr>
            <w:tcW w:w="1452" w:type="dxa"/>
            <w:shd w:val="clear" w:color="auto" w:fill="auto"/>
          </w:tcPr>
          <w:p>
            <w:pPr>
              <w:jc w:val="left"/>
              <w:rPr>
                <w:noProof/>
                <w:sz w:val="20"/>
                <w:szCs w:val="20"/>
              </w:rPr>
            </w:pPr>
            <w:r>
              <w:rPr>
                <w:noProof/>
                <w:sz w:val="20"/>
              </w:rPr>
              <w:t>0409</w:t>
            </w:r>
            <w:r>
              <w:rPr>
                <w:noProof/>
                <w:sz w:val="20"/>
                <w:szCs w:val="20"/>
              </w:rPr>
              <w:br/>
            </w:r>
            <w:r>
              <w:rPr>
                <w:noProof/>
                <w:sz w:val="20"/>
                <w:szCs w:val="20"/>
              </w:rPr>
              <w:br/>
            </w:r>
            <w:r>
              <w:rPr>
                <w:noProof/>
                <w:sz w:val="20"/>
                <w:szCs w:val="20"/>
              </w:rPr>
              <w:br/>
            </w:r>
            <w:r>
              <w:rPr>
                <w:noProof/>
                <w:sz w:val="20"/>
                <w:szCs w:val="20"/>
              </w:rPr>
              <w:br/>
            </w:r>
          </w:p>
        </w:tc>
        <w:tc>
          <w:tcPr>
            <w:tcW w:w="3239" w:type="dxa"/>
            <w:shd w:val="clear" w:color="auto" w:fill="auto"/>
          </w:tcPr>
          <w:p>
            <w:pPr>
              <w:jc w:val="left"/>
              <w:rPr>
                <w:noProof/>
                <w:sz w:val="20"/>
                <w:szCs w:val="20"/>
              </w:rPr>
            </w:pPr>
            <w:r>
              <w:rPr>
                <w:noProof/>
                <w:sz w:val="20"/>
              </w:rPr>
              <w:t>Miel naturel</w:t>
            </w:r>
            <w:r>
              <w:rPr>
                <w:noProof/>
                <w:sz w:val="20"/>
                <w:szCs w:val="20"/>
              </w:rPr>
              <w:br/>
            </w:r>
            <w:r>
              <w:rPr>
                <w:noProof/>
                <w:sz w:val="20"/>
                <w:szCs w:val="20"/>
              </w:rPr>
              <w:br/>
            </w:r>
            <w:r>
              <w:rPr>
                <w:noProof/>
                <w:sz w:val="20"/>
                <w:szCs w:val="20"/>
              </w:rPr>
              <w:br/>
            </w:r>
          </w:p>
        </w:tc>
        <w:tc>
          <w:tcPr>
            <w:tcW w:w="2116" w:type="dxa"/>
            <w:shd w:val="clear" w:color="auto" w:fill="auto"/>
          </w:tcPr>
          <w:p>
            <w:pPr>
              <w:rPr>
                <w:noProof/>
                <w:sz w:val="20"/>
                <w:szCs w:val="20"/>
              </w:rPr>
            </w:pPr>
          </w:p>
        </w:tc>
        <w:tc>
          <w:tcPr>
            <w:tcW w:w="1556" w:type="dxa"/>
            <w:shd w:val="clear" w:color="auto" w:fill="auto"/>
          </w:tcPr>
          <w:p>
            <w:pPr>
              <w:jc w:val="center"/>
              <w:rPr>
                <w:noProof/>
                <w:sz w:val="20"/>
                <w:szCs w:val="20"/>
              </w:rPr>
            </w:pPr>
            <w:r>
              <w:rPr>
                <w:noProof/>
                <w:sz w:val="20"/>
              </w:rPr>
              <w:t>3 000</w:t>
            </w:r>
          </w:p>
        </w:tc>
      </w:tr>
      <w:tr>
        <w:trPr>
          <w:trHeight w:val="4965"/>
        </w:trPr>
        <w:tc>
          <w:tcPr>
            <w:tcW w:w="1101" w:type="dxa"/>
            <w:shd w:val="clear" w:color="auto" w:fill="auto"/>
          </w:tcPr>
          <w:p>
            <w:pPr>
              <w:rPr>
                <w:noProof/>
                <w:sz w:val="20"/>
                <w:szCs w:val="20"/>
              </w:rPr>
            </w:pPr>
            <w:r>
              <w:rPr>
                <w:noProof/>
                <w:sz w:val="20"/>
              </w:rPr>
              <w:t>09.6751</w:t>
            </w:r>
          </w:p>
        </w:tc>
        <w:tc>
          <w:tcPr>
            <w:tcW w:w="1452" w:type="dxa"/>
            <w:shd w:val="clear" w:color="auto" w:fill="auto"/>
          </w:tcPr>
          <w:p>
            <w:pPr>
              <w:jc w:val="left"/>
              <w:rPr>
                <w:noProof/>
                <w:sz w:val="20"/>
                <w:szCs w:val="20"/>
              </w:rPr>
            </w:pPr>
            <w:r>
              <w:rPr>
                <w:noProof/>
                <w:sz w:val="20"/>
              </w:rPr>
              <w:t>Ex 1103 19 20</w:t>
            </w:r>
            <w:r>
              <w:rPr>
                <w:noProof/>
                <w:sz w:val="20"/>
                <w:szCs w:val="20"/>
              </w:rPr>
              <w:br/>
            </w:r>
            <w:r>
              <w:rPr>
                <w:noProof/>
                <w:sz w:val="20"/>
                <w:szCs w:val="20"/>
              </w:rPr>
              <w:br/>
            </w:r>
            <w:r>
              <w:rPr>
                <w:noProof/>
                <w:sz w:val="20"/>
              </w:rPr>
              <w:t>1103 19 90</w:t>
            </w:r>
            <w:r>
              <w:rPr>
                <w:noProof/>
                <w:sz w:val="20"/>
                <w:szCs w:val="20"/>
              </w:rPr>
              <w:br/>
            </w:r>
            <w:r>
              <w:rPr>
                <w:noProof/>
                <w:sz w:val="20"/>
                <w:szCs w:val="20"/>
              </w:rPr>
              <w:br/>
            </w:r>
            <w:r>
              <w:rPr>
                <w:noProof/>
                <w:sz w:val="20"/>
                <w:szCs w:val="20"/>
              </w:rPr>
              <w:br/>
            </w:r>
            <w:r>
              <w:rPr>
                <w:noProof/>
                <w:sz w:val="20"/>
                <w:szCs w:val="20"/>
              </w:rPr>
              <w:br/>
            </w:r>
            <w:r>
              <w:rPr>
                <w:noProof/>
                <w:sz w:val="20"/>
              </w:rPr>
              <w:t>1103 20 90</w:t>
            </w:r>
            <w:r>
              <w:rPr>
                <w:noProof/>
                <w:sz w:val="20"/>
                <w:szCs w:val="20"/>
              </w:rPr>
              <w:br/>
            </w:r>
            <w:r>
              <w:rPr>
                <w:noProof/>
                <w:sz w:val="20"/>
                <w:szCs w:val="20"/>
              </w:rPr>
              <w:br/>
            </w:r>
            <w:r>
              <w:rPr>
                <w:noProof/>
                <w:sz w:val="20"/>
                <w:szCs w:val="20"/>
              </w:rPr>
              <w:br/>
            </w:r>
            <w:r>
              <w:rPr>
                <w:noProof/>
                <w:sz w:val="20"/>
              </w:rPr>
              <w:t>1104 19 10</w:t>
            </w:r>
            <w:r>
              <w:rPr>
                <w:noProof/>
                <w:sz w:val="20"/>
                <w:szCs w:val="20"/>
              </w:rPr>
              <w:br/>
            </w:r>
            <w:r>
              <w:rPr>
                <w:noProof/>
                <w:sz w:val="20"/>
              </w:rPr>
              <w:t>1104 19 50</w:t>
            </w:r>
            <w:r>
              <w:rPr>
                <w:noProof/>
                <w:sz w:val="20"/>
                <w:szCs w:val="20"/>
              </w:rPr>
              <w:br/>
            </w:r>
            <w:r>
              <w:rPr>
                <w:noProof/>
                <w:sz w:val="20"/>
              </w:rPr>
              <w:t>1104 19 61</w:t>
            </w:r>
            <w:r>
              <w:rPr>
                <w:noProof/>
                <w:sz w:val="20"/>
                <w:szCs w:val="20"/>
              </w:rPr>
              <w:br/>
            </w:r>
            <w:r>
              <w:rPr>
                <w:noProof/>
                <w:sz w:val="20"/>
              </w:rPr>
              <w:t>1104 19 69</w:t>
            </w:r>
            <w:r>
              <w:rPr>
                <w:noProof/>
                <w:sz w:val="20"/>
                <w:szCs w:val="20"/>
              </w:rPr>
              <w:br/>
            </w:r>
            <w:r>
              <w:rPr>
                <w:noProof/>
                <w:sz w:val="20"/>
                <w:szCs w:val="20"/>
              </w:rPr>
              <w:br/>
            </w:r>
            <w:r>
              <w:rPr>
                <w:noProof/>
                <w:sz w:val="20"/>
              </w:rPr>
              <w:t>ex 1104 29</w:t>
            </w:r>
            <w:r>
              <w:rPr>
                <w:noProof/>
                <w:sz w:val="20"/>
                <w:szCs w:val="20"/>
              </w:rPr>
              <w:br/>
            </w:r>
            <w:r>
              <w:rPr>
                <w:noProof/>
                <w:sz w:val="20"/>
                <w:szCs w:val="20"/>
              </w:rPr>
              <w:br/>
            </w:r>
            <w:r>
              <w:rPr>
                <w:noProof/>
                <w:sz w:val="20"/>
                <w:szCs w:val="20"/>
              </w:rPr>
              <w:br/>
            </w:r>
            <w:r>
              <w:rPr>
                <w:noProof/>
                <w:sz w:val="20"/>
                <w:szCs w:val="20"/>
              </w:rPr>
              <w:br/>
            </w:r>
            <w:r>
              <w:rPr>
                <w:noProof/>
                <w:sz w:val="20"/>
              </w:rPr>
              <w:t>1104 30</w:t>
            </w:r>
            <w:r>
              <w:rPr>
                <w:noProof/>
                <w:sz w:val="20"/>
                <w:szCs w:val="20"/>
              </w:rPr>
              <w:br/>
            </w:r>
            <w:r>
              <w:rPr>
                <w:noProof/>
                <w:sz w:val="20"/>
                <w:szCs w:val="20"/>
              </w:rPr>
              <w:br/>
            </w:r>
          </w:p>
        </w:tc>
        <w:tc>
          <w:tcPr>
            <w:tcW w:w="3239" w:type="dxa"/>
            <w:shd w:val="clear" w:color="auto" w:fill="auto"/>
          </w:tcPr>
          <w:p>
            <w:pPr>
              <w:jc w:val="left"/>
              <w:rPr>
                <w:noProof/>
                <w:sz w:val="20"/>
                <w:szCs w:val="20"/>
              </w:rPr>
            </w:pPr>
            <w:r>
              <w:rPr>
                <w:noProof/>
                <w:sz w:val="20"/>
              </w:rPr>
              <w:t>Gruaux d’orge</w:t>
            </w:r>
            <w:r>
              <w:rPr>
                <w:noProof/>
                <w:sz w:val="20"/>
                <w:szCs w:val="20"/>
              </w:rPr>
              <w:br/>
            </w:r>
            <w:r>
              <w:rPr>
                <w:noProof/>
                <w:sz w:val="20"/>
                <w:szCs w:val="20"/>
              </w:rPr>
              <w:br/>
            </w:r>
            <w:r>
              <w:rPr>
                <w:noProof/>
                <w:sz w:val="20"/>
              </w:rPr>
              <w:t>Gruaux et semoules de céréales [à l’excl. des gruaux et semoules de froment (blé), de seigle, d’avoine, de maïs, de riz et d’orge]</w:t>
            </w:r>
            <w:r>
              <w:rPr>
                <w:noProof/>
                <w:sz w:val="20"/>
                <w:szCs w:val="20"/>
              </w:rPr>
              <w:br/>
            </w:r>
            <w:r>
              <w:rPr>
                <w:noProof/>
                <w:sz w:val="20"/>
                <w:szCs w:val="20"/>
              </w:rPr>
              <w:br/>
            </w:r>
            <w:r>
              <w:rPr>
                <w:noProof/>
                <w:sz w:val="20"/>
              </w:rPr>
              <w:t>Agglomérés sous forme de pellets, de céréales [à l’exclusion des agglomérés de froment (blé), de seigle, d’avoine, de maïs, de riz et d’orge]</w:t>
            </w:r>
            <w:r>
              <w:rPr>
                <w:noProof/>
                <w:sz w:val="20"/>
                <w:szCs w:val="20"/>
              </w:rPr>
              <w:br/>
            </w:r>
            <w:r>
              <w:rPr>
                <w:noProof/>
                <w:sz w:val="20"/>
                <w:szCs w:val="20"/>
              </w:rPr>
              <w:br/>
            </w:r>
            <w:r>
              <w:rPr>
                <w:noProof/>
                <w:sz w:val="20"/>
              </w:rPr>
              <w:t>Grains de blé (froment) aplatis ou en flocons</w:t>
            </w:r>
            <w:r>
              <w:rPr>
                <w:noProof/>
                <w:sz w:val="20"/>
                <w:szCs w:val="20"/>
              </w:rPr>
              <w:br/>
            </w:r>
            <w:r>
              <w:rPr>
                <w:noProof/>
                <w:sz w:val="20"/>
              </w:rPr>
              <w:t>Grains de maïs aplatis ou en flocons</w:t>
            </w:r>
            <w:r>
              <w:rPr>
                <w:noProof/>
                <w:sz w:val="20"/>
                <w:szCs w:val="20"/>
              </w:rPr>
              <w:br/>
            </w:r>
            <w:r>
              <w:rPr>
                <w:noProof/>
                <w:sz w:val="20"/>
              </w:rPr>
              <w:t>Grains d’orge aplatis</w:t>
            </w:r>
            <w:r>
              <w:rPr>
                <w:noProof/>
                <w:sz w:val="20"/>
                <w:szCs w:val="20"/>
              </w:rPr>
              <w:br/>
            </w:r>
            <w:r>
              <w:rPr>
                <w:noProof/>
                <w:sz w:val="20"/>
              </w:rPr>
              <w:t>Grains d’orge en flocons</w:t>
            </w:r>
            <w:r>
              <w:rPr>
                <w:noProof/>
                <w:sz w:val="20"/>
                <w:szCs w:val="20"/>
              </w:rPr>
              <w:br/>
            </w:r>
            <w:r>
              <w:rPr>
                <w:noProof/>
                <w:sz w:val="20"/>
                <w:szCs w:val="20"/>
              </w:rPr>
              <w:br/>
            </w:r>
            <w:r>
              <w:rPr>
                <w:noProof/>
                <w:sz w:val="20"/>
              </w:rPr>
              <w:t>Grains travaillés (mondés, perlés, tranchés ou concassés, par exemple), autres que d’avoine, de seigle ou de maïs</w:t>
            </w:r>
            <w:r>
              <w:rPr>
                <w:noProof/>
                <w:sz w:val="20"/>
                <w:szCs w:val="20"/>
              </w:rPr>
              <w:br/>
            </w:r>
            <w:r>
              <w:rPr>
                <w:noProof/>
                <w:sz w:val="20"/>
                <w:szCs w:val="20"/>
              </w:rPr>
              <w:br/>
            </w:r>
            <w:r>
              <w:rPr>
                <w:noProof/>
                <w:sz w:val="20"/>
              </w:rPr>
              <w:t>Germes de céréales, entiers, aplatis, en flocons ou moulus</w:t>
            </w:r>
          </w:p>
        </w:tc>
        <w:tc>
          <w:tcPr>
            <w:tcW w:w="2116" w:type="dxa"/>
            <w:shd w:val="clear" w:color="auto" w:fill="auto"/>
          </w:tcPr>
          <w:p>
            <w:pPr>
              <w:jc w:val="center"/>
              <w:rPr>
                <w:noProof/>
                <w:sz w:val="20"/>
                <w:szCs w:val="20"/>
              </w:rPr>
            </w:pPr>
          </w:p>
        </w:tc>
        <w:tc>
          <w:tcPr>
            <w:tcW w:w="1556" w:type="dxa"/>
            <w:shd w:val="clear" w:color="auto" w:fill="auto"/>
          </w:tcPr>
          <w:p>
            <w:pPr>
              <w:jc w:val="center"/>
              <w:rPr>
                <w:noProof/>
                <w:sz w:val="20"/>
                <w:szCs w:val="20"/>
              </w:rPr>
            </w:pPr>
            <w:r>
              <w:rPr>
                <w:noProof/>
                <w:sz w:val="20"/>
              </w:rPr>
              <w:t>7 800</w:t>
            </w:r>
          </w:p>
        </w:tc>
      </w:tr>
      <w:tr>
        <w:trPr>
          <w:trHeight w:val="1845"/>
        </w:trPr>
        <w:tc>
          <w:tcPr>
            <w:tcW w:w="1101" w:type="dxa"/>
            <w:shd w:val="clear" w:color="auto" w:fill="auto"/>
          </w:tcPr>
          <w:p>
            <w:pPr>
              <w:rPr>
                <w:noProof/>
                <w:sz w:val="20"/>
              </w:rPr>
            </w:pPr>
            <w:r>
              <w:rPr>
                <w:noProof/>
                <w:sz w:val="20"/>
              </w:rPr>
              <w:t>09.6752</w:t>
            </w:r>
          </w:p>
        </w:tc>
        <w:tc>
          <w:tcPr>
            <w:tcW w:w="1452" w:type="dxa"/>
            <w:shd w:val="clear" w:color="auto" w:fill="auto"/>
          </w:tcPr>
          <w:p>
            <w:pPr>
              <w:jc w:val="left"/>
              <w:rPr>
                <w:noProof/>
                <w:sz w:val="20"/>
              </w:rPr>
            </w:pPr>
            <w:r>
              <w:rPr>
                <w:noProof/>
                <w:sz w:val="20"/>
              </w:rPr>
              <w:t>2002</w:t>
            </w:r>
          </w:p>
        </w:tc>
        <w:tc>
          <w:tcPr>
            <w:tcW w:w="3239" w:type="dxa"/>
            <w:shd w:val="clear" w:color="auto" w:fill="auto"/>
          </w:tcPr>
          <w:p>
            <w:pPr>
              <w:rPr>
                <w:noProof/>
                <w:sz w:val="20"/>
              </w:rPr>
            </w:pPr>
            <w:r>
              <w:rPr>
                <w:noProof/>
                <w:sz w:val="20"/>
              </w:rPr>
              <w:t>Tomates préparées ou conservées autrement qu’au vinaigre ou à l’acide acétique</w:t>
            </w:r>
          </w:p>
        </w:tc>
        <w:tc>
          <w:tcPr>
            <w:tcW w:w="2116" w:type="dxa"/>
            <w:shd w:val="clear" w:color="auto" w:fill="auto"/>
          </w:tcPr>
          <w:p>
            <w:pPr>
              <w:jc w:val="center"/>
              <w:rPr>
                <w:noProof/>
                <w:sz w:val="20"/>
              </w:rPr>
            </w:pPr>
          </w:p>
        </w:tc>
        <w:tc>
          <w:tcPr>
            <w:tcW w:w="1556" w:type="dxa"/>
            <w:shd w:val="clear" w:color="auto" w:fill="auto"/>
          </w:tcPr>
          <w:p>
            <w:pPr>
              <w:jc w:val="center"/>
              <w:rPr>
                <w:noProof/>
                <w:sz w:val="20"/>
              </w:rPr>
            </w:pPr>
            <w:r>
              <w:rPr>
                <w:noProof/>
                <w:sz w:val="20"/>
              </w:rPr>
              <w:t>5 000</w:t>
            </w:r>
          </w:p>
        </w:tc>
      </w:tr>
      <w:tr>
        <w:trPr>
          <w:trHeight w:val="4515"/>
        </w:trPr>
        <w:tc>
          <w:tcPr>
            <w:tcW w:w="1101" w:type="dxa"/>
            <w:shd w:val="clear" w:color="auto" w:fill="auto"/>
          </w:tcPr>
          <w:p>
            <w:pPr>
              <w:rPr>
                <w:noProof/>
                <w:sz w:val="20"/>
                <w:szCs w:val="20"/>
              </w:rPr>
            </w:pPr>
            <w:r>
              <w:rPr>
                <w:noProof/>
                <w:sz w:val="20"/>
              </w:rPr>
              <w:t>09.6753</w:t>
            </w:r>
          </w:p>
        </w:tc>
        <w:tc>
          <w:tcPr>
            <w:tcW w:w="1452" w:type="dxa"/>
            <w:shd w:val="clear" w:color="auto" w:fill="auto"/>
          </w:tcPr>
          <w:p>
            <w:pPr>
              <w:jc w:val="left"/>
              <w:rPr>
                <w:noProof/>
                <w:sz w:val="20"/>
                <w:szCs w:val="20"/>
              </w:rPr>
            </w:pPr>
            <w:r>
              <w:rPr>
                <w:noProof/>
                <w:sz w:val="20"/>
              </w:rPr>
              <w:t>2009 61 90</w:t>
            </w:r>
            <w:r>
              <w:rPr>
                <w:noProof/>
                <w:sz w:val="20"/>
                <w:szCs w:val="20"/>
              </w:rPr>
              <w:br/>
            </w:r>
          </w:p>
          <w:p>
            <w:pPr>
              <w:jc w:val="left"/>
              <w:rPr>
                <w:noProof/>
                <w:sz w:val="20"/>
                <w:szCs w:val="20"/>
              </w:rPr>
            </w:pPr>
          </w:p>
          <w:p>
            <w:pPr>
              <w:jc w:val="left"/>
              <w:rPr>
                <w:noProof/>
                <w:sz w:val="20"/>
                <w:szCs w:val="20"/>
              </w:rPr>
            </w:pPr>
          </w:p>
          <w:p>
            <w:pPr>
              <w:jc w:val="left"/>
              <w:rPr>
                <w:noProof/>
                <w:sz w:val="20"/>
                <w:szCs w:val="20"/>
              </w:rPr>
            </w:pPr>
            <w:r>
              <w:rPr>
                <w:noProof/>
                <w:sz w:val="20"/>
              </w:rPr>
              <w:t>2009 69 11</w:t>
            </w:r>
          </w:p>
          <w:p>
            <w:pPr>
              <w:jc w:val="left"/>
              <w:rPr>
                <w:noProof/>
                <w:sz w:val="20"/>
                <w:szCs w:val="20"/>
              </w:rPr>
            </w:pPr>
          </w:p>
          <w:p>
            <w:pPr>
              <w:jc w:val="left"/>
              <w:rPr>
                <w:noProof/>
                <w:sz w:val="20"/>
                <w:szCs w:val="20"/>
              </w:rPr>
            </w:pPr>
          </w:p>
          <w:p>
            <w:pPr>
              <w:jc w:val="left"/>
              <w:rPr>
                <w:noProof/>
                <w:sz w:val="20"/>
                <w:szCs w:val="20"/>
              </w:rPr>
            </w:pPr>
            <w:r>
              <w:rPr>
                <w:noProof/>
                <w:sz w:val="20"/>
              </w:rPr>
              <w:t>2009 69 71, 2009 69 79, 2009 69 90</w:t>
            </w:r>
          </w:p>
          <w:p>
            <w:pPr>
              <w:jc w:val="left"/>
              <w:rPr>
                <w:noProof/>
                <w:sz w:val="20"/>
                <w:szCs w:val="20"/>
              </w:rPr>
            </w:pPr>
          </w:p>
        </w:tc>
        <w:tc>
          <w:tcPr>
            <w:tcW w:w="3239" w:type="dxa"/>
            <w:shd w:val="clear" w:color="auto" w:fill="auto"/>
          </w:tcPr>
          <w:p>
            <w:pPr>
              <w:jc w:val="left"/>
              <w:rPr>
                <w:noProof/>
                <w:sz w:val="20"/>
                <w:szCs w:val="20"/>
              </w:rPr>
            </w:pPr>
            <w:r>
              <w:rPr>
                <w:noProof/>
                <w:sz w:val="20"/>
              </w:rPr>
              <w:t>Jus de raisin (y compris les moûts de raisin), d’une valeur Brix n’excédant pas 30, d’une valeur n’excédant pas 18 EUR par 100 kg poids net</w:t>
            </w:r>
          </w:p>
          <w:p>
            <w:pPr>
              <w:jc w:val="left"/>
              <w:rPr>
                <w:noProof/>
                <w:sz w:val="20"/>
                <w:szCs w:val="20"/>
              </w:rPr>
            </w:pPr>
            <w:r>
              <w:rPr>
                <w:noProof/>
                <w:sz w:val="20"/>
              </w:rPr>
              <w:t xml:space="preserve">Jus de raisin (y compris les moûts de raisin), d’une valeur Brix excédant 67, d’une valeur n’excédant pas 22 EUR par 100 kg poids net </w:t>
            </w:r>
            <w:r>
              <w:rPr>
                <w:noProof/>
                <w:sz w:val="20"/>
                <w:szCs w:val="20"/>
              </w:rPr>
              <w:br/>
            </w:r>
          </w:p>
          <w:p>
            <w:pPr>
              <w:jc w:val="left"/>
              <w:rPr>
                <w:noProof/>
                <w:sz w:val="20"/>
                <w:szCs w:val="20"/>
              </w:rPr>
            </w:pPr>
            <w:r>
              <w:rPr>
                <w:noProof/>
                <w:sz w:val="20"/>
              </w:rPr>
              <w:t>Jus de raisin (y compris les moûts de raisin), d’une valeur Brix excédant 30 mais n’excédant pas 67, d’une valeur n’excédant pas 18 EUR par 100 kg poids net</w:t>
            </w:r>
          </w:p>
        </w:tc>
        <w:tc>
          <w:tcPr>
            <w:tcW w:w="2116" w:type="dxa"/>
            <w:shd w:val="clear" w:color="auto" w:fill="auto"/>
          </w:tcPr>
          <w:p>
            <w:pPr>
              <w:jc w:val="center"/>
              <w:rPr>
                <w:noProof/>
                <w:sz w:val="20"/>
                <w:szCs w:val="20"/>
              </w:rPr>
            </w:pPr>
          </w:p>
        </w:tc>
        <w:tc>
          <w:tcPr>
            <w:tcW w:w="1556" w:type="dxa"/>
            <w:shd w:val="clear" w:color="auto" w:fill="auto"/>
          </w:tcPr>
          <w:p>
            <w:pPr>
              <w:jc w:val="center"/>
              <w:rPr>
                <w:noProof/>
                <w:sz w:val="20"/>
                <w:szCs w:val="20"/>
              </w:rPr>
            </w:pPr>
            <w:r>
              <w:rPr>
                <w:noProof/>
                <w:sz w:val="20"/>
              </w:rPr>
              <w:t>500</w:t>
            </w:r>
          </w:p>
        </w:tc>
      </w:tr>
      <w:tr>
        <w:trPr>
          <w:trHeight w:val="1845"/>
        </w:trPr>
        <w:tc>
          <w:tcPr>
            <w:tcW w:w="1101" w:type="dxa"/>
            <w:shd w:val="clear" w:color="auto" w:fill="auto"/>
          </w:tcPr>
          <w:p>
            <w:pPr>
              <w:rPr>
                <w:noProof/>
                <w:sz w:val="20"/>
              </w:rPr>
            </w:pPr>
            <w:r>
              <w:rPr>
                <w:noProof/>
                <w:sz w:val="20"/>
              </w:rPr>
              <w:t>09.6754</w:t>
            </w:r>
          </w:p>
        </w:tc>
        <w:tc>
          <w:tcPr>
            <w:tcW w:w="1452" w:type="dxa"/>
            <w:shd w:val="clear" w:color="auto" w:fill="auto"/>
          </w:tcPr>
          <w:p>
            <w:pPr>
              <w:jc w:val="left"/>
              <w:rPr>
                <w:noProof/>
                <w:sz w:val="20"/>
              </w:rPr>
            </w:pPr>
            <w:r>
              <w:rPr>
                <w:noProof/>
                <w:sz w:val="20"/>
              </w:rPr>
              <w:t>1004</w:t>
            </w:r>
          </w:p>
        </w:tc>
        <w:tc>
          <w:tcPr>
            <w:tcW w:w="3239" w:type="dxa"/>
            <w:shd w:val="clear" w:color="auto" w:fill="auto"/>
          </w:tcPr>
          <w:p>
            <w:pPr>
              <w:rPr>
                <w:noProof/>
                <w:sz w:val="20"/>
              </w:rPr>
            </w:pPr>
            <w:r>
              <w:rPr>
                <w:noProof/>
                <w:sz w:val="20"/>
              </w:rPr>
              <w:t>Avoine</w:t>
            </w:r>
          </w:p>
        </w:tc>
        <w:tc>
          <w:tcPr>
            <w:tcW w:w="2116" w:type="dxa"/>
            <w:shd w:val="clear" w:color="auto" w:fill="auto"/>
          </w:tcPr>
          <w:p>
            <w:pPr>
              <w:jc w:val="center"/>
              <w:rPr>
                <w:noProof/>
                <w:sz w:val="20"/>
              </w:rPr>
            </w:pPr>
          </w:p>
        </w:tc>
        <w:tc>
          <w:tcPr>
            <w:tcW w:w="1556" w:type="dxa"/>
            <w:shd w:val="clear" w:color="auto" w:fill="auto"/>
          </w:tcPr>
          <w:p>
            <w:pPr>
              <w:jc w:val="center"/>
              <w:rPr>
                <w:noProof/>
                <w:sz w:val="20"/>
              </w:rPr>
            </w:pPr>
            <w:r>
              <w:rPr>
                <w:noProof/>
                <w:sz w:val="20"/>
              </w:rPr>
              <w:t>4 000</w:t>
            </w:r>
          </w:p>
        </w:tc>
      </w:tr>
    </w:tbl>
    <w:p>
      <w:pPr>
        <w:rPr>
          <w:noProof/>
        </w:rPr>
        <w:sectPr>
          <w:footerReference w:type="default" r:id="rId16"/>
          <w:footerReference w:type="first" r:id="rId17"/>
          <w:pgSz w:w="11907" w:h="16839"/>
          <w:pgMar w:top="1134" w:right="1417" w:bottom="1134" w:left="1417" w:header="709" w:footer="709" w:gutter="0"/>
          <w:cols w:space="720"/>
          <w:docGrid w:linePitch="360"/>
        </w:sectPr>
      </w:pPr>
    </w:p>
    <w:p>
      <w:pPr>
        <w:jc w:val="center"/>
        <w:rPr>
          <w:b/>
          <w:noProof/>
          <w:u w:val="single"/>
        </w:rPr>
      </w:pPr>
      <w:r>
        <w:rPr>
          <w:b/>
          <w:noProof/>
          <w:u w:val="single"/>
        </w:rPr>
        <w:t>ANNEXE II</w:t>
      </w:r>
    </w:p>
    <w:p>
      <w:pPr>
        <w:spacing w:before="240"/>
        <w:jc w:val="center"/>
        <w:rPr>
          <w:noProof/>
          <w:sz w:val="22"/>
        </w:rPr>
      </w:pPr>
      <w:r>
        <w:rPr>
          <w:noProof/>
          <w:sz w:val="22"/>
        </w:rPr>
        <w:t>Contingents tarifaires concernant les produits agricoles spécifiques visés à l’article 1</w:t>
      </w:r>
      <w:r>
        <w:rPr>
          <w:noProof/>
          <w:sz w:val="22"/>
          <w:vertAlign w:val="superscript"/>
        </w:rPr>
        <w:t>er</w:t>
      </w:r>
      <w:r>
        <w:rPr>
          <w:noProof/>
          <w:sz w:val="22"/>
        </w:rPr>
        <w:t>, paragraphe 3</w:t>
      </w:r>
    </w:p>
    <w:p>
      <w:pPr>
        <w:spacing w:before="240"/>
        <w:rPr>
          <w:noProof/>
          <w:sz w:val="22"/>
        </w:rPr>
      </w:pPr>
      <w:r>
        <w:rPr>
          <w:noProof/>
          <w:sz w:val="22"/>
        </w:rPr>
        <w:t>Sans préjudice des règles relatives à l’interprétation de la nomenclature combinée, le libellé de la désignation des marchandises doit être considéré comme n’ayant qu’une valeur indicative, le champ d’application du régime préférentiel étant déterminé, dans le cadre de la présente annexe, par les codes NC tels qu’ils existent au moment de l’adoption du présent règlement.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328"/>
        <w:gridCol w:w="5196"/>
      </w:tblGrid>
      <w:tr>
        <w:trPr>
          <w:tblHeader/>
        </w:trPr>
        <w:tc>
          <w:tcPr>
            <w:tcW w:w="950" w:type="pct"/>
            <w:shd w:val="clear" w:color="auto" w:fill="auto"/>
            <w:vAlign w:val="center"/>
          </w:tcPr>
          <w:p>
            <w:pPr>
              <w:ind w:left="-85" w:right="-85"/>
              <w:jc w:val="center"/>
              <w:rPr>
                <w:rFonts w:eastAsia="Times New Roman"/>
                <w:bCs/>
                <w:noProof/>
                <w:sz w:val="20"/>
                <w:szCs w:val="20"/>
              </w:rPr>
            </w:pPr>
            <w:r>
              <w:rPr>
                <w:noProof/>
                <w:sz w:val="20"/>
              </w:rPr>
              <w:t>Produit</w:t>
            </w:r>
          </w:p>
        </w:tc>
        <w:tc>
          <w:tcPr>
            <w:tcW w:w="1253" w:type="pct"/>
            <w:shd w:val="clear" w:color="auto" w:fill="auto"/>
            <w:vAlign w:val="center"/>
          </w:tcPr>
          <w:p>
            <w:pPr>
              <w:ind w:left="-85" w:right="-85"/>
              <w:jc w:val="center"/>
              <w:rPr>
                <w:rFonts w:eastAsia="Times New Roman"/>
                <w:bCs/>
                <w:noProof/>
                <w:sz w:val="20"/>
                <w:szCs w:val="20"/>
              </w:rPr>
            </w:pPr>
            <w:r>
              <w:rPr>
                <w:noProof/>
                <w:sz w:val="20"/>
              </w:rPr>
              <w:t>Classement tarifaire</w:t>
            </w:r>
          </w:p>
        </w:tc>
        <w:tc>
          <w:tcPr>
            <w:tcW w:w="2796" w:type="pct"/>
            <w:shd w:val="clear" w:color="auto" w:fill="auto"/>
            <w:vAlign w:val="center"/>
          </w:tcPr>
          <w:p>
            <w:pPr>
              <w:ind w:left="-85" w:right="-85"/>
              <w:jc w:val="center"/>
              <w:rPr>
                <w:rFonts w:eastAsia="Times New Roman"/>
                <w:noProof/>
                <w:sz w:val="20"/>
                <w:szCs w:val="20"/>
              </w:rPr>
            </w:pPr>
            <w:r>
              <w:rPr>
                <w:noProof/>
                <w:sz w:val="20"/>
              </w:rPr>
              <w:t xml:space="preserve">Quantité </w:t>
            </w:r>
          </w:p>
        </w:tc>
      </w:tr>
      <w:tr>
        <w:trPr>
          <w:tblHeader/>
        </w:trPr>
        <w:tc>
          <w:tcPr>
            <w:tcW w:w="950" w:type="pct"/>
            <w:shd w:val="clear" w:color="auto" w:fill="auto"/>
            <w:vAlign w:val="center"/>
          </w:tcPr>
          <w:p>
            <w:pPr>
              <w:spacing w:after="0"/>
              <w:ind w:left="-57" w:right="-57"/>
              <w:jc w:val="left"/>
              <w:rPr>
                <w:rFonts w:eastAsia="Times New Roman"/>
                <w:noProof/>
                <w:sz w:val="20"/>
                <w:szCs w:val="20"/>
              </w:rPr>
            </w:pPr>
            <w:r>
              <w:rPr>
                <w:noProof/>
                <w:sz w:val="20"/>
                <w:u w:val="single"/>
              </w:rPr>
              <w:t>Froment</w:t>
            </w:r>
            <w:r>
              <w:rPr>
                <w:noProof/>
                <w:sz w:val="20"/>
              </w:rPr>
              <w:t xml:space="preserve"> (blé) tendre, épeautre et méteil, farines, gruaux, semoules et agglomérés sous forme de pellets</w:t>
            </w:r>
          </w:p>
        </w:tc>
        <w:tc>
          <w:tcPr>
            <w:tcW w:w="1253" w:type="pct"/>
            <w:shd w:val="clear" w:color="auto" w:fill="auto"/>
            <w:vAlign w:val="center"/>
          </w:tcPr>
          <w:p>
            <w:pPr>
              <w:spacing w:after="0"/>
              <w:ind w:left="-85" w:right="-85"/>
              <w:rPr>
                <w:rFonts w:eastAsia="Times New Roman"/>
                <w:noProof/>
                <w:sz w:val="20"/>
                <w:szCs w:val="20"/>
              </w:rPr>
            </w:pPr>
            <w:r>
              <w:rPr>
                <w:noProof/>
                <w:sz w:val="20"/>
              </w:rPr>
              <w:t xml:space="preserve">1001 99 00 </w:t>
            </w:r>
          </w:p>
          <w:p>
            <w:pPr>
              <w:spacing w:after="0"/>
              <w:ind w:left="-85" w:right="-85"/>
              <w:rPr>
                <w:rFonts w:eastAsia="Times New Roman"/>
                <w:noProof/>
                <w:sz w:val="20"/>
                <w:szCs w:val="20"/>
              </w:rPr>
            </w:pPr>
            <w:r>
              <w:rPr>
                <w:noProof/>
                <w:sz w:val="20"/>
              </w:rPr>
              <w:t>1101 00 15, 1101 00 90</w:t>
            </w:r>
          </w:p>
          <w:p>
            <w:pPr>
              <w:spacing w:after="0"/>
              <w:ind w:left="-85" w:right="-85"/>
              <w:rPr>
                <w:rFonts w:eastAsia="Times New Roman"/>
                <w:noProof/>
                <w:sz w:val="20"/>
                <w:szCs w:val="20"/>
              </w:rPr>
            </w:pPr>
            <w:r>
              <w:rPr>
                <w:noProof/>
                <w:sz w:val="20"/>
              </w:rPr>
              <w:t>1102 90 90</w:t>
            </w:r>
          </w:p>
          <w:p>
            <w:pPr>
              <w:spacing w:after="0"/>
              <w:ind w:left="-85" w:right="-85"/>
              <w:rPr>
                <w:rFonts w:eastAsia="Times New Roman"/>
                <w:noProof/>
                <w:sz w:val="20"/>
                <w:szCs w:val="20"/>
              </w:rPr>
            </w:pPr>
            <w:r>
              <w:rPr>
                <w:noProof/>
                <w:sz w:val="20"/>
              </w:rPr>
              <w:t>1103 11 90, 1103 20 60</w:t>
            </w:r>
          </w:p>
        </w:tc>
        <w:tc>
          <w:tcPr>
            <w:tcW w:w="2796" w:type="pct"/>
            <w:shd w:val="clear" w:color="auto" w:fill="auto"/>
            <w:vAlign w:val="center"/>
          </w:tcPr>
          <w:p>
            <w:pPr>
              <w:spacing w:after="0"/>
              <w:ind w:left="-85" w:right="-85"/>
              <w:jc w:val="center"/>
              <w:rPr>
                <w:rFonts w:eastAsia="Times New Roman"/>
                <w:bCs/>
                <w:noProof/>
                <w:sz w:val="20"/>
                <w:szCs w:val="20"/>
              </w:rPr>
            </w:pPr>
            <w:r>
              <w:rPr>
                <w:noProof/>
                <w:sz w:val="20"/>
              </w:rPr>
              <w:t xml:space="preserve">100 000 tonnes/an </w:t>
            </w:r>
          </w:p>
          <w:p>
            <w:pPr>
              <w:spacing w:after="0"/>
              <w:ind w:left="-85" w:right="-85"/>
              <w:jc w:val="center"/>
              <w:rPr>
                <w:rFonts w:eastAsia="Times New Roman"/>
                <w:noProof/>
                <w:sz w:val="20"/>
                <w:szCs w:val="20"/>
              </w:rPr>
            </w:pPr>
          </w:p>
        </w:tc>
      </w:tr>
      <w:tr>
        <w:trPr>
          <w:tblHeader/>
        </w:trPr>
        <w:tc>
          <w:tcPr>
            <w:tcW w:w="950" w:type="pct"/>
            <w:shd w:val="clear" w:color="auto" w:fill="auto"/>
            <w:vAlign w:val="center"/>
          </w:tcPr>
          <w:p>
            <w:pPr>
              <w:spacing w:after="0"/>
              <w:ind w:left="-57" w:right="-57"/>
              <w:jc w:val="left"/>
              <w:rPr>
                <w:rFonts w:eastAsia="Times New Roman"/>
                <w:noProof/>
                <w:sz w:val="20"/>
                <w:szCs w:val="20"/>
              </w:rPr>
            </w:pPr>
            <w:r>
              <w:rPr>
                <w:noProof/>
                <w:sz w:val="20"/>
                <w:u w:val="single"/>
              </w:rPr>
              <w:t>Maïs</w:t>
            </w:r>
            <w:r>
              <w:rPr>
                <w:noProof/>
                <w:sz w:val="20"/>
              </w:rPr>
              <w:t>, autre que semences, farines, gruaux, semoules et agglomérés sous forme de pellets et céréales</w:t>
            </w:r>
          </w:p>
        </w:tc>
        <w:tc>
          <w:tcPr>
            <w:tcW w:w="1253" w:type="pct"/>
            <w:shd w:val="clear" w:color="auto" w:fill="auto"/>
            <w:vAlign w:val="center"/>
          </w:tcPr>
          <w:p>
            <w:pPr>
              <w:spacing w:after="0"/>
              <w:ind w:left="-85" w:right="-85"/>
              <w:rPr>
                <w:rFonts w:eastAsia="Times New Roman"/>
                <w:noProof/>
                <w:sz w:val="20"/>
                <w:szCs w:val="20"/>
              </w:rPr>
            </w:pPr>
            <w:r>
              <w:rPr>
                <w:noProof/>
                <w:sz w:val="20"/>
              </w:rPr>
              <w:t>1005 90 00</w:t>
            </w:r>
          </w:p>
          <w:p>
            <w:pPr>
              <w:spacing w:after="0"/>
              <w:ind w:left="-85" w:right="-85"/>
              <w:rPr>
                <w:rFonts w:eastAsia="Times New Roman"/>
                <w:noProof/>
                <w:sz w:val="20"/>
                <w:szCs w:val="20"/>
              </w:rPr>
            </w:pPr>
            <w:r>
              <w:rPr>
                <w:noProof/>
                <w:sz w:val="20"/>
              </w:rPr>
              <w:t>1102 20</w:t>
            </w:r>
          </w:p>
          <w:p>
            <w:pPr>
              <w:spacing w:after="0"/>
              <w:ind w:left="-85" w:right="-85"/>
              <w:rPr>
                <w:rFonts w:eastAsia="Times New Roman"/>
                <w:noProof/>
                <w:sz w:val="20"/>
                <w:szCs w:val="20"/>
              </w:rPr>
            </w:pPr>
            <w:r>
              <w:rPr>
                <w:noProof/>
                <w:sz w:val="20"/>
              </w:rPr>
              <w:t>1103 13</w:t>
            </w:r>
          </w:p>
          <w:p>
            <w:pPr>
              <w:spacing w:after="0"/>
              <w:ind w:left="-85" w:right="-85"/>
              <w:rPr>
                <w:rFonts w:eastAsia="Times New Roman"/>
                <w:noProof/>
                <w:sz w:val="20"/>
                <w:szCs w:val="20"/>
              </w:rPr>
            </w:pPr>
            <w:r>
              <w:rPr>
                <w:noProof/>
                <w:sz w:val="20"/>
              </w:rPr>
              <w:t>1103 20 40</w:t>
            </w:r>
          </w:p>
          <w:p>
            <w:pPr>
              <w:spacing w:after="0"/>
              <w:ind w:left="-85" w:right="-85"/>
              <w:rPr>
                <w:rFonts w:eastAsia="Times New Roman"/>
                <w:noProof/>
                <w:sz w:val="20"/>
                <w:szCs w:val="20"/>
              </w:rPr>
            </w:pPr>
            <w:r>
              <w:rPr>
                <w:noProof/>
                <w:sz w:val="20"/>
              </w:rPr>
              <w:t>1104 23</w:t>
            </w:r>
          </w:p>
        </w:tc>
        <w:tc>
          <w:tcPr>
            <w:tcW w:w="2796" w:type="pct"/>
            <w:shd w:val="clear" w:color="auto" w:fill="auto"/>
            <w:vAlign w:val="center"/>
          </w:tcPr>
          <w:p>
            <w:pPr>
              <w:spacing w:after="0"/>
              <w:ind w:left="-85" w:right="-85"/>
              <w:jc w:val="center"/>
              <w:rPr>
                <w:rFonts w:eastAsia="Times New Roman"/>
                <w:bCs/>
                <w:noProof/>
                <w:sz w:val="20"/>
                <w:szCs w:val="20"/>
              </w:rPr>
            </w:pPr>
            <w:r>
              <w:rPr>
                <w:noProof/>
                <w:sz w:val="20"/>
              </w:rPr>
              <w:t xml:space="preserve">650 000 tonnes/an </w:t>
            </w:r>
          </w:p>
          <w:p>
            <w:pPr>
              <w:spacing w:after="0"/>
              <w:ind w:left="-85" w:right="-85"/>
              <w:jc w:val="center"/>
              <w:rPr>
                <w:rFonts w:eastAsia="Times New Roman"/>
                <w:noProof/>
                <w:sz w:val="20"/>
                <w:szCs w:val="20"/>
              </w:rPr>
            </w:pPr>
          </w:p>
        </w:tc>
      </w:tr>
      <w:tr>
        <w:trPr>
          <w:tblHeader/>
        </w:trPr>
        <w:tc>
          <w:tcPr>
            <w:tcW w:w="950" w:type="pct"/>
            <w:shd w:val="clear" w:color="auto" w:fill="auto"/>
            <w:vAlign w:val="center"/>
          </w:tcPr>
          <w:p>
            <w:pPr>
              <w:spacing w:after="0"/>
              <w:ind w:left="-57" w:right="-57"/>
              <w:jc w:val="left"/>
              <w:rPr>
                <w:rFonts w:eastAsia="Times New Roman"/>
                <w:noProof/>
                <w:sz w:val="20"/>
                <w:szCs w:val="20"/>
              </w:rPr>
            </w:pPr>
            <w:r>
              <w:rPr>
                <w:noProof/>
                <w:sz w:val="20"/>
                <w:u w:val="single"/>
              </w:rPr>
              <w:t>Orge</w:t>
            </w:r>
            <w:r>
              <w:rPr>
                <w:noProof/>
                <w:sz w:val="20"/>
              </w:rPr>
              <w:t>, autre que semences, farines et agglomérés sous forme de pellets</w:t>
            </w:r>
          </w:p>
        </w:tc>
        <w:tc>
          <w:tcPr>
            <w:tcW w:w="1253" w:type="pct"/>
            <w:shd w:val="clear" w:color="auto" w:fill="auto"/>
            <w:vAlign w:val="center"/>
          </w:tcPr>
          <w:p>
            <w:pPr>
              <w:spacing w:after="0"/>
              <w:ind w:left="-85" w:right="-85"/>
              <w:rPr>
                <w:rFonts w:eastAsia="Times New Roman"/>
                <w:noProof/>
                <w:sz w:val="20"/>
                <w:szCs w:val="20"/>
              </w:rPr>
            </w:pPr>
            <w:r>
              <w:rPr>
                <w:noProof/>
                <w:sz w:val="20"/>
              </w:rPr>
              <w:t>1003 90 00</w:t>
            </w:r>
          </w:p>
          <w:p>
            <w:pPr>
              <w:spacing w:after="0"/>
              <w:ind w:left="-85" w:right="-85"/>
              <w:rPr>
                <w:rFonts w:eastAsia="Times New Roman"/>
                <w:noProof/>
                <w:sz w:val="20"/>
                <w:szCs w:val="20"/>
              </w:rPr>
            </w:pPr>
            <w:r>
              <w:rPr>
                <w:noProof/>
                <w:sz w:val="20"/>
              </w:rPr>
              <w:t>1102 90 10</w:t>
            </w:r>
          </w:p>
          <w:p>
            <w:pPr>
              <w:spacing w:after="0"/>
              <w:ind w:left="-85" w:right="-85"/>
              <w:rPr>
                <w:rFonts w:eastAsia="Times New Roman"/>
                <w:noProof/>
                <w:sz w:val="20"/>
                <w:szCs w:val="20"/>
              </w:rPr>
            </w:pPr>
            <w:r>
              <w:rPr>
                <w:noProof/>
                <w:sz w:val="20"/>
              </w:rPr>
              <w:t>ex 1103 20 25</w:t>
            </w:r>
          </w:p>
        </w:tc>
        <w:tc>
          <w:tcPr>
            <w:tcW w:w="2796" w:type="pct"/>
            <w:shd w:val="clear" w:color="auto" w:fill="auto"/>
            <w:vAlign w:val="center"/>
          </w:tcPr>
          <w:p>
            <w:pPr>
              <w:spacing w:after="0"/>
              <w:ind w:left="-85" w:right="-85"/>
              <w:jc w:val="center"/>
              <w:rPr>
                <w:rFonts w:eastAsia="Times New Roman"/>
                <w:bCs/>
                <w:noProof/>
                <w:sz w:val="20"/>
                <w:szCs w:val="20"/>
              </w:rPr>
            </w:pPr>
            <w:r>
              <w:rPr>
                <w:noProof/>
                <w:sz w:val="20"/>
              </w:rPr>
              <w:t xml:space="preserve">350 000 tonnes/an </w:t>
            </w:r>
          </w:p>
          <w:p>
            <w:pPr>
              <w:spacing w:after="0"/>
              <w:ind w:left="-85" w:right="-85"/>
              <w:jc w:val="center"/>
              <w:rPr>
                <w:rFonts w:eastAsia="Times New Roman"/>
                <w:noProof/>
                <w:sz w:val="20"/>
                <w:szCs w:val="20"/>
              </w:rPr>
            </w:pPr>
          </w:p>
        </w:tc>
      </w:tr>
    </w:tbl>
    <w:p>
      <w:pPr>
        <w:rPr>
          <w:noProof/>
        </w:rPr>
        <w:sectPr>
          <w:pgSz w:w="11907" w:h="16839"/>
          <w:pgMar w:top="1134" w:right="1417" w:bottom="1134" w:left="1417" w:header="709" w:footer="709" w:gutter="0"/>
          <w:cols w:space="720"/>
          <w:docGrid w:linePitch="360"/>
        </w:sectPr>
      </w:pPr>
    </w:p>
    <w:p>
      <w:pPr>
        <w:spacing w:before="240"/>
        <w:jc w:val="center"/>
        <w:rPr>
          <w:b/>
          <w:noProof/>
          <w:u w:val="single"/>
        </w:rPr>
      </w:pPr>
      <w:r>
        <w:rPr>
          <w:b/>
          <w:noProof/>
          <w:u w:val="single"/>
        </w:rPr>
        <w:t>ANNEXE III</w:t>
      </w:r>
    </w:p>
    <w:p>
      <w:pPr>
        <w:spacing w:before="240"/>
        <w:jc w:val="center"/>
        <w:rPr>
          <w:noProof/>
          <w:sz w:val="22"/>
        </w:rPr>
      </w:pPr>
      <w:r>
        <w:rPr>
          <w:noProof/>
        </w:rPr>
        <w:t>Contingents tarifaires concernant les produits spécifiques visés à l’article 1</w:t>
      </w:r>
      <w:r>
        <w:rPr>
          <w:noProof/>
          <w:vertAlign w:val="superscript"/>
        </w:rPr>
        <w:t>er</w:t>
      </w:r>
      <w:r>
        <w:rPr>
          <w:noProof/>
        </w:rPr>
        <w:t>, paragraphe 4</w:t>
      </w:r>
    </w:p>
    <w:p>
      <w:pPr>
        <w:spacing w:before="240"/>
        <w:rPr>
          <w:noProof/>
          <w:sz w:val="22"/>
        </w:rPr>
      </w:pPr>
      <w:r>
        <w:rPr>
          <w:noProof/>
          <w:sz w:val="22"/>
        </w:rPr>
        <w:t>Sans préjudice des règles relatives à l’interprétation de la nomenclature combinée, le libellé de la désignation des marchandises doit être considéré comme n’ayant qu’une valeur indicative, le champ d’application du régime préférentiel étant déterminé, dans le cadre de la présente annexe, par les codes NC tels qu’ils existent au moment de l’adoption du présent règlement.</w:t>
      </w:r>
    </w:p>
    <w:tbl>
      <w:tblPr>
        <w:tblW w:w="5000" w:type="pct"/>
        <w:tblLook w:val="04A0" w:firstRow="1" w:lastRow="0" w:firstColumn="1" w:lastColumn="0" w:noHBand="0" w:noVBand="1"/>
      </w:tblPr>
      <w:tblGrid>
        <w:gridCol w:w="1431"/>
        <w:gridCol w:w="10475"/>
        <w:gridCol w:w="2881"/>
      </w:tblGrid>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NC 2016</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DÉSIGNATION</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r>
              <w:rPr>
                <w:noProof/>
                <w:sz w:val="20"/>
              </w:rPr>
              <w:t>Droits applicables</w:t>
            </w:r>
          </w:p>
        </w:tc>
      </w:tr>
      <w:tr>
        <w:trPr>
          <w:trHeight w:val="76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 xml:space="preserve"> </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color w:val="000000"/>
                <w:sz w:val="19"/>
              </w:rPr>
              <w:t>CHAPITRE 31 - ENGRAIS</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rPr>
            </w:pPr>
            <w:r>
              <w:rPr>
                <w:noProof/>
                <w:sz w:val="20"/>
              </w:rPr>
              <w:t>3102 10 10</w:t>
            </w:r>
          </w:p>
        </w:tc>
        <w:tc>
          <w:tcPr>
            <w:tcW w:w="3542" w:type="pct"/>
            <w:tcBorders>
              <w:top w:val="nil"/>
              <w:left w:val="nil"/>
              <w:bottom w:val="single" w:sz="4" w:space="0" w:color="auto"/>
              <w:right w:val="single" w:sz="4" w:space="0" w:color="auto"/>
            </w:tcBorders>
          </w:tcPr>
          <w:p>
            <w:pPr>
              <w:spacing w:before="0" w:after="0"/>
              <w:jc w:val="left"/>
              <w:rPr>
                <w:noProof/>
                <w:sz w:val="20"/>
                <w:szCs w:val="20"/>
              </w:rPr>
            </w:pPr>
            <w:r>
              <w:rPr>
                <w:noProof/>
                <w:sz w:val="20"/>
              </w:rPr>
              <w:t>Urée, même en solution aqueuse, d’une teneur en azote supérieure à 45 % en poids du produit anhydre à l’état sec (à l’excl. des produits présentés soit en tablettes ou formes similaires, soit en emballages d’un poids brut n’excédant pas 10 kg)</w:t>
            </w:r>
          </w:p>
        </w:tc>
        <w:tc>
          <w:tcPr>
            <w:tcW w:w="974" w:type="pct"/>
            <w:tcBorders>
              <w:top w:val="nil"/>
              <w:left w:val="nil"/>
              <w:bottom w:val="single" w:sz="4" w:space="0" w:color="auto"/>
              <w:right w:val="single" w:sz="4" w:space="0" w:color="auto"/>
            </w:tcBorders>
          </w:tcPr>
          <w:p>
            <w:pPr>
              <w:spacing w:before="0" w:after="0"/>
              <w:jc w:val="center"/>
              <w:rPr>
                <w:noProof/>
                <w:sz w:val="20"/>
                <w:szCs w:val="20"/>
              </w:rPr>
            </w:pPr>
            <w:r>
              <w:rPr>
                <w:noProof/>
                <w:sz w:val="20"/>
              </w:rPr>
              <w:t>3 %</w:t>
            </w: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rPr>
            </w:pPr>
            <w:r>
              <w:rPr>
                <w:noProof/>
                <w:sz w:val="20"/>
              </w:rPr>
              <w:t>3102 21 00</w:t>
            </w:r>
          </w:p>
        </w:tc>
        <w:tc>
          <w:tcPr>
            <w:tcW w:w="3542" w:type="pct"/>
            <w:tcBorders>
              <w:top w:val="nil"/>
              <w:left w:val="nil"/>
              <w:bottom w:val="single" w:sz="4" w:space="0" w:color="auto"/>
              <w:right w:val="single" w:sz="4" w:space="0" w:color="auto"/>
            </w:tcBorders>
          </w:tcPr>
          <w:p>
            <w:pPr>
              <w:spacing w:before="0" w:after="0"/>
              <w:jc w:val="left"/>
              <w:rPr>
                <w:noProof/>
                <w:sz w:val="20"/>
                <w:szCs w:val="20"/>
              </w:rPr>
            </w:pPr>
            <w:r>
              <w:rPr>
                <w:noProof/>
                <w:sz w:val="20"/>
              </w:rPr>
              <w:t>Sulfate d’ammonium (à l’excl. des produits présentés soit en tablettes ou formes similaires, soit en emballages d’un poids brut n’excédant pas10 kg)</w:t>
            </w:r>
          </w:p>
          <w:p>
            <w:pPr>
              <w:spacing w:before="0" w:after="0"/>
              <w:jc w:val="left"/>
              <w:rPr>
                <w:noProof/>
                <w:sz w:val="20"/>
                <w:szCs w:val="20"/>
              </w:rPr>
            </w:pPr>
          </w:p>
        </w:tc>
        <w:tc>
          <w:tcPr>
            <w:tcW w:w="974" w:type="pct"/>
            <w:tcBorders>
              <w:top w:val="nil"/>
              <w:left w:val="nil"/>
              <w:bottom w:val="single" w:sz="4" w:space="0" w:color="auto"/>
              <w:right w:val="single" w:sz="4" w:space="0" w:color="auto"/>
            </w:tcBorders>
          </w:tcPr>
          <w:p>
            <w:pPr>
              <w:spacing w:before="0" w:after="0"/>
              <w:jc w:val="center"/>
              <w:rPr>
                <w:noProof/>
                <w:sz w:val="20"/>
                <w:szCs w:val="20"/>
              </w:rPr>
            </w:pPr>
            <w:r>
              <w:rPr>
                <w:noProof/>
                <w:sz w:val="20"/>
              </w:rPr>
              <w:t>0 %</w:t>
            </w:r>
          </w:p>
        </w:tc>
      </w:tr>
      <w:tr>
        <w:trPr>
          <w:trHeight w:val="510"/>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rPr>
            </w:pPr>
            <w:r>
              <w:rPr>
                <w:noProof/>
                <w:sz w:val="20"/>
              </w:rPr>
              <w:t>3102 40 10</w:t>
            </w:r>
          </w:p>
        </w:tc>
        <w:tc>
          <w:tcPr>
            <w:tcW w:w="3542" w:type="pct"/>
            <w:tcBorders>
              <w:top w:val="nil"/>
              <w:left w:val="nil"/>
              <w:bottom w:val="single" w:sz="4" w:space="0" w:color="auto"/>
              <w:right w:val="single" w:sz="4" w:space="0" w:color="auto"/>
            </w:tcBorders>
          </w:tcPr>
          <w:p>
            <w:pPr>
              <w:spacing w:before="0" w:after="0"/>
              <w:jc w:val="left"/>
              <w:rPr>
                <w:noProof/>
                <w:sz w:val="20"/>
                <w:szCs w:val="20"/>
              </w:rPr>
            </w:pPr>
            <w:r>
              <w:rPr>
                <w:noProof/>
                <w:sz w:val="20"/>
              </w:rPr>
              <w:t>Mélanges de nitrate d’ammonium et de carbonate de calcium ou d’autres matières inorganiques dépourvues de pouvoir fertilisant, d’une teneur en azote n’excédant pas 28 % en poids (à l’excl. des produits présentés soit en tablettes ou formes similaires, soit en emballages d’un poids brut n’excédant pas 10 kg)</w:t>
            </w:r>
          </w:p>
        </w:tc>
        <w:tc>
          <w:tcPr>
            <w:tcW w:w="974" w:type="pct"/>
            <w:tcBorders>
              <w:top w:val="nil"/>
              <w:left w:val="nil"/>
              <w:bottom w:val="single" w:sz="4" w:space="0" w:color="auto"/>
              <w:right w:val="single" w:sz="4" w:space="0" w:color="auto"/>
            </w:tcBorders>
          </w:tcPr>
          <w:p>
            <w:pPr>
              <w:spacing w:before="0" w:after="0"/>
              <w:jc w:val="center"/>
              <w:rPr>
                <w:noProof/>
                <w:sz w:val="20"/>
                <w:szCs w:val="20"/>
              </w:rPr>
            </w:pPr>
            <w:r>
              <w:rPr>
                <w:noProof/>
                <w:sz w:val="20"/>
              </w:rPr>
              <w:t>0 %</w:t>
            </w: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rPr>
            </w:pPr>
            <w:r>
              <w:rPr>
                <w:noProof/>
                <w:sz w:val="20"/>
              </w:rPr>
              <w:t>3102 50 00</w:t>
            </w:r>
          </w:p>
        </w:tc>
        <w:tc>
          <w:tcPr>
            <w:tcW w:w="3542" w:type="pct"/>
            <w:tcBorders>
              <w:top w:val="nil"/>
              <w:left w:val="nil"/>
              <w:bottom w:val="single" w:sz="4" w:space="0" w:color="auto"/>
              <w:right w:val="single" w:sz="4" w:space="0" w:color="auto"/>
            </w:tcBorders>
          </w:tcPr>
          <w:p>
            <w:pPr>
              <w:spacing w:before="0" w:after="0"/>
              <w:jc w:val="left"/>
              <w:rPr>
                <w:noProof/>
                <w:sz w:val="20"/>
                <w:szCs w:val="20"/>
              </w:rPr>
            </w:pPr>
            <w:r>
              <w:rPr>
                <w:noProof/>
                <w:sz w:val="20"/>
              </w:rPr>
              <w:t>Nitrate de sodium (à l’excl. des produits présentés soit en tablettes ou formes similaires, soit en emballages d’un poids brut &lt;= 10 kg)</w:t>
            </w:r>
          </w:p>
        </w:tc>
        <w:tc>
          <w:tcPr>
            <w:tcW w:w="974" w:type="pct"/>
            <w:tcBorders>
              <w:top w:val="nil"/>
              <w:left w:val="nil"/>
              <w:bottom w:val="single" w:sz="4" w:space="0" w:color="auto"/>
              <w:right w:val="single" w:sz="4" w:space="0" w:color="auto"/>
            </w:tcBorders>
          </w:tcPr>
          <w:p>
            <w:pPr>
              <w:spacing w:before="0" w:after="0"/>
              <w:jc w:val="center"/>
              <w:rPr>
                <w:noProof/>
                <w:sz w:val="20"/>
                <w:szCs w:val="20"/>
              </w:rPr>
            </w:pPr>
            <w:r>
              <w:rPr>
                <w:noProof/>
                <w:sz w:val="20"/>
              </w:rPr>
              <w:t>0 %</w:t>
            </w:r>
          </w:p>
          <w:p>
            <w:pPr>
              <w:spacing w:before="0" w:after="0"/>
              <w:jc w:val="center"/>
              <w:rPr>
                <w:noProof/>
                <w:sz w:val="20"/>
                <w:szCs w:val="20"/>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3105 20 10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Engrais minéraux ou chimiques contenant de l’azote, du phosphore et du potassium, d’une teneur en azote excédant 10 % en poids du produit anhydre à l’état sec (à l’excl. des produits présentés soit en tablettes ou formes similaires, soit en emballages d’un poids brut n’excédant pas 10 kg)</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r>
              <w:rPr>
                <w:noProof/>
                <w:sz w:val="20"/>
              </w:rPr>
              <w:t>0 %</w:t>
            </w: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rPr>
            </w:pPr>
            <w:r>
              <w:rPr>
                <w:noProof/>
                <w:sz w:val="20"/>
              </w:rPr>
              <w:t>3105 51 00</w:t>
            </w:r>
          </w:p>
        </w:tc>
        <w:tc>
          <w:tcPr>
            <w:tcW w:w="3542" w:type="pct"/>
            <w:tcBorders>
              <w:top w:val="nil"/>
              <w:left w:val="nil"/>
              <w:bottom w:val="single" w:sz="4" w:space="0" w:color="auto"/>
              <w:right w:val="single" w:sz="4" w:space="0" w:color="auto"/>
            </w:tcBorders>
          </w:tcPr>
          <w:p>
            <w:pPr>
              <w:spacing w:before="0" w:after="0"/>
              <w:jc w:val="left"/>
              <w:rPr>
                <w:noProof/>
                <w:sz w:val="20"/>
                <w:szCs w:val="20"/>
              </w:rPr>
            </w:pPr>
            <w:r>
              <w:rPr>
                <w:noProof/>
                <w:sz w:val="20"/>
              </w:rPr>
              <w:t>Engrais minéraux ou chimiques contenant des nitrates et des phosphates</w:t>
            </w:r>
          </w:p>
          <w:p>
            <w:pPr>
              <w:spacing w:before="0" w:after="0"/>
              <w:jc w:val="left"/>
              <w:rPr>
                <w:noProof/>
                <w:sz w:val="20"/>
                <w:szCs w:val="20"/>
              </w:rPr>
            </w:pPr>
          </w:p>
        </w:tc>
        <w:tc>
          <w:tcPr>
            <w:tcW w:w="974" w:type="pct"/>
            <w:tcBorders>
              <w:top w:val="nil"/>
              <w:left w:val="nil"/>
              <w:bottom w:val="single" w:sz="4" w:space="0" w:color="auto"/>
              <w:right w:val="single" w:sz="4" w:space="0" w:color="auto"/>
            </w:tcBorders>
          </w:tcPr>
          <w:p>
            <w:pPr>
              <w:spacing w:before="0" w:after="0"/>
              <w:jc w:val="center"/>
              <w:rPr>
                <w:noProof/>
                <w:sz w:val="20"/>
                <w:szCs w:val="20"/>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CHAPITRE 32 - EXTRAITS TANNANTS OU TINCTORIAUX; TANINS ET LEURS DÉRIVÉS; PIGMENTS ET AUTRES MATIÈRES COLORANTES; PEINTURES ET VERNIS; MASTICS; ENCRES</w:t>
            </w:r>
          </w:p>
          <w:p>
            <w:pPr>
              <w:spacing w:before="0" w:after="0"/>
              <w:jc w:val="left"/>
              <w:rPr>
                <w:noProof/>
                <w:sz w:val="20"/>
                <w:szCs w:val="20"/>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320611 00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Pigments et préparations à base de dioxyde de titane, contenant en poids 80 % ou plus de dioxyde de titane, calculé sur matière sèche</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p>
        </w:tc>
        <w:tc>
          <w:tcPr>
            <w:tcW w:w="3542" w:type="pct"/>
            <w:tcBorders>
              <w:top w:val="single" w:sz="4" w:space="0" w:color="auto"/>
              <w:left w:val="nil"/>
              <w:bottom w:val="single" w:sz="4" w:space="0" w:color="auto"/>
              <w:right w:val="single" w:sz="4" w:space="0" w:color="auto"/>
            </w:tcBorders>
          </w:tcPr>
          <w:p>
            <w:pPr>
              <w:spacing w:before="0" w:after="0"/>
              <w:jc w:val="left"/>
              <w:rPr>
                <w:rFonts w:cs="EUAlbertina"/>
                <w:noProof/>
                <w:color w:val="000000"/>
                <w:sz w:val="19"/>
                <w:szCs w:val="19"/>
              </w:rPr>
            </w:pPr>
          </w:p>
          <w:p>
            <w:pPr>
              <w:spacing w:before="0" w:after="0"/>
              <w:jc w:val="left"/>
              <w:rPr>
                <w:rFonts w:cs="EUAlbertina"/>
                <w:noProof/>
                <w:color w:val="000000"/>
                <w:sz w:val="19"/>
                <w:szCs w:val="19"/>
              </w:rPr>
            </w:pPr>
            <w:r>
              <w:rPr>
                <w:noProof/>
                <w:color w:val="000000"/>
                <w:sz w:val="19"/>
              </w:rPr>
              <w:t>CHAPITRE 64 - CHAUSSURES, GUÊTRES ET ARTICLES ANALOGUES; PARTIES DE CES OBJETS</w:t>
            </w:r>
          </w:p>
          <w:p>
            <w:pPr>
              <w:spacing w:before="0" w:after="0"/>
              <w:jc w:val="left"/>
              <w:rPr>
                <w:rFonts w:cs="EUAlbertina"/>
                <w:noProof/>
                <w:color w:val="000000"/>
                <w:sz w:val="19"/>
                <w:szCs w:val="19"/>
              </w:rPr>
            </w:pPr>
          </w:p>
          <w:p>
            <w:pPr>
              <w:spacing w:before="0" w:after="0"/>
              <w:jc w:val="left"/>
              <w:rPr>
                <w:noProof/>
                <w:sz w:val="20"/>
                <w:szCs w:val="20"/>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6402 91 90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Chaussures couvrant la cheville à semelles extérieures et dessus en caoutchouc ou en matière plastique</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r>
              <w:rPr>
                <w:noProof/>
                <w:sz w:val="20"/>
              </w:rPr>
              <w:t>0 %</w:t>
            </w:r>
          </w:p>
          <w:p>
            <w:pPr>
              <w:spacing w:before="0" w:after="0"/>
              <w:jc w:val="center"/>
              <w:rPr>
                <w:noProof/>
                <w:sz w:val="20"/>
                <w:szCs w:val="20"/>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6402 99 98</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Chaussures à semelles extérieures en caoutchouc ou matière plastique et dessus en matière plastique, avec semelles intérieures d’une longueur de 24 cm ou plus, pour femmes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6403 99 96</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Chaussures à semelles extérieures en caoutchouc, matière plastique ou cuir reconstitué et dessus en cuir naturel (ne couvrant pas la cheville), avec semelles intérieures d’une longueur de 24 cm ou plus, pour hommes (sauf n</w:t>
            </w:r>
            <w:r>
              <w:rPr>
                <w:noProof/>
                <w:sz w:val="20"/>
                <w:vertAlign w:val="superscript"/>
              </w:rPr>
              <w:t>os</w:t>
            </w:r>
            <w:r>
              <w:rPr>
                <w:noProof/>
                <w:sz w:val="20"/>
              </w:rPr>
              <w:t xml:space="preserve"> 6403.11-00 à 6403.40.00, 6403.99.11, 6403.99.36, 6403.99.50)</w:t>
            </w:r>
          </w:p>
          <w:p>
            <w:pPr>
              <w:spacing w:before="0" w:after="0"/>
              <w:jc w:val="left"/>
              <w:rPr>
                <w:noProof/>
                <w:sz w:val="20"/>
                <w:szCs w:val="20"/>
              </w:rPr>
            </w:pP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6403 99 98</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Chaussures à semelles extérieures en caoutchouc, matière plastique ou cuir reconstitué et dessus en cuir naturel, avec semelles intérieures d’une longueur de 24 cm ou plus, pour femmes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p>
        </w:tc>
        <w:tc>
          <w:tcPr>
            <w:tcW w:w="3542" w:type="pct"/>
            <w:tcBorders>
              <w:top w:val="single" w:sz="4" w:space="0" w:color="auto"/>
              <w:left w:val="nil"/>
              <w:bottom w:val="single" w:sz="4" w:space="0" w:color="auto"/>
              <w:right w:val="single" w:sz="4" w:space="0" w:color="auto"/>
            </w:tcBorders>
          </w:tcPr>
          <w:p>
            <w:pPr>
              <w:spacing w:before="0" w:after="0"/>
              <w:jc w:val="left"/>
              <w:rPr>
                <w:rFonts w:cs="EUAlbertina"/>
                <w:noProof/>
                <w:color w:val="000000"/>
                <w:sz w:val="19"/>
                <w:szCs w:val="19"/>
              </w:rPr>
            </w:pPr>
          </w:p>
          <w:p>
            <w:pPr>
              <w:spacing w:before="0" w:after="0"/>
              <w:jc w:val="left"/>
              <w:rPr>
                <w:rFonts w:cs="EUAlbertina"/>
                <w:noProof/>
                <w:color w:val="000000"/>
                <w:sz w:val="19"/>
                <w:szCs w:val="19"/>
              </w:rPr>
            </w:pPr>
            <w:r>
              <w:rPr>
                <w:noProof/>
                <w:color w:val="000000"/>
                <w:sz w:val="19"/>
              </w:rPr>
              <w:t>CHAPITRE 74 - CUIVRE ET OUVRAGES EN CUIVRE</w:t>
            </w:r>
          </w:p>
          <w:p>
            <w:pPr>
              <w:spacing w:before="0" w:after="0"/>
              <w:jc w:val="left"/>
              <w:rPr>
                <w:noProof/>
                <w:sz w:val="20"/>
                <w:szCs w:val="20"/>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7407 21 10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Barres en alliages à base de cuivre-zinc (laiton)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7408 11 00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Fils en cuivre affiné, dont la plus grande dimension de la section transversale excède 6 mm</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p>
          <w:p>
            <w:pPr>
              <w:spacing w:before="0" w:after="0"/>
              <w:jc w:val="left"/>
              <w:rPr>
                <w:noProof/>
                <w:sz w:val="20"/>
                <w:szCs w:val="20"/>
              </w:rPr>
            </w:pPr>
            <w:r>
              <w:rPr>
                <w:noProof/>
                <w:sz w:val="20"/>
              </w:rPr>
              <w:t>CHAPITRE 76 - ALUMINIUM ET OUVRAGES EN ALUMINIUM</w:t>
            </w:r>
          </w:p>
          <w:p>
            <w:pPr>
              <w:spacing w:before="0" w:after="0"/>
              <w:jc w:val="left"/>
              <w:rPr>
                <w:noProof/>
                <w:sz w:val="20"/>
                <w:szCs w:val="20"/>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7601 10 00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Aluminium non allié, sous forme brute</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7601 20 20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Alliages d’aluminium, sous forme brute sous forme de plaques et billettes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7601 20 80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Alliages d’aluminium, sous forme brute (à l’exclusion des plaques et billettes)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7604 21 00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Profilés creux en alliages d’aluminium</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760429 90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Profilés pleins en alliages d’aluminium</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7616 99 90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Ouvrages en aluminium, non coulés ou non moulés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p>
        </w:tc>
        <w:tc>
          <w:tcPr>
            <w:tcW w:w="3542" w:type="pct"/>
            <w:tcBorders>
              <w:top w:val="single" w:sz="4" w:space="0" w:color="auto"/>
              <w:left w:val="nil"/>
              <w:bottom w:val="single" w:sz="4" w:space="0" w:color="auto"/>
              <w:right w:val="single" w:sz="4" w:space="0" w:color="auto"/>
            </w:tcBorders>
          </w:tcPr>
          <w:p>
            <w:pPr>
              <w:spacing w:before="0" w:after="0"/>
              <w:jc w:val="left"/>
              <w:rPr>
                <w:rFonts w:cs="EUAlbertina"/>
                <w:noProof/>
                <w:color w:val="000000"/>
                <w:sz w:val="19"/>
                <w:szCs w:val="19"/>
              </w:rPr>
            </w:pPr>
          </w:p>
          <w:p>
            <w:pPr>
              <w:spacing w:before="0" w:after="0"/>
              <w:jc w:val="left"/>
              <w:rPr>
                <w:rFonts w:cs="EUAlbertina"/>
                <w:noProof/>
                <w:color w:val="000000"/>
                <w:sz w:val="19"/>
                <w:szCs w:val="19"/>
              </w:rPr>
            </w:pPr>
            <w:r>
              <w:rPr>
                <w:noProof/>
                <w:color w:val="000000"/>
                <w:sz w:val="19"/>
              </w:rPr>
              <w:t>CHAPITRE 85 - MACHINES, APPAREILS ET MATÉRIELS ÉLECTRIQUES ET LEURS PARTIES; APPAREILS D’ENREGISTREMENT OU DE REPRODUCTION DU SON, APPAREILS D’ENREGISTREMENT OU DE REPRODUCTION DES IMAGES ET DU SON EN TÉLÉVISION, ET PARTIES ET ACCESSOIRES DE CES APPAREILS</w:t>
            </w:r>
          </w:p>
          <w:p>
            <w:pPr>
              <w:spacing w:before="0" w:after="0"/>
              <w:jc w:val="left"/>
              <w:rPr>
                <w:noProof/>
                <w:sz w:val="20"/>
                <w:szCs w:val="20"/>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8525 80 99</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 xml:space="preserve">Caméscopes, autres que ceux permettant uniquement l’enregistrement du son et des images prises par la caméra de télévision </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8528 71 19</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Récepteurs de signaux vidéophoniques (tuners) (à l’exclusion des assemblages électroniques destinés à être incorporés dans une machine automatique de traitement de l’information et des appareils à microprocesseurs incorporant un modem d’accès à Internet et assurant une fonction d’échange d’informations interactif, également susceptibles de recevoir des signaux de télévision («modules séparés ayant une fonction de communication»)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8528 71 99</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Appareils récepteurs de télévision, même incorporant un appareil récepteur de radiodiffusion ou un appareil d’enregistrement ou de reproduction du son ou des images, non conçus pour incorporer un dispositif d’affichage ou un écran vidéo (à l’excl. des modules séparés ayant une fonction de communication)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rPr>
            </w:pPr>
            <w:r>
              <w:rPr>
                <w:noProof/>
                <w:sz w:val="20"/>
              </w:rPr>
              <w:t>8528 72 40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rPr>
            </w:pPr>
            <w:r>
              <w:rPr>
                <w:noProof/>
                <w:sz w:val="20"/>
              </w:rPr>
              <w:t>Appareils récepteurs de télévision, en couleurs, avec un écran à cristaux liquides (LCD)</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rPr>
              <w:t>0 %</w:t>
            </w:r>
          </w:p>
        </w:tc>
      </w:tr>
    </w:tbl>
    <w:p>
      <w:pPr>
        <w:rPr>
          <w:noProof/>
        </w:rPr>
      </w:pPr>
    </w:p>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EEA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7464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E029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4CFF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4AE3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A89E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CE3814"/>
    <w:lvl w:ilvl="0">
      <w:start w:val="1"/>
      <w:numFmt w:val="decimal"/>
      <w:pStyle w:val="ListNumber"/>
      <w:lvlText w:val="%1."/>
      <w:lvlJc w:val="left"/>
      <w:pPr>
        <w:tabs>
          <w:tab w:val="num" w:pos="360"/>
        </w:tabs>
        <w:ind w:left="360" w:hanging="360"/>
      </w:pPr>
    </w:lvl>
  </w:abstractNum>
  <w:abstractNum w:abstractNumId="7">
    <w:nsid w:val="FFFFFF89"/>
    <w:multiLevelType w:val="singleLevel"/>
    <w:tmpl w:val="94F4EF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7 16:28: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3"/>
    <w:docVar w:name="LW_CONFIDENCE" w:val=" "/>
    <w:docVar w:name="LW_CONST_RESTREINT_UE" w:val="RESTREINT UE"/>
    <w:docVar w:name="LW_CORRIGENDUM" w:val="&lt;UNUSED&gt;"/>
    <w:docVar w:name="LW_COVERPAGE_GUID" w:val="1A136CB6429748558AD6FC201D8ECA1F"/>
    <w:docVar w:name="LW_CROSSREFERENCE" w:val="&lt;UNUSED&gt;"/>
    <w:docVar w:name="LW_DocType" w:val="ANNEX"/>
    <w:docVar w:name="LW_EMISSION" w:val="29.9.2016"/>
    <w:docVar w:name="LW_EMISSION_ISODATE" w:val="2016-09-2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f à l\u8217?introduction de mesures commerciales autonomes temporaires en faveur de l\u8217?Ukraine, en complément des concessions commerciales disponibles au titre de l\u8217?accord d\u8217?association"/>
    <w:docVar w:name="LW_OBJETACTEPRINCIPAL.CP" w:val="relatif à l\u8217?introduction de mesures commerciales autonomes temporaires en faveur de l\u8217?Ukraine, en complément des concessions commerciales disponibles au titre de l\u8217?accord d\u8217?association"/>
    <w:docVar w:name="LW_PART_NBR" w:val="&lt;UNUSED&gt;"/>
    <w:docVar w:name="LW_PART_NBR_TOTAL" w:val="&lt;UNUSED&gt;"/>
    <w:docVar w:name="LW_REF.INST.NEW" w:val="COM"/>
    <w:docVar w:name="LW_REF.INST.NEW_ADOPTED" w:val="final"/>
    <w:docVar w:name="LW_REF.INST.NEW_TEXT" w:val="(2016) 631"/>
    <w:docVar w:name="LW_REF.INTERNE" w:val="&lt;UNUSED&gt;"/>
    <w:docVar w:name="LW_SUPERTITRE" w:val="&lt;UNUSED&gt;"/>
    <w:docVar w:name="LW_TITRE.OBJ.CP" w:val="&lt;UNUSED&gt;"/>
    <w:docVar w:name="LW_TYPE.DOC" w:val="ANNEXES"/>
    <w:docVar w:name="LW_TYPE.DOC.CP" w:val="ANNEXES"/>
    <w:docVar w:name="LW_TYPEACTEPRINCIPAL" w:val=" PROPOSITION DE RÈGLEMENT DU PARLEMENT EUROPÉEN ET DU CONSEIL"/>
    <w:docVar w:name="LW_TYPEACTEPRINCIPAL.CP" w:val=" 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24">
    <w:name w:val="CM1+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4">
    <w:name w:val="CM3+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7">
    <w:name w:val="CM1+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7">
    <w:name w:val="CM3+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8">
    <w:name w:val="CM1+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8">
    <w:name w:val="CM3+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9">
    <w:name w:val="CM1+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9">
    <w:name w:val="CM3+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31">
    <w:name w:val="CM1+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31">
    <w:name w:val="CM3+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24">
    <w:name w:val="CM1+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4">
    <w:name w:val="CM3+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7">
    <w:name w:val="CM1+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7">
    <w:name w:val="CM3+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8">
    <w:name w:val="CM1+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8">
    <w:name w:val="CM3+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9">
    <w:name w:val="CM1+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9">
    <w:name w:val="CM3+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31">
    <w:name w:val="CM1+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31">
    <w:name w:val="CM3+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78847">
      <w:bodyDiv w:val="1"/>
      <w:marLeft w:val="0"/>
      <w:marRight w:val="0"/>
      <w:marTop w:val="0"/>
      <w:marBottom w:val="0"/>
      <w:divBdr>
        <w:top w:val="none" w:sz="0" w:space="0" w:color="auto"/>
        <w:left w:val="none" w:sz="0" w:space="0" w:color="auto"/>
        <w:bottom w:val="none" w:sz="0" w:space="0" w:color="auto"/>
        <w:right w:val="none" w:sz="0" w:space="0" w:color="auto"/>
      </w:divBdr>
    </w:div>
    <w:div w:id="363753755">
      <w:bodyDiv w:val="1"/>
      <w:marLeft w:val="0"/>
      <w:marRight w:val="0"/>
      <w:marTop w:val="0"/>
      <w:marBottom w:val="0"/>
      <w:divBdr>
        <w:top w:val="none" w:sz="0" w:space="0" w:color="auto"/>
        <w:left w:val="none" w:sz="0" w:space="0" w:color="auto"/>
        <w:bottom w:val="none" w:sz="0" w:space="0" w:color="auto"/>
        <w:right w:val="none" w:sz="0" w:space="0" w:color="auto"/>
      </w:divBdr>
    </w:div>
    <w:div w:id="809320460">
      <w:bodyDiv w:val="1"/>
      <w:marLeft w:val="0"/>
      <w:marRight w:val="0"/>
      <w:marTop w:val="0"/>
      <w:marBottom w:val="0"/>
      <w:divBdr>
        <w:top w:val="none" w:sz="0" w:space="0" w:color="auto"/>
        <w:left w:val="none" w:sz="0" w:space="0" w:color="auto"/>
        <w:bottom w:val="none" w:sz="0" w:space="0" w:color="auto"/>
        <w:right w:val="none" w:sz="0" w:space="0" w:color="auto"/>
      </w:divBdr>
    </w:div>
    <w:div w:id="964232367">
      <w:bodyDiv w:val="1"/>
      <w:marLeft w:val="0"/>
      <w:marRight w:val="0"/>
      <w:marTop w:val="0"/>
      <w:marBottom w:val="0"/>
      <w:divBdr>
        <w:top w:val="none" w:sz="0" w:space="0" w:color="auto"/>
        <w:left w:val="none" w:sz="0" w:space="0" w:color="auto"/>
        <w:bottom w:val="none" w:sz="0" w:space="0" w:color="auto"/>
        <w:right w:val="none" w:sz="0" w:space="0" w:color="auto"/>
      </w:divBdr>
    </w:div>
    <w:div w:id="1144932345">
      <w:bodyDiv w:val="1"/>
      <w:marLeft w:val="0"/>
      <w:marRight w:val="0"/>
      <w:marTop w:val="0"/>
      <w:marBottom w:val="0"/>
      <w:divBdr>
        <w:top w:val="none" w:sz="0" w:space="0" w:color="auto"/>
        <w:left w:val="none" w:sz="0" w:space="0" w:color="auto"/>
        <w:bottom w:val="none" w:sz="0" w:space="0" w:color="auto"/>
        <w:right w:val="none" w:sz="0" w:space="0" w:color="auto"/>
      </w:divBdr>
    </w:div>
    <w:div w:id="1837964156">
      <w:bodyDiv w:val="1"/>
      <w:marLeft w:val="0"/>
      <w:marRight w:val="0"/>
      <w:marTop w:val="0"/>
      <w:marBottom w:val="0"/>
      <w:divBdr>
        <w:top w:val="none" w:sz="0" w:space="0" w:color="auto"/>
        <w:left w:val="none" w:sz="0" w:space="0" w:color="auto"/>
        <w:bottom w:val="none" w:sz="0" w:space="0" w:color="auto"/>
        <w:right w:val="none" w:sz="0" w:space="0" w:color="auto"/>
      </w:divBdr>
    </w:div>
    <w:div w:id="19660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CE95-FC15-4788-9C2E-EE26B894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1330</Words>
  <Characters>6732</Characters>
  <Application>Microsoft Office Word</Application>
  <DocSecurity>0</DocSecurity>
  <Lines>320</Lines>
  <Paragraphs>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2016-08-30T08:40:00Z</cp:lastPrinted>
  <dcterms:created xsi:type="dcterms:W3CDTF">2016-09-26T14:43:00Z</dcterms:created>
  <dcterms:modified xsi:type="dcterms:W3CDTF">2016-09-27T14:28:00Z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