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D5013254C545ADA45D8210F03AFBF6" style="width:450.35pt;height:348.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41 thereof,</w:t>
      </w:r>
    </w:p>
    <w:p>
      <w:pPr>
        <w:pStyle w:val="Tiret0"/>
        <w:tabs>
          <w:tab w:val="clear" w:pos="850"/>
          <w:tab w:val="num" w:pos="927"/>
        </w:tabs>
        <w:rPr>
          <w:noProof/>
        </w:rPr>
      </w:pPr>
      <w:r>
        <w:rPr>
          <w:noProof/>
        </w:rPr>
        <w:t>the draft general budget of the European Union for the financial year 2017, as adopted by the Commission on 18 July 2016</w:t>
      </w:r>
      <w:r>
        <w:rPr>
          <w:rStyle w:val="FootnoteReference"/>
          <w:noProof/>
        </w:rPr>
        <w:footnoteReference w:id="3"/>
      </w:r>
      <w:r>
        <w:rPr>
          <w:noProof/>
        </w:rPr>
        <w:t>,</w:t>
      </w:r>
    </w:p>
    <w:p>
      <w:pPr>
        <w:spacing w:after="600"/>
        <w:jc w:val="both"/>
        <w:rPr>
          <w:noProof/>
        </w:rPr>
      </w:pPr>
      <w:r>
        <w:rPr>
          <w:noProof/>
        </w:rPr>
        <w:t>The European Commission hereby presents to the European Parliament and to the Council the amending letter No 1 to the draft general budget of the European Union for the financial year 2017 for the reasons set out in the explanatory memorandum.</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p>
      <w:pPr>
        <w:pStyle w:val="TOCHeading"/>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64138533"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_Toc464138533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4138534"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Agriculture and Fisheries</w:t>
        </w:r>
        <w:r>
          <w:rPr>
            <w:noProof/>
            <w:webHidden/>
          </w:rPr>
          <w:tab/>
        </w:r>
        <w:r>
          <w:rPr>
            <w:noProof/>
            <w:webHidden/>
          </w:rPr>
          <w:fldChar w:fldCharType="begin"/>
        </w:r>
        <w:r>
          <w:rPr>
            <w:noProof/>
            <w:webHidden/>
          </w:rPr>
          <w:instrText xml:space="preserve"> PAGEREF _Toc464138534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35" w:history="1">
        <w:r>
          <w:rPr>
            <w:rStyle w:val="Hyperlink"/>
            <w:rFonts w:eastAsia="Calibri"/>
            <w:noProof/>
          </w:rPr>
          <w:t xml:space="preserve">2.1 </w:t>
        </w:r>
        <w:r>
          <w:rPr>
            <w:rFonts w:asciiTheme="minorHAnsi" w:eastAsiaTheme="minorEastAsia" w:hAnsiTheme="minorHAnsi" w:cstheme="minorBidi"/>
            <w:smallCaps w:val="0"/>
            <w:noProof/>
            <w:sz w:val="22"/>
            <w:szCs w:val="22"/>
          </w:rPr>
          <w:tab/>
        </w:r>
        <w:r>
          <w:rPr>
            <w:rStyle w:val="Hyperlink"/>
            <w:noProof/>
          </w:rPr>
          <w:t>Main changes proposed</w:t>
        </w:r>
        <w:r>
          <w:rPr>
            <w:noProof/>
            <w:webHidden/>
          </w:rPr>
          <w:tab/>
        </w:r>
        <w:r>
          <w:rPr>
            <w:noProof/>
            <w:webHidden/>
          </w:rPr>
          <w:fldChar w:fldCharType="begin"/>
        </w:r>
        <w:r>
          <w:rPr>
            <w:noProof/>
            <w:webHidden/>
          </w:rPr>
          <w:instrText xml:space="preserve"> PAGEREF _Toc464138535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36" w:history="1">
        <w:r>
          <w:rPr>
            <w:rStyle w:val="Hyperlink"/>
            <w:rFonts w:eastAsia="Calibri"/>
            <w:noProof/>
          </w:rPr>
          <w:t xml:space="preserve">2.2 </w:t>
        </w:r>
        <w:r>
          <w:rPr>
            <w:rFonts w:asciiTheme="minorHAnsi" w:eastAsiaTheme="minorEastAsia" w:hAnsiTheme="minorHAnsi" w:cstheme="minorBidi"/>
            <w:smallCaps w:val="0"/>
            <w:noProof/>
            <w:sz w:val="22"/>
            <w:szCs w:val="22"/>
          </w:rPr>
          <w:tab/>
        </w:r>
        <w:r>
          <w:rPr>
            <w:rStyle w:val="Hyperlink"/>
            <w:noProof/>
          </w:rPr>
          <w:t>European Agricultural Guarantee Fund (EAGF)</w:t>
        </w:r>
        <w:r>
          <w:rPr>
            <w:noProof/>
            <w:webHidden/>
          </w:rPr>
          <w:tab/>
        </w:r>
        <w:r>
          <w:rPr>
            <w:noProof/>
            <w:webHidden/>
          </w:rPr>
          <w:fldChar w:fldCharType="begin"/>
        </w:r>
        <w:r>
          <w:rPr>
            <w:noProof/>
            <w:webHidden/>
          </w:rPr>
          <w:instrText xml:space="preserve"> PAGEREF _Toc464138536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64138537" w:history="1">
        <w:r>
          <w:rPr>
            <w:rStyle w:val="Hyperlink"/>
            <w:bCs/>
            <w:noProof/>
            <w:lang w:eastAsia="de-DE"/>
          </w:rPr>
          <w:t xml:space="preserve">2.2.1 </w:t>
        </w:r>
        <w:r>
          <w:rPr>
            <w:rFonts w:asciiTheme="minorHAnsi" w:eastAsiaTheme="minorEastAsia" w:hAnsiTheme="minorHAnsi" w:cstheme="minorBidi"/>
            <w:i w:val="0"/>
            <w:iCs w:val="0"/>
            <w:noProof/>
            <w:sz w:val="22"/>
            <w:szCs w:val="22"/>
          </w:rPr>
          <w:tab/>
        </w:r>
        <w:r>
          <w:rPr>
            <w:rStyle w:val="Hyperlink"/>
            <w:noProof/>
            <w:lang w:eastAsia="en-US"/>
          </w:rPr>
          <w:t>Overview</w:t>
        </w:r>
        <w:r>
          <w:rPr>
            <w:noProof/>
            <w:webHidden/>
          </w:rPr>
          <w:tab/>
        </w:r>
        <w:r>
          <w:rPr>
            <w:noProof/>
            <w:webHidden/>
          </w:rPr>
          <w:fldChar w:fldCharType="begin"/>
        </w:r>
        <w:r>
          <w:rPr>
            <w:noProof/>
            <w:webHidden/>
          </w:rPr>
          <w:instrText xml:space="preserve"> PAGEREF _Toc464138537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64138538" w:history="1">
        <w:r>
          <w:rPr>
            <w:rStyle w:val="Hyperlink"/>
            <w:bCs/>
            <w:noProof/>
            <w:lang w:eastAsia="de-DE"/>
          </w:rPr>
          <w:t xml:space="preserve">2.2.2 </w:t>
        </w:r>
        <w:r>
          <w:rPr>
            <w:rFonts w:asciiTheme="minorHAnsi" w:eastAsiaTheme="minorEastAsia" w:hAnsiTheme="minorHAnsi" w:cstheme="minorBidi"/>
            <w:i w:val="0"/>
            <w:iCs w:val="0"/>
            <w:noProof/>
            <w:sz w:val="22"/>
            <w:szCs w:val="22"/>
          </w:rPr>
          <w:tab/>
        </w:r>
        <w:r>
          <w:rPr>
            <w:rStyle w:val="Hyperlink"/>
            <w:noProof/>
            <w:lang w:eastAsia="en-US"/>
          </w:rPr>
          <w:t>Detailed comments</w:t>
        </w:r>
        <w:r>
          <w:rPr>
            <w:noProof/>
            <w:webHidden/>
          </w:rPr>
          <w:tab/>
        </w:r>
        <w:r>
          <w:rPr>
            <w:noProof/>
            <w:webHidden/>
          </w:rPr>
          <w:fldChar w:fldCharType="begin"/>
        </w:r>
        <w:r>
          <w:rPr>
            <w:noProof/>
            <w:webHidden/>
          </w:rPr>
          <w:instrText xml:space="preserve"> PAGEREF _Toc464138538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39" w:history="1">
        <w:r>
          <w:rPr>
            <w:rStyle w:val="Hyperlink"/>
            <w:rFonts w:eastAsia="Calibri"/>
            <w:noProof/>
          </w:rPr>
          <w:t xml:space="preserve">2.3 </w:t>
        </w:r>
        <w:r>
          <w:rPr>
            <w:rFonts w:asciiTheme="minorHAnsi" w:eastAsiaTheme="minorEastAsia" w:hAnsiTheme="minorHAnsi" w:cstheme="minorBidi"/>
            <w:smallCaps w:val="0"/>
            <w:noProof/>
            <w:sz w:val="22"/>
            <w:szCs w:val="22"/>
          </w:rPr>
          <w:tab/>
        </w:r>
        <w:r>
          <w:rPr>
            <w:rStyle w:val="Hyperlink"/>
            <w:noProof/>
          </w:rPr>
          <w:t>Sustainable Fisheries Partnership Agreements</w:t>
        </w:r>
        <w:r>
          <w:rPr>
            <w:noProof/>
            <w:webHidden/>
          </w:rPr>
          <w:tab/>
        </w:r>
        <w:r>
          <w:rPr>
            <w:noProof/>
            <w:webHidden/>
          </w:rPr>
          <w:fldChar w:fldCharType="begin"/>
        </w:r>
        <w:r>
          <w:rPr>
            <w:noProof/>
            <w:webHidden/>
          </w:rPr>
          <w:instrText xml:space="preserve"> PAGEREF _Toc464138539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4138540"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Growth and jobs : enhancing successful programmes and instruments</w:t>
        </w:r>
        <w:r>
          <w:rPr>
            <w:noProof/>
            <w:webHidden/>
          </w:rPr>
          <w:tab/>
        </w:r>
        <w:r>
          <w:rPr>
            <w:noProof/>
            <w:webHidden/>
          </w:rPr>
          <w:tab/>
        </w:r>
        <w:r>
          <w:rPr>
            <w:noProof/>
            <w:webHidden/>
          </w:rPr>
          <w:tab/>
        </w:r>
        <w:r>
          <w:rPr>
            <w:noProof/>
            <w:webHidden/>
          </w:rPr>
          <w:fldChar w:fldCharType="begin"/>
        </w:r>
        <w:r>
          <w:rPr>
            <w:noProof/>
            <w:webHidden/>
          </w:rPr>
          <w:instrText xml:space="preserve"> PAGEREF _Toc464138540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1" w:history="1">
        <w:r>
          <w:rPr>
            <w:rStyle w:val="Hyperlink"/>
            <w:rFonts w:eastAsia="Calibri"/>
            <w:noProof/>
          </w:rPr>
          <w:t xml:space="preserve">3.1 </w:t>
        </w:r>
        <w:r>
          <w:rPr>
            <w:rFonts w:asciiTheme="minorHAnsi" w:eastAsiaTheme="minorEastAsia" w:hAnsiTheme="minorHAnsi" w:cstheme="minorBidi"/>
            <w:smallCaps w:val="0"/>
            <w:noProof/>
            <w:sz w:val="22"/>
            <w:szCs w:val="22"/>
          </w:rPr>
          <w:tab/>
        </w:r>
        <w:r>
          <w:rPr>
            <w:rStyle w:val="Hyperlink"/>
            <w:noProof/>
          </w:rPr>
          <w:t>Horizon 2020</w:t>
        </w:r>
        <w:r>
          <w:rPr>
            <w:noProof/>
            <w:webHidden/>
          </w:rPr>
          <w:tab/>
        </w:r>
        <w:r>
          <w:rPr>
            <w:noProof/>
            <w:webHidden/>
          </w:rPr>
          <w:fldChar w:fldCharType="begin"/>
        </w:r>
        <w:r>
          <w:rPr>
            <w:noProof/>
            <w:webHidden/>
          </w:rPr>
          <w:instrText xml:space="preserve"> PAGEREF _Toc464138541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2" w:history="1">
        <w:r>
          <w:rPr>
            <w:rStyle w:val="Hyperlink"/>
            <w:rFonts w:eastAsia="Calibri"/>
            <w:noProof/>
          </w:rPr>
          <w:t xml:space="preserve">3.2 </w:t>
        </w:r>
        <w:r>
          <w:rPr>
            <w:rFonts w:asciiTheme="minorHAnsi" w:eastAsiaTheme="minorEastAsia" w:hAnsiTheme="minorHAnsi" w:cstheme="minorBidi"/>
            <w:smallCaps w:val="0"/>
            <w:noProof/>
            <w:sz w:val="22"/>
            <w:szCs w:val="22"/>
          </w:rPr>
          <w:tab/>
        </w:r>
        <w:r>
          <w:rPr>
            <w:rStyle w:val="Hyperlink"/>
            <w:noProof/>
          </w:rPr>
          <w:t>Competitiveness of enterprises and small and medium-sized enterprises (COSME)</w:t>
        </w:r>
        <w:r>
          <w:rPr>
            <w:noProof/>
            <w:webHidden/>
          </w:rPr>
          <w:tab/>
        </w:r>
        <w:r>
          <w:rPr>
            <w:noProof/>
            <w:webHidden/>
          </w:rPr>
          <w:fldChar w:fldCharType="begin"/>
        </w:r>
        <w:r>
          <w:rPr>
            <w:noProof/>
            <w:webHidden/>
          </w:rPr>
          <w:instrText xml:space="preserve"> PAGEREF _Toc464138542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3" w:history="1">
        <w:r>
          <w:rPr>
            <w:rStyle w:val="Hyperlink"/>
            <w:rFonts w:eastAsia="Calibri"/>
            <w:noProof/>
          </w:rPr>
          <w:t xml:space="preserve">3.3 </w:t>
        </w:r>
        <w:r>
          <w:rPr>
            <w:rFonts w:asciiTheme="minorHAnsi" w:eastAsiaTheme="minorEastAsia" w:hAnsiTheme="minorHAnsi" w:cstheme="minorBidi"/>
            <w:smallCaps w:val="0"/>
            <w:noProof/>
            <w:sz w:val="22"/>
            <w:szCs w:val="22"/>
          </w:rPr>
          <w:tab/>
        </w:r>
        <w:r>
          <w:rPr>
            <w:rStyle w:val="Hyperlink"/>
            <w:noProof/>
          </w:rPr>
          <w:t>Connecting Europe Facility (CEF) - Transport</w:t>
        </w:r>
        <w:r>
          <w:rPr>
            <w:noProof/>
            <w:webHidden/>
          </w:rPr>
          <w:tab/>
        </w:r>
        <w:r>
          <w:rPr>
            <w:noProof/>
            <w:webHidden/>
          </w:rPr>
          <w:fldChar w:fldCharType="begin"/>
        </w:r>
        <w:r>
          <w:rPr>
            <w:noProof/>
            <w:webHidden/>
          </w:rPr>
          <w:instrText xml:space="preserve"> PAGEREF _Toc464138543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4" w:history="1">
        <w:r>
          <w:rPr>
            <w:rStyle w:val="Hyperlink"/>
            <w:rFonts w:eastAsia="Calibri"/>
            <w:noProof/>
          </w:rPr>
          <w:t xml:space="preserve">3.4 </w:t>
        </w:r>
        <w:r>
          <w:rPr>
            <w:rFonts w:asciiTheme="minorHAnsi" w:eastAsiaTheme="minorEastAsia" w:hAnsiTheme="minorHAnsi" w:cstheme="minorBidi"/>
            <w:smallCaps w:val="0"/>
            <w:noProof/>
            <w:sz w:val="22"/>
            <w:szCs w:val="22"/>
          </w:rPr>
          <w:tab/>
        </w:r>
        <w:r>
          <w:rPr>
            <w:rStyle w:val="Hyperlink"/>
            <w:noProof/>
          </w:rPr>
          <w:t>Education, Training and Sport (Erasmus+)</w:t>
        </w:r>
        <w:r>
          <w:rPr>
            <w:noProof/>
            <w:webHidden/>
          </w:rPr>
          <w:tab/>
        </w:r>
        <w:r>
          <w:rPr>
            <w:noProof/>
            <w:webHidden/>
          </w:rPr>
          <w:fldChar w:fldCharType="begin"/>
        </w:r>
        <w:r>
          <w:rPr>
            <w:noProof/>
            <w:webHidden/>
          </w:rPr>
          <w:instrText xml:space="preserve"> PAGEREF _Toc464138544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5" w:history="1">
        <w:r>
          <w:rPr>
            <w:rStyle w:val="Hyperlink"/>
            <w:rFonts w:eastAsia="Calibri"/>
            <w:noProof/>
          </w:rPr>
          <w:t xml:space="preserve">3.5 </w:t>
        </w:r>
        <w:r>
          <w:rPr>
            <w:rFonts w:asciiTheme="minorHAnsi" w:eastAsiaTheme="minorEastAsia" w:hAnsiTheme="minorHAnsi" w:cstheme="minorBidi"/>
            <w:smallCaps w:val="0"/>
            <w:noProof/>
            <w:sz w:val="22"/>
            <w:szCs w:val="22"/>
          </w:rPr>
          <w:tab/>
        </w:r>
        <w:r>
          <w:rPr>
            <w:rStyle w:val="Hyperlink"/>
            <w:noProof/>
          </w:rPr>
          <w:t>WiFi4EU</w:t>
        </w:r>
        <w:r>
          <w:rPr>
            <w:noProof/>
            <w:webHidden/>
          </w:rPr>
          <w:tab/>
        </w:r>
        <w:r>
          <w:rPr>
            <w:noProof/>
            <w:webHidden/>
          </w:rPr>
          <w:fldChar w:fldCharType="begin"/>
        </w:r>
        <w:r>
          <w:rPr>
            <w:noProof/>
            <w:webHidden/>
          </w:rPr>
          <w:instrText xml:space="preserve"> PAGEREF _Toc464138545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6" w:history="1">
        <w:r>
          <w:rPr>
            <w:rStyle w:val="Hyperlink"/>
            <w:rFonts w:eastAsia="Calibri"/>
            <w:noProof/>
          </w:rPr>
          <w:t xml:space="preserve">3.6 </w:t>
        </w:r>
        <w:r>
          <w:rPr>
            <w:rFonts w:asciiTheme="minorHAnsi" w:eastAsiaTheme="minorEastAsia" w:hAnsiTheme="minorHAnsi" w:cstheme="minorBidi"/>
            <w:smallCaps w:val="0"/>
            <w:noProof/>
            <w:sz w:val="22"/>
            <w:szCs w:val="22"/>
          </w:rPr>
          <w:tab/>
        </w:r>
        <w:r>
          <w:rPr>
            <w:rStyle w:val="Hyperlink"/>
            <w:noProof/>
          </w:rPr>
          <w:t>Use of the Global margin for commitments for heading 1a</w:t>
        </w:r>
        <w:r>
          <w:rPr>
            <w:noProof/>
            <w:webHidden/>
          </w:rPr>
          <w:tab/>
        </w:r>
        <w:r>
          <w:rPr>
            <w:noProof/>
            <w:webHidden/>
          </w:rPr>
          <w:fldChar w:fldCharType="begin"/>
        </w:r>
        <w:r>
          <w:rPr>
            <w:noProof/>
            <w:webHidden/>
          </w:rPr>
          <w:instrText xml:space="preserve"> PAGEREF _Toc464138546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4138547"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Partnership Framework under the migration agenda, External Investment Plan, and Security</w:t>
        </w:r>
        <w:r>
          <w:rPr>
            <w:noProof/>
            <w:webHidden/>
          </w:rPr>
          <w:tab/>
        </w:r>
        <w:r>
          <w:rPr>
            <w:noProof/>
            <w:webHidden/>
          </w:rPr>
          <w:fldChar w:fldCharType="begin"/>
        </w:r>
        <w:r>
          <w:rPr>
            <w:noProof/>
            <w:webHidden/>
          </w:rPr>
          <w:instrText xml:space="preserve"> PAGEREF _Toc464138547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8" w:history="1">
        <w:r>
          <w:rPr>
            <w:rStyle w:val="Hyperlink"/>
            <w:rFonts w:eastAsia="Calibri"/>
            <w:noProof/>
          </w:rPr>
          <w:t xml:space="preserve">4.1 </w:t>
        </w:r>
        <w:r>
          <w:rPr>
            <w:rFonts w:asciiTheme="minorHAnsi" w:eastAsiaTheme="minorEastAsia" w:hAnsiTheme="minorHAnsi" w:cstheme="minorBidi"/>
            <w:smallCaps w:val="0"/>
            <w:noProof/>
            <w:sz w:val="22"/>
            <w:szCs w:val="22"/>
          </w:rPr>
          <w:tab/>
        </w:r>
        <w:r>
          <w:rPr>
            <w:rStyle w:val="Hyperlink"/>
            <w:noProof/>
          </w:rPr>
          <w:t>A quick start for the new Partnership Framework process with priority partners</w:t>
        </w:r>
        <w:r>
          <w:rPr>
            <w:noProof/>
            <w:webHidden/>
          </w:rPr>
          <w:tab/>
        </w:r>
        <w:r>
          <w:rPr>
            <w:noProof/>
            <w:webHidden/>
          </w:rPr>
          <w:fldChar w:fldCharType="begin"/>
        </w:r>
        <w:r>
          <w:rPr>
            <w:noProof/>
            <w:webHidden/>
          </w:rPr>
          <w:instrText xml:space="preserve"> PAGEREF _Toc464138548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49" w:history="1">
        <w:r>
          <w:rPr>
            <w:rStyle w:val="Hyperlink"/>
            <w:rFonts w:eastAsia="Calibri"/>
            <w:noProof/>
          </w:rPr>
          <w:t xml:space="preserve">4.2 </w:t>
        </w:r>
        <w:r>
          <w:rPr>
            <w:rFonts w:asciiTheme="minorHAnsi" w:eastAsiaTheme="minorEastAsia" w:hAnsiTheme="minorHAnsi" w:cstheme="minorBidi"/>
            <w:smallCaps w:val="0"/>
            <w:noProof/>
            <w:sz w:val="22"/>
            <w:szCs w:val="22"/>
          </w:rPr>
          <w:tab/>
        </w:r>
        <w:r>
          <w:rPr>
            <w:rStyle w:val="Hyperlink"/>
            <w:rFonts w:eastAsia="Calibri"/>
            <w:noProof/>
          </w:rPr>
          <w:t>Endowment of the new European Fund for Sustainable Development (EFSD) Guarantee Fund</w:t>
        </w:r>
        <w:r>
          <w:rPr>
            <w:noProof/>
            <w:webHidden/>
          </w:rPr>
          <w:tab/>
        </w:r>
        <w:r>
          <w:rPr>
            <w:noProof/>
            <w:webHidden/>
          </w:rPr>
          <w:fldChar w:fldCharType="begin"/>
        </w:r>
        <w:r>
          <w:rPr>
            <w:noProof/>
            <w:webHidden/>
          </w:rPr>
          <w:instrText xml:space="preserve"> PAGEREF _Toc464138549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0" w:history="1">
        <w:r>
          <w:rPr>
            <w:rStyle w:val="Hyperlink"/>
            <w:rFonts w:eastAsia="Calibri"/>
            <w:noProof/>
          </w:rPr>
          <w:t xml:space="preserve">4.3 </w:t>
        </w:r>
        <w:r>
          <w:rPr>
            <w:rFonts w:asciiTheme="minorHAnsi" w:eastAsiaTheme="minorEastAsia" w:hAnsiTheme="minorHAnsi" w:cstheme="minorBidi"/>
            <w:smallCaps w:val="0"/>
            <w:noProof/>
            <w:sz w:val="22"/>
            <w:szCs w:val="22"/>
          </w:rPr>
          <w:tab/>
        </w:r>
        <w:r>
          <w:rPr>
            <w:rStyle w:val="Hyperlink"/>
            <w:noProof/>
          </w:rPr>
          <w:t>Mobilisation of the contingency margin for heading 4</w:t>
        </w:r>
        <w:r>
          <w:rPr>
            <w:noProof/>
            <w:webHidden/>
          </w:rPr>
          <w:tab/>
        </w:r>
        <w:r>
          <w:rPr>
            <w:noProof/>
            <w:webHidden/>
          </w:rPr>
          <w:fldChar w:fldCharType="begin"/>
        </w:r>
        <w:r>
          <w:rPr>
            <w:noProof/>
            <w:webHidden/>
          </w:rPr>
          <w:instrText xml:space="preserve"> PAGEREF _Toc464138550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1" w:history="1">
        <w:r>
          <w:rPr>
            <w:rStyle w:val="Hyperlink"/>
            <w:rFonts w:eastAsia="Calibri"/>
            <w:noProof/>
          </w:rPr>
          <w:t xml:space="preserve">4.4 </w:t>
        </w:r>
        <w:r>
          <w:rPr>
            <w:rFonts w:asciiTheme="minorHAnsi" w:eastAsiaTheme="minorEastAsia" w:hAnsiTheme="minorHAnsi" w:cstheme="minorBidi"/>
            <w:smallCaps w:val="0"/>
            <w:noProof/>
            <w:sz w:val="22"/>
            <w:szCs w:val="22"/>
          </w:rPr>
          <w:tab/>
        </w:r>
        <w:r>
          <w:rPr>
            <w:rStyle w:val="Hyperlink"/>
            <w:noProof/>
          </w:rPr>
          <w:t>Reinforcing the Establishment Plan of Europol</w:t>
        </w:r>
        <w:r>
          <w:rPr>
            <w:noProof/>
            <w:webHidden/>
          </w:rPr>
          <w:tab/>
        </w:r>
        <w:r>
          <w:rPr>
            <w:noProof/>
            <w:webHidden/>
          </w:rPr>
          <w:fldChar w:fldCharType="begin"/>
        </w:r>
        <w:r>
          <w:rPr>
            <w:noProof/>
            <w:webHidden/>
          </w:rPr>
          <w:instrText xml:space="preserve"> PAGEREF _Toc464138551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4138552" w:history="1">
        <w:r>
          <w:rPr>
            <w:rStyle w:val="Hyperlink"/>
            <w:noProof/>
          </w:rPr>
          <w:t>5.</w:t>
        </w:r>
        <w:r>
          <w:rPr>
            <w:rFonts w:asciiTheme="minorHAnsi" w:eastAsiaTheme="minorEastAsia" w:hAnsiTheme="minorHAnsi" w:cstheme="minorBidi"/>
            <w:b w:val="0"/>
            <w:bCs w:val="0"/>
            <w:caps w:val="0"/>
            <w:noProof/>
            <w:sz w:val="22"/>
            <w:szCs w:val="22"/>
          </w:rPr>
          <w:tab/>
        </w:r>
        <w:r>
          <w:rPr>
            <w:rStyle w:val="Hyperlink"/>
            <w:noProof/>
          </w:rPr>
          <w:t>Other adjustments</w:t>
        </w:r>
        <w:r>
          <w:rPr>
            <w:noProof/>
            <w:webHidden/>
          </w:rPr>
          <w:tab/>
        </w:r>
        <w:r>
          <w:rPr>
            <w:noProof/>
            <w:webHidden/>
          </w:rPr>
          <w:fldChar w:fldCharType="begin"/>
        </w:r>
        <w:r>
          <w:rPr>
            <w:noProof/>
            <w:webHidden/>
          </w:rPr>
          <w:instrText xml:space="preserve"> PAGEREF _Toc464138552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3" w:history="1">
        <w:r>
          <w:rPr>
            <w:rStyle w:val="Hyperlink"/>
            <w:rFonts w:eastAsia="Calibri"/>
            <w:noProof/>
          </w:rPr>
          <w:t xml:space="preserve">5.1. </w:t>
        </w:r>
        <w:r>
          <w:rPr>
            <w:rFonts w:asciiTheme="minorHAnsi" w:eastAsiaTheme="minorEastAsia" w:hAnsiTheme="minorHAnsi" w:cstheme="minorBidi"/>
            <w:smallCaps w:val="0"/>
            <w:noProof/>
            <w:sz w:val="22"/>
            <w:szCs w:val="22"/>
          </w:rPr>
          <w:tab/>
        </w:r>
        <w:r>
          <w:rPr>
            <w:rStyle w:val="Hyperlink"/>
            <w:noProof/>
          </w:rPr>
          <w:t>Adjustments to the Establishment Plans of Frontex and EASO</w:t>
        </w:r>
        <w:r>
          <w:rPr>
            <w:noProof/>
            <w:webHidden/>
          </w:rPr>
          <w:tab/>
        </w:r>
        <w:r>
          <w:rPr>
            <w:noProof/>
            <w:webHidden/>
          </w:rPr>
          <w:fldChar w:fldCharType="begin"/>
        </w:r>
        <w:r>
          <w:rPr>
            <w:noProof/>
            <w:webHidden/>
          </w:rPr>
          <w:instrText xml:space="preserve"> PAGEREF _Toc464138553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4" w:history="1">
        <w:r>
          <w:rPr>
            <w:rStyle w:val="Hyperlink"/>
            <w:rFonts w:eastAsia="Calibri"/>
            <w:noProof/>
          </w:rPr>
          <w:t xml:space="preserve">5.2. </w:t>
        </w:r>
        <w:r>
          <w:rPr>
            <w:rFonts w:asciiTheme="minorHAnsi" w:eastAsiaTheme="minorEastAsia" w:hAnsiTheme="minorHAnsi" w:cstheme="minorBidi"/>
            <w:smallCaps w:val="0"/>
            <w:noProof/>
            <w:sz w:val="22"/>
            <w:szCs w:val="22"/>
          </w:rPr>
          <w:tab/>
        </w:r>
        <w:r>
          <w:rPr>
            <w:rStyle w:val="Hyperlink"/>
            <w:noProof/>
          </w:rPr>
          <w:t>Adjustments to the establishment plans of EU-OSHA and EUROFOUND</w:t>
        </w:r>
        <w:r>
          <w:rPr>
            <w:noProof/>
            <w:webHidden/>
          </w:rPr>
          <w:tab/>
        </w:r>
        <w:r>
          <w:rPr>
            <w:noProof/>
            <w:webHidden/>
          </w:rPr>
          <w:fldChar w:fldCharType="begin"/>
        </w:r>
        <w:r>
          <w:rPr>
            <w:noProof/>
            <w:webHidden/>
          </w:rPr>
          <w:instrText xml:space="preserve"> PAGEREF _Toc464138554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5" w:history="1">
        <w:r>
          <w:rPr>
            <w:rStyle w:val="Hyperlink"/>
            <w:rFonts w:eastAsia="Calibri"/>
            <w:noProof/>
          </w:rPr>
          <w:t>5.3.</w:t>
        </w:r>
        <w:r>
          <w:rPr>
            <w:rFonts w:asciiTheme="minorHAnsi" w:eastAsiaTheme="minorEastAsia" w:hAnsiTheme="minorHAnsi" w:cstheme="minorBidi"/>
            <w:smallCaps w:val="0"/>
            <w:noProof/>
            <w:sz w:val="22"/>
            <w:szCs w:val="22"/>
          </w:rPr>
          <w:tab/>
        </w:r>
        <w:r>
          <w:rPr>
            <w:rStyle w:val="Hyperlink"/>
            <w:noProof/>
          </w:rPr>
          <w:t>Transfer of three double-hatted EUSRs from heading 4 (Section III- Commission) to heading 5 (Section X- EEAS)</w:t>
        </w:r>
        <w:r>
          <w:rPr>
            <w:noProof/>
            <w:webHidden/>
          </w:rPr>
          <w:tab/>
        </w:r>
        <w:r>
          <w:rPr>
            <w:noProof/>
            <w:webHidden/>
          </w:rPr>
          <w:fldChar w:fldCharType="begin"/>
        </w:r>
        <w:r>
          <w:rPr>
            <w:noProof/>
            <w:webHidden/>
          </w:rPr>
          <w:instrText xml:space="preserve"> PAGEREF _Toc464138555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6" w:history="1">
        <w:r>
          <w:rPr>
            <w:rStyle w:val="Hyperlink"/>
            <w:rFonts w:eastAsia="Calibri"/>
            <w:noProof/>
          </w:rPr>
          <w:t>5.4.</w:t>
        </w:r>
        <w:r>
          <w:rPr>
            <w:rFonts w:asciiTheme="minorHAnsi" w:eastAsiaTheme="minorEastAsia" w:hAnsiTheme="minorHAnsi" w:cstheme="minorBidi"/>
            <w:smallCaps w:val="0"/>
            <w:noProof/>
            <w:sz w:val="22"/>
            <w:szCs w:val="22"/>
          </w:rPr>
          <w:tab/>
        </w:r>
        <w:r>
          <w:rPr>
            <w:rStyle w:val="Hyperlink"/>
            <w:noProof/>
          </w:rPr>
          <w:t>Remunerations and Pensions</w:t>
        </w:r>
        <w:r>
          <w:rPr>
            <w:noProof/>
            <w:webHidden/>
          </w:rPr>
          <w:tab/>
        </w:r>
        <w:r>
          <w:rPr>
            <w:noProof/>
            <w:webHidden/>
          </w:rPr>
          <w:fldChar w:fldCharType="begin"/>
        </w:r>
        <w:r>
          <w:rPr>
            <w:noProof/>
            <w:webHidden/>
          </w:rPr>
          <w:instrText xml:space="preserve"> PAGEREF _Toc464138556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4138557" w:history="1">
        <w:r>
          <w:rPr>
            <w:rStyle w:val="Hyperlink"/>
            <w:rFonts w:eastAsia="Calibri"/>
            <w:noProof/>
          </w:rPr>
          <w:t>5.5.</w:t>
        </w:r>
        <w:r>
          <w:rPr>
            <w:rFonts w:asciiTheme="minorHAnsi" w:eastAsiaTheme="minorEastAsia" w:hAnsiTheme="minorHAnsi" w:cstheme="minorBidi"/>
            <w:smallCaps w:val="0"/>
            <w:noProof/>
            <w:sz w:val="22"/>
            <w:szCs w:val="22"/>
          </w:rPr>
          <w:tab/>
        </w:r>
        <w:r>
          <w:rPr>
            <w:rStyle w:val="Hyperlink"/>
            <w:noProof/>
          </w:rPr>
          <w:t>Change in the establishment plans of the European Parliament, the European Economic and Social Committee and the Committee of the Regions</w:t>
        </w:r>
        <w:r>
          <w:rPr>
            <w:noProof/>
            <w:webHidden/>
          </w:rPr>
          <w:tab/>
        </w:r>
        <w:r>
          <w:rPr>
            <w:noProof/>
            <w:webHidden/>
          </w:rPr>
          <w:fldChar w:fldCharType="begin"/>
        </w:r>
        <w:r>
          <w:rPr>
            <w:noProof/>
            <w:webHidden/>
          </w:rPr>
          <w:instrText xml:space="preserve"> PAGEREF _Toc464138557 \h </w:instrText>
        </w:r>
        <w:r>
          <w:rPr>
            <w:noProof/>
            <w:webHidden/>
          </w:rPr>
        </w:r>
        <w:r>
          <w:rPr>
            <w:noProof/>
            <w:webHidden/>
          </w:rPr>
          <w:fldChar w:fldCharType="separate"/>
        </w:r>
        <w:r>
          <w:rPr>
            <w:noProof/>
            <w:webHidden/>
          </w:rPr>
          <w:t>21</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4138558" w:history="1">
        <w:r>
          <w:rPr>
            <w:rStyle w:val="Hyperlink"/>
            <w:noProof/>
          </w:rPr>
          <w:t>6.</w:t>
        </w:r>
        <w:r>
          <w:rPr>
            <w:rFonts w:asciiTheme="minorHAnsi" w:eastAsiaTheme="minorEastAsia" w:hAnsiTheme="minorHAnsi" w:cstheme="minorBidi"/>
            <w:b w:val="0"/>
            <w:bCs w:val="0"/>
            <w:caps w:val="0"/>
            <w:noProof/>
            <w:sz w:val="22"/>
            <w:szCs w:val="22"/>
          </w:rPr>
          <w:tab/>
        </w:r>
        <w:r>
          <w:rPr>
            <w:rStyle w:val="Hyperlink"/>
            <w:noProof/>
          </w:rPr>
          <w:t>Increase of the revenue linked to fines</w:t>
        </w:r>
        <w:r>
          <w:rPr>
            <w:noProof/>
            <w:webHidden/>
          </w:rPr>
          <w:tab/>
        </w:r>
        <w:r>
          <w:rPr>
            <w:noProof/>
            <w:webHidden/>
          </w:rPr>
          <w:fldChar w:fldCharType="begin"/>
        </w:r>
        <w:r>
          <w:rPr>
            <w:noProof/>
            <w:webHidden/>
          </w:rPr>
          <w:instrText xml:space="preserve"> PAGEREF _Toc464138558 \h </w:instrText>
        </w:r>
        <w:r>
          <w:rPr>
            <w:noProof/>
            <w:webHidden/>
          </w:rPr>
        </w:r>
        <w:r>
          <w:rPr>
            <w:noProof/>
            <w:webHidden/>
          </w:rPr>
          <w:fldChar w:fldCharType="separate"/>
        </w:r>
        <w:r>
          <w:rPr>
            <w:noProof/>
            <w:webHidden/>
          </w:rPr>
          <w:t>22</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4138559" w:history="1">
        <w:r>
          <w:rPr>
            <w:rStyle w:val="Hyperlink"/>
            <w:noProof/>
          </w:rPr>
          <w:t>7.</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_Toc464138559 \h </w:instrText>
        </w:r>
        <w:r>
          <w:rPr>
            <w:noProof/>
            <w:webHidden/>
          </w:rPr>
        </w:r>
        <w:r>
          <w:rPr>
            <w:noProof/>
            <w:webHidden/>
          </w:rPr>
          <w:fldChar w:fldCharType="separate"/>
        </w:r>
        <w:r>
          <w:rPr>
            <w:noProof/>
            <w:webHidden/>
          </w:rPr>
          <w:t>23</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r>
        <w:rPr>
          <w:noProof/>
        </w:rPr>
        <w:fldChar w:fldCharType="end"/>
      </w:r>
    </w:p>
    <w:p>
      <w:pPr>
        <w:pStyle w:val="ManualHeading1"/>
        <w:spacing w:before="240"/>
        <w:ind w:left="0" w:firstLine="0"/>
        <w:rPr>
          <w:noProof/>
        </w:rPr>
      </w:pPr>
      <w:bookmarkStart w:id="8" w:name="_Toc462410042"/>
      <w:bookmarkStart w:id="9" w:name="_Toc464138533"/>
      <w:bookmarkStart w:id="10" w:name="_Toc385506031"/>
      <w:bookmarkStart w:id="11" w:name="_Toc430865946"/>
      <w:bookmarkStart w:id="12" w:name="_Toc430867524"/>
      <w:bookmarkStart w:id="13" w:name="_Toc463264162"/>
      <w:bookmarkStart w:id="14" w:name="_Toc351469332"/>
      <w:bookmarkStart w:id="15" w:name="_Toc361649879"/>
      <w:r>
        <w:rPr>
          <w:noProof/>
        </w:rPr>
        <w:t>1.</w:t>
      </w:r>
      <w:r>
        <w:rPr>
          <w:noProof/>
        </w:rPr>
        <w:tab/>
        <w:t>Introduction</w:t>
      </w:r>
      <w:bookmarkEnd w:id="8"/>
      <w:bookmarkEnd w:id="9"/>
    </w:p>
    <w:bookmarkEnd w:id="10"/>
    <w:bookmarkEnd w:id="11"/>
    <w:bookmarkEnd w:id="12"/>
    <w:bookmarkEnd w:id="13"/>
    <w:bookmarkEnd w:id="2"/>
    <w:bookmarkEnd w:id="3"/>
    <w:bookmarkEnd w:id="4"/>
    <w:bookmarkEnd w:id="5"/>
    <w:bookmarkEnd w:id="6"/>
    <w:bookmarkEnd w:id="7"/>
    <w:bookmarkEnd w:id="14"/>
    <w:bookmarkEnd w:id="15"/>
    <w:p>
      <w:pPr>
        <w:spacing w:before="120" w:after="120"/>
        <w:jc w:val="both"/>
        <w:rPr>
          <w:noProof/>
          <w:szCs w:val="20"/>
          <w:lang w:eastAsia="de-DE"/>
        </w:rPr>
      </w:pPr>
      <w:r>
        <w:rPr>
          <w:noProof/>
          <w:szCs w:val="20"/>
          <w:lang w:eastAsia="de-DE"/>
        </w:rPr>
        <w:t>This Amending Letter No 1 to the draft budget for the year 2017 (AL 1/2017) proposes four main areas of amendment to the draft budget (DB) 2017. Three are policy-related: for agriculture and fisheries, for competitiveness for growth and jobs, and for the new Partnership Framework under the Migration Agenda, the External Investment Plan, and security. The fourth group of amendments proposed relates to a number of administrative and technical adjustments. In more detail, AL 1/2017 covers the following:</w:t>
      </w:r>
    </w:p>
    <w:p>
      <w:pPr>
        <w:numPr>
          <w:ilvl w:val="0"/>
          <w:numId w:val="19"/>
        </w:numPr>
        <w:spacing w:before="120" w:after="120"/>
        <w:jc w:val="both"/>
        <w:rPr>
          <w:noProof/>
          <w:szCs w:val="20"/>
          <w:lang w:eastAsia="de-DE"/>
        </w:rPr>
      </w:pPr>
      <w:r>
        <w:rPr>
          <w:noProof/>
          <w:szCs w:val="20"/>
          <w:lang w:eastAsia="de-DE"/>
        </w:rPr>
        <w:t>The updating of the estimated needs, assigned revenue and appropriations for agricultural expenditure. In addition to changing market factors, the AL 1/2017 also incorporates the impact of decisions in the agricultural sector since the DB 2017 was presented in June 2016, as well as other proposals expected to have a significant effect during the budget year. After integrating the additional support package for the livestock sectors announced in July and taking into account the additional revenue assigned to the European Agriculture and Guarantee Fund (EAGF), the level of commitment appropriations remains unchanged, with a slight reduction (-EUR 1 million) in payment appropriations.</w:t>
      </w:r>
    </w:p>
    <w:p>
      <w:pPr>
        <w:numPr>
          <w:ilvl w:val="0"/>
          <w:numId w:val="19"/>
        </w:numPr>
        <w:spacing w:before="120" w:after="120"/>
        <w:jc w:val="both"/>
        <w:rPr>
          <w:noProof/>
          <w:szCs w:val="20"/>
          <w:lang w:eastAsia="de-DE"/>
        </w:rPr>
      </w:pPr>
      <w:r>
        <w:rPr>
          <w:noProof/>
          <w:szCs w:val="20"/>
          <w:lang w:eastAsia="de-DE"/>
        </w:rPr>
        <w:t>The phasing in of reinforcements announced in the mid-term review/revision of the multiannual financial framework 2014-2020</w:t>
      </w:r>
      <w:r>
        <w:rPr>
          <w:noProof/>
          <w:szCs w:val="20"/>
          <w:vertAlign w:val="superscript"/>
          <w:lang w:val="de-DE" w:eastAsia="de-DE"/>
        </w:rPr>
        <w:footnoteReference w:id="4"/>
      </w:r>
      <w:r>
        <w:rPr>
          <w:noProof/>
          <w:szCs w:val="20"/>
          <w:lang w:eastAsia="de-DE"/>
        </w:rPr>
        <w:t xml:space="preserve"> for sustainable growth, with EUR 200 million in commitment appropriations and EUR 7 million in payment appropriations in heading 1a, </w:t>
      </w:r>
      <w:r>
        <w:rPr>
          <w:i/>
          <w:noProof/>
          <w:szCs w:val="20"/>
          <w:lang w:eastAsia="de-DE"/>
        </w:rPr>
        <w:t xml:space="preserve">Competitiveness for growth and jobs. </w:t>
      </w:r>
      <w:r>
        <w:rPr>
          <w:noProof/>
          <w:szCs w:val="20"/>
          <w:lang w:eastAsia="de-DE"/>
        </w:rPr>
        <w:t>The Commission proposes to finance the commitments through the Global margin for commitments (GMC) and the unallocated margin. The breakdown is as follows:</w:t>
      </w:r>
    </w:p>
    <w:p>
      <w:pPr>
        <w:numPr>
          <w:ilvl w:val="1"/>
          <w:numId w:val="20"/>
        </w:numPr>
        <w:spacing w:before="120" w:after="120"/>
        <w:jc w:val="both"/>
        <w:rPr>
          <w:noProof/>
          <w:szCs w:val="20"/>
          <w:lang w:val="de-DE" w:eastAsia="de-DE"/>
        </w:rPr>
      </w:pPr>
      <w:r>
        <w:rPr>
          <w:noProof/>
          <w:szCs w:val="20"/>
          <w:lang w:val="de-DE" w:eastAsia="de-DE"/>
        </w:rPr>
        <w:t>Horizon 2020: +EUR 50 million</w:t>
      </w:r>
      <w:r>
        <w:rPr>
          <w:noProof/>
          <w:szCs w:val="20"/>
          <w:lang w:eastAsia="de-DE"/>
        </w:rPr>
        <w:t xml:space="preserve"> in commitment appropriations and EUR 7 million in payment appropriations</w:t>
      </w:r>
      <w:r>
        <w:rPr>
          <w:noProof/>
          <w:szCs w:val="20"/>
          <w:lang w:val="de-DE" w:eastAsia="de-DE"/>
        </w:rPr>
        <w:t>;</w:t>
      </w:r>
    </w:p>
    <w:p>
      <w:pPr>
        <w:numPr>
          <w:ilvl w:val="1"/>
          <w:numId w:val="20"/>
        </w:numPr>
        <w:spacing w:before="120" w:after="120"/>
        <w:jc w:val="both"/>
        <w:rPr>
          <w:noProof/>
          <w:szCs w:val="20"/>
          <w:lang w:eastAsia="de-DE"/>
        </w:rPr>
      </w:pPr>
      <w:r>
        <w:rPr>
          <w:noProof/>
          <w:szCs w:val="20"/>
          <w:lang w:eastAsia="de-DE"/>
        </w:rPr>
        <w:t>Competitiveness of entreprises and small and medium-sized enterprises (COSME): +EUR 50 million in commitment appropriations;</w:t>
      </w:r>
    </w:p>
    <w:p>
      <w:pPr>
        <w:numPr>
          <w:ilvl w:val="1"/>
          <w:numId w:val="20"/>
        </w:numPr>
        <w:spacing w:before="120" w:after="120"/>
        <w:jc w:val="both"/>
        <w:rPr>
          <w:noProof/>
          <w:szCs w:val="20"/>
          <w:lang w:val="de-DE" w:eastAsia="de-DE"/>
        </w:rPr>
      </w:pPr>
      <w:r>
        <w:rPr>
          <w:noProof/>
          <w:szCs w:val="20"/>
          <w:lang w:val="de-DE" w:eastAsia="de-DE"/>
        </w:rPr>
        <w:t xml:space="preserve">Connecting Europe Facility (CEF) – Transport: +EUR 50 million </w:t>
      </w:r>
      <w:r>
        <w:rPr>
          <w:noProof/>
          <w:szCs w:val="20"/>
          <w:lang w:eastAsia="de-DE"/>
        </w:rPr>
        <w:t>in commitment appropriations</w:t>
      </w:r>
      <w:r>
        <w:rPr>
          <w:noProof/>
          <w:szCs w:val="20"/>
          <w:lang w:val="de-DE" w:eastAsia="de-DE"/>
        </w:rPr>
        <w:t>;</w:t>
      </w:r>
    </w:p>
    <w:p>
      <w:pPr>
        <w:numPr>
          <w:ilvl w:val="1"/>
          <w:numId w:val="20"/>
        </w:numPr>
        <w:spacing w:before="120" w:after="120"/>
        <w:jc w:val="both"/>
        <w:rPr>
          <w:noProof/>
          <w:szCs w:val="20"/>
          <w:lang w:val="de-DE" w:eastAsia="de-DE"/>
        </w:rPr>
      </w:pPr>
      <w:r>
        <w:rPr>
          <w:noProof/>
          <w:szCs w:val="20"/>
          <w:lang w:val="de-DE" w:eastAsia="de-DE"/>
        </w:rPr>
        <w:t xml:space="preserve">Erasmus+: +EUR 50 million </w:t>
      </w:r>
      <w:r>
        <w:rPr>
          <w:noProof/>
          <w:szCs w:val="20"/>
          <w:lang w:eastAsia="de-DE"/>
        </w:rPr>
        <w:t>in commitment appropriations</w:t>
      </w:r>
      <w:r>
        <w:rPr>
          <w:noProof/>
          <w:szCs w:val="20"/>
          <w:lang w:val="de-DE" w:eastAsia="de-DE"/>
        </w:rPr>
        <w:t>;</w:t>
      </w:r>
    </w:p>
    <w:p>
      <w:pPr>
        <w:numPr>
          <w:ilvl w:val="1"/>
          <w:numId w:val="20"/>
        </w:numPr>
        <w:spacing w:after="200" w:line="276" w:lineRule="auto"/>
        <w:contextualSpacing/>
        <w:jc w:val="both"/>
        <w:rPr>
          <w:rFonts w:eastAsia="MS Mincho"/>
          <w:noProof/>
          <w:szCs w:val="20"/>
          <w:lang w:eastAsia="de-DE"/>
        </w:rPr>
      </w:pPr>
      <w:r>
        <w:rPr>
          <w:rFonts w:eastAsia="MS Mincho"/>
          <w:noProof/>
          <w:szCs w:val="20"/>
          <w:lang w:eastAsia="de-DE"/>
        </w:rPr>
        <w:t>WiFi4EU</w:t>
      </w:r>
      <w:r>
        <w:rPr>
          <w:noProof/>
          <w:szCs w:val="20"/>
          <w:lang w:eastAsia="de-DE"/>
        </w:rPr>
        <w:t>, an</w:t>
      </w:r>
      <w:r>
        <w:rPr>
          <w:rFonts w:ascii="Calibri" w:eastAsia="MS Mincho" w:hAnsi="Calibri"/>
          <w:noProof/>
          <w:sz w:val="22"/>
          <w:szCs w:val="20"/>
          <w:lang w:eastAsia="de-DE"/>
        </w:rPr>
        <w:t xml:space="preserve"> </w:t>
      </w:r>
      <w:r>
        <w:rPr>
          <w:noProof/>
        </w:rPr>
        <w:t>initiative aiming to help European communities offer free Wi-Fi access points to any citizen</w:t>
      </w:r>
      <w:r>
        <w:rPr>
          <w:rFonts w:eastAsia="MS Mincho"/>
          <w:noProof/>
          <w:szCs w:val="20"/>
          <w:lang w:eastAsia="de-DE"/>
        </w:rPr>
        <w:t>: +EUR 20 million in commitment appropriations redeployed from the 'Information and Communication Technology' strand of the CEF</w:t>
      </w:r>
      <w:r>
        <w:rPr>
          <w:rFonts w:ascii="Calibri" w:eastAsia="MS Mincho" w:hAnsi="Calibri"/>
          <w:noProof/>
          <w:sz w:val="22"/>
          <w:szCs w:val="20"/>
          <w:lang w:eastAsia="de-DE"/>
        </w:rPr>
        <w:t>.</w:t>
      </w:r>
    </w:p>
    <w:p>
      <w:pPr>
        <w:numPr>
          <w:ilvl w:val="0"/>
          <w:numId w:val="19"/>
        </w:numPr>
        <w:spacing w:before="120" w:after="120"/>
        <w:jc w:val="both"/>
        <w:rPr>
          <w:noProof/>
          <w:szCs w:val="20"/>
          <w:lang w:eastAsia="de-DE"/>
        </w:rPr>
      </w:pPr>
      <w:r>
        <w:rPr>
          <w:noProof/>
          <w:szCs w:val="20"/>
          <w:lang w:eastAsia="de-DE"/>
        </w:rPr>
        <w:t xml:space="preserve">Reinforcing by EUR 1 billion the budgetary resources under heading 4, </w:t>
      </w:r>
      <w:r>
        <w:rPr>
          <w:i/>
          <w:noProof/>
          <w:szCs w:val="20"/>
          <w:lang w:eastAsia="de-DE"/>
        </w:rPr>
        <w:t>Global Europe</w:t>
      </w:r>
      <w:r>
        <w:rPr>
          <w:noProof/>
          <w:szCs w:val="20"/>
          <w:lang w:eastAsia="de-DE"/>
        </w:rPr>
        <w:t>, to address the root causes of migration and promote the swift implementation of agreements with third countries under the new Partnership Framework process and for the creation of a European Fund for Sustainable Development (EFSD) with a new EFSD Guarantee Fund</w:t>
      </w:r>
      <w:r>
        <w:rPr>
          <w:noProof/>
          <w:szCs w:val="20"/>
          <w:vertAlign w:val="superscript"/>
          <w:lang w:val="de-DE" w:eastAsia="de-DE"/>
        </w:rPr>
        <w:footnoteReference w:id="5"/>
      </w:r>
      <w:r>
        <w:rPr>
          <w:noProof/>
          <w:szCs w:val="20"/>
          <w:lang w:eastAsia="de-DE"/>
        </w:rPr>
        <w:t xml:space="preserve">. The Commission proposes to increase commitment appropriations by EUR 1 billion and payment appropriations by EUR 210 million. Given the very low margin in heading 4 (created by the transfer of the EU Special Representatives from heading 4 to heading 5, </w:t>
      </w:r>
      <w:r>
        <w:rPr>
          <w:i/>
          <w:noProof/>
          <w:szCs w:val="20"/>
          <w:lang w:eastAsia="de-DE"/>
        </w:rPr>
        <w:t>Administration</w:t>
      </w:r>
      <w:r>
        <w:rPr>
          <w:noProof/>
          <w:szCs w:val="20"/>
          <w:lang w:eastAsia="de-DE"/>
        </w:rPr>
        <w:t xml:space="preserve">), most of this increase in commitment appropriations is financed through a corresponding mobilisation of the Contingency Margin to be offset in 2017 against the unallocated margins of heading 2, </w:t>
      </w:r>
      <w:r>
        <w:rPr>
          <w:i/>
          <w:noProof/>
          <w:szCs w:val="20"/>
          <w:lang w:eastAsia="de-DE"/>
        </w:rPr>
        <w:t>Sustainable Growth: Natural Resources</w:t>
      </w:r>
      <w:r>
        <w:rPr>
          <w:noProof/>
          <w:szCs w:val="20"/>
          <w:lang w:eastAsia="de-DE"/>
        </w:rPr>
        <w:t xml:space="preserve"> and in 2018-2019 against the unallocated margins of heading 5.</w:t>
      </w:r>
    </w:p>
    <w:p>
      <w:pPr>
        <w:numPr>
          <w:ilvl w:val="0"/>
          <w:numId w:val="19"/>
        </w:numPr>
        <w:spacing w:before="120" w:after="120"/>
        <w:jc w:val="both"/>
        <w:rPr>
          <w:noProof/>
          <w:szCs w:val="20"/>
          <w:lang w:eastAsia="de-DE"/>
        </w:rPr>
      </w:pPr>
      <w:r>
        <w:rPr>
          <w:noProof/>
          <w:szCs w:val="20"/>
          <w:lang w:eastAsia="de-DE"/>
        </w:rPr>
        <w:t xml:space="preserve">An increase in the number of posts of Europol to reinforce operational support, notably to provide a 24/7 service and on-the-spot deployment capabilities as announced in the Commission's communication </w:t>
      </w:r>
      <w:r>
        <w:rPr>
          <w:i/>
          <w:noProof/>
          <w:szCs w:val="20"/>
          <w:lang w:eastAsia="de-DE"/>
        </w:rPr>
        <w:t>Enhancing security in a world of mobility</w:t>
      </w:r>
      <w:r>
        <w:rPr>
          <w:noProof/>
          <w:szCs w:val="20"/>
          <w:vertAlign w:val="superscript"/>
          <w:lang w:eastAsia="de-DE"/>
        </w:rPr>
        <w:footnoteReference w:id="6"/>
      </w:r>
      <w:r>
        <w:rPr>
          <w:noProof/>
          <w:szCs w:val="20"/>
          <w:lang w:eastAsia="de-DE"/>
        </w:rPr>
        <w:t>.</w:t>
      </w:r>
    </w:p>
    <w:p>
      <w:pPr>
        <w:numPr>
          <w:ilvl w:val="0"/>
          <w:numId w:val="19"/>
        </w:numPr>
        <w:spacing w:before="120" w:after="120"/>
        <w:jc w:val="both"/>
        <w:rPr>
          <w:noProof/>
          <w:szCs w:val="20"/>
          <w:lang w:eastAsia="de-DE"/>
        </w:rPr>
      </w:pPr>
      <w:r>
        <w:rPr>
          <w:noProof/>
          <w:szCs w:val="20"/>
          <w:lang w:eastAsia="de-DE"/>
        </w:rPr>
        <w:t>An upgrading of additional posts requested for Frontex (European Border and Coast Guard agency) and EASO in light of a more detailed assessment of the job profiles required.</w:t>
      </w:r>
    </w:p>
    <w:p>
      <w:pPr>
        <w:numPr>
          <w:ilvl w:val="0"/>
          <w:numId w:val="19"/>
        </w:numPr>
        <w:spacing w:before="120" w:after="120"/>
        <w:jc w:val="both"/>
        <w:rPr>
          <w:noProof/>
          <w:szCs w:val="20"/>
          <w:lang w:eastAsia="de-DE"/>
        </w:rPr>
      </w:pPr>
      <w:r>
        <w:rPr>
          <w:noProof/>
          <w:szCs w:val="20"/>
          <w:lang w:eastAsia="de-DE"/>
        </w:rPr>
        <w:t>Minor adjustments to the establishment plans of the European agency for safety and health at work (EU-OSHA) and the European foundation for the improvement of living and working conditions (EUROFOUND).</w:t>
      </w:r>
    </w:p>
    <w:p>
      <w:pPr>
        <w:numPr>
          <w:ilvl w:val="0"/>
          <w:numId w:val="19"/>
        </w:numPr>
        <w:spacing w:before="120" w:after="120"/>
        <w:jc w:val="both"/>
        <w:rPr>
          <w:noProof/>
          <w:szCs w:val="20"/>
          <w:lang w:eastAsia="de-DE"/>
        </w:rPr>
      </w:pPr>
      <w:r>
        <w:rPr>
          <w:noProof/>
          <w:szCs w:val="20"/>
          <w:lang w:eastAsia="de-DE"/>
        </w:rPr>
        <w:t xml:space="preserve">The transfer of expenditure related to the three </w:t>
      </w:r>
      <w:r>
        <w:rPr>
          <w:i/>
          <w:noProof/>
          <w:szCs w:val="20"/>
          <w:lang w:eastAsia="de-DE"/>
        </w:rPr>
        <w:t>double-hatted</w:t>
      </w:r>
      <w:r>
        <w:rPr>
          <w:noProof/>
          <w:szCs w:val="20"/>
          <w:lang w:eastAsia="de-DE"/>
        </w:rPr>
        <w:t xml:space="preserve"> EU Special Representatives (EUSRs) from heading 4 to heading 5.</w:t>
      </w:r>
    </w:p>
    <w:p>
      <w:pPr>
        <w:numPr>
          <w:ilvl w:val="0"/>
          <w:numId w:val="19"/>
        </w:numPr>
        <w:spacing w:before="120" w:after="120"/>
        <w:jc w:val="both"/>
        <w:rPr>
          <w:noProof/>
          <w:szCs w:val="20"/>
          <w:lang w:eastAsia="de-DE"/>
        </w:rPr>
      </w:pPr>
      <w:r>
        <w:rPr>
          <w:noProof/>
          <w:szCs w:val="20"/>
          <w:lang w:eastAsia="de-DE"/>
        </w:rPr>
        <w:t xml:space="preserve">An update of the likely needs for additional appropriations related to 2017 for the salaries and pensions of all institutions. These needs can be updated as required on finalisation of the official statistical report, which will be available at the end of October. </w:t>
      </w:r>
    </w:p>
    <w:p>
      <w:pPr>
        <w:numPr>
          <w:ilvl w:val="0"/>
          <w:numId w:val="19"/>
        </w:numPr>
        <w:spacing w:before="120" w:after="120"/>
        <w:jc w:val="both"/>
        <w:rPr>
          <w:noProof/>
          <w:szCs w:val="20"/>
          <w:lang w:eastAsia="de-DE"/>
        </w:rPr>
      </w:pPr>
      <w:r>
        <w:rPr>
          <w:noProof/>
          <w:szCs w:val="20"/>
          <w:lang w:eastAsia="de-DE"/>
        </w:rPr>
        <w:t>The alignment of the establishment plans of the European Parliament, the European Economic and Social Committee and the Committee of the Regions, to reflect the agreement reached between them.</w:t>
      </w:r>
    </w:p>
    <w:p>
      <w:pPr>
        <w:spacing w:before="120" w:after="120"/>
        <w:jc w:val="both"/>
        <w:rPr>
          <w:noProof/>
          <w:szCs w:val="20"/>
          <w:lang w:eastAsia="de-DE"/>
        </w:rPr>
      </w:pPr>
      <w:r>
        <w:rPr>
          <w:noProof/>
          <w:szCs w:val="20"/>
          <w:lang w:eastAsia="de-DE"/>
        </w:rPr>
        <w:t>The Commission also wishes to stress that it intends to fund the Youth Employment Initiative (YEI) in 2017 up to a level of EUR 500 million in commitment appropriations. However, at this stage, the Commission does not propose the budgetary allocations in this Amending Letter as it intends to finance this amount from the GMC which will be available after the technical adjustment of 2017. Consequently, the Commission will propose to add these allocations through a draft amending budget to be submitted to the European Parliament and the Council immediately after the technical adjustment in early 2017.</w:t>
      </w:r>
    </w:p>
    <w:p>
      <w:pPr>
        <w:spacing w:before="120" w:after="120"/>
        <w:jc w:val="both"/>
        <w:rPr>
          <w:noProof/>
          <w:szCs w:val="20"/>
          <w:lang w:eastAsia="de-DE"/>
        </w:rPr>
      </w:pPr>
      <w:r>
        <w:rPr>
          <w:noProof/>
          <w:szCs w:val="20"/>
          <w:lang w:eastAsia="de-DE"/>
        </w:rPr>
        <w:t>Overall, the net impact of AL 1/2017 on expenditure in the 2017 draft budget is an increase of EUR 1 257,2 million in commitment appropriations and an increase of EUR 523,1 million in payment appropriations.</w:t>
      </w:r>
    </w:p>
    <w:p>
      <w:pPr>
        <w:spacing w:before="120" w:after="120"/>
        <w:jc w:val="both"/>
        <w:rPr>
          <w:noProof/>
          <w:szCs w:val="20"/>
          <w:lang w:eastAsia="de-DE"/>
        </w:rPr>
      </w:pPr>
      <w:r>
        <w:rPr>
          <w:noProof/>
          <w:szCs w:val="20"/>
          <w:lang w:eastAsia="de-DE"/>
        </w:rPr>
        <w:t>On the revenue side of the budget, some fines decided by the Commission recently will be paid and all legal remedies will be exhausted at the end of 2016 for an estimated amount of EUR 1 billion. The Commission proposes to increase the relevant budget items in the revenue part of the budget by this amount. This will reduce the GNI contribution requested from the national budgets by the same amount.</w:t>
      </w:r>
    </w:p>
    <w:p>
      <w:pPr>
        <w:pStyle w:val="ManualHeading1"/>
        <w:spacing w:before="240"/>
        <w:ind w:left="0" w:firstLine="0"/>
        <w:rPr>
          <w:noProof/>
        </w:rPr>
      </w:pPr>
      <w:bookmarkStart w:id="16" w:name="_Toc463264163"/>
      <w:bookmarkStart w:id="17" w:name="_Toc464138534"/>
      <w:r>
        <w:rPr>
          <w:noProof/>
        </w:rPr>
        <w:t>2.</w:t>
      </w:r>
      <w:r>
        <w:rPr>
          <w:noProof/>
        </w:rPr>
        <w:tab/>
      </w:r>
      <w:bookmarkStart w:id="18" w:name="_Toc432063522"/>
      <w:r>
        <w:rPr>
          <w:noProof/>
        </w:rPr>
        <w:t>Agriculture and Fisheries</w:t>
      </w:r>
      <w:bookmarkEnd w:id="16"/>
      <w:bookmarkEnd w:id="18"/>
      <w:bookmarkEnd w:id="17"/>
    </w:p>
    <w:p>
      <w:pPr>
        <w:pStyle w:val="ManualHeading2"/>
        <w:numPr>
          <w:ilvl w:val="0"/>
          <w:numId w:val="0"/>
        </w:numPr>
        <w:tabs>
          <w:tab w:val="left" w:pos="851"/>
        </w:tabs>
        <w:rPr>
          <w:bCs/>
        </w:rPr>
      </w:pPr>
      <w:bookmarkStart w:id="19" w:name="_Toc462933829"/>
      <w:bookmarkStart w:id="20" w:name="_Toc462935190"/>
      <w:bookmarkStart w:id="21" w:name="_Toc462935292"/>
      <w:bookmarkStart w:id="22" w:name="_Toc462935340"/>
      <w:bookmarkStart w:id="23" w:name="_Toc462935497"/>
      <w:bookmarkStart w:id="24" w:name="_Toc463004731"/>
      <w:bookmarkStart w:id="25" w:name="_Toc463264164"/>
      <w:bookmarkStart w:id="26" w:name="_Toc463376628"/>
      <w:bookmarkStart w:id="27" w:name="_Toc463438680"/>
      <w:bookmarkStart w:id="28" w:name="_Toc463438848"/>
      <w:bookmarkStart w:id="29" w:name="_Toc463462765"/>
      <w:bookmarkStart w:id="30" w:name="_Toc463974150"/>
      <w:bookmarkStart w:id="31" w:name="_Toc464028191"/>
      <w:bookmarkStart w:id="32" w:name="_Toc462933830"/>
      <w:bookmarkStart w:id="33" w:name="_Toc462935191"/>
      <w:bookmarkStart w:id="34" w:name="_Toc462935293"/>
      <w:bookmarkStart w:id="35" w:name="_Toc462935341"/>
      <w:bookmarkStart w:id="36" w:name="_Toc462935498"/>
      <w:bookmarkStart w:id="37" w:name="_Toc463004732"/>
      <w:bookmarkStart w:id="38" w:name="_Toc463264165"/>
      <w:bookmarkStart w:id="39" w:name="_Toc463376629"/>
      <w:bookmarkStart w:id="40" w:name="_Toc463438681"/>
      <w:bookmarkStart w:id="41" w:name="_Toc463438849"/>
      <w:bookmarkStart w:id="42" w:name="_Toc463462766"/>
      <w:bookmarkStart w:id="43" w:name="_Toc463974151"/>
      <w:bookmarkStart w:id="44" w:name="_Toc464028192"/>
      <w:bookmarkStart w:id="45" w:name="_Toc462410044"/>
      <w:bookmarkStart w:id="46" w:name="_Toc46413853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eastAsia="Calibri"/>
        </w:rPr>
        <w:t xml:space="preserve">2.1 </w:t>
      </w:r>
      <w:r>
        <w:rPr>
          <w:rFonts w:eastAsia="Calibri"/>
        </w:rPr>
        <w:tab/>
      </w:r>
      <w:bookmarkEnd w:id="45"/>
      <w:r>
        <w:t>Main changes proposed</w:t>
      </w:r>
      <w:bookmarkEnd w:id="46"/>
    </w:p>
    <w:p>
      <w:pPr>
        <w:autoSpaceDE w:val="0"/>
        <w:autoSpaceDN w:val="0"/>
        <w:adjustRightInd w:val="0"/>
        <w:spacing w:before="120" w:after="120"/>
        <w:jc w:val="both"/>
        <w:rPr>
          <w:noProof/>
        </w:rPr>
      </w:pPr>
      <w:r>
        <w:rPr>
          <w:noProof/>
        </w:rPr>
        <w:t>The Commission proposes to update the expenditure estimates for agriculture by +EUR 527 million compared to DB 2017. This update of needs is taking into account the financial consequences of the additional support package for the livestock sectors announced in July and reflects the most recent information available as regards other expenditure. There is also an update of the situation for Sustainable Fisheries Partnership Agreements, as regards appropriations proposed for the operational line and for the ‘reserve’.</w:t>
      </w:r>
    </w:p>
    <w:p>
      <w:pPr>
        <w:autoSpaceDE w:val="0"/>
        <w:autoSpaceDN w:val="0"/>
        <w:adjustRightInd w:val="0"/>
        <w:spacing w:before="120" w:after="120"/>
        <w:jc w:val="both"/>
        <w:rPr>
          <w:noProof/>
        </w:rPr>
      </w:pPr>
      <w:r>
        <w:rPr>
          <w:noProof/>
        </w:rPr>
        <w:t>In addition to the temporary support measures under Budget 2015 (EUR 276,6 million) and Budget 2016 (EUR 711,5 million), the following additional support measures are budgeted in DB 2017 (incl. AL 1/2017):</w:t>
      </w:r>
    </w:p>
    <w:p>
      <w:pPr>
        <w:keepNext/>
        <w:keepLines/>
        <w:jc w:val="right"/>
        <w:rPr>
          <w:noProof/>
          <w:sz w:val="16"/>
          <w:szCs w:val="16"/>
          <w:lang w:eastAsia="de-DE"/>
        </w:rPr>
      </w:pPr>
      <w:r>
        <w:rPr>
          <w:i/>
          <w:iCs/>
          <w:noProof/>
          <w:sz w:val="16"/>
          <w:szCs w:val="16"/>
          <w:lang w:eastAsia="de-DE"/>
        </w:rPr>
        <w:t>(in million EUR, rounded figures at current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999"/>
        <w:gridCol w:w="1559"/>
      </w:tblGrid>
      <w:tr>
        <w:tc>
          <w:tcPr>
            <w:tcW w:w="1365" w:type="dxa"/>
            <w:shd w:val="clear" w:color="auto" w:fill="D9D9D9"/>
            <w:vAlign w:val="center"/>
          </w:tcPr>
          <w:p>
            <w:pPr>
              <w:autoSpaceDE w:val="0"/>
              <w:autoSpaceDN w:val="0"/>
              <w:adjustRightInd w:val="0"/>
              <w:jc w:val="center"/>
              <w:rPr>
                <w:b/>
                <w:noProof/>
                <w:sz w:val="20"/>
                <w:szCs w:val="20"/>
              </w:rPr>
            </w:pPr>
            <w:r>
              <w:rPr>
                <w:b/>
                <w:noProof/>
                <w:sz w:val="20"/>
                <w:szCs w:val="20"/>
              </w:rPr>
              <w:t>Budget line</w:t>
            </w:r>
          </w:p>
        </w:tc>
        <w:tc>
          <w:tcPr>
            <w:tcW w:w="6999" w:type="dxa"/>
            <w:shd w:val="clear" w:color="auto" w:fill="D9D9D9"/>
            <w:vAlign w:val="center"/>
          </w:tcPr>
          <w:p>
            <w:pPr>
              <w:autoSpaceDE w:val="0"/>
              <w:autoSpaceDN w:val="0"/>
              <w:adjustRightInd w:val="0"/>
              <w:jc w:val="center"/>
              <w:rPr>
                <w:b/>
                <w:noProof/>
                <w:sz w:val="20"/>
                <w:szCs w:val="20"/>
              </w:rPr>
            </w:pPr>
            <w:r>
              <w:rPr>
                <w:b/>
                <w:noProof/>
                <w:sz w:val="20"/>
                <w:szCs w:val="20"/>
              </w:rPr>
              <w:t>Measure</w:t>
            </w:r>
          </w:p>
        </w:tc>
        <w:tc>
          <w:tcPr>
            <w:tcW w:w="1559" w:type="dxa"/>
            <w:shd w:val="clear" w:color="auto" w:fill="D9D9D9"/>
            <w:vAlign w:val="center"/>
          </w:tcPr>
          <w:p>
            <w:pPr>
              <w:autoSpaceDE w:val="0"/>
              <w:autoSpaceDN w:val="0"/>
              <w:adjustRightInd w:val="0"/>
              <w:jc w:val="center"/>
              <w:rPr>
                <w:b/>
                <w:noProof/>
                <w:sz w:val="20"/>
                <w:szCs w:val="20"/>
              </w:rPr>
            </w:pPr>
            <w:r>
              <w:rPr>
                <w:b/>
                <w:noProof/>
                <w:sz w:val="20"/>
                <w:szCs w:val="20"/>
              </w:rPr>
              <w:t xml:space="preserve">Amount </w:t>
            </w:r>
          </w:p>
        </w:tc>
      </w:tr>
      <w:tr>
        <w:tc>
          <w:tcPr>
            <w:tcW w:w="1365" w:type="dxa"/>
          </w:tcPr>
          <w:p>
            <w:pPr>
              <w:autoSpaceDE w:val="0"/>
              <w:autoSpaceDN w:val="0"/>
              <w:adjustRightInd w:val="0"/>
              <w:rPr>
                <w:noProof/>
                <w:sz w:val="20"/>
                <w:szCs w:val="20"/>
              </w:rPr>
            </w:pPr>
            <w:r>
              <w:rPr>
                <w:noProof/>
                <w:sz w:val="20"/>
                <w:szCs w:val="20"/>
              </w:rPr>
              <w:t>05 02 08 03</w:t>
            </w:r>
            <w:r>
              <w:rPr>
                <w:noProof/>
                <w:sz w:val="20"/>
                <w:szCs w:val="20"/>
              </w:rPr>
              <w:br/>
              <w:t>05 02 08 99</w:t>
            </w:r>
          </w:p>
        </w:tc>
        <w:tc>
          <w:tcPr>
            <w:tcW w:w="6999" w:type="dxa"/>
          </w:tcPr>
          <w:p>
            <w:pPr>
              <w:autoSpaceDE w:val="0"/>
              <w:autoSpaceDN w:val="0"/>
              <w:adjustRightInd w:val="0"/>
              <w:jc w:val="both"/>
              <w:rPr>
                <w:noProof/>
                <w:sz w:val="20"/>
                <w:szCs w:val="20"/>
              </w:rPr>
            </w:pPr>
            <w:r>
              <w:rPr>
                <w:noProof/>
                <w:sz w:val="20"/>
                <w:szCs w:val="20"/>
                <w:lang w:eastAsia="de-DE"/>
              </w:rPr>
              <w:t xml:space="preserve">Extension of the temporary exceptional support measures for producers of certain fruit and vegetables </w:t>
            </w:r>
          </w:p>
        </w:tc>
        <w:tc>
          <w:tcPr>
            <w:tcW w:w="1559" w:type="dxa"/>
          </w:tcPr>
          <w:p>
            <w:pPr>
              <w:autoSpaceDE w:val="0"/>
              <w:autoSpaceDN w:val="0"/>
              <w:adjustRightInd w:val="0"/>
              <w:jc w:val="right"/>
              <w:rPr>
                <w:noProof/>
                <w:sz w:val="20"/>
                <w:szCs w:val="20"/>
              </w:rPr>
            </w:pPr>
            <w:r>
              <w:rPr>
                <w:noProof/>
                <w:sz w:val="20"/>
                <w:szCs w:val="20"/>
              </w:rPr>
              <w:t>100,0</w:t>
            </w:r>
          </w:p>
        </w:tc>
      </w:tr>
      <w:tr>
        <w:tc>
          <w:tcPr>
            <w:tcW w:w="1365" w:type="dxa"/>
            <w:tcBorders>
              <w:top w:val="nil"/>
            </w:tcBorders>
          </w:tcPr>
          <w:p>
            <w:pPr>
              <w:autoSpaceDE w:val="0"/>
              <w:autoSpaceDN w:val="0"/>
              <w:adjustRightInd w:val="0"/>
              <w:jc w:val="both"/>
              <w:rPr>
                <w:noProof/>
                <w:sz w:val="20"/>
                <w:szCs w:val="20"/>
              </w:rPr>
            </w:pPr>
            <w:r>
              <w:rPr>
                <w:noProof/>
                <w:sz w:val="20"/>
              </w:rPr>
              <w:t>05 02 10 01</w:t>
            </w:r>
          </w:p>
        </w:tc>
        <w:tc>
          <w:tcPr>
            <w:tcW w:w="6999" w:type="dxa"/>
            <w:tcBorders>
              <w:top w:val="nil"/>
            </w:tcBorders>
          </w:tcPr>
          <w:p>
            <w:pPr>
              <w:autoSpaceDE w:val="0"/>
              <w:autoSpaceDN w:val="0"/>
              <w:adjustRightInd w:val="0"/>
              <w:jc w:val="both"/>
              <w:rPr>
                <w:noProof/>
                <w:sz w:val="20"/>
                <w:szCs w:val="20"/>
              </w:rPr>
            </w:pPr>
            <w:r>
              <w:rPr>
                <w:noProof/>
                <w:sz w:val="20"/>
              </w:rPr>
              <w:t>Reinforcement of promotion activities for dairy products and pigmeat in third countries</w:t>
            </w:r>
          </w:p>
        </w:tc>
        <w:tc>
          <w:tcPr>
            <w:tcW w:w="1559" w:type="dxa"/>
            <w:tcBorders>
              <w:top w:val="nil"/>
            </w:tcBorders>
          </w:tcPr>
          <w:p>
            <w:pPr>
              <w:autoSpaceDE w:val="0"/>
              <w:autoSpaceDN w:val="0"/>
              <w:adjustRightInd w:val="0"/>
              <w:jc w:val="right"/>
              <w:rPr>
                <w:noProof/>
                <w:sz w:val="20"/>
                <w:szCs w:val="20"/>
              </w:rPr>
            </w:pPr>
            <w:r>
              <w:rPr>
                <w:noProof/>
                <w:sz w:val="20"/>
              </w:rPr>
              <w:t>21,5</w:t>
            </w:r>
            <w:r>
              <w:rPr>
                <w:noProof/>
                <w:sz w:val="20"/>
                <w:vertAlign w:val="superscript"/>
              </w:rPr>
              <w:t>(1)(2)</w:t>
            </w:r>
          </w:p>
        </w:tc>
      </w:tr>
      <w:tr>
        <w:tc>
          <w:tcPr>
            <w:tcW w:w="1365" w:type="dxa"/>
            <w:tcBorders>
              <w:top w:val="nil"/>
            </w:tcBorders>
          </w:tcPr>
          <w:p>
            <w:pPr>
              <w:autoSpaceDE w:val="0"/>
              <w:autoSpaceDN w:val="0"/>
              <w:adjustRightInd w:val="0"/>
              <w:jc w:val="both"/>
              <w:rPr>
                <w:noProof/>
                <w:sz w:val="20"/>
                <w:szCs w:val="20"/>
              </w:rPr>
            </w:pPr>
            <w:r>
              <w:rPr>
                <w:noProof/>
                <w:sz w:val="20"/>
                <w:szCs w:val="20"/>
              </w:rPr>
              <w:t>05 02 12 02</w:t>
            </w:r>
          </w:p>
        </w:tc>
        <w:tc>
          <w:tcPr>
            <w:tcW w:w="6999" w:type="dxa"/>
            <w:tcBorders>
              <w:top w:val="nil"/>
            </w:tcBorders>
          </w:tcPr>
          <w:p>
            <w:pPr>
              <w:autoSpaceDE w:val="0"/>
              <w:autoSpaceDN w:val="0"/>
              <w:adjustRightInd w:val="0"/>
              <w:jc w:val="both"/>
              <w:rPr>
                <w:noProof/>
                <w:sz w:val="20"/>
                <w:szCs w:val="20"/>
              </w:rPr>
            </w:pPr>
            <w:r>
              <w:rPr>
                <w:noProof/>
                <w:sz w:val="20"/>
                <w:szCs w:val="20"/>
              </w:rPr>
              <w:t xml:space="preserve">Private storage and public intervention for skimmed milk powder </w:t>
            </w:r>
          </w:p>
        </w:tc>
        <w:tc>
          <w:tcPr>
            <w:tcW w:w="1559" w:type="dxa"/>
            <w:tcBorders>
              <w:top w:val="nil"/>
            </w:tcBorders>
          </w:tcPr>
          <w:p>
            <w:pPr>
              <w:autoSpaceDE w:val="0"/>
              <w:autoSpaceDN w:val="0"/>
              <w:adjustRightInd w:val="0"/>
              <w:jc w:val="right"/>
              <w:rPr>
                <w:noProof/>
                <w:sz w:val="20"/>
                <w:szCs w:val="20"/>
              </w:rPr>
            </w:pPr>
            <w:r>
              <w:rPr>
                <w:noProof/>
                <w:sz w:val="20"/>
                <w:szCs w:val="20"/>
              </w:rPr>
              <w:t>19,0</w:t>
            </w:r>
          </w:p>
        </w:tc>
      </w:tr>
      <w:tr>
        <w:tc>
          <w:tcPr>
            <w:tcW w:w="1365" w:type="dxa"/>
            <w:tcBorders>
              <w:top w:val="nil"/>
            </w:tcBorders>
          </w:tcPr>
          <w:p>
            <w:pPr>
              <w:autoSpaceDE w:val="0"/>
              <w:autoSpaceDN w:val="0"/>
              <w:adjustRightInd w:val="0"/>
              <w:jc w:val="both"/>
              <w:rPr>
                <w:noProof/>
                <w:sz w:val="20"/>
                <w:szCs w:val="20"/>
              </w:rPr>
            </w:pPr>
            <w:r>
              <w:rPr>
                <w:noProof/>
                <w:sz w:val="20"/>
                <w:szCs w:val="20"/>
              </w:rPr>
              <w:t>05 02 12 04</w:t>
            </w:r>
          </w:p>
        </w:tc>
        <w:tc>
          <w:tcPr>
            <w:tcW w:w="6999" w:type="dxa"/>
            <w:tcBorders>
              <w:top w:val="nil"/>
            </w:tcBorders>
          </w:tcPr>
          <w:p>
            <w:pPr>
              <w:autoSpaceDE w:val="0"/>
              <w:autoSpaceDN w:val="0"/>
              <w:adjustRightInd w:val="0"/>
              <w:jc w:val="both"/>
              <w:rPr>
                <w:noProof/>
                <w:sz w:val="20"/>
                <w:szCs w:val="20"/>
              </w:rPr>
            </w:pPr>
            <w:r>
              <w:rPr>
                <w:noProof/>
                <w:sz w:val="20"/>
                <w:szCs w:val="20"/>
              </w:rPr>
              <w:t xml:space="preserve">Private storage for butter </w:t>
            </w:r>
          </w:p>
        </w:tc>
        <w:tc>
          <w:tcPr>
            <w:tcW w:w="1559" w:type="dxa"/>
            <w:tcBorders>
              <w:top w:val="nil"/>
            </w:tcBorders>
          </w:tcPr>
          <w:p>
            <w:pPr>
              <w:autoSpaceDE w:val="0"/>
              <w:autoSpaceDN w:val="0"/>
              <w:adjustRightInd w:val="0"/>
              <w:jc w:val="right"/>
              <w:rPr>
                <w:noProof/>
                <w:sz w:val="20"/>
                <w:szCs w:val="20"/>
              </w:rPr>
            </w:pPr>
            <w:r>
              <w:rPr>
                <w:noProof/>
                <w:sz w:val="20"/>
                <w:szCs w:val="20"/>
              </w:rPr>
              <w:t>9,0</w:t>
            </w:r>
          </w:p>
        </w:tc>
      </w:tr>
      <w:tr>
        <w:tc>
          <w:tcPr>
            <w:tcW w:w="1365" w:type="dxa"/>
          </w:tcPr>
          <w:p>
            <w:pPr>
              <w:autoSpaceDE w:val="0"/>
              <w:autoSpaceDN w:val="0"/>
              <w:adjustRightInd w:val="0"/>
              <w:jc w:val="both"/>
              <w:rPr>
                <w:noProof/>
                <w:sz w:val="20"/>
                <w:szCs w:val="20"/>
              </w:rPr>
            </w:pPr>
            <w:r>
              <w:rPr>
                <w:noProof/>
                <w:sz w:val="20"/>
                <w:szCs w:val="20"/>
              </w:rPr>
              <w:t>05 02 12 99</w:t>
            </w:r>
          </w:p>
        </w:tc>
        <w:tc>
          <w:tcPr>
            <w:tcW w:w="6999" w:type="dxa"/>
          </w:tcPr>
          <w:p>
            <w:pPr>
              <w:autoSpaceDE w:val="0"/>
              <w:autoSpaceDN w:val="0"/>
              <w:adjustRightInd w:val="0"/>
              <w:jc w:val="both"/>
              <w:rPr>
                <w:noProof/>
                <w:sz w:val="20"/>
              </w:rPr>
            </w:pPr>
            <w:r>
              <w:rPr>
                <w:noProof/>
                <w:sz w:val="20"/>
              </w:rPr>
              <w:t>Private storage for cheese (residual amounts)</w:t>
            </w:r>
          </w:p>
        </w:tc>
        <w:tc>
          <w:tcPr>
            <w:tcW w:w="1559" w:type="dxa"/>
          </w:tcPr>
          <w:p>
            <w:pPr>
              <w:autoSpaceDE w:val="0"/>
              <w:autoSpaceDN w:val="0"/>
              <w:adjustRightInd w:val="0"/>
              <w:jc w:val="right"/>
              <w:rPr>
                <w:noProof/>
                <w:sz w:val="20"/>
                <w:szCs w:val="20"/>
              </w:rPr>
            </w:pPr>
            <w:r>
              <w:rPr>
                <w:noProof/>
                <w:sz w:val="20"/>
                <w:szCs w:val="20"/>
              </w:rPr>
              <w:t>4,6</w:t>
            </w:r>
          </w:p>
        </w:tc>
      </w:tr>
      <w:tr>
        <w:tc>
          <w:tcPr>
            <w:tcW w:w="1365" w:type="dxa"/>
          </w:tcPr>
          <w:p>
            <w:pPr>
              <w:autoSpaceDE w:val="0"/>
              <w:autoSpaceDN w:val="0"/>
              <w:adjustRightInd w:val="0"/>
              <w:jc w:val="both"/>
              <w:rPr>
                <w:noProof/>
                <w:sz w:val="20"/>
                <w:szCs w:val="20"/>
              </w:rPr>
            </w:pPr>
            <w:r>
              <w:rPr>
                <w:noProof/>
                <w:sz w:val="20"/>
                <w:szCs w:val="20"/>
              </w:rPr>
              <w:t>05 02 12 99</w:t>
            </w:r>
          </w:p>
        </w:tc>
        <w:tc>
          <w:tcPr>
            <w:tcW w:w="6999" w:type="dxa"/>
          </w:tcPr>
          <w:p>
            <w:pPr>
              <w:autoSpaceDE w:val="0"/>
              <w:autoSpaceDN w:val="0"/>
              <w:adjustRightInd w:val="0"/>
              <w:jc w:val="both"/>
              <w:rPr>
                <w:noProof/>
                <w:sz w:val="20"/>
                <w:szCs w:val="20"/>
              </w:rPr>
            </w:pPr>
            <w:r>
              <w:rPr>
                <w:noProof/>
                <w:sz w:val="20"/>
              </w:rPr>
              <w:t>Targeted aid for temporary reduction of milk production</w:t>
            </w:r>
          </w:p>
        </w:tc>
        <w:tc>
          <w:tcPr>
            <w:tcW w:w="1559" w:type="dxa"/>
          </w:tcPr>
          <w:p>
            <w:pPr>
              <w:autoSpaceDE w:val="0"/>
              <w:autoSpaceDN w:val="0"/>
              <w:adjustRightInd w:val="0"/>
              <w:jc w:val="right"/>
              <w:rPr>
                <w:noProof/>
                <w:sz w:val="20"/>
                <w:szCs w:val="20"/>
              </w:rPr>
            </w:pPr>
            <w:r>
              <w:rPr>
                <w:noProof/>
                <w:sz w:val="20"/>
                <w:szCs w:val="20"/>
              </w:rPr>
              <w:t>150,0</w:t>
            </w:r>
          </w:p>
        </w:tc>
      </w:tr>
      <w:tr>
        <w:tc>
          <w:tcPr>
            <w:tcW w:w="1365" w:type="dxa"/>
          </w:tcPr>
          <w:p>
            <w:pPr>
              <w:autoSpaceDE w:val="0"/>
              <w:autoSpaceDN w:val="0"/>
              <w:adjustRightInd w:val="0"/>
              <w:jc w:val="both"/>
              <w:rPr>
                <w:noProof/>
                <w:sz w:val="20"/>
                <w:szCs w:val="20"/>
              </w:rPr>
            </w:pPr>
            <w:r>
              <w:rPr>
                <w:noProof/>
                <w:sz w:val="20"/>
                <w:szCs w:val="20"/>
              </w:rPr>
              <w:t>05 02 12 99</w:t>
            </w:r>
          </w:p>
        </w:tc>
        <w:tc>
          <w:tcPr>
            <w:tcW w:w="6999" w:type="dxa"/>
          </w:tcPr>
          <w:p>
            <w:pPr>
              <w:autoSpaceDE w:val="0"/>
              <w:autoSpaceDN w:val="0"/>
              <w:adjustRightInd w:val="0"/>
              <w:jc w:val="both"/>
              <w:rPr>
                <w:noProof/>
                <w:sz w:val="20"/>
                <w:szCs w:val="20"/>
              </w:rPr>
            </w:pPr>
            <w:r>
              <w:rPr>
                <w:noProof/>
                <w:sz w:val="20"/>
              </w:rPr>
              <w:t>Exceptional adjustment aid to milk producers and farmers in other livestock sectors</w:t>
            </w:r>
          </w:p>
        </w:tc>
        <w:tc>
          <w:tcPr>
            <w:tcW w:w="1559" w:type="dxa"/>
          </w:tcPr>
          <w:p>
            <w:pPr>
              <w:autoSpaceDE w:val="0"/>
              <w:autoSpaceDN w:val="0"/>
              <w:adjustRightInd w:val="0"/>
              <w:jc w:val="right"/>
              <w:rPr>
                <w:noProof/>
                <w:sz w:val="20"/>
                <w:szCs w:val="20"/>
              </w:rPr>
            </w:pPr>
            <w:r>
              <w:rPr>
                <w:noProof/>
                <w:sz w:val="20"/>
                <w:szCs w:val="20"/>
              </w:rPr>
              <w:t>350,0</w:t>
            </w:r>
          </w:p>
        </w:tc>
      </w:tr>
      <w:tr>
        <w:tc>
          <w:tcPr>
            <w:tcW w:w="8364" w:type="dxa"/>
            <w:gridSpan w:val="2"/>
          </w:tcPr>
          <w:p>
            <w:pPr>
              <w:autoSpaceDE w:val="0"/>
              <w:autoSpaceDN w:val="0"/>
              <w:adjustRightInd w:val="0"/>
              <w:spacing w:before="60" w:after="60"/>
              <w:jc w:val="both"/>
              <w:rPr>
                <w:noProof/>
                <w:sz w:val="20"/>
                <w:szCs w:val="20"/>
              </w:rPr>
            </w:pPr>
            <w:r>
              <w:rPr>
                <w:b/>
                <w:i/>
                <w:noProof/>
                <w:sz w:val="20"/>
                <w:szCs w:val="20"/>
              </w:rPr>
              <w:t>Total of all additional support measures included in DB 2017 (incl. AL 1/2017)</w:t>
            </w:r>
          </w:p>
        </w:tc>
        <w:tc>
          <w:tcPr>
            <w:tcW w:w="1559" w:type="dxa"/>
          </w:tcPr>
          <w:p>
            <w:pPr>
              <w:autoSpaceDE w:val="0"/>
              <w:autoSpaceDN w:val="0"/>
              <w:adjustRightInd w:val="0"/>
              <w:spacing w:before="60" w:after="60"/>
              <w:jc w:val="right"/>
              <w:rPr>
                <w:b/>
                <w:i/>
                <w:noProof/>
                <w:sz w:val="20"/>
                <w:szCs w:val="20"/>
              </w:rPr>
            </w:pPr>
            <w:r>
              <w:rPr>
                <w:b/>
                <w:i/>
                <w:noProof/>
                <w:sz w:val="20"/>
                <w:szCs w:val="20"/>
              </w:rPr>
              <w:t>654,1</w:t>
            </w:r>
          </w:p>
        </w:tc>
      </w:tr>
      <w:tr>
        <w:tc>
          <w:tcPr>
            <w:tcW w:w="9923" w:type="dxa"/>
            <w:gridSpan w:val="3"/>
          </w:tcPr>
          <w:p>
            <w:pPr>
              <w:ind w:left="170" w:hanging="170"/>
              <w:rPr>
                <w:b/>
                <w:i/>
                <w:noProof/>
                <w:sz w:val="20"/>
                <w:szCs w:val="20"/>
              </w:rPr>
            </w:pPr>
            <w:r>
              <w:rPr>
                <w:noProof/>
                <w:sz w:val="18"/>
                <w:szCs w:val="18"/>
                <w:vertAlign w:val="superscript"/>
              </w:rPr>
              <w:t>(1)</w:t>
            </w:r>
            <w:r>
              <w:rPr>
                <w:noProof/>
                <w:sz w:val="18"/>
                <w:szCs w:val="18"/>
              </w:rPr>
              <w:t xml:space="preserve"> In total EUR 30 million announced in 2014, of which EUR 3 million in 2015, EUR 13,5 million in 2016 and EUR 13,5 million in 2017. </w:t>
            </w:r>
          </w:p>
        </w:tc>
      </w:tr>
      <w:tr>
        <w:tc>
          <w:tcPr>
            <w:tcW w:w="9923" w:type="dxa"/>
            <w:gridSpan w:val="3"/>
          </w:tcPr>
          <w:p>
            <w:pPr>
              <w:autoSpaceDE w:val="0"/>
              <w:autoSpaceDN w:val="0"/>
              <w:adjustRightInd w:val="0"/>
              <w:ind w:left="176" w:hanging="176"/>
              <w:rPr>
                <w:b/>
                <w:i/>
                <w:noProof/>
                <w:sz w:val="20"/>
                <w:szCs w:val="20"/>
              </w:rPr>
            </w:pPr>
            <w:r>
              <w:rPr>
                <w:noProof/>
                <w:sz w:val="18"/>
                <w:szCs w:val="18"/>
                <w:vertAlign w:val="superscript"/>
              </w:rPr>
              <w:t>(2)</w:t>
            </w:r>
            <w:r>
              <w:rPr>
                <w:noProof/>
                <w:sz w:val="18"/>
                <w:szCs w:val="18"/>
              </w:rPr>
              <w:t xml:space="preserve"> Additional EUR 30 million announced in 2015, of which EUR 8 million in 2017 and the remaining EUR 22 million in 2018 and thereafter.</w:t>
            </w:r>
          </w:p>
        </w:tc>
      </w:tr>
    </w:tbl>
    <w:p>
      <w:pPr>
        <w:autoSpaceDE w:val="0"/>
        <w:autoSpaceDN w:val="0"/>
        <w:adjustRightInd w:val="0"/>
        <w:spacing w:before="120" w:after="120"/>
        <w:jc w:val="both"/>
        <w:rPr>
          <w:noProof/>
        </w:rPr>
      </w:pPr>
      <w:r>
        <w:rPr>
          <w:noProof/>
        </w:rPr>
        <w:t>Appropriations for agricultural expenditure financed under the EAGF in AL 1/2017 are proposed to be budgeted at EUR 42 937,6 million, which is below the 2017 net balance available for EAGF expenditure ('net sub-ceiling') of EUR 44 145,7 million</w:t>
      </w:r>
      <w:r>
        <w:rPr>
          <w:noProof/>
          <w:vertAlign w:val="superscript"/>
        </w:rPr>
        <w:footnoteReference w:id="7"/>
      </w:r>
      <w:r>
        <w:rPr>
          <w:noProof/>
        </w:rPr>
        <w:t>. Despite a net increase of the EAGF needs by EUR 527,0 million, EAGF appropriations compared to DB 2017 can remain unchanged as this increase is fully compensated for by the additional revenue assigned to the EAGF (+EUR 527,0 million).</w:t>
      </w:r>
    </w:p>
    <w:p>
      <w:pPr>
        <w:spacing w:before="120" w:after="120"/>
        <w:jc w:val="both"/>
        <w:rPr>
          <w:noProof/>
        </w:rPr>
      </w:pPr>
      <w:r>
        <w:rPr>
          <w:noProof/>
        </w:rPr>
        <w:t>The following table summarises the effect of AL 1/2017 on heading 2 as a whole:</w:t>
      </w:r>
    </w:p>
    <w:p>
      <w:pPr>
        <w:keepNext/>
        <w:keepLines/>
        <w:jc w:val="right"/>
        <w:rPr>
          <w:noProof/>
          <w:sz w:val="16"/>
          <w:szCs w:val="16"/>
          <w:lang w:eastAsia="de-DE"/>
        </w:rPr>
      </w:pPr>
      <w:r>
        <w:rPr>
          <w:i/>
          <w:iCs/>
          <w:noProof/>
          <w:sz w:val="16"/>
          <w:szCs w:val="16"/>
          <w:lang w:eastAsia="de-DE"/>
        </w:rPr>
        <w:t xml:space="preserve"> (in million EUR, rounded figures at current prices)</w:t>
      </w:r>
    </w:p>
    <w:tbl>
      <w:tblPr>
        <w:tblW w:w="9963" w:type="dxa"/>
        <w:tblLayout w:type="fixed"/>
        <w:tblCellMar>
          <w:left w:w="40" w:type="dxa"/>
          <w:right w:w="40" w:type="dxa"/>
        </w:tblCellMar>
        <w:tblLook w:val="0000" w:firstRow="0" w:lastRow="0" w:firstColumn="0" w:lastColumn="0" w:noHBand="0" w:noVBand="0"/>
      </w:tblPr>
      <w:tblGrid>
        <w:gridCol w:w="324"/>
        <w:gridCol w:w="283"/>
        <w:gridCol w:w="2977"/>
        <w:gridCol w:w="1063"/>
        <w:gridCol w:w="1063"/>
        <w:gridCol w:w="1063"/>
        <w:gridCol w:w="1063"/>
        <w:gridCol w:w="1063"/>
        <w:gridCol w:w="1064"/>
      </w:tblGrid>
      <w:tr>
        <w:trPr>
          <w:tblHeader/>
        </w:trPr>
        <w:tc>
          <w:tcPr>
            <w:tcW w:w="3584"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pPr>
              <w:keepNext/>
              <w:keepLines/>
              <w:spacing w:before="30" w:after="30"/>
              <w:rPr>
                <w:noProof/>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eastAsia="de-DE"/>
              </w:rPr>
            </w:pPr>
            <w:r>
              <w:rPr>
                <w:b/>
                <w:noProof/>
                <w:sz w:val="16"/>
                <w:szCs w:val="16"/>
                <w:lang w:eastAsia="de-DE"/>
              </w:rPr>
              <w:t>Draft Budget 2017</w:t>
            </w: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No 1/2017</w:t>
            </w:r>
          </w:p>
        </w:tc>
        <w:tc>
          <w:tcPr>
            <w:tcW w:w="2127"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eastAsia="de-DE"/>
              </w:rPr>
            </w:pPr>
            <w:r>
              <w:rPr>
                <w:b/>
                <w:noProof/>
                <w:sz w:val="16"/>
                <w:szCs w:val="16"/>
                <w:lang w:eastAsia="de-DE"/>
              </w:rPr>
              <w:t xml:space="preserve">Draft Budget 2017 </w:t>
            </w:r>
            <w:r>
              <w:rPr>
                <w:b/>
                <w:noProof/>
                <w:sz w:val="16"/>
                <w:szCs w:val="16"/>
                <w:lang w:eastAsia="de-DE"/>
              </w:rPr>
              <w:br/>
              <w:t>(incl. AL 1/2017)</w:t>
            </w:r>
          </w:p>
        </w:tc>
      </w:tr>
      <w:tr>
        <w:trPr>
          <w:tblHeader/>
        </w:trPr>
        <w:tc>
          <w:tcPr>
            <w:tcW w:w="3584" w:type="dxa"/>
            <w:gridSpan w:val="3"/>
            <w:vMerge/>
            <w:tcBorders>
              <w:top w:val="nil"/>
              <w:left w:val="single" w:sz="4" w:space="0" w:color="auto"/>
              <w:bottom w:val="single" w:sz="4" w:space="0" w:color="auto"/>
              <w:right w:val="single" w:sz="4" w:space="0" w:color="auto"/>
            </w:tcBorders>
            <w:shd w:val="clear" w:color="auto" w:fill="D9D9D9"/>
          </w:tcPr>
          <w:p>
            <w:pPr>
              <w:keepNext/>
              <w:keepLines/>
              <w:spacing w:before="30" w:after="30"/>
              <w:jc w:val="center"/>
              <w:rPr>
                <w:noProof/>
                <w:sz w:val="16"/>
                <w:szCs w:val="16"/>
                <w:lang w:eastAsia="de-DE"/>
              </w:rPr>
            </w:pP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lang w:eastAsia="de-DE"/>
              </w:rPr>
            </w:pPr>
            <w:r>
              <w:rPr>
                <w:b/>
                <w:noProof/>
                <w:sz w:val="16"/>
                <w:szCs w:val="16"/>
                <w:lang w:eastAsia="de-DE"/>
              </w:rPr>
              <w:t>Commitments</w:t>
            </w:r>
          </w:p>
        </w:tc>
        <w:tc>
          <w:tcPr>
            <w:tcW w:w="1063"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eastAsia="de-DE"/>
              </w:rPr>
            </w:pPr>
            <w:r>
              <w:rPr>
                <w:b/>
                <w:noProof/>
                <w:sz w:val="16"/>
                <w:szCs w:val="16"/>
                <w:lang w:eastAsia="de-DE"/>
              </w:rPr>
              <w:t>Payments</w:t>
            </w: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lang w:eastAsia="de-DE"/>
              </w:rPr>
            </w:pPr>
            <w:r>
              <w:rPr>
                <w:b/>
                <w:noProof/>
                <w:sz w:val="16"/>
                <w:szCs w:val="16"/>
                <w:lang w:eastAsia="de-DE"/>
              </w:rPr>
              <w:t>Commitments</w:t>
            </w:r>
          </w:p>
        </w:tc>
        <w:tc>
          <w:tcPr>
            <w:tcW w:w="1063"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eastAsia="de-DE"/>
              </w:rPr>
            </w:pPr>
            <w:r>
              <w:rPr>
                <w:b/>
                <w:noProof/>
                <w:sz w:val="16"/>
                <w:szCs w:val="16"/>
                <w:lang w:eastAsia="de-DE"/>
              </w:rPr>
              <w:t>Payments</w:t>
            </w: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lang w:eastAsia="de-DE"/>
              </w:rPr>
            </w:pPr>
            <w:r>
              <w:rPr>
                <w:b/>
                <w:noProof/>
                <w:sz w:val="16"/>
                <w:szCs w:val="16"/>
                <w:lang w:eastAsia="de-DE"/>
              </w:rPr>
              <w:t>Commitments</w:t>
            </w:r>
          </w:p>
        </w:tc>
        <w:tc>
          <w:tcPr>
            <w:tcW w:w="106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eastAsia="de-DE"/>
              </w:rPr>
            </w:pPr>
            <w:r>
              <w:rPr>
                <w:b/>
                <w:noProof/>
                <w:sz w:val="16"/>
                <w:szCs w:val="16"/>
                <w:lang w:eastAsia="de-DE"/>
              </w:rPr>
              <w:t>Payments</w:t>
            </w:r>
          </w:p>
        </w:tc>
      </w:tr>
      <w:tr>
        <w:tc>
          <w:tcPr>
            <w:tcW w:w="324" w:type="dxa"/>
            <w:tcBorders>
              <w:top w:val="single" w:sz="4" w:space="0" w:color="auto"/>
              <w:left w:val="single" w:sz="4" w:space="0" w:color="auto"/>
              <w:bottom w:val="dotted" w:sz="2" w:space="0" w:color="auto"/>
              <w:right w:val="nil"/>
            </w:tcBorders>
          </w:tcPr>
          <w:p>
            <w:pPr>
              <w:keepNext/>
              <w:keepLines/>
              <w:spacing w:before="30" w:after="30"/>
              <w:rPr>
                <w:noProof/>
                <w:sz w:val="16"/>
                <w:szCs w:val="16"/>
              </w:rPr>
            </w:pPr>
            <w:r>
              <w:rPr>
                <w:noProof/>
                <w:sz w:val="16"/>
                <w:szCs w:val="16"/>
              </w:rPr>
              <w:t>—</w:t>
            </w:r>
          </w:p>
        </w:tc>
        <w:tc>
          <w:tcPr>
            <w:tcW w:w="3260" w:type="dxa"/>
            <w:gridSpan w:val="2"/>
            <w:tcBorders>
              <w:top w:val="single" w:sz="4" w:space="0" w:color="auto"/>
              <w:left w:val="nil"/>
              <w:bottom w:val="dotted" w:sz="2" w:space="0" w:color="auto"/>
              <w:right w:val="single" w:sz="4" w:space="0" w:color="auto"/>
            </w:tcBorders>
          </w:tcPr>
          <w:p>
            <w:pPr>
              <w:keepNext/>
              <w:keepLines/>
              <w:spacing w:before="30" w:after="30"/>
              <w:rPr>
                <w:noProof/>
                <w:sz w:val="16"/>
                <w:szCs w:val="16"/>
              </w:rPr>
            </w:pPr>
            <w:r>
              <w:rPr>
                <w:noProof/>
                <w:sz w:val="16"/>
                <w:szCs w:val="16"/>
              </w:rPr>
              <w:t xml:space="preserve">European Agricultural Guarantee Fund (EAGF) </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42 937,6</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42 889,0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42 937,6</w:t>
            </w:r>
          </w:p>
        </w:tc>
        <w:tc>
          <w:tcPr>
            <w:tcW w:w="1064"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42 888,0</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szCs w:val="16"/>
              </w:rPr>
              <w:t>—</w:t>
            </w:r>
          </w:p>
        </w:tc>
        <w:tc>
          <w:tcPr>
            <w:tcW w:w="3260" w:type="dxa"/>
            <w:gridSpan w:val="2"/>
            <w:tcBorders>
              <w:top w:val="nil"/>
              <w:left w:val="nil"/>
              <w:bottom w:val="dotted" w:sz="2" w:space="0" w:color="auto"/>
              <w:right w:val="single" w:sz="4" w:space="0" w:color="auto"/>
            </w:tcBorders>
          </w:tcPr>
          <w:p>
            <w:pPr>
              <w:keepNext/>
              <w:keepLines/>
              <w:spacing w:before="30" w:after="30"/>
              <w:rPr>
                <w:noProof/>
                <w:sz w:val="16"/>
                <w:szCs w:val="16"/>
              </w:rPr>
            </w:pPr>
            <w:r>
              <w:rPr>
                <w:noProof/>
                <w:sz w:val="16"/>
                <w:szCs w:val="16"/>
              </w:rPr>
              <w:t>European Agricultural Fund for Rural Development (EAFRD)</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14 365,5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11 208,5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14 365,5</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11 208,5</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szCs w:val="16"/>
              </w:rPr>
              <w:t>—</w:t>
            </w:r>
          </w:p>
        </w:tc>
        <w:tc>
          <w:tcPr>
            <w:tcW w:w="3260" w:type="dxa"/>
            <w:gridSpan w:val="2"/>
            <w:tcBorders>
              <w:top w:val="nil"/>
              <w:left w:val="nil"/>
              <w:bottom w:val="dotted" w:sz="2" w:space="0" w:color="auto"/>
              <w:right w:val="single" w:sz="4" w:space="0" w:color="auto"/>
            </w:tcBorders>
          </w:tcPr>
          <w:p>
            <w:pPr>
              <w:keepNext/>
              <w:keepLines/>
              <w:spacing w:before="30" w:after="30"/>
              <w:rPr>
                <w:noProof/>
                <w:sz w:val="16"/>
                <w:szCs w:val="16"/>
              </w:rPr>
            </w:pPr>
            <w:r>
              <w:rPr>
                <w:noProof/>
                <w:sz w:val="16"/>
                <w:szCs w:val="16"/>
              </w:rPr>
              <w:t>European Maritime and Fisheries Fund (EMFF), Regional Fisheries Management Organisations (RFMOs) and Sustainable Fisheries Partnership Agreements (SFPAs), of which:</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1 050,1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710,8</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1 050,1</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710,8</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szCs w:val="16"/>
              </w:rPr>
              <w:t>—</w:t>
            </w:r>
          </w:p>
        </w:tc>
        <w:tc>
          <w:tcPr>
            <w:tcW w:w="2977" w:type="dxa"/>
            <w:tcBorders>
              <w:top w:val="dotted" w:sz="2" w:space="0" w:color="auto"/>
              <w:bottom w:val="dotted" w:sz="2" w:space="0" w:color="auto"/>
              <w:right w:val="single" w:sz="4" w:space="0" w:color="auto"/>
            </w:tcBorders>
          </w:tcPr>
          <w:p>
            <w:pPr>
              <w:keepNext/>
              <w:keepLines/>
              <w:spacing w:before="30" w:after="30"/>
              <w:rPr>
                <w:noProof/>
                <w:sz w:val="16"/>
                <w:szCs w:val="16"/>
              </w:rPr>
            </w:pPr>
            <w:r>
              <w:rPr>
                <w:noProof/>
                <w:sz w:val="16"/>
                <w:szCs w:val="16"/>
              </w:rPr>
              <w:t>Sustainable Fisheries Partnership Agreements (SFPAs) </w:t>
            </w:r>
            <w:r>
              <w:rPr>
                <w:noProof/>
                <w:sz w:val="16"/>
                <w:szCs w:val="16"/>
              </w:rPr>
              <w:sym w:font="Symbol" w:char="F0BE"/>
            </w:r>
            <w:r>
              <w:rPr>
                <w:noProof/>
                <w:sz w:val="16"/>
                <w:szCs w:val="16"/>
              </w:rPr>
              <w:t> Operational line (11 03 01)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117,7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112,7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118,4</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113,4</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szCs w:val="16"/>
              </w:rPr>
              <w:t>—</w:t>
            </w:r>
          </w:p>
        </w:tc>
        <w:tc>
          <w:tcPr>
            <w:tcW w:w="2977" w:type="dxa"/>
            <w:tcBorders>
              <w:top w:val="dotted" w:sz="2" w:space="0" w:color="auto"/>
              <w:bottom w:val="dotted" w:sz="2" w:space="0" w:color="auto"/>
              <w:right w:val="single" w:sz="4" w:space="0" w:color="auto"/>
            </w:tcBorders>
          </w:tcPr>
          <w:p>
            <w:pPr>
              <w:keepNext/>
              <w:keepLines/>
              <w:spacing w:before="30" w:after="30"/>
              <w:rPr>
                <w:noProof/>
                <w:sz w:val="16"/>
                <w:szCs w:val="16"/>
              </w:rPr>
            </w:pPr>
            <w:r>
              <w:rPr>
                <w:noProof/>
                <w:sz w:val="16"/>
                <w:szCs w:val="16"/>
              </w:rPr>
              <w:t>Sustainable Fisheries Partnership Agreements (SFPAs) </w:t>
            </w:r>
            <w:r>
              <w:rPr>
                <w:noProof/>
                <w:sz w:val="16"/>
                <w:szCs w:val="16"/>
              </w:rPr>
              <w:sym w:font="Symbol" w:char="F0BE"/>
            </w:r>
            <w:r>
              <w:rPr>
                <w:noProof/>
                <w:sz w:val="16"/>
                <w:szCs w:val="16"/>
              </w:rPr>
              <w:t> Reserve (40 02 41)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14,8</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lang w:eastAsia="de-DE"/>
              </w:rPr>
            </w:pPr>
            <w:r>
              <w:rPr>
                <w:noProof/>
                <w:sz w:val="16"/>
                <w:szCs w:val="16"/>
                <w:lang w:eastAsia="de-DE"/>
              </w:rPr>
              <w:t>14,8</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szCs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rPr>
            </w:pPr>
            <w:r>
              <w:rPr>
                <w:noProof/>
                <w:sz w:val="16"/>
                <w:szCs w:val="16"/>
              </w:rPr>
              <w:t>Environment and climate action (Life)</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493,7</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363,7</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493,7</w:t>
            </w:r>
          </w:p>
        </w:tc>
        <w:tc>
          <w:tcPr>
            <w:tcW w:w="1064"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363,7</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szCs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rPr>
            </w:pPr>
            <w:r>
              <w:rPr>
                <w:noProof/>
                <w:sz w:val="16"/>
                <w:szCs w:val="16"/>
              </w:rPr>
              <w:t>Actions financed under the prerogatives of the Commission and specific competences conferred to the Commission</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p.m.</w:t>
            </w:r>
          </w:p>
        </w:tc>
        <w:tc>
          <w:tcPr>
            <w:tcW w:w="1064"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p.m.</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szCs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rPr>
            </w:pPr>
            <w:r>
              <w:rPr>
                <w:noProof/>
                <w:sz w:val="16"/>
                <w:szCs w:val="16"/>
              </w:rPr>
              <w:t>Pilot projects and preparatory actions</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9,6</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p.m.</w:t>
            </w:r>
          </w:p>
        </w:tc>
        <w:tc>
          <w:tcPr>
            <w:tcW w:w="1064" w:type="dxa"/>
            <w:tcBorders>
              <w:top w:val="nil"/>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9,6</w:t>
            </w:r>
          </w:p>
        </w:tc>
      </w:tr>
      <w:tr>
        <w:tc>
          <w:tcPr>
            <w:tcW w:w="324" w:type="dxa"/>
            <w:tcBorders>
              <w:top w:val="dotted" w:sz="2" w:space="0" w:color="auto"/>
              <w:left w:val="single" w:sz="4" w:space="0" w:color="auto"/>
              <w:bottom w:val="dotted" w:sz="2" w:space="0" w:color="auto"/>
              <w:right w:val="nil"/>
            </w:tcBorders>
          </w:tcPr>
          <w:p>
            <w:pPr>
              <w:spacing w:before="30" w:after="30"/>
              <w:rPr>
                <w:noProof/>
                <w:sz w:val="16"/>
                <w:szCs w:val="16"/>
              </w:rPr>
            </w:pPr>
            <w:r>
              <w:rPr>
                <w:noProof/>
                <w:sz w:val="16"/>
                <w:szCs w:val="16"/>
              </w:rPr>
              <w:t>—</w:t>
            </w:r>
          </w:p>
        </w:tc>
        <w:tc>
          <w:tcPr>
            <w:tcW w:w="3260" w:type="dxa"/>
            <w:gridSpan w:val="2"/>
            <w:tcBorders>
              <w:top w:val="dotted" w:sz="2" w:space="0" w:color="auto"/>
              <w:left w:val="nil"/>
              <w:bottom w:val="dotted" w:sz="2" w:space="0" w:color="auto"/>
              <w:right w:val="single" w:sz="4" w:space="0" w:color="auto"/>
            </w:tcBorders>
          </w:tcPr>
          <w:p>
            <w:pPr>
              <w:spacing w:before="30" w:after="30"/>
              <w:rPr>
                <w:noProof/>
                <w:sz w:val="16"/>
                <w:szCs w:val="16"/>
              </w:rPr>
            </w:pPr>
            <w:r>
              <w:rPr>
                <w:noProof/>
                <w:sz w:val="16"/>
                <w:szCs w:val="16"/>
              </w:rPr>
              <w:t>Decentralised agencies</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54,8</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54,8</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54,8</w:t>
            </w:r>
          </w:p>
        </w:tc>
        <w:tc>
          <w:tcPr>
            <w:tcW w:w="1064" w:type="dxa"/>
            <w:tcBorders>
              <w:top w:val="dotted" w:sz="2" w:space="0" w:color="auto"/>
              <w:left w:val="nil"/>
              <w:bottom w:val="dotted" w:sz="2" w:space="0" w:color="auto"/>
              <w:right w:val="single" w:sz="4" w:space="0" w:color="auto"/>
            </w:tcBorders>
          </w:tcPr>
          <w:p>
            <w:pPr>
              <w:spacing w:before="30" w:after="30"/>
              <w:jc w:val="right"/>
              <w:rPr>
                <w:noProof/>
                <w:sz w:val="16"/>
                <w:szCs w:val="16"/>
                <w:lang w:eastAsia="de-DE"/>
              </w:rPr>
            </w:pPr>
            <w:r>
              <w:rPr>
                <w:noProof/>
                <w:sz w:val="16"/>
                <w:szCs w:val="16"/>
                <w:lang w:eastAsia="de-DE"/>
              </w:rPr>
              <w:t>54,8</w:t>
            </w:r>
          </w:p>
        </w:tc>
      </w:tr>
      <w:tr>
        <w:tc>
          <w:tcPr>
            <w:tcW w:w="324" w:type="dxa"/>
            <w:tcBorders>
              <w:top w:val="dotted" w:sz="2" w:space="0" w:color="auto"/>
              <w:left w:val="single" w:sz="4" w:space="0" w:color="auto"/>
              <w:bottom w:val="single" w:sz="4" w:space="0" w:color="auto"/>
              <w:right w:val="nil"/>
            </w:tcBorders>
          </w:tcPr>
          <w:p>
            <w:pPr>
              <w:spacing w:before="30" w:after="30"/>
              <w:rPr>
                <w:noProof/>
                <w:sz w:val="16"/>
                <w:szCs w:val="16"/>
              </w:rPr>
            </w:pPr>
            <w:r>
              <w:rPr>
                <w:noProof/>
                <w:sz w:val="16"/>
                <w:szCs w:val="16"/>
              </w:rPr>
              <w:t>—</w:t>
            </w:r>
          </w:p>
        </w:tc>
        <w:tc>
          <w:tcPr>
            <w:tcW w:w="3260" w:type="dxa"/>
            <w:gridSpan w:val="2"/>
            <w:tcBorders>
              <w:top w:val="dotted" w:sz="2" w:space="0" w:color="auto"/>
              <w:left w:val="nil"/>
              <w:bottom w:val="single" w:sz="4" w:space="0" w:color="auto"/>
              <w:right w:val="single" w:sz="4" w:space="0" w:color="auto"/>
            </w:tcBorders>
          </w:tcPr>
          <w:p>
            <w:pPr>
              <w:spacing w:before="30" w:after="30"/>
              <w:rPr>
                <w:noProof/>
                <w:sz w:val="16"/>
                <w:szCs w:val="16"/>
              </w:rPr>
            </w:pPr>
            <w:r>
              <w:rPr>
                <w:noProof/>
                <w:sz w:val="16"/>
                <w:szCs w:val="16"/>
              </w:rPr>
              <w:t>Other expenditure under Heading 2</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c>
          <w:tcPr>
            <w:tcW w:w="1064"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de-DE"/>
              </w:rPr>
            </w:pPr>
            <w:r>
              <w:rPr>
                <w:noProof/>
                <w:sz w:val="16"/>
                <w:szCs w:val="16"/>
                <w:lang w:eastAsia="de-DE"/>
              </w:rPr>
              <w:t>0,0</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noProof/>
                <w:sz w:val="16"/>
                <w:szCs w:val="16"/>
                <w:lang w:eastAsia="de-DE"/>
              </w:rPr>
            </w:pPr>
            <w:r>
              <w:rPr>
                <w:b/>
                <w:bCs/>
                <w:noProof/>
                <w:sz w:val="16"/>
                <w:szCs w:val="16"/>
                <w:lang w:eastAsia="de-DE"/>
              </w:rPr>
              <w:t>Total</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lang w:eastAsia="de-DE"/>
              </w:rPr>
            </w:pPr>
            <w:r>
              <w:rPr>
                <w:b/>
                <w:noProof/>
                <w:sz w:val="16"/>
                <w:szCs w:val="16"/>
                <w:lang w:eastAsia="de-DE"/>
              </w:rPr>
              <w:t>58 901,7</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lang w:eastAsia="de-DE"/>
              </w:rPr>
            </w:pPr>
            <w:r>
              <w:rPr>
                <w:b/>
                <w:noProof/>
                <w:sz w:val="16"/>
                <w:szCs w:val="16"/>
                <w:lang w:eastAsia="de-DE"/>
              </w:rPr>
              <w:t>55 236,2</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lang w:eastAsia="de-DE"/>
              </w:rPr>
            </w:pPr>
            <w:r>
              <w:rPr>
                <w:b/>
                <w:noProof/>
                <w:sz w:val="16"/>
                <w:szCs w:val="16"/>
                <w:lang w:eastAsia="de-DE"/>
              </w:rPr>
              <w:t>-0,0</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lang w:eastAsia="de-DE"/>
              </w:rPr>
            </w:pPr>
            <w:r>
              <w:rPr>
                <w:b/>
                <w:noProof/>
                <w:sz w:val="16"/>
                <w:szCs w:val="16"/>
                <w:lang w:eastAsia="de-DE"/>
              </w:rPr>
              <w:t>-1,0</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lang w:eastAsia="de-DE"/>
              </w:rPr>
            </w:pPr>
            <w:r>
              <w:rPr>
                <w:b/>
                <w:noProof/>
                <w:sz w:val="16"/>
                <w:szCs w:val="16"/>
                <w:lang w:eastAsia="de-DE"/>
              </w:rPr>
              <w:t>58 901,7</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lang w:eastAsia="de-DE"/>
              </w:rPr>
            </w:pPr>
            <w:r>
              <w:rPr>
                <w:b/>
                <w:noProof/>
                <w:sz w:val="16"/>
                <w:szCs w:val="16"/>
                <w:lang w:eastAsia="de-DE"/>
              </w:rPr>
              <w:t>55 235,2</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i/>
                <w:noProof/>
                <w:sz w:val="16"/>
                <w:szCs w:val="16"/>
                <w:lang w:eastAsia="de-DE"/>
              </w:rPr>
            </w:pPr>
            <w:r>
              <w:rPr>
                <w:b/>
                <w:bCs/>
                <w:i/>
                <w:iCs/>
                <w:noProof/>
                <w:sz w:val="16"/>
                <w:szCs w:val="16"/>
                <w:lang w:eastAsia="de-DE"/>
              </w:rPr>
              <w:t>Ceiling</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60 191,0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60 191,0</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p>
        </w:tc>
      </w:tr>
      <w:tr>
        <w:tc>
          <w:tcPr>
            <w:tcW w:w="3584" w:type="dxa"/>
            <w:gridSpan w:val="3"/>
            <w:tcBorders>
              <w:top w:val="nil"/>
              <w:left w:val="single" w:sz="4" w:space="0" w:color="auto"/>
              <w:bottom w:val="dotted" w:sz="4" w:space="0" w:color="auto"/>
              <w:right w:val="single" w:sz="4" w:space="0" w:color="auto"/>
            </w:tcBorders>
            <w:shd w:val="clear" w:color="auto" w:fill="D9D9D9"/>
          </w:tcPr>
          <w:p>
            <w:pPr>
              <w:spacing w:before="30" w:after="30"/>
              <w:jc w:val="right"/>
              <w:rPr>
                <w:b/>
                <w:bCs/>
                <w:i/>
                <w:iCs/>
                <w:noProof/>
                <w:sz w:val="16"/>
                <w:szCs w:val="16"/>
                <w:lang w:eastAsia="de-DE"/>
              </w:rPr>
            </w:pPr>
            <w:r>
              <w:rPr>
                <w:b/>
                <w:bCs/>
                <w:i/>
                <w:iCs/>
                <w:noProof/>
                <w:sz w:val="16"/>
                <w:szCs w:val="16"/>
                <w:lang w:eastAsia="de-DE"/>
              </w:rPr>
              <w:t>Of which offset against Contingency Margin</w:t>
            </w: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-650,0</w:t>
            </w:r>
          </w:p>
        </w:tc>
        <w:tc>
          <w:tcPr>
            <w:tcW w:w="1063" w:type="dxa"/>
            <w:tcBorders>
              <w:top w:val="nil"/>
              <w:left w:val="nil"/>
              <w:bottom w:val="dotted"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szCs w:val="16"/>
              </w:rPr>
              <w:t>-200,0</w:t>
            </w:r>
          </w:p>
        </w:tc>
        <w:tc>
          <w:tcPr>
            <w:tcW w:w="1063" w:type="dxa"/>
            <w:tcBorders>
              <w:top w:val="nil"/>
              <w:left w:val="nil"/>
              <w:bottom w:val="dotted"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-850,0</w:t>
            </w:r>
          </w:p>
        </w:tc>
        <w:tc>
          <w:tcPr>
            <w:tcW w:w="1064"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lang w:eastAsia="de-DE"/>
              </w:rPr>
            </w:pPr>
          </w:p>
        </w:tc>
      </w:tr>
      <w:tr>
        <w:tc>
          <w:tcPr>
            <w:tcW w:w="3584" w:type="dxa"/>
            <w:gridSpan w:val="3"/>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lang w:eastAsia="de-DE"/>
              </w:rPr>
            </w:pPr>
            <w:r>
              <w:rPr>
                <w:b/>
                <w:bCs/>
                <w:i/>
                <w:iCs/>
                <w:noProof/>
                <w:sz w:val="16"/>
                <w:szCs w:val="16"/>
                <w:lang w:eastAsia="de-DE"/>
              </w:rPr>
              <w:t>Margin</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639,3</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szCs w:val="16"/>
              </w:rPr>
              <w:t>-200</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439,3</w:t>
            </w:r>
          </w:p>
        </w:tc>
        <w:tc>
          <w:tcPr>
            <w:tcW w:w="1064"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lang w:eastAsia="de-DE"/>
              </w:rPr>
            </w:pPr>
          </w:p>
        </w:tc>
      </w:tr>
      <w:tr>
        <w:tc>
          <w:tcPr>
            <w:tcW w:w="3584" w:type="dxa"/>
            <w:gridSpan w:val="3"/>
            <w:tcBorders>
              <w:top w:val="single" w:sz="4" w:space="0" w:color="auto"/>
              <w:left w:val="single" w:sz="4" w:space="0" w:color="auto"/>
              <w:bottom w:val="dotted" w:sz="2" w:space="0" w:color="auto"/>
              <w:right w:val="single" w:sz="4" w:space="0" w:color="auto"/>
            </w:tcBorders>
            <w:shd w:val="clear" w:color="auto" w:fill="D9D9D9"/>
          </w:tcPr>
          <w:p>
            <w:pPr>
              <w:spacing w:before="30" w:after="30"/>
              <w:jc w:val="right"/>
              <w:rPr>
                <w:b/>
                <w:i/>
                <w:noProof/>
                <w:sz w:val="16"/>
                <w:szCs w:val="16"/>
                <w:lang w:eastAsia="de-DE"/>
              </w:rPr>
            </w:pPr>
            <w:r>
              <w:rPr>
                <w:b/>
                <w:bCs/>
                <w:i/>
                <w:iCs/>
                <w:noProof/>
                <w:sz w:val="16"/>
                <w:szCs w:val="16"/>
                <w:lang w:eastAsia="de-DE"/>
              </w:rPr>
              <w:t xml:space="preserve">Of which </w:t>
            </w:r>
            <w:r>
              <w:rPr>
                <w:b/>
                <w:bCs/>
                <w:i/>
                <w:noProof/>
                <w:sz w:val="16"/>
                <w:szCs w:val="16"/>
                <w:lang w:eastAsia="de-DE"/>
              </w:rPr>
              <w:t>EAGF</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42 937,6</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42 889,0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0,0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-1,0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42 937,6</w:t>
            </w:r>
          </w:p>
        </w:tc>
        <w:tc>
          <w:tcPr>
            <w:tcW w:w="1064"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42 888,0</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i/>
                <w:noProof/>
                <w:sz w:val="16"/>
                <w:szCs w:val="16"/>
                <w:lang w:eastAsia="de-DE"/>
              </w:rPr>
            </w:pPr>
            <w:r>
              <w:rPr>
                <w:b/>
                <w:bCs/>
                <w:i/>
                <w:iCs/>
                <w:noProof/>
                <w:sz w:val="16"/>
                <w:szCs w:val="16"/>
                <w:lang w:eastAsia="de-DE"/>
              </w:rPr>
              <w:t>EAGF Sub-Ceiling (after technical adjustment of the MFF 2014-2020) (1)</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44 146,0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44 146,0</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bCs/>
                <w:i/>
                <w:iCs/>
                <w:noProof/>
                <w:sz w:val="16"/>
                <w:szCs w:val="16"/>
                <w:lang w:eastAsia="de-DE"/>
              </w:rPr>
            </w:pPr>
            <w:r>
              <w:rPr>
                <w:b/>
                <w:bCs/>
                <w:i/>
                <w:iCs/>
                <w:noProof/>
                <w:sz w:val="16"/>
                <w:szCs w:val="16"/>
                <w:lang w:eastAsia="de-DE"/>
              </w:rPr>
              <w:t>Rounding difference excluded for margin calculation</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0,3</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0,3</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lang w:eastAsia="de-DE"/>
              </w:rPr>
            </w:pPr>
          </w:p>
        </w:tc>
      </w:tr>
      <w:tr>
        <w:tc>
          <w:tcPr>
            <w:tcW w:w="3584" w:type="dxa"/>
            <w:gridSpan w:val="3"/>
            <w:tcBorders>
              <w:top w:val="dotted" w:sz="2"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lang w:eastAsia="de-DE"/>
              </w:rPr>
            </w:pPr>
            <w:r>
              <w:rPr>
                <w:b/>
                <w:bCs/>
                <w:i/>
                <w:iCs/>
                <w:noProof/>
                <w:sz w:val="16"/>
                <w:szCs w:val="16"/>
                <w:lang w:eastAsia="de-DE"/>
              </w:rPr>
              <w:t>Net balance available for EAGF expenditure (2)</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44 145,7</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lang w:eastAsia="de-DE"/>
              </w:rPr>
            </w:pPr>
            <w:r>
              <w:rPr>
                <w:b/>
                <w:i/>
                <w:noProof/>
                <w:sz w:val="16"/>
                <w:szCs w:val="16"/>
                <w:lang w:eastAsia="de-DE"/>
              </w:rPr>
              <w:t>44 145,7</w:t>
            </w:r>
          </w:p>
        </w:tc>
        <w:tc>
          <w:tcPr>
            <w:tcW w:w="1064"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lang w:eastAsia="de-DE"/>
              </w:rPr>
            </w:pPr>
          </w:p>
        </w:tc>
      </w:tr>
      <w:tr>
        <w:tc>
          <w:tcPr>
            <w:tcW w:w="9963" w:type="dxa"/>
            <w:gridSpan w:val="9"/>
            <w:tcBorders>
              <w:top w:val="single" w:sz="4" w:space="0" w:color="auto"/>
              <w:left w:val="single" w:sz="4" w:space="0" w:color="auto"/>
              <w:bottom w:val="single" w:sz="4" w:space="0" w:color="auto"/>
              <w:right w:val="single" w:sz="4" w:space="0" w:color="auto"/>
            </w:tcBorders>
          </w:tcPr>
          <w:p>
            <w:pPr>
              <w:rPr>
                <w:bCs/>
                <w:iCs/>
                <w:noProof/>
                <w:sz w:val="16"/>
                <w:szCs w:val="16"/>
              </w:rPr>
            </w:pPr>
            <w:r>
              <w:rPr>
                <w:bCs/>
                <w:iCs/>
                <w:noProof/>
                <w:sz w:val="16"/>
                <w:szCs w:val="16"/>
              </w:rPr>
              <w:t>(1) The related amounts are rounded up in EUR million.</w:t>
            </w:r>
          </w:p>
          <w:p>
            <w:pPr>
              <w:rPr>
                <w:bCs/>
                <w:iCs/>
                <w:noProof/>
                <w:sz w:val="16"/>
                <w:szCs w:val="16"/>
              </w:rPr>
            </w:pPr>
            <w:r>
              <w:rPr>
                <w:bCs/>
                <w:iCs/>
                <w:noProof/>
                <w:sz w:val="16"/>
                <w:szCs w:val="16"/>
              </w:rPr>
              <w:t xml:space="preserve">(2) Net balance available for EAGF expenditure as fixed in the Annex of Commission Implementing Regulation (EU) No 367/2014 as last modified by Commission Implementing Regulation (EU) No 2016/257 of 24 February 2016. </w:t>
            </w:r>
          </w:p>
        </w:tc>
      </w:tr>
    </w:tbl>
    <w:p>
      <w:pPr>
        <w:spacing w:before="120" w:after="120"/>
        <w:jc w:val="both"/>
        <w:rPr>
          <w:noProof/>
        </w:rPr>
      </w:pPr>
      <w:bookmarkStart w:id="47" w:name="_Toc431134644"/>
      <w:r>
        <w:rPr>
          <w:noProof/>
        </w:rPr>
        <w:t xml:space="preserve">Thus, overall appropriations requested for heading 2 in 2017 are estimated at EUR 58 901,7 million. This leaves a margin of EUR 439,3 million in commitment appropriations below the corresponding MFF ceiling, after taking into account an amount of EUR 650 million under the Contingency margin for offsetting part of the needs under heading 3, </w:t>
      </w:r>
      <w:r>
        <w:rPr>
          <w:i/>
          <w:noProof/>
        </w:rPr>
        <w:t>Security and Citizenship,</w:t>
      </w:r>
      <w:r>
        <w:rPr>
          <w:noProof/>
        </w:rPr>
        <w:t xml:space="preserve"> as presented in DB 2017, and a further amount of EUR 200 million to offset part of the needs of heading 4, </w:t>
      </w:r>
      <w:r>
        <w:rPr>
          <w:i/>
          <w:noProof/>
        </w:rPr>
        <w:t>Global Europe</w:t>
      </w:r>
      <w:r>
        <w:rPr>
          <w:noProof/>
        </w:rPr>
        <w:t>, as presented in this Amending Letter. Payment appropriations in AL 1/2017 are slightly lower (-EUR 1,0 million) compared to DB 2017.</w:t>
      </w:r>
    </w:p>
    <w:p>
      <w:pPr>
        <w:pStyle w:val="ManualHeading2"/>
        <w:numPr>
          <w:ilvl w:val="0"/>
          <w:numId w:val="0"/>
        </w:numPr>
        <w:tabs>
          <w:tab w:val="left" w:pos="851"/>
        </w:tabs>
      </w:pPr>
      <w:bookmarkStart w:id="48" w:name="_Toc464138536"/>
      <w:bookmarkStart w:id="49" w:name="_Toc432063524"/>
      <w:bookmarkStart w:id="50" w:name="_Toc463264167"/>
      <w:r>
        <w:rPr>
          <w:rFonts w:eastAsia="Calibri"/>
        </w:rPr>
        <w:t xml:space="preserve">2.2 </w:t>
      </w:r>
      <w:r>
        <w:rPr>
          <w:rFonts w:eastAsia="Calibri"/>
        </w:rPr>
        <w:tab/>
      </w:r>
      <w:r>
        <w:t>European Agricultural Guarantee Fund (EAGF)</w:t>
      </w:r>
      <w:bookmarkEnd w:id="48"/>
    </w:p>
    <w:p>
      <w:pPr>
        <w:keepNext/>
        <w:tabs>
          <w:tab w:val="left" w:pos="850"/>
        </w:tabs>
        <w:spacing w:before="120" w:after="120"/>
        <w:jc w:val="both"/>
        <w:outlineLvl w:val="2"/>
        <w:rPr>
          <w:i/>
          <w:noProof/>
          <w:lang w:eastAsia="en-US"/>
        </w:rPr>
      </w:pPr>
      <w:bookmarkStart w:id="51" w:name="_Toc464138537"/>
      <w:r>
        <w:rPr>
          <w:bCs/>
          <w:i/>
          <w:noProof/>
          <w:lang w:eastAsia="de-DE"/>
        </w:rPr>
        <w:t xml:space="preserve">2.2.1 </w:t>
      </w:r>
      <w:r>
        <w:rPr>
          <w:bCs/>
          <w:i/>
          <w:noProof/>
          <w:lang w:eastAsia="de-DE"/>
        </w:rPr>
        <w:tab/>
      </w:r>
      <w:r>
        <w:rPr>
          <w:i/>
          <w:noProof/>
          <w:lang w:eastAsia="en-US"/>
        </w:rPr>
        <w:t>Overview</w:t>
      </w:r>
      <w:bookmarkEnd w:id="51"/>
    </w:p>
    <w:bookmarkEnd w:id="47"/>
    <w:bookmarkEnd w:id="49"/>
    <w:bookmarkEnd w:id="50"/>
    <w:p>
      <w:pPr>
        <w:autoSpaceDE w:val="0"/>
        <w:autoSpaceDN w:val="0"/>
        <w:adjustRightInd w:val="0"/>
        <w:spacing w:before="120" w:after="120"/>
        <w:jc w:val="both"/>
        <w:rPr>
          <w:noProof/>
        </w:rPr>
      </w:pPr>
      <w:r>
        <w:rPr>
          <w:noProof/>
        </w:rPr>
        <w:t>The purpose of AL 1/2017 is to update estimates for agricultural expenditure based on the most up-to-date economic data and legislative framework. By late September 2016, the Commission has at its disposal a first indication of the level of production for 2016 and perspectives for the agricultural markets, which are the basis for the updated estimates of the budgetary needs for 2017. Apart from taking into account market factors, this AL 1/2017 also incorporates the impact of legislative decisions in the agricultural sector since the DB 2017 was drawn up in June 2016. This relates in particular to a series of Commission Delegated and Implementing Acts on additional temporary support measures for the livestock sectors, of which the dairy sector is the main beneficiary.</w:t>
      </w:r>
    </w:p>
    <w:p>
      <w:pPr>
        <w:autoSpaceDE w:val="0"/>
        <w:autoSpaceDN w:val="0"/>
        <w:adjustRightInd w:val="0"/>
        <w:spacing w:before="120" w:after="120"/>
        <w:jc w:val="both"/>
        <w:rPr>
          <w:noProof/>
        </w:rPr>
      </w:pPr>
      <w:r>
        <w:rPr>
          <w:noProof/>
        </w:rPr>
        <w:t xml:space="preserve">Overall, </w:t>
      </w:r>
      <w:r>
        <w:rPr>
          <w:b/>
          <w:noProof/>
        </w:rPr>
        <w:t xml:space="preserve">2017 EAGF needs </w:t>
      </w:r>
      <w:r>
        <w:rPr>
          <w:noProof/>
        </w:rPr>
        <w:t>(after taking into account EAGF provisions related to 'financial discipline')</w:t>
      </w:r>
      <w:r>
        <w:rPr>
          <w:b/>
          <w:noProof/>
        </w:rPr>
        <w:t xml:space="preserve"> </w:t>
      </w:r>
      <w:r>
        <w:rPr>
          <w:noProof/>
        </w:rPr>
        <w:t xml:space="preserve">are now estimated at EUR 45 344,6 million, compared to EUR 44 817,6 million in DB 2017 (+EUR 527,0 million). This increase is mostly due to the additional temporary support measures for the livestock sectors budgeted in chapter 05 02 </w:t>
      </w:r>
      <w:r>
        <w:rPr>
          <w:i/>
          <w:noProof/>
        </w:rPr>
        <w:t>Improving the competitiveness of the agricultural sector through interventions in agricultural markets</w:t>
      </w:r>
      <w:r>
        <w:rPr>
          <w:noProof/>
        </w:rPr>
        <w:t>, for a total amount of around EUR 500 million. There are, in addition, some small variations for mainstream market measures and for expenditure under chapters 05 07 </w:t>
      </w:r>
      <w:r>
        <w:rPr>
          <w:i/>
          <w:noProof/>
        </w:rPr>
        <w:t>Audit of agricultural expenditure financed by the European Agricultural Guarantee Fund (EAGF</w:t>
      </w:r>
      <w:r>
        <w:rPr>
          <w:noProof/>
        </w:rPr>
        <w:t xml:space="preserve">) and 05 08 </w:t>
      </w:r>
      <w:r>
        <w:rPr>
          <w:i/>
          <w:noProof/>
        </w:rPr>
        <w:t>Policy strategy and coordination</w:t>
      </w:r>
      <w:r>
        <w:rPr>
          <w:noProof/>
        </w:rPr>
        <w:t xml:space="preserve">, which are also incorporated into AL 1/2017. Needs for chapter 05 03 </w:t>
      </w:r>
      <w:r>
        <w:rPr>
          <w:i/>
          <w:noProof/>
        </w:rPr>
        <w:t xml:space="preserve">Direct payments aimed at contributing to farm incomes, limiting farm incomes variability and meeting environment and climate objectives </w:t>
      </w:r>
      <w:r>
        <w:rPr>
          <w:noProof/>
        </w:rPr>
        <w:t>remain almost unchanged compared to DB 2017.</w:t>
      </w:r>
    </w:p>
    <w:p>
      <w:pPr>
        <w:spacing w:before="120" w:after="120"/>
        <w:jc w:val="both"/>
        <w:rPr>
          <w:noProof/>
        </w:rPr>
      </w:pPr>
      <w:r>
        <w:rPr>
          <w:noProof/>
        </w:rPr>
        <w:t xml:space="preserve">The amount of </w:t>
      </w:r>
      <w:r>
        <w:rPr>
          <w:b/>
          <w:noProof/>
        </w:rPr>
        <w:t>assigned revenue</w:t>
      </w:r>
      <w:r>
        <w:rPr>
          <w:noProof/>
        </w:rPr>
        <w:t xml:space="preserve"> expected to be available in 2017 increases from EUR 1 880 million in DB 2017 to EUR 2 407 million (+EUR 527 million), fully compensating the additional needs. The update of estimates on the amounts originating from clearance of accounts decisions and irregularities is minor and does not change the overall amount assumed in DB 2017 (EUR 1 430 million). Furthermore, the AL 1/2017 incorporates an expected carry-over of assigned revenue from 2016 to 2017 (EUR 977 million), of which an amount of EUR 450 million was already included in DB 2017, corresponding to an expected EAGF surplus from 2016. This year, however, the final size of this surplus is much more difficult to forecast as large amounts of expenditure still have to be declared by the Member States for September and October 2016, reflecting delays in the implementation of the new direct payment schemes in the first year of application. The estimated surplus does not include unused appropriations of the 2016 agricultural crisis reserve (EUR 441,6 million), which will not be called on, as these unused appropriations will be carried over for reimbursement to farmers subject to the financial discipline in 2017.</w:t>
      </w:r>
    </w:p>
    <w:p>
      <w:pPr>
        <w:rPr>
          <w:noProof/>
        </w:rPr>
      </w:pPr>
      <w:r>
        <w:rPr>
          <w:noProof/>
        </w:rPr>
        <w:br w:type="page"/>
      </w:r>
    </w:p>
    <w:p>
      <w:pPr>
        <w:autoSpaceDE w:val="0"/>
        <w:autoSpaceDN w:val="0"/>
        <w:adjustRightInd w:val="0"/>
        <w:spacing w:before="120" w:after="120"/>
        <w:jc w:val="both"/>
        <w:rPr>
          <w:noProof/>
        </w:rPr>
      </w:pPr>
      <w:r>
        <w:rPr>
          <w:noProof/>
        </w:rPr>
        <w:t xml:space="preserve">As a result of these updates, commitment appropriations of EUR 42 937,6 million, which includes EUR 450,5 million for the </w:t>
      </w:r>
      <w:r>
        <w:rPr>
          <w:i/>
          <w:noProof/>
        </w:rPr>
        <w:t>Reserve for crises in the agricultural sector</w:t>
      </w:r>
      <w:r>
        <w:rPr>
          <w:noProof/>
        </w:rPr>
        <w:t>, are required to cover EAGF needs for 2017. As was the case for the DB 2017, this overall amount remains below the EAGF net sub-ceiling of EUR 44 145,7 million. This means that the financial discipline mechanism will only be applied to establish the agricultural crisis reserve for budget year 2017</w:t>
      </w:r>
      <w:r>
        <w:rPr>
          <w:noProof/>
          <w:vertAlign w:val="superscript"/>
        </w:rPr>
        <w:footnoteReference w:id="8"/>
      </w:r>
      <w:r>
        <w:rPr>
          <w:noProof/>
        </w:rPr>
        <w:t>.</w:t>
      </w:r>
    </w:p>
    <w:p>
      <w:pPr>
        <w:keepNext/>
        <w:tabs>
          <w:tab w:val="left" w:pos="850"/>
        </w:tabs>
        <w:spacing w:before="120" w:after="120"/>
        <w:jc w:val="both"/>
        <w:outlineLvl w:val="2"/>
        <w:rPr>
          <w:i/>
          <w:noProof/>
          <w:lang w:eastAsia="en-US"/>
        </w:rPr>
      </w:pPr>
      <w:bookmarkStart w:id="52" w:name="_Toc464138538"/>
      <w:r>
        <w:rPr>
          <w:bCs/>
          <w:i/>
          <w:noProof/>
          <w:lang w:eastAsia="de-DE"/>
        </w:rPr>
        <w:t xml:space="preserve">2.2.2 </w:t>
      </w:r>
      <w:r>
        <w:rPr>
          <w:bCs/>
          <w:i/>
          <w:noProof/>
          <w:lang w:eastAsia="de-DE"/>
        </w:rPr>
        <w:tab/>
      </w:r>
      <w:r>
        <w:rPr>
          <w:i/>
          <w:noProof/>
          <w:lang w:eastAsia="en-US"/>
        </w:rPr>
        <w:t>Detailed comments</w:t>
      </w:r>
      <w:bookmarkEnd w:id="52"/>
    </w:p>
    <w:p>
      <w:pPr>
        <w:keepNext/>
        <w:spacing w:before="120" w:after="120"/>
        <w:jc w:val="both"/>
        <w:rPr>
          <w:b/>
          <w:i/>
          <w:noProof/>
        </w:rPr>
      </w:pPr>
      <w:r>
        <w:rPr>
          <w:b/>
          <w:noProof/>
        </w:rPr>
        <w:t>05 02 </w:t>
      </w:r>
      <w:r>
        <w:rPr>
          <w:b/>
          <w:noProof/>
        </w:rPr>
        <w:sym w:font="Symbol" w:char="F0BE"/>
      </w:r>
      <w:r>
        <w:rPr>
          <w:b/>
          <w:noProof/>
        </w:rPr>
        <w:t xml:space="preserve"> Improving competitiveness of the agricultural sector through interventions in agricultural markets </w:t>
      </w:r>
      <w:r>
        <w:rPr>
          <w:b/>
          <w:i/>
          <w:noProof/>
        </w:rPr>
        <w:t>(appropriations +EUR 514,4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Interventions in agricultural markets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2017</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1/2017</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2017 </w:t>
            </w:r>
            <w:r>
              <w:rPr>
                <w:b/>
                <w:noProof/>
                <w:sz w:val="16"/>
                <w:szCs w:val="16"/>
                <w:lang w:eastAsia="de-DE"/>
              </w:rPr>
              <w:br/>
              <w:t>(incl. AL 1/2017)</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2 692,4</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+514,4</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3 206,8</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szCs w:val="16"/>
              </w:rPr>
              <w:t>-Estimated assigned revenue available in 2017</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400,0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400,0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2 292,4</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+514,4</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2 806,8</w:t>
            </w:r>
          </w:p>
        </w:tc>
      </w:tr>
    </w:tbl>
    <w:p>
      <w:pPr>
        <w:spacing w:before="120" w:after="120"/>
        <w:jc w:val="both"/>
        <w:rPr>
          <w:noProof/>
        </w:rPr>
      </w:pPr>
      <w:r>
        <w:rPr>
          <w:noProof/>
        </w:rPr>
        <w:t>Overall, the needs for intervention measures on agricultural markets increase by EUR 514,4 million compared to the DB 2017. As the assigned revenues expected to be available for chapter 05 02 (amounting to EUR 400,0 million) remain unchanged compared to the DB 2017, the appropriations requested in AL 1/2017 increase by the same amount.</w:t>
      </w:r>
    </w:p>
    <w:p>
      <w:pPr>
        <w:spacing w:before="120" w:after="120"/>
        <w:jc w:val="both"/>
        <w:rPr>
          <w:noProof/>
        </w:rPr>
      </w:pPr>
      <w:r>
        <w:rPr>
          <w:noProof/>
        </w:rPr>
        <w:t xml:space="preserve">For </w:t>
      </w:r>
      <w:r>
        <w:rPr>
          <w:b/>
          <w:noProof/>
        </w:rPr>
        <w:t>fruit and vegetables</w:t>
      </w:r>
      <w:r>
        <w:rPr>
          <w:noProof/>
        </w:rPr>
        <w:t xml:space="preserve">, apart from a shift of appropriations between two budget items (EUR 54 million from 05 02 08 03 to 05 02 08 99), there is a small increase for budget item 05 02 08 03 </w:t>
      </w:r>
      <w:r>
        <w:rPr>
          <w:i/>
          <w:noProof/>
        </w:rPr>
        <w:t>Operational funds for producer organisations</w:t>
      </w:r>
      <w:r>
        <w:rPr>
          <w:noProof/>
        </w:rPr>
        <w:t xml:space="preserve"> (+EUR 18 million). </w:t>
      </w:r>
    </w:p>
    <w:p>
      <w:pPr>
        <w:spacing w:before="120" w:after="120"/>
        <w:jc w:val="both"/>
        <w:rPr>
          <w:noProof/>
        </w:rPr>
      </w:pPr>
      <w:r>
        <w:rPr>
          <w:noProof/>
        </w:rPr>
        <w:t xml:space="preserve">Appropriations for the </w:t>
      </w:r>
      <w:r>
        <w:rPr>
          <w:b/>
          <w:noProof/>
        </w:rPr>
        <w:t>wine sector</w:t>
      </w:r>
      <w:r>
        <w:rPr>
          <w:noProof/>
        </w:rPr>
        <w:t xml:space="preserve"> on budget item 05 02 09 08 financing the national support programmes are proposed to be reduced by EUR 6 million, reflecting the most recent implementation figures. </w:t>
      </w:r>
    </w:p>
    <w:p>
      <w:pPr>
        <w:spacing w:before="120" w:after="120"/>
        <w:jc w:val="both"/>
        <w:rPr>
          <w:noProof/>
          <w:lang w:eastAsia="en-US"/>
        </w:rPr>
      </w:pPr>
      <w:r>
        <w:rPr>
          <w:noProof/>
        </w:rPr>
        <w:t xml:space="preserve">The largest modification proposed in AL 1/2017 for market measures concerns </w:t>
      </w:r>
      <w:r>
        <w:rPr>
          <w:b/>
          <w:noProof/>
        </w:rPr>
        <w:t>milk and milk products</w:t>
      </w:r>
      <w:r>
        <w:rPr>
          <w:noProof/>
        </w:rPr>
        <w:t xml:space="preserve"> (budget article 05 02 12) with an increase of EUR 501,4 million. The largest amount (+ EUR 500 million) is for providing further exceptional support in the form of targeted aid for temporary reduction of milk production</w:t>
      </w:r>
      <w:r>
        <w:rPr>
          <w:noProof/>
          <w:vertAlign w:val="superscript"/>
        </w:rPr>
        <w:footnoteReference w:id="9"/>
      </w:r>
      <w:r>
        <w:rPr>
          <w:noProof/>
        </w:rPr>
        <w:t xml:space="preserve"> (EUR 150 million) and for exceptional adjustment aid to milk producers and farmers in other livestock sectors</w:t>
      </w:r>
      <w:r>
        <w:rPr>
          <w:noProof/>
          <w:vertAlign w:val="superscript"/>
        </w:rPr>
        <w:footnoteReference w:id="10"/>
      </w:r>
      <w:r>
        <w:rPr>
          <w:noProof/>
        </w:rPr>
        <w:t xml:space="preserve"> (EUR 350 million), for which Member States will have substantial flexibility to target the support to those farmers particularly affected. </w:t>
      </w:r>
    </w:p>
    <w:p>
      <w:pPr>
        <w:keepNext/>
        <w:keepLines/>
        <w:spacing w:before="120" w:after="120"/>
        <w:jc w:val="both"/>
        <w:rPr>
          <w:b/>
          <w:i/>
          <w:noProof/>
        </w:rPr>
      </w:pPr>
      <w:r>
        <w:rPr>
          <w:b/>
          <w:noProof/>
        </w:rPr>
        <w:t>05 03 </w:t>
      </w:r>
      <w:r>
        <w:rPr>
          <w:b/>
          <w:noProof/>
        </w:rPr>
        <w:sym w:font="Symbol" w:char="F0BE"/>
      </w:r>
      <w:r>
        <w:rPr>
          <w:b/>
          <w:noProof/>
        </w:rPr>
        <w:t xml:space="preserve"> Direct payments aimed at contributing to farm incomes, limiting farm income variability and meeting environment and climate objectives </w:t>
      </w:r>
      <w:r>
        <w:rPr>
          <w:b/>
          <w:i/>
          <w:noProof/>
        </w:rPr>
        <w:t>(appropriations - EUR 527,9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Direct payments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2017</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1/2017</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2017 </w:t>
            </w:r>
            <w:r>
              <w:rPr>
                <w:b/>
                <w:noProof/>
                <w:sz w:val="16"/>
                <w:szCs w:val="16"/>
                <w:lang w:eastAsia="de-DE"/>
              </w:rPr>
              <w:br/>
              <w:t>(incl. AL 1/2017)</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lang w:eastAsia="de-DE"/>
              </w:rPr>
            </w:pPr>
            <w:r>
              <w:rPr>
                <w:b/>
                <w:i/>
                <w:noProof/>
                <w:sz w:val="16"/>
                <w:szCs w:val="16"/>
                <w:lang w:eastAsia="de-DE"/>
              </w:rPr>
              <w:t>After financial discipline (including credits for the ‘Reserve for crises in the agricultural sector’)</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41 994,6</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-0,9</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41 993,7</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 Estimated assigned revenue available in 2017</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1 480,0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+527,0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2 007,0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40 514,6</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-527,9</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39 986,7</w:t>
            </w:r>
          </w:p>
        </w:tc>
      </w:tr>
    </w:tbl>
    <w:p>
      <w:pPr>
        <w:autoSpaceDE w:val="0"/>
        <w:autoSpaceDN w:val="0"/>
        <w:adjustRightInd w:val="0"/>
        <w:spacing w:before="120" w:after="120"/>
        <w:jc w:val="both"/>
        <w:rPr>
          <w:noProof/>
        </w:rPr>
      </w:pPr>
      <w:r>
        <w:rPr>
          <w:noProof/>
        </w:rPr>
        <w:t xml:space="preserve">Compared to DB 2017, appropriations requested for chapter 05 03 are revised downwards by EUR 527,9 million. This change is mostly due to the higher amount of revenue assigned (+EUR 527,0 million) to item 05 03 01 10 </w:t>
      </w:r>
      <w:r>
        <w:rPr>
          <w:i/>
          <w:noProof/>
        </w:rPr>
        <w:t>Basic payment scheme (BPS</w:t>
      </w:r>
      <w:r>
        <w:rPr>
          <w:noProof/>
        </w:rPr>
        <w:t xml:space="preserve">), for which the estimated needs are unchanged compared to DB 2017. Overall, based on the most recent data on implementation, only a minor change of needs (-EUR 0,9 million) for direct payments is proposed. However, at the moment the 2017 draft budget was adopted, the information on the implementation of the </w:t>
      </w:r>
      <w:r>
        <w:rPr>
          <w:i/>
          <w:noProof/>
        </w:rPr>
        <w:t>Small Farmers Scheme</w:t>
      </w:r>
      <w:r>
        <w:rPr>
          <w:noProof/>
        </w:rPr>
        <w:t xml:space="preserve"> was not available and the corresponding amounts were budgeted under different items. Now, after this information has been provided by the Member States, it is proposed to move the appropriations needed to budget item 05 03 02 61. The increase of EUR 1 347,0  million on that budget item is fully compensated for by decreases for several other direct payment schemes, in particular for items 05 03 01 02, 05 03 01 10 and 05 03 01 11, so that this shift is neutral across all the direct payment schemes concerned.</w:t>
      </w:r>
    </w:p>
    <w:p>
      <w:pPr>
        <w:keepNext/>
        <w:keepLines/>
        <w:tabs>
          <w:tab w:val="right" w:pos="5640"/>
        </w:tabs>
        <w:spacing w:before="120" w:after="120"/>
        <w:jc w:val="both"/>
        <w:rPr>
          <w:b/>
          <w:i/>
          <w:noProof/>
        </w:rPr>
      </w:pPr>
      <w:r>
        <w:rPr>
          <w:b/>
          <w:noProof/>
        </w:rPr>
        <w:t xml:space="preserve">Other agricultural expenditure financed by the European Agricultural Guarantee Fund (EAGF) </w:t>
      </w:r>
      <w:r>
        <w:rPr>
          <w:b/>
          <w:i/>
          <w:noProof/>
        </w:rPr>
        <w:t>(appropriations +EUR 13,5 million)</w:t>
      </w:r>
    </w:p>
    <w:p>
      <w:pPr>
        <w:spacing w:before="120" w:after="120"/>
        <w:jc w:val="both"/>
        <w:rPr>
          <w:noProof/>
        </w:rPr>
      </w:pPr>
      <w:r>
        <w:rPr>
          <w:noProof/>
        </w:rPr>
        <w:t xml:space="preserve">Appropriations for budget item 05 07 01 07 </w:t>
      </w:r>
      <w:r>
        <w:rPr>
          <w:i/>
          <w:noProof/>
        </w:rPr>
        <w:t xml:space="preserve">Financial corrections in favour of Member States following conformity clearance decisions </w:t>
      </w:r>
      <w:r>
        <w:rPr>
          <w:noProof/>
        </w:rPr>
        <w:t xml:space="preserve">need to be increased by EUR 25,0 million reflecting a forthcoming Commission Decision that corrects the amount of financial corrections cashed-in in previous years. Appropriations for budget article 05 07 02 </w:t>
      </w:r>
      <w:r>
        <w:rPr>
          <w:i/>
          <w:noProof/>
        </w:rPr>
        <w:t>Settlement of disputes</w:t>
      </w:r>
      <w:r>
        <w:rPr>
          <w:noProof/>
        </w:rPr>
        <w:t xml:space="preserve"> can be decreased by EUR 21 million as some of the payments expected in 2017 related to the so-called 'Jülich' Court of Justice case on sugar production levies</w:t>
      </w:r>
      <w:r>
        <w:rPr>
          <w:noProof/>
          <w:vertAlign w:val="superscript"/>
        </w:rPr>
        <w:footnoteReference w:id="11"/>
      </w:r>
      <w:r>
        <w:rPr>
          <w:noProof/>
        </w:rPr>
        <w:t xml:space="preserve"> will be made earlier in 2016. Finally, updated budgetary estimates are the reason for increasing commitment appropriations (+EUR 9,5 million) and payment appropriations (+EUR 8,5 million) for budget articles 05 08 01 </w:t>
      </w:r>
      <w:r>
        <w:rPr>
          <w:i/>
          <w:noProof/>
        </w:rPr>
        <w:t>Farm Accountancy Data Network (FADN)</w:t>
      </w:r>
      <w:r>
        <w:rPr>
          <w:noProof/>
        </w:rPr>
        <w:t xml:space="preserve">, 05 08 03 </w:t>
      </w:r>
      <w:r>
        <w:rPr>
          <w:i/>
          <w:noProof/>
        </w:rPr>
        <w:t>Restructuring of systems for agricultural surveys</w:t>
      </w:r>
      <w:r>
        <w:rPr>
          <w:noProof/>
        </w:rPr>
        <w:t xml:space="preserve"> and 05 08 09 EAGF – Operational technical assistance</w:t>
      </w:r>
      <w:r>
        <w:rPr>
          <w:noProof/>
          <w:vertAlign w:val="superscript"/>
        </w:rPr>
        <w:footnoteReference w:id="12"/>
      </w:r>
      <w:r>
        <w:rPr>
          <w:noProof/>
        </w:rPr>
        <w:t>.</w:t>
      </w:r>
    </w:p>
    <w:p>
      <w:pPr>
        <w:pStyle w:val="ManualHeading2"/>
        <w:numPr>
          <w:ilvl w:val="0"/>
          <w:numId w:val="0"/>
        </w:numPr>
        <w:tabs>
          <w:tab w:val="left" w:pos="851"/>
        </w:tabs>
      </w:pPr>
      <w:bookmarkStart w:id="53" w:name="_Toc464138539"/>
      <w:r>
        <w:rPr>
          <w:rFonts w:eastAsia="Calibri"/>
        </w:rPr>
        <w:t xml:space="preserve">2.3 </w:t>
      </w:r>
      <w:r>
        <w:rPr>
          <w:rFonts w:eastAsia="Calibri"/>
        </w:rPr>
        <w:tab/>
      </w:r>
      <w:r>
        <w:t>Sustainable Fisheries Partnership Agreements</w:t>
      </w:r>
      <w:bookmarkEnd w:id="53"/>
    </w:p>
    <w:p>
      <w:pPr>
        <w:spacing w:before="120" w:after="120"/>
        <w:jc w:val="both"/>
        <w:rPr>
          <w:noProof/>
        </w:rPr>
      </w:pPr>
      <w:bookmarkStart w:id="54" w:name="_Toc431134646"/>
      <w:bookmarkStart w:id="55" w:name="_Toc431134648"/>
      <w:bookmarkEnd w:id="54"/>
      <w:bookmarkEnd w:id="55"/>
      <w:r>
        <w:rPr>
          <w:noProof/>
        </w:rPr>
        <w:t>As foreseen in point C of Part II of the Interinstitutional Agreement (IIA)</w:t>
      </w:r>
      <w:r>
        <w:rPr>
          <w:noProof/>
          <w:vertAlign w:val="superscript"/>
        </w:rPr>
        <w:footnoteReference w:id="13"/>
      </w:r>
      <w:r>
        <w:rPr>
          <w:noProof/>
        </w:rPr>
        <w:t xml:space="preserve">, the Commission has examined the most recent information available concerning Sustainable Fisheries Partnership Agreements (SFPAs). As the agreement with the Cook Islands and the related Protocol is expected to enter into force before the end of 2016, the Commission proposes to move commitment and payment appropriations from the reserve article 40 02 41 to budget article 11 03 01 </w:t>
      </w:r>
      <w:r>
        <w:rPr>
          <w:i/>
          <w:noProof/>
        </w:rPr>
        <w:t xml:space="preserve">Establishing a governance framework for fishing activities carried out by Union fishing vessels in third country waters </w:t>
      </w:r>
      <w:r>
        <w:rPr>
          <w:noProof/>
        </w:rPr>
        <w:t>, for EUR 0,735 million. The proposed modification is budgetary neutral.</w:t>
      </w:r>
    </w:p>
    <w:tbl>
      <w:tblPr>
        <w:tblW w:w="9447" w:type="dxa"/>
        <w:jc w:val="center"/>
        <w:tblLayout w:type="fixed"/>
        <w:tblCellMar>
          <w:left w:w="40" w:type="dxa"/>
          <w:right w:w="40" w:type="dxa"/>
        </w:tblCellMar>
        <w:tblLook w:val="0000" w:firstRow="0" w:lastRow="0" w:firstColumn="0" w:lastColumn="0" w:noHBand="0" w:noVBand="0"/>
      </w:tblPr>
      <w:tblGrid>
        <w:gridCol w:w="3144"/>
        <w:gridCol w:w="1050"/>
        <w:gridCol w:w="1051"/>
        <w:gridCol w:w="1050"/>
        <w:gridCol w:w="1051"/>
        <w:gridCol w:w="1050"/>
        <w:gridCol w:w="1051"/>
      </w:tblGrid>
      <w:tr>
        <w:trPr>
          <w:trHeight w:val="164"/>
          <w:tblHeader/>
          <w:jc w:val="center"/>
        </w:trPr>
        <w:tc>
          <w:tcPr>
            <w:tcW w:w="9447" w:type="dxa"/>
            <w:gridSpan w:val="7"/>
            <w:tcBorders>
              <w:bottom w:val="single" w:sz="4" w:space="0" w:color="auto"/>
            </w:tcBorders>
            <w:shd w:val="clear" w:color="auto" w:fill="FFFFFF"/>
            <w:vAlign w:val="center"/>
          </w:tcPr>
          <w:p>
            <w:pPr>
              <w:jc w:val="right"/>
              <w:rPr>
                <w:noProof/>
                <w:sz w:val="16"/>
                <w:szCs w:val="16"/>
                <w:lang w:eastAsia="en-US"/>
              </w:rPr>
            </w:pPr>
            <w:r>
              <w:rPr>
                <w:i/>
                <w:iCs/>
                <w:noProof/>
                <w:sz w:val="16"/>
                <w:szCs w:val="16"/>
                <w:lang w:eastAsia="en-US"/>
              </w:rPr>
              <w:t>(in million EUR, rounded figures at current prices)</w:t>
            </w:r>
          </w:p>
        </w:tc>
      </w:tr>
      <w:tr>
        <w:trPr>
          <w:trHeight w:val="164"/>
          <w:tblHeader/>
          <w:jc w:val="center"/>
        </w:trPr>
        <w:tc>
          <w:tcPr>
            <w:tcW w:w="3144" w:type="dxa"/>
            <w:vMerge w:val="restart"/>
            <w:tcBorders>
              <w:top w:val="single" w:sz="4" w:space="0" w:color="auto"/>
              <w:left w:val="single" w:sz="4" w:space="0" w:color="auto"/>
              <w:right w:val="single" w:sz="4" w:space="0" w:color="auto"/>
            </w:tcBorders>
            <w:shd w:val="clear" w:color="auto" w:fill="E0E0E0"/>
          </w:tcPr>
          <w:p>
            <w:pPr>
              <w:spacing w:before="30" w:after="30"/>
              <w:jc w:val="center"/>
              <w:rPr>
                <w:b/>
                <w:noProof/>
                <w:sz w:val="16"/>
                <w:szCs w:val="16"/>
                <w:lang w:eastAsia="en-US"/>
              </w:rPr>
            </w:pPr>
          </w:p>
          <w:p>
            <w:pPr>
              <w:spacing w:before="30" w:after="30"/>
              <w:jc w:val="center"/>
              <w:rPr>
                <w:b/>
                <w:noProof/>
                <w:sz w:val="16"/>
                <w:szCs w:val="16"/>
                <w:lang w:eastAsia="en-US"/>
              </w:rPr>
            </w:pPr>
            <w:r>
              <w:rPr>
                <w:b/>
                <w:noProof/>
                <w:sz w:val="16"/>
                <w:szCs w:val="16"/>
                <w:lang w:eastAsia="en-US"/>
              </w:rPr>
              <w:t>Sustainable fisheries partnership agreements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r>
              <w:rPr>
                <w:b/>
                <w:noProof/>
                <w:sz w:val="16"/>
                <w:szCs w:val="16"/>
                <w:lang w:eastAsia="en-US"/>
              </w:rPr>
              <w:t>Draft Budget 2017</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r>
              <w:rPr>
                <w:b/>
                <w:noProof/>
                <w:sz w:val="16"/>
                <w:szCs w:val="16"/>
                <w:lang w:eastAsia="en-US"/>
              </w:rPr>
              <w:t>Amending Letter</w:t>
            </w:r>
            <w:r>
              <w:rPr>
                <w:b/>
                <w:noProof/>
                <w:sz w:val="16"/>
                <w:szCs w:val="16"/>
                <w:lang w:eastAsia="en-US"/>
              </w:rPr>
              <w:br/>
              <w:t xml:space="preserve"> No 1/2017</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r>
              <w:rPr>
                <w:b/>
                <w:noProof/>
                <w:sz w:val="16"/>
                <w:szCs w:val="16"/>
                <w:lang w:eastAsia="en-US"/>
              </w:rPr>
              <w:t xml:space="preserve">Draft Budget 2017 </w:t>
            </w:r>
            <w:r>
              <w:rPr>
                <w:b/>
                <w:noProof/>
                <w:sz w:val="16"/>
                <w:szCs w:val="16"/>
                <w:lang w:eastAsia="en-US"/>
              </w:rPr>
              <w:br/>
              <w:t>(incl. AL 1/2017)</w:t>
            </w:r>
          </w:p>
        </w:tc>
      </w:tr>
      <w:tr>
        <w:trPr>
          <w:trHeight w:val="164"/>
          <w:tblHeader/>
          <w:jc w:val="center"/>
        </w:trPr>
        <w:tc>
          <w:tcPr>
            <w:tcW w:w="3144" w:type="dxa"/>
            <w:vMerge/>
            <w:tcBorders>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p>
        </w:tc>
        <w:tc>
          <w:tcPr>
            <w:tcW w:w="1050" w:type="dxa"/>
            <w:tcBorders>
              <w:top w:val="single" w:sz="4" w:space="0" w:color="auto"/>
              <w:left w:val="single" w:sz="4" w:space="0" w:color="auto"/>
              <w:bottom w:val="single" w:sz="4" w:space="0" w:color="auto"/>
              <w:right w:val="single" w:sz="4" w:space="0" w:color="auto"/>
            </w:tcBorders>
            <w:shd w:val="clear" w:color="auto" w:fill="E0E0E0"/>
          </w:tcPr>
          <w:p>
            <w:pPr>
              <w:spacing w:before="30" w:after="30"/>
              <w:jc w:val="center"/>
              <w:rPr>
                <w:noProof/>
                <w:sz w:val="16"/>
                <w:szCs w:val="16"/>
                <w:lang w:eastAsia="en-US"/>
              </w:rPr>
            </w:pPr>
            <w:r>
              <w:rPr>
                <w:b/>
                <w:noProof/>
                <w:sz w:val="16"/>
                <w:szCs w:val="16"/>
                <w:lang w:eastAsia="en-US"/>
              </w:rPr>
              <w:t>Commitments</w:t>
            </w:r>
          </w:p>
        </w:tc>
        <w:tc>
          <w:tcPr>
            <w:tcW w:w="1051" w:type="dxa"/>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r>
              <w:rPr>
                <w:b/>
                <w:noProof/>
                <w:sz w:val="16"/>
                <w:szCs w:val="16"/>
                <w:lang w:eastAsia="en-US"/>
              </w:rPr>
              <w:t>Payments</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lang w:eastAsia="en-US"/>
              </w:rPr>
            </w:pPr>
            <w:r>
              <w:rPr>
                <w:b/>
                <w:noProof/>
                <w:sz w:val="16"/>
                <w:szCs w:val="16"/>
                <w:lang w:eastAsia="en-US"/>
              </w:rPr>
              <w:t>Commitments</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r>
              <w:rPr>
                <w:b/>
                <w:noProof/>
                <w:sz w:val="16"/>
                <w:szCs w:val="16"/>
                <w:lang w:eastAsia="en-US"/>
              </w:rPr>
              <w:t>Payments</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lang w:eastAsia="en-US"/>
              </w:rPr>
            </w:pPr>
            <w:r>
              <w:rPr>
                <w:b/>
                <w:noProof/>
                <w:sz w:val="16"/>
                <w:szCs w:val="16"/>
                <w:lang w:eastAsia="en-US"/>
              </w:rPr>
              <w:t>Commitments</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lang w:eastAsia="en-US"/>
              </w:rPr>
            </w:pPr>
            <w:r>
              <w:rPr>
                <w:b/>
                <w:noProof/>
                <w:sz w:val="16"/>
                <w:szCs w:val="16"/>
                <w:lang w:eastAsia="en-US"/>
              </w:rPr>
              <w:t>Payments</w:t>
            </w:r>
          </w:p>
        </w:tc>
      </w:tr>
      <w:tr>
        <w:trPr>
          <w:trHeight w:val="220"/>
          <w:jc w:val="center"/>
        </w:trPr>
        <w:tc>
          <w:tcPr>
            <w:tcW w:w="3144" w:type="dxa"/>
            <w:tcBorders>
              <w:top w:val="single" w:sz="4" w:space="0" w:color="auto"/>
              <w:left w:val="single" w:sz="4" w:space="0" w:color="auto"/>
              <w:bottom w:val="dotted" w:sz="2" w:space="0" w:color="auto"/>
              <w:right w:val="single" w:sz="4" w:space="0" w:color="auto"/>
            </w:tcBorders>
            <w:vAlign w:val="center"/>
          </w:tcPr>
          <w:p>
            <w:pPr>
              <w:spacing w:before="30" w:after="30"/>
              <w:jc w:val="both"/>
              <w:rPr>
                <w:noProof/>
                <w:sz w:val="16"/>
                <w:szCs w:val="16"/>
              </w:rPr>
            </w:pPr>
            <w:r>
              <w:rPr>
                <w:noProof/>
                <w:sz w:val="16"/>
                <w:szCs w:val="16"/>
              </w:rPr>
              <w:t>Operational line (11 03 01)</w:t>
            </w:r>
          </w:p>
        </w:tc>
        <w:tc>
          <w:tcPr>
            <w:tcW w:w="1050"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lang w:eastAsia="en-US"/>
              </w:rPr>
            </w:pPr>
            <w:r>
              <w:rPr>
                <w:noProof/>
                <w:sz w:val="16"/>
                <w:szCs w:val="16"/>
                <w:lang w:eastAsia="en-US"/>
              </w:rPr>
              <w:t>117,7</w:t>
            </w:r>
          </w:p>
        </w:tc>
        <w:tc>
          <w:tcPr>
            <w:tcW w:w="1051"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lang w:eastAsia="en-US"/>
              </w:rPr>
            </w:pPr>
            <w:r>
              <w:rPr>
                <w:noProof/>
                <w:sz w:val="16"/>
                <w:szCs w:val="16"/>
                <w:lang w:eastAsia="en-US"/>
              </w:rPr>
              <w:t>112,7</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lang w:eastAsia="en-US"/>
              </w:rPr>
            </w:pPr>
            <w:r>
              <w:rPr>
                <w:noProof/>
                <w:sz w:val="16"/>
                <w:szCs w:val="16"/>
                <w:lang w:eastAsia="en-US"/>
              </w:rPr>
              <w:t>+0,735</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lang w:eastAsia="en-US"/>
              </w:rPr>
            </w:pPr>
            <w:r>
              <w:rPr>
                <w:noProof/>
                <w:sz w:val="16"/>
                <w:szCs w:val="16"/>
                <w:lang w:eastAsia="en-US"/>
              </w:rPr>
              <w:t>+0,735</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lang w:eastAsia="en-US"/>
              </w:rPr>
            </w:pPr>
            <w:r>
              <w:rPr>
                <w:noProof/>
                <w:sz w:val="16"/>
                <w:szCs w:val="16"/>
                <w:lang w:eastAsia="en-US"/>
              </w:rPr>
              <w:t>118,4</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lang w:eastAsia="en-US"/>
              </w:rPr>
            </w:pPr>
            <w:r>
              <w:rPr>
                <w:noProof/>
                <w:sz w:val="16"/>
                <w:szCs w:val="16"/>
                <w:lang w:eastAsia="en-US"/>
              </w:rPr>
              <w:t>113,4</w:t>
            </w:r>
          </w:p>
        </w:tc>
      </w:tr>
      <w:tr>
        <w:trPr>
          <w:trHeight w:val="220"/>
          <w:jc w:val="center"/>
        </w:trPr>
        <w:tc>
          <w:tcPr>
            <w:tcW w:w="3144" w:type="dxa"/>
            <w:tcBorders>
              <w:top w:val="dotted" w:sz="2" w:space="0" w:color="auto"/>
              <w:left w:val="single" w:sz="4" w:space="0" w:color="auto"/>
              <w:bottom w:val="single" w:sz="4" w:space="0" w:color="auto"/>
              <w:right w:val="single" w:sz="4" w:space="0" w:color="auto"/>
            </w:tcBorders>
            <w:vAlign w:val="center"/>
          </w:tcPr>
          <w:p>
            <w:pPr>
              <w:spacing w:before="30" w:after="30"/>
              <w:jc w:val="both"/>
              <w:rPr>
                <w:noProof/>
                <w:sz w:val="16"/>
                <w:szCs w:val="16"/>
              </w:rPr>
            </w:pPr>
            <w:r>
              <w:rPr>
                <w:noProof/>
                <w:sz w:val="16"/>
                <w:szCs w:val="16"/>
              </w:rPr>
              <w:t>Reserve (40 02 41)</w:t>
            </w:r>
          </w:p>
        </w:tc>
        <w:tc>
          <w:tcPr>
            <w:tcW w:w="1050"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lang w:eastAsia="en-US"/>
              </w:rPr>
            </w:pPr>
            <w:r>
              <w:rPr>
                <w:noProof/>
                <w:sz w:val="16"/>
                <w:szCs w:val="16"/>
                <w:lang w:eastAsia="en-US"/>
              </w:rPr>
              <w:t>15,5</w:t>
            </w:r>
          </w:p>
        </w:tc>
        <w:tc>
          <w:tcPr>
            <w:tcW w:w="1051"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lang w:eastAsia="en-US"/>
              </w:rPr>
            </w:pPr>
            <w:r>
              <w:rPr>
                <w:noProof/>
                <w:sz w:val="16"/>
                <w:szCs w:val="16"/>
                <w:lang w:eastAsia="en-US"/>
              </w:rPr>
              <w:t>15,5</w:t>
            </w:r>
          </w:p>
        </w:tc>
        <w:tc>
          <w:tcPr>
            <w:tcW w:w="1050"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lang w:eastAsia="en-US"/>
              </w:rPr>
            </w:pPr>
            <w:r>
              <w:rPr>
                <w:noProof/>
                <w:sz w:val="16"/>
                <w:szCs w:val="16"/>
                <w:lang w:eastAsia="en-US"/>
              </w:rPr>
              <w:t>-0,735</w:t>
            </w:r>
          </w:p>
        </w:tc>
        <w:tc>
          <w:tcPr>
            <w:tcW w:w="1051"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lang w:eastAsia="en-US"/>
              </w:rPr>
            </w:pPr>
            <w:r>
              <w:rPr>
                <w:noProof/>
                <w:sz w:val="16"/>
                <w:szCs w:val="16"/>
                <w:lang w:eastAsia="en-US"/>
              </w:rPr>
              <w:t>-0,735</w:t>
            </w:r>
          </w:p>
        </w:tc>
        <w:tc>
          <w:tcPr>
            <w:tcW w:w="1050"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en-US"/>
              </w:rPr>
            </w:pPr>
            <w:r>
              <w:rPr>
                <w:noProof/>
                <w:sz w:val="16"/>
                <w:szCs w:val="16"/>
                <w:lang w:eastAsia="en-US"/>
              </w:rPr>
              <w:t>14,8</w:t>
            </w:r>
          </w:p>
        </w:tc>
        <w:tc>
          <w:tcPr>
            <w:tcW w:w="1051" w:type="dxa"/>
            <w:tcBorders>
              <w:top w:val="dotted" w:sz="2" w:space="0" w:color="auto"/>
              <w:left w:val="nil"/>
              <w:bottom w:val="single" w:sz="4" w:space="0" w:color="auto"/>
              <w:right w:val="single" w:sz="4" w:space="0" w:color="auto"/>
            </w:tcBorders>
          </w:tcPr>
          <w:p>
            <w:pPr>
              <w:spacing w:before="30" w:after="30"/>
              <w:jc w:val="right"/>
              <w:rPr>
                <w:noProof/>
                <w:sz w:val="16"/>
                <w:szCs w:val="16"/>
                <w:lang w:eastAsia="en-US"/>
              </w:rPr>
            </w:pPr>
            <w:r>
              <w:rPr>
                <w:noProof/>
                <w:sz w:val="16"/>
                <w:szCs w:val="16"/>
                <w:lang w:eastAsia="en-US"/>
              </w:rPr>
              <w:t>14,8</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szCs w:val="16"/>
              </w:rPr>
              <w:t>Total</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szCs w:val="16"/>
              </w:rPr>
              <w:t>133,2</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szCs w:val="16"/>
              </w:rPr>
              <w:t>128,2</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lang w:eastAsia="en-US"/>
              </w:rPr>
            </w:pPr>
            <w:r>
              <w:rPr>
                <w:b/>
                <w:noProof/>
                <w:sz w:val="16"/>
                <w:szCs w:val="16"/>
                <w:lang w:eastAsia="en-US"/>
              </w:rPr>
              <w:t>0,0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lang w:eastAsia="en-US"/>
              </w:rPr>
            </w:pPr>
            <w:r>
              <w:rPr>
                <w:b/>
                <w:noProof/>
                <w:sz w:val="16"/>
                <w:szCs w:val="16"/>
                <w:lang w:eastAsia="en-US"/>
              </w:rPr>
              <w:t>0,0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lang w:eastAsia="en-US"/>
              </w:rPr>
            </w:pPr>
            <w:r>
              <w:rPr>
                <w:b/>
                <w:noProof/>
                <w:sz w:val="16"/>
                <w:szCs w:val="16"/>
                <w:lang w:eastAsia="en-US"/>
              </w:rPr>
              <w:t>133,2</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lang w:eastAsia="en-US"/>
              </w:rPr>
            </w:pPr>
            <w:r>
              <w:rPr>
                <w:b/>
                <w:noProof/>
                <w:sz w:val="16"/>
                <w:szCs w:val="16"/>
                <w:lang w:eastAsia="en-US"/>
              </w:rPr>
              <w:t>128,2</w:t>
            </w:r>
          </w:p>
        </w:tc>
      </w:tr>
    </w:tbl>
    <w:p>
      <w:pPr>
        <w:pStyle w:val="ManualHeading1"/>
        <w:spacing w:before="240"/>
        <w:ind w:left="0" w:firstLine="0"/>
        <w:rPr>
          <w:noProof/>
        </w:rPr>
      </w:pPr>
      <w:bookmarkStart w:id="56" w:name="_Toc464028333"/>
      <w:bookmarkStart w:id="57" w:name="_Toc464138540"/>
      <w:bookmarkEnd w:id="56"/>
      <w:r>
        <w:rPr>
          <w:noProof/>
        </w:rPr>
        <w:t>3.</w:t>
      </w:r>
      <w:r>
        <w:rPr>
          <w:noProof/>
        </w:rPr>
        <w:tab/>
      </w:r>
      <w:r>
        <w:rPr>
          <w:noProof/>
          <w:szCs w:val="20"/>
        </w:rPr>
        <w:t>Growth and jobs : enhancing successful programmes and instruments</w:t>
      </w:r>
      <w:bookmarkEnd w:id="57"/>
    </w:p>
    <w:p>
      <w:pPr>
        <w:spacing w:before="120" w:after="120"/>
        <w:jc w:val="both"/>
        <w:rPr>
          <w:noProof/>
          <w:szCs w:val="20"/>
          <w:lang w:eastAsia="de-DE"/>
        </w:rPr>
      </w:pPr>
      <w:r>
        <w:rPr>
          <w:noProof/>
          <w:szCs w:val="20"/>
          <w:lang w:eastAsia="de-DE"/>
        </w:rPr>
        <w:t xml:space="preserve">On 14 September 2016 the Commission presented its proposals to the European Parliament and the Council for a </w:t>
      </w:r>
      <w:r>
        <w:rPr>
          <w:i/>
          <w:noProof/>
          <w:szCs w:val="20"/>
          <w:lang w:eastAsia="de-DE"/>
        </w:rPr>
        <w:t>Mid-term review/revision of the multiannual financial framework 2014-2020: An EU budget focused on results</w:t>
      </w:r>
      <w:r>
        <w:rPr>
          <w:noProof/>
          <w:szCs w:val="20"/>
          <w:vertAlign w:val="superscript"/>
          <w:lang w:val="de-DE" w:eastAsia="de-DE"/>
        </w:rPr>
        <w:footnoteReference w:id="14"/>
      </w:r>
      <w:r>
        <w:rPr>
          <w:noProof/>
          <w:szCs w:val="20"/>
          <w:lang w:eastAsia="de-DE"/>
        </w:rPr>
        <w:t>. The mid-term review/revision is accompanied by a number of sectorial proposals – including a new Telecommunications package setting out a European vision of internet connectivity for citizens and business, the so-called WiFi4EU proposal</w:t>
      </w:r>
      <w:r>
        <w:rPr>
          <w:noProof/>
          <w:szCs w:val="20"/>
          <w:vertAlign w:val="superscript"/>
          <w:lang w:val="de-DE" w:eastAsia="de-DE"/>
        </w:rPr>
        <w:footnoteReference w:id="15"/>
      </w:r>
      <w:r>
        <w:rPr>
          <w:noProof/>
          <w:szCs w:val="20"/>
          <w:lang w:eastAsia="de-DE"/>
        </w:rPr>
        <w:t>.</w:t>
      </w:r>
    </w:p>
    <w:p>
      <w:pPr>
        <w:spacing w:before="120" w:after="120"/>
        <w:jc w:val="both"/>
        <w:rPr>
          <w:noProof/>
          <w:szCs w:val="20"/>
          <w:lang w:eastAsia="de-DE"/>
        </w:rPr>
      </w:pPr>
      <w:r>
        <w:rPr>
          <w:noProof/>
          <w:szCs w:val="20"/>
          <w:lang w:eastAsia="de-DE"/>
        </w:rPr>
        <w:t xml:space="preserve">One of the conclusions of the review/revision is that, compared with the previous period, the MFF 2014-2020 has significantly recalibrated spending towards activities conducive to the creation of jobs and growth. A number of programmes financed under heading 1a, </w:t>
      </w:r>
      <w:r>
        <w:rPr>
          <w:i/>
          <w:noProof/>
          <w:szCs w:val="20"/>
          <w:lang w:eastAsia="de-DE"/>
        </w:rPr>
        <w:t>Competitiveness for growth and jobs</w:t>
      </w:r>
      <w:r>
        <w:rPr>
          <w:noProof/>
          <w:szCs w:val="20"/>
          <w:lang w:eastAsia="de-DE"/>
        </w:rPr>
        <w:t xml:space="preserve">, have experienced strong demand resulting in effective absorption and fast project selection: it is thus proposed to supplement their initial allocations over the remaining period of the MFF. The Commission proposes to phase in, as from 2017, additional funding for Horizon 2020, COSME (Competitiveness of Enterprises and small and medium-sized enterprises), the Connecting Europe Facility (CEF-Transport) and Erasmus+, together with the new WiFi4EU legislative proposal. </w:t>
      </w:r>
    </w:p>
    <w:p>
      <w:pPr>
        <w:spacing w:before="120" w:after="120"/>
        <w:jc w:val="both"/>
        <w:rPr>
          <w:b/>
          <w:noProof/>
          <w:szCs w:val="20"/>
          <w:lang w:eastAsia="de-DE"/>
        </w:rPr>
      </w:pPr>
      <w:r>
        <w:rPr>
          <w:noProof/>
          <w:szCs w:val="20"/>
          <w:lang w:eastAsia="de-DE"/>
        </w:rPr>
        <w:t xml:space="preserve">The proposed indicative financial programming by budget item is set out for information in the table below. Reinforcements envisaged in years 2018, 2019 and 2020 would be subject to the result of the annual budgetary procedure. These reinforcements are within the 10 % flexibility provided for in </w:t>
      </w:r>
      <w:r>
        <w:rPr>
          <w:b/>
          <w:noProof/>
          <w:szCs w:val="20"/>
          <w:lang w:eastAsia="de-DE"/>
        </w:rPr>
        <w:t>point 17 of the IIA.</w:t>
      </w:r>
    </w:p>
    <w:tbl>
      <w:tblPr>
        <w:tblpPr w:leftFromText="180" w:rightFromText="180" w:vertAnchor="page" w:horzAnchor="margin" w:tblpY="48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685"/>
        <w:gridCol w:w="798"/>
        <w:gridCol w:w="798"/>
        <w:gridCol w:w="798"/>
        <w:gridCol w:w="798"/>
        <w:gridCol w:w="776"/>
      </w:tblGrid>
      <w:tr>
        <w:tc>
          <w:tcPr>
            <w:tcW w:w="5000" w:type="pct"/>
            <w:gridSpan w:val="7"/>
            <w:tcBorders>
              <w:top w:val="nil"/>
              <w:left w:val="nil"/>
              <w:bottom w:val="single" w:sz="4" w:space="0" w:color="auto"/>
              <w:right w:val="nil"/>
            </w:tcBorders>
            <w:shd w:val="clear" w:color="auto" w:fill="auto"/>
            <w:vAlign w:val="center"/>
          </w:tcPr>
          <w:p>
            <w:pPr>
              <w:widowControl w:val="0"/>
              <w:spacing w:before="15" w:after="15"/>
              <w:jc w:val="right"/>
              <w:rPr>
                <w:b/>
                <w:noProof/>
                <w:sz w:val="20"/>
                <w:szCs w:val="20"/>
                <w:lang w:eastAsia="de-DE"/>
              </w:rPr>
            </w:pPr>
            <w:r>
              <w:rPr>
                <w:i/>
                <w:iCs/>
                <w:noProof/>
                <w:sz w:val="16"/>
                <w:szCs w:val="16"/>
                <w:lang w:eastAsia="en-US"/>
              </w:rPr>
              <w:t>(in million EUR, rounded figures at current prices)</w:t>
            </w:r>
          </w:p>
        </w:tc>
      </w:tr>
      <w:tr>
        <w:tc>
          <w:tcPr>
            <w:tcW w:w="708"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lang w:val="de-DE" w:eastAsia="de-DE"/>
              </w:rPr>
            </w:pPr>
            <w:r>
              <w:rPr>
                <w:b/>
                <w:noProof/>
                <w:sz w:val="20"/>
                <w:szCs w:val="20"/>
                <w:lang w:val="de-DE" w:eastAsia="de-DE"/>
              </w:rPr>
              <w:t>Budget line</w:t>
            </w:r>
          </w:p>
        </w:tc>
        <w:tc>
          <w:tcPr>
            <w:tcW w:w="2323"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lang w:val="de-DE" w:eastAsia="de-DE"/>
              </w:rPr>
            </w:pPr>
            <w:r>
              <w:rPr>
                <w:b/>
                <w:noProof/>
                <w:sz w:val="20"/>
                <w:szCs w:val="20"/>
              </w:rPr>
              <w:t>Name</w:t>
            </w:r>
          </w:p>
        </w:tc>
        <w:tc>
          <w:tcPr>
            <w:tcW w:w="396"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lang w:val="de-DE" w:eastAsia="de-DE"/>
              </w:rPr>
            </w:pPr>
            <w:r>
              <w:rPr>
                <w:b/>
                <w:noProof/>
                <w:sz w:val="20"/>
                <w:szCs w:val="20"/>
                <w:lang w:val="de-DE" w:eastAsia="de-DE"/>
              </w:rPr>
              <w:t>2017</w:t>
            </w:r>
          </w:p>
        </w:tc>
        <w:tc>
          <w:tcPr>
            <w:tcW w:w="396"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lang w:val="de-DE" w:eastAsia="de-DE"/>
              </w:rPr>
            </w:pPr>
            <w:r>
              <w:rPr>
                <w:b/>
                <w:noProof/>
                <w:sz w:val="20"/>
                <w:szCs w:val="20"/>
                <w:lang w:val="de-DE" w:eastAsia="de-DE"/>
              </w:rPr>
              <w:t>2018</w:t>
            </w:r>
          </w:p>
        </w:tc>
        <w:tc>
          <w:tcPr>
            <w:tcW w:w="396" w:type="pct"/>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center"/>
              <w:rPr>
                <w:b/>
                <w:noProof/>
                <w:sz w:val="20"/>
                <w:szCs w:val="20"/>
                <w:lang w:val="de-DE" w:eastAsia="de-DE"/>
              </w:rPr>
            </w:pPr>
            <w:r>
              <w:rPr>
                <w:b/>
                <w:noProof/>
                <w:sz w:val="20"/>
                <w:szCs w:val="20"/>
                <w:lang w:val="de-DE" w:eastAsia="de-DE"/>
              </w:rPr>
              <w:t>2019</w:t>
            </w:r>
          </w:p>
        </w:tc>
        <w:tc>
          <w:tcPr>
            <w:tcW w:w="396"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lang w:val="de-DE" w:eastAsia="de-DE"/>
              </w:rPr>
            </w:pPr>
            <w:r>
              <w:rPr>
                <w:b/>
                <w:noProof/>
                <w:sz w:val="20"/>
                <w:szCs w:val="20"/>
                <w:lang w:val="de-DE" w:eastAsia="de-DE"/>
              </w:rPr>
              <w:t>2020</w:t>
            </w:r>
          </w:p>
        </w:tc>
        <w:tc>
          <w:tcPr>
            <w:tcW w:w="386"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lang w:val="de-DE" w:eastAsia="de-DE"/>
              </w:rPr>
            </w:pPr>
            <w:r>
              <w:rPr>
                <w:b/>
                <w:noProof/>
                <w:sz w:val="20"/>
                <w:szCs w:val="20"/>
                <w:lang w:val="de-DE" w:eastAsia="de-DE"/>
              </w:rPr>
              <w:t>Total</w:t>
            </w:r>
          </w:p>
        </w:tc>
      </w:tr>
      <w:tr>
        <w:tc>
          <w:tcPr>
            <w:tcW w:w="708" w:type="pct"/>
            <w:tcBorders>
              <w:top w:val="single" w:sz="4" w:space="0" w:color="auto"/>
              <w:left w:val="single" w:sz="4" w:space="0" w:color="auto"/>
              <w:bottom w:val="single" w:sz="4" w:space="0" w:color="auto"/>
              <w:right w:val="nil"/>
            </w:tcBorders>
          </w:tcPr>
          <w:p>
            <w:pPr>
              <w:widowControl w:val="0"/>
              <w:spacing w:before="15" w:after="15"/>
              <w:ind w:right="-113"/>
              <w:rPr>
                <w:b/>
                <w:noProof/>
                <w:sz w:val="20"/>
                <w:szCs w:val="20"/>
                <w:lang w:eastAsia="de-DE"/>
              </w:rPr>
            </w:pPr>
            <w:r>
              <w:rPr>
                <w:b/>
                <w:noProof/>
                <w:sz w:val="20"/>
                <w:szCs w:val="20"/>
                <w:lang w:eastAsia="de-DE"/>
              </w:rPr>
              <w:t>COSME</w:t>
            </w:r>
          </w:p>
        </w:tc>
        <w:tc>
          <w:tcPr>
            <w:tcW w:w="2323"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lang w:eastAsia="de-DE"/>
              </w:rPr>
            </w:pP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lang w:eastAsia="de-DE"/>
              </w:rPr>
            </w:pPr>
            <w:r>
              <w:rPr>
                <w:noProof/>
                <w:sz w:val="20"/>
                <w:szCs w:val="20"/>
                <w:lang w:eastAsia="de-DE"/>
              </w:rPr>
              <w:t>02 02 02</w:t>
            </w:r>
            <w:r>
              <w:rPr>
                <w:noProof/>
                <w:sz w:val="20"/>
                <w:szCs w:val="20"/>
                <w:lang w:eastAsia="de-DE"/>
              </w:rPr>
              <w:tab/>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eastAsia="de-DE"/>
              </w:rPr>
            </w:pPr>
            <w:r>
              <w:rPr>
                <w:noProof/>
                <w:sz w:val="20"/>
                <w:szCs w:val="20"/>
                <w:lang w:eastAsia="de-DE"/>
              </w:rPr>
              <w:t>Improving access to finance for small and medium-sized enterprises (SMEs) in the form of equity and debt</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80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200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ind w:right="-113"/>
              <w:rPr>
                <w:noProof/>
                <w:sz w:val="20"/>
                <w:szCs w:val="20"/>
                <w:lang w:eastAsia="de-DE"/>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szCs w:val="20"/>
              </w:rPr>
              <w:t>Total COSME</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80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20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200</w:t>
            </w:r>
          </w:p>
        </w:tc>
      </w:tr>
      <w:tr>
        <w:tc>
          <w:tcPr>
            <w:tcW w:w="3031" w:type="pct"/>
            <w:gridSpan w:val="2"/>
            <w:tcBorders>
              <w:top w:val="single" w:sz="4" w:space="0" w:color="auto"/>
              <w:left w:val="single" w:sz="4" w:space="0" w:color="auto"/>
              <w:bottom w:val="single" w:sz="4" w:space="0" w:color="auto"/>
              <w:right w:val="nil"/>
            </w:tcBorders>
          </w:tcPr>
          <w:p>
            <w:pPr>
              <w:widowControl w:val="0"/>
              <w:tabs>
                <w:tab w:val="left" w:pos="1350"/>
              </w:tabs>
              <w:spacing w:before="15" w:after="15"/>
              <w:jc w:val="both"/>
              <w:rPr>
                <w:b/>
                <w:noProof/>
                <w:sz w:val="20"/>
                <w:szCs w:val="20"/>
                <w:lang w:eastAsia="de-DE"/>
              </w:rPr>
            </w:pPr>
            <w:r>
              <w:rPr>
                <w:b/>
                <w:noProof/>
                <w:sz w:val="20"/>
                <w:szCs w:val="20"/>
                <w:lang w:eastAsia="de-DE"/>
              </w:rPr>
              <w:t>CEF Transport</w:t>
            </w: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lang w:eastAsia="de-DE"/>
              </w:rPr>
            </w:pP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lang w:eastAsia="de-DE"/>
              </w:rPr>
            </w:pPr>
            <w:r>
              <w:rPr>
                <w:noProof/>
                <w:sz w:val="20"/>
                <w:szCs w:val="20"/>
                <w:lang w:eastAsia="de-DE"/>
              </w:rPr>
              <w:t>06 02 01 01</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eastAsia="de-DE"/>
              </w:rPr>
            </w:pPr>
            <w:r>
              <w:rPr>
                <w:noProof/>
                <w:sz w:val="20"/>
                <w:szCs w:val="20"/>
                <w:lang w:eastAsia="de-DE"/>
              </w:rPr>
              <w:t>Removing bottlenecks, enhancing rail interoperability, bridging missing links and improving cross-border sections</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30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100</w:t>
            </w: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lang w:eastAsia="de-DE"/>
              </w:rPr>
            </w:pPr>
            <w:r>
              <w:rPr>
                <w:noProof/>
                <w:sz w:val="20"/>
                <w:szCs w:val="20"/>
                <w:lang w:val="de-DE" w:eastAsia="de-DE"/>
              </w:rPr>
              <w:t>06 02 01 02</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eastAsia="de-DE"/>
              </w:rPr>
            </w:pPr>
            <w:r>
              <w:rPr>
                <w:noProof/>
                <w:sz w:val="20"/>
                <w:szCs w:val="20"/>
                <w:lang w:eastAsia="de-DE"/>
              </w:rPr>
              <w:t>Ensuring sustainable and efficient transport systems</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val="de-DE" w:eastAsia="de-DE"/>
              </w:rPr>
              <w:t>30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val="de-DE"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val="de-DE" w:eastAsia="de-DE"/>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val="de-DE" w:eastAsia="de-DE"/>
              </w:rPr>
              <w:t>100</w:t>
            </w: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lang w:eastAsia="de-DE"/>
              </w:rPr>
            </w:pPr>
            <w:r>
              <w:rPr>
                <w:noProof/>
                <w:sz w:val="20"/>
                <w:szCs w:val="20"/>
                <w:lang w:eastAsia="de-DE"/>
              </w:rPr>
              <w:t>06 02 01 03</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eastAsia="de-DE"/>
              </w:rPr>
            </w:pPr>
            <w:r>
              <w:rPr>
                <w:noProof/>
                <w:sz w:val="20"/>
                <w:szCs w:val="20"/>
                <w:lang w:eastAsia="de-DE"/>
              </w:rPr>
              <w:t>Optimising the integration and interconnection of transport modes and enhancing interoperability</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80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r>
              <w:rPr>
                <w:noProof/>
                <w:sz w:val="20"/>
                <w:szCs w:val="20"/>
                <w:lang w:eastAsia="de-DE"/>
              </w:rPr>
              <w:t>300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ind w:right="-113"/>
              <w:rPr>
                <w:noProof/>
                <w:sz w:val="20"/>
                <w:szCs w:val="20"/>
                <w:lang w:eastAsia="de-DE"/>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szCs w:val="20"/>
              </w:rPr>
              <w:t>Total CEF transport</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140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150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60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lang w:eastAsia="de-DE"/>
              </w:rPr>
            </w:pPr>
            <w:r>
              <w:rPr>
                <w:b/>
                <w:noProof/>
                <w:sz w:val="20"/>
                <w:szCs w:val="20"/>
                <w:lang w:eastAsia="de-DE"/>
              </w:rPr>
              <w:t>400</w:t>
            </w:r>
          </w:p>
        </w:tc>
      </w:tr>
      <w:tr>
        <w:tc>
          <w:tcPr>
            <w:tcW w:w="708" w:type="pct"/>
            <w:tcBorders>
              <w:top w:val="single" w:sz="4" w:space="0" w:color="auto"/>
              <w:left w:val="single" w:sz="4" w:space="0" w:color="auto"/>
              <w:bottom w:val="single" w:sz="4" w:space="0" w:color="auto"/>
              <w:right w:val="nil"/>
            </w:tcBorders>
          </w:tcPr>
          <w:p>
            <w:pPr>
              <w:widowControl w:val="0"/>
              <w:spacing w:before="15" w:after="15"/>
              <w:ind w:right="-113"/>
              <w:rPr>
                <w:noProof/>
                <w:sz w:val="20"/>
                <w:szCs w:val="20"/>
                <w:lang w:eastAsia="de-DE"/>
              </w:rPr>
            </w:pPr>
            <w:r>
              <w:rPr>
                <w:b/>
                <w:noProof/>
                <w:sz w:val="20"/>
                <w:szCs w:val="20"/>
                <w:lang w:eastAsia="de-DE"/>
              </w:rPr>
              <w:t>H2020</w:t>
            </w:r>
          </w:p>
        </w:tc>
        <w:tc>
          <w:tcPr>
            <w:tcW w:w="2323"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lang w:eastAsia="de-DE"/>
              </w:rPr>
            </w:pP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lang w:val="de-DE" w:eastAsia="de-DE"/>
              </w:rPr>
            </w:pPr>
            <w:r>
              <w:rPr>
                <w:noProof/>
                <w:sz w:val="20"/>
                <w:szCs w:val="20"/>
                <w:lang w:val="de-DE" w:eastAsia="de-DE"/>
              </w:rPr>
              <w:t xml:space="preserve">08 02 01 01 </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eastAsia="de-DE"/>
              </w:rPr>
            </w:pPr>
            <w:r>
              <w:rPr>
                <w:noProof/>
                <w:sz w:val="20"/>
                <w:szCs w:val="20"/>
                <w:lang w:eastAsia="de-DE"/>
              </w:rPr>
              <w:t xml:space="preserve">Strengthening frontier research in the European Research Council </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16,7</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100</w:t>
            </w: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lang w:val="de-DE" w:eastAsia="de-DE"/>
              </w:rPr>
            </w:pPr>
            <w:r>
              <w:rPr>
                <w:noProof/>
                <w:sz w:val="20"/>
                <w:szCs w:val="20"/>
                <w:lang w:val="de-DE" w:eastAsia="de-DE"/>
              </w:rPr>
              <w:t>08 02 02 03</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eastAsia="de-DE"/>
              </w:rPr>
            </w:pPr>
            <w:r>
              <w:rPr>
                <w:noProof/>
                <w:sz w:val="20"/>
                <w:szCs w:val="20"/>
                <w:lang w:eastAsia="de-DE"/>
              </w:rPr>
              <w:t>Increasing innovation in small and medium-sized enterprises (SMEs)</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eastAsia="de-D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50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100</w:t>
            </w: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lang w:val="de-DE" w:eastAsia="de-DE"/>
              </w:rPr>
            </w:pPr>
            <w:r>
              <w:rPr>
                <w:noProof/>
                <w:sz w:val="20"/>
                <w:szCs w:val="20"/>
                <w:lang w:val="de-DE" w:eastAsia="de-DE"/>
              </w:rPr>
              <w:t>08 02 04</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eastAsia="de-DE"/>
              </w:rPr>
            </w:pPr>
            <w:r>
              <w:rPr>
                <w:noProof/>
                <w:sz w:val="20"/>
                <w:szCs w:val="20"/>
                <w:lang w:eastAsia="de-DE"/>
              </w:rPr>
              <w:t xml:space="preserve">Spreading excellence and widening participation </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21,7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21,7</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110</w:t>
            </w: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lang w:val="de-DE" w:eastAsia="de-DE"/>
              </w:rPr>
            </w:pPr>
            <w:r>
              <w:rPr>
                <w:noProof/>
                <w:sz w:val="20"/>
                <w:szCs w:val="20"/>
                <w:lang w:val="de-DE" w:eastAsia="de-DE"/>
              </w:rPr>
              <w:t>09 04 02 01</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eastAsia="de-DE"/>
              </w:rPr>
            </w:pPr>
            <w:r>
              <w:rPr>
                <w:noProof/>
                <w:sz w:val="20"/>
                <w:szCs w:val="20"/>
                <w:lang w:eastAsia="de-DE"/>
              </w:rPr>
              <w:t>Leadership in information and communications technology</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11,7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11,7</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90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right"/>
              <w:rPr>
                <w:b/>
                <w:noProof/>
                <w:sz w:val="20"/>
                <w:szCs w:val="20"/>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szCs w:val="20"/>
              </w:rPr>
              <w:t>Total H2020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150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100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400</w:t>
            </w:r>
          </w:p>
        </w:tc>
      </w:tr>
      <w:tr>
        <w:tc>
          <w:tcPr>
            <w:tcW w:w="708" w:type="pct"/>
            <w:tcBorders>
              <w:top w:val="single" w:sz="4" w:space="0" w:color="auto"/>
              <w:left w:val="single" w:sz="4" w:space="0" w:color="auto"/>
              <w:bottom w:val="single" w:sz="4" w:space="0" w:color="auto"/>
              <w:right w:val="nil"/>
            </w:tcBorders>
          </w:tcPr>
          <w:p>
            <w:pPr>
              <w:widowControl w:val="0"/>
              <w:spacing w:before="15" w:after="15"/>
              <w:ind w:right="-113"/>
              <w:rPr>
                <w:noProof/>
                <w:sz w:val="20"/>
                <w:szCs w:val="20"/>
                <w:lang w:eastAsia="de-DE"/>
              </w:rPr>
            </w:pPr>
            <w:r>
              <w:rPr>
                <w:b/>
                <w:noProof/>
                <w:sz w:val="20"/>
                <w:szCs w:val="20"/>
                <w:lang w:eastAsia="de-DE"/>
              </w:rPr>
              <w:t>Erasmus+</w:t>
            </w:r>
          </w:p>
        </w:tc>
        <w:tc>
          <w:tcPr>
            <w:tcW w:w="2323"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lang w:eastAsia="de-DE"/>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lang w:eastAsia="de-DE"/>
              </w:rPr>
            </w:pP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lang w:val="de-DE" w:eastAsia="de-DE"/>
              </w:rPr>
            </w:pPr>
            <w:r>
              <w:rPr>
                <w:noProof/>
                <w:sz w:val="20"/>
                <w:szCs w:val="20"/>
                <w:lang w:val="de-DE" w:eastAsia="de-DE"/>
              </w:rPr>
              <w:t>15 02 01 01</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eastAsia="de-DE"/>
              </w:rPr>
            </w:pPr>
            <w:r>
              <w:rPr>
                <w:noProof/>
                <w:sz w:val="20"/>
                <w:szCs w:val="20"/>
                <w:lang w:eastAsia="de-DE"/>
              </w:rPr>
              <w:t>Promoting excellence and cooperation in the European education and training area and its relevance to the labour market</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23,5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16,5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15</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70</w:t>
            </w: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lang w:val="de-DE" w:eastAsia="de-DE"/>
              </w:rPr>
            </w:pPr>
            <w:r>
              <w:rPr>
                <w:noProof/>
                <w:sz w:val="20"/>
                <w:szCs w:val="20"/>
                <w:lang w:val="de-DE" w:eastAsia="de-DE"/>
              </w:rPr>
              <w:t>15 02 01 02</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eastAsia="de-DE"/>
              </w:rPr>
            </w:pPr>
            <w:r>
              <w:rPr>
                <w:noProof/>
                <w:sz w:val="20"/>
                <w:szCs w:val="20"/>
                <w:lang w:eastAsia="de-DE"/>
              </w:rPr>
              <w:t>Promoting excellence and cooperation in the European youth area and the participation of young people in European democratic life</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26,5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33,5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35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35</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de-DE" w:eastAsia="de-DE"/>
              </w:rPr>
            </w:pPr>
            <w:r>
              <w:rPr>
                <w:noProof/>
                <w:sz w:val="20"/>
                <w:szCs w:val="20"/>
                <w:lang w:val="de-DE" w:eastAsia="de-DE"/>
              </w:rPr>
              <w:t>130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right"/>
              <w:rPr>
                <w:b/>
                <w:noProof/>
                <w:sz w:val="20"/>
                <w:szCs w:val="20"/>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szCs w:val="20"/>
              </w:rPr>
              <w:t>Total H2020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50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szCs w:val="20"/>
              </w:rPr>
              <w:t>200</w:t>
            </w:r>
          </w:p>
        </w:tc>
      </w:tr>
    </w:tbl>
    <w:p>
      <w:pPr>
        <w:spacing w:before="120" w:after="120"/>
        <w:jc w:val="both"/>
        <w:rPr>
          <w:noProof/>
          <w:szCs w:val="20"/>
          <w:lang w:eastAsia="de-DE"/>
        </w:rPr>
      </w:pPr>
      <w:r>
        <w:rPr>
          <w:noProof/>
          <w:szCs w:val="20"/>
          <w:lang w:eastAsia="de-DE"/>
        </w:rPr>
        <w:t xml:space="preserve">The mid-term review/revision also proposes to continue the </w:t>
      </w:r>
      <w:r>
        <w:rPr>
          <w:b/>
          <w:noProof/>
          <w:szCs w:val="20"/>
          <w:lang w:eastAsia="de-DE"/>
        </w:rPr>
        <w:t>Youth Employment Initiative</w:t>
      </w:r>
      <w:r>
        <w:rPr>
          <w:noProof/>
          <w:szCs w:val="20"/>
          <w:lang w:eastAsia="de-DE"/>
        </w:rPr>
        <w:t xml:space="preserve"> (YEI) in heading 1b by allocating EUR 1 billion over the period 2017-2020. The Commission proposes to allocate EUR 500 million in 2017 and EUR 500 million in 2018 financed from the Global margin for commitments (GMC). At present the GMC available in 2017 is only EUR 174,1 million after financing EFSI. However, given the margin in commitments in the 2016 budget, the GMC is likely to increase after the technical adjustment in early 2017. The Commission proposes to add EUR 500 million to the YEI in 2017 through a draft amending budget to be proposed immediately after the technical adjustment. </w:t>
      </w:r>
    </w:p>
    <w:p>
      <w:pPr>
        <w:spacing w:before="120" w:after="120"/>
        <w:jc w:val="both"/>
        <w:rPr>
          <w:noProof/>
          <w:szCs w:val="20"/>
          <w:lang w:eastAsia="de-DE"/>
        </w:rPr>
      </w:pPr>
      <w:r>
        <w:rPr>
          <w:noProof/>
          <w:szCs w:val="20"/>
          <w:lang w:eastAsia="de-DE"/>
        </w:rPr>
        <w:t>At this stage, the only adjustments proposed in this amending letter in relation to growth and jobs are those related to heading 1a.</w:t>
      </w:r>
    </w:p>
    <w:p>
      <w:pPr>
        <w:pStyle w:val="ManualHeading2"/>
        <w:numPr>
          <w:ilvl w:val="0"/>
          <w:numId w:val="0"/>
        </w:numPr>
        <w:tabs>
          <w:tab w:val="left" w:pos="851"/>
        </w:tabs>
      </w:pPr>
      <w:bookmarkStart w:id="58" w:name="_Toc462933838"/>
      <w:bookmarkStart w:id="59" w:name="_Toc462935199"/>
      <w:bookmarkStart w:id="60" w:name="_Toc462935301"/>
      <w:bookmarkStart w:id="61" w:name="_Toc462935349"/>
      <w:bookmarkStart w:id="62" w:name="_Toc462935506"/>
      <w:bookmarkStart w:id="63" w:name="_Toc463004740"/>
      <w:bookmarkStart w:id="64" w:name="_Toc462933839"/>
      <w:bookmarkStart w:id="65" w:name="_Toc462935200"/>
      <w:bookmarkStart w:id="66" w:name="_Toc462935302"/>
      <w:bookmarkStart w:id="67" w:name="_Toc462935350"/>
      <w:bookmarkStart w:id="68" w:name="_Toc462935507"/>
      <w:bookmarkStart w:id="69" w:name="_Toc463004741"/>
      <w:bookmarkStart w:id="70" w:name="_Toc462933840"/>
      <w:bookmarkStart w:id="71" w:name="_Toc462935201"/>
      <w:bookmarkStart w:id="72" w:name="_Toc462935303"/>
      <w:bookmarkStart w:id="73" w:name="_Toc462935351"/>
      <w:bookmarkStart w:id="74" w:name="_Toc462935508"/>
      <w:bookmarkStart w:id="75" w:name="_Toc463004742"/>
      <w:bookmarkStart w:id="76" w:name="_Toc463974158"/>
      <w:bookmarkStart w:id="77" w:name="_Toc464028203"/>
      <w:bookmarkStart w:id="78" w:name="_Toc464028335"/>
      <w:bookmarkStart w:id="79" w:name="_Toc463974159"/>
      <w:bookmarkStart w:id="80" w:name="_Toc464028204"/>
      <w:bookmarkStart w:id="81" w:name="_Toc464028336"/>
      <w:bookmarkStart w:id="82" w:name="_Toc463974160"/>
      <w:bookmarkStart w:id="83" w:name="_Toc464028205"/>
      <w:bookmarkStart w:id="84" w:name="_Toc464028337"/>
      <w:bookmarkStart w:id="85" w:name="_Toc463974161"/>
      <w:bookmarkStart w:id="86" w:name="_Toc464028206"/>
      <w:bookmarkStart w:id="87" w:name="_Toc464028338"/>
      <w:bookmarkStart w:id="88" w:name="_Toc464138541"/>
      <w:bookmarkStart w:id="89" w:name="_Toc46215382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eastAsia="Calibri"/>
        </w:rPr>
        <w:t xml:space="preserve">3.1 </w:t>
      </w:r>
      <w:r>
        <w:rPr>
          <w:rFonts w:eastAsia="Calibri"/>
        </w:rPr>
        <w:tab/>
      </w:r>
      <w:r>
        <w:t>Horizon 2020</w:t>
      </w:r>
      <w:bookmarkEnd w:id="88"/>
    </w:p>
    <w:p>
      <w:pPr>
        <w:spacing w:before="120" w:after="120"/>
        <w:jc w:val="both"/>
        <w:rPr>
          <w:noProof/>
        </w:rPr>
      </w:pPr>
      <w:r>
        <w:rPr>
          <w:noProof/>
        </w:rPr>
        <w:t>Calls for proposals under Horizon 2020 have been largely oversubscribed. To continue to reinforce the programme's support to growth and jobs, additional commitment appropriations amounting to EUR 50 million are proposed in 2017, targeting a limited number of priority measures to achieve maximum impact, as follows:</w:t>
      </w:r>
    </w:p>
    <w:p>
      <w:pPr>
        <w:spacing w:before="120" w:after="120"/>
        <w:ind w:left="720" w:hanging="720"/>
        <w:jc w:val="both"/>
        <w:rPr>
          <w:noProof/>
        </w:rPr>
      </w:pPr>
      <w:r>
        <w:rPr>
          <w:noProof/>
        </w:rPr>
        <w:t>–</w:t>
      </w:r>
      <w:r>
        <w:rPr>
          <w:noProof/>
        </w:rPr>
        <w:tab/>
        <w:t>European Research Council: the ERC promotes frontier research into new and promising areas, which is of critical importance to consolidate Europe's science base. Currently a large number of excellent projects cannot be financed: the EU contribution can only cover 10 % of the budget proposed for eligible projects, and there is even a risk that it falls below this critical 10 % overall success rate. Should this happen, some of the very top individual scientists may well decide not to apply. So far, the ERC has funded far fewer than 1 % of Europe’s researchers. Additional resources would also give the ERC selection committees the possibility to take higher risks when considering the most ambitious projects.</w:t>
      </w:r>
    </w:p>
    <w:p>
      <w:pPr>
        <w:spacing w:before="120" w:after="120"/>
        <w:ind w:left="720" w:hanging="720"/>
        <w:jc w:val="both"/>
        <w:rPr>
          <w:noProof/>
        </w:rPr>
      </w:pPr>
      <w:r>
        <w:rPr>
          <w:noProof/>
        </w:rPr>
        <w:t>–</w:t>
      </w:r>
      <w:r>
        <w:rPr>
          <w:noProof/>
        </w:rPr>
        <w:tab/>
        <w:t xml:space="preserve">Spreading excellence and widening participation: </w:t>
      </w:r>
      <w:r>
        <w:rPr>
          <w:i/>
          <w:noProof/>
        </w:rPr>
        <w:t>Widening</w:t>
      </w:r>
      <w:r>
        <w:rPr>
          <w:noProof/>
        </w:rPr>
        <w:t xml:space="preserve"> is a highly regarded programme as it promotes Research and Development (R&amp;D) capacity in low R&amp;D performing countries through institution building/networking and learning from the experience of advanced partners. These are not typical Horizon 2020 R&amp;D actions. In particular </w:t>
      </w:r>
      <w:r>
        <w:rPr>
          <w:i/>
          <w:noProof/>
        </w:rPr>
        <w:t>teaming</w:t>
      </w:r>
      <w:r>
        <w:rPr>
          <w:noProof/>
        </w:rPr>
        <w:t xml:space="preserve"> actions, aiming to create centres of excellence in </w:t>
      </w:r>
      <w:r>
        <w:rPr>
          <w:i/>
          <w:noProof/>
        </w:rPr>
        <w:t>Widening</w:t>
      </w:r>
      <w:r>
        <w:rPr>
          <w:noProof/>
        </w:rPr>
        <w:t xml:space="preserve"> countries, have a great leverage effect as they require mobilisation of a high amount of national resources to complement the EU contribution (thus maximizing synergies with European Structural and Investment Funds).  The additional resources for the </w:t>
      </w:r>
      <w:r>
        <w:rPr>
          <w:i/>
          <w:noProof/>
        </w:rPr>
        <w:t>Widening</w:t>
      </w:r>
      <w:r>
        <w:rPr>
          <w:noProof/>
        </w:rPr>
        <w:t xml:space="preserve"> part of Horizon 2020 will make it possible to maximise the impact of key actions such as </w:t>
      </w:r>
      <w:r>
        <w:rPr>
          <w:i/>
          <w:noProof/>
        </w:rPr>
        <w:t>teaming</w:t>
      </w:r>
      <w:r>
        <w:rPr>
          <w:noProof/>
        </w:rPr>
        <w:t>.  Furthermore, its average success rate is below the average of Horizon 2020, and only one out of five high quality projects could be financed.</w:t>
      </w:r>
    </w:p>
    <w:p>
      <w:pPr>
        <w:spacing w:before="120"/>
        <w:ind w:left="720" w:hanging="720"/>
        <w:jc w:val="both"/>
        <w:rPr>
          <w:noProof/>
        </w:rPr>
      </w:pPr>
      <w:r>
        <w:rPr>
          <w:noProof/>
        </w:rPr>
        <w:t>–</w:t>
      </w:r>
      <w:r>
        <w:rPr>
          <w:noProof/>
        </w:rPr>
        <w:tab/>
        <w:t xml:space="preserve">The Leadership in Enabling and Industrial Technologies (LEIT- ICT) programme will support investments in high-performance computing, which were identified in the mid-term review as a crucial priority in the digital area. To benefit fully from the opportunities of the digital single market, the funding will contribute to the creation of </w:t>
      </w:r>
      <w:r>
        <w:rPr>
          <w:bCs/>
          <w:noProof/>
        </w:rPr>
        <w:t xml:space="preserve">a </w:t>
      </w:r>
      <w:r>
        <w:rPr>
          <w:noProof/>
        </w:rPr>
        <w:t xml:space="preserve">European High Performance Computing (HPC) ecosystem by developing </w:t>
      </w:r>
      <w:r>
        <w:rPr>
          <w:bCs/>
          <w:noProof/>
        </w:rPr>
        <w:t xml:space="preserve">a </w:t>
      </w:r>
      <w:r>
        <w:rPr>
          <w:noProof/>
        </w:rPr>
        <w:t xml:space="preserve">full prototype of </w:t>
      </w:r>
      <w:r>
        <w:rPr>
          <w:bCs/>
          <w:noProof/>
        </w:rPr>
        <w:t>an</w:t>
      </w:r>
      <w:r>
        <w:rPr>
          <w:noProof/>
        </w:rPr>
        <w:t xml:space="preserve"> exascale demonstrator and </w:t>
      </w:r>
      <w:r>
        <w:rPr>
          <w:bCs/>
          <w:noProof/>
        </w:rPr>
        <w:t xml:space="preserve">the </w:t>
      </w:r>
      <w:r>
        <w:rPr>
          <w:noProof/>
        </w:rPr>
        <w:t>application layer needed.</w:t>
      </w:r>
    </w:p>
    <w:tbl>
      <w:tblPr>
        <w:tblW w:w="9714" w:type="dxa"/>
        <w:jc w:val="center"/>
        <w:tblLayout w:type="fixed"/>
        <w:tblCellMar>
          <w:left w:w="40" w:type="dxa"/>
          <w:right w:w="40" w:type="dxa"/>
        </w:tblCellMar>
        <w:tblLook w:val="0000" w:firstRow="0" w:lastRow="0" w:firstColumn="0" w:lastColumn="0" w:noHBand="0" w:noVBand="0"/>
      </w:tblPr>
      <w:tblGrid>
        <w:gridCol w:w="1229"/>
        <w:gridCol w:w="5152"/>
        <w:gridCol w:w="1498"/>
        <w:gridCol w:w="1634"/>
        <w:gridCol w:w="201"/>
      </w:tblGrid>
      <w:tr>
        <w:trPr>
          <w:gridAfter w:val="1"/>
          <w:wAfter w:w="201" w:type="dxa"/>
          <w:trHeight w:val="164"/>
          <w:tblHeader/>
          <w:jc w:val="center"/>
        </w:trPr>
        <w:tc>
          <w:tcPr>
            <w:tcW w:w="951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52"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498" w:type="dxa"/>
            <w:shd w:val="clear" w:color="auto" w:fill="D9D9D9"/>
          </w:tcPr>
          <w:p>
            <w:pPr>
              <w:widowControl w:val="0"/>
              <w:spacing w:before="15" w:after="15"/>
              <w:jc w:val="center"/>
              <w:rPr>
                <w:b/>
                <w:noProof/>
                <w:sz w:val="20"/>
                <w:szCs w:val="20"/>
              </w:rPr>
            </w:pPr>
            <w:r>
              <w:rPr>
                <w:b/>
                <w:noProof/>
                <w:sz w:val="20"/>
                <w:szCs w:val="20"/>
              </w:rPr>
              <w:t>Commitment appropriations</w:t>
            </w:r>
          </w:p>
        </w:tc>
        <w:tc>
          <w:tcPr>
            <w:tcW w:w="1835" w:type="dxa"/>
            <w:gridSpan w:val="2"/>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szCs w:val="20"/>
              </w:rPr>
              <w:t xml:space="preserve">08 02 01 01 </w:t>
            </w:r>
          </w:p>
        </w:tc>
        <w:tc>
          <w:tcPr>
            <w:tcW w:w="5152" w:type="dxa"/>
          </w:tcPr>
          <w:p>
            <w:pPr>
              <w:widowControl w:val="0"/>
              <w:tabs>
                <w:tab w:val="left" w:pos="1350"/>
              </w:tabs>
              <w:spacing w:before="15" w:after="15"/>
              <w:jc w:val="both"/>
              <w:rPr>
                <w:noProof/>
                <w:sz w:val="16"/>
                <w:szCs w:val="16"/>
              </w:rPr>
            </w:pPr>
            <w:r>
              <w:rPr>
                <w:noProof/>
                <w:sz w:val="16"/>
                <w:szCs w:val="16"/>
              </w:rPr>
              <w:t xml:space="preserve">Strengthening frontier research in the European Research Council </w:t>
            </w:r>
          </w:p>
        </w:tc>
        <w:tc>
          <w:tcPr>
            <w:tcW w:w="1498" w:type="dxa"/>
          </w:tcPr>
          <w:p>
            <w:pPr>
              <w:widowControl w:val="0"/>
              <w:spacing w:before="15" w:after="15"/>
              <w:jc w:val="right"/>
              <w:rPr>
                <w:noProof/>
                <w:sz w:val="20"/>
                <w:szCs w:val="20"/>
              </w:rPr>
            </w:pPr>
            <w:r>
              <w:rPr>
                <w:noProof/>
                <w:sz w:val="20"/>
                <w:szCs w:val="20"/>
              </w:rPr>
              <w:t>16 665 000</w:t>
            </w:r>
          </w:p>
        </w:tc>
        <w:tc>
          <w:tcPr>
            <w:tcW w:w="1835" w:type="dxa"/>
            <w:gridSpan w:val="2"/>
          </w:tcPr>
          <w:p>
            <w:pPr>
              <w:widowControl w:val="0"/>
              <w:spacing w:before="15" w:after="15"/>
              <w:jc w:val="right"/>
              <w:rPr>
                <w:noProof/>
                <w:sz w:val="20"/>
                <w:szCs w:val="20"/>
              </w:rPr>
            </w:pPr>
            <w:r>
              <w:rPr>
                <w:noProof/>
                <w:sz w:val="20"/>
                <w:szCs w:val="20"/>
              </w:rPr>
              <w:t>660 000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szCs w:val="20"/>
              </w:rPr>
              <w:t>08 02 04</w:t>
            </w:r>
          </w:p>
        </w:tc>
        <w:tc>
          <w:tcPr>
            <w:tcW w:w="5152" w:type="dxa"/>
          </w:tcPr>
          <w:p>
            <w:pPr>
              <w:widowControl w:val="0"/>
              <w:tabs>
                <w:tab w:val="left" w:pos="1350"/>
              </w:tabs>
              <w:spacing w:before="15" w:after="15"/>
              <w:jc w:val="both"/>
              <w:rPr>
                <w:noProof/>
                <w:sz w:val="16"/>
                <w:szCs w:val="16"/>
              </w:rPr>
            </w:pPr>
            <w:r>
              <w:rPr>
                <w:noProof/>
                <w:sz w:val="16"/>
                <w:szCs w:val="16"/>
              </w:rPr>
              <w:t xml:space="preserve">Spreading excellence and widening participation </w:t>
            </w:r>
          </w:p>
        </w:tc>
        <w:tc>
          <w:tcPr>
            <w:tcW w:w="1498" w:type="dxa"/>
          </w:tcPr>
          <w:p>
            <w:pPr>
              <w:widowControl w:val="0"/>
              <w:spacing w:before="15" w:after="15"/>
              <w:jc w:val="right"/>
              <w:rPr>
                <w:noProof/>
                <w:sz w:val="20"/>
                <w:szCs w:val="20"/>
              </w:rPr>
            </w:pPr>
            <w:r>
              <w:rPr>
                <w:noProof/>
                <w:sz w:val="20"/>
                <w:szCs w:val="20"/>
              </w:rPr>
              <w:t>16 665 000</w:t>
            </w:r>
          </w:p>
        </w:tc>
        <w:tc>
          <w:tcPr>
            <w:tcW w:w="1835" w:type="dxa"/>
            <w:gridSpan w:val="2"/>
          </w:tcPr>
          <w:p>
            <w:pPr>
              <w:widowControl w:val="0"/>
              <w:spacing w:before="15" w:after="15"/>
              <w:jc w:val="right"/>
              <w:rPr>
                <w:noProof/>
                <w:sz w:val="20"/>
                <w:szCs w:val="20"/>
              </w:rPr>
            </w:pPr>
            <w:r>
              <w:rPr>
                <w:noProof/>
                <w:sz w:val="20"/>
                <w:szCs w:val="20"/>
              </w:rPr>
              <w:t>5 400 000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szCs w:val="20"/>
              </w:rPr>
              <w:t>09 04 02 01</w:t>
            </w:r>
          </w:p>
        </w:tc>
        <w:tc>
          <w:tcPr>
            <w:tcW w:w="5152" w:type="dxa"/>
          </w:tcPr>
          <w:p>
            <w:pPr>
              <w:widowControl w:val="0"/>
              <w:tabs>
                <w:tab w:val="left" w:pos="1350"/>
              </w:tabs>
              <w:spacing w:before="15" w:after="15"/>
              <w:jc w:val="both"/>
              <w:rPr>
                <w:noProof/>
                <w:sz w:val="16"/>
                <w:szCs w:val="16"/>
              </w:rPr>
            </w:pPr>
            <w:r>
              <w:rPr>
                <w:noProof/>
                <w:sz w:val="16"/>
                <w:szCs w:val="16"/>
              </w:rPr>
              <w:t>Leadership in information and communications technology</w:t>
            </w:r>
          </w:p>
        </w:tc>
        <w:tc>
          <w:tcPr>
            <w:tcW w:w="1498" w:type="dxa"/>
          </w:tcPr>
          <w:p>
            <w:pPr>
              <w:widowControl w:val="0"/>
              <w:spacing w:before="15" w:after="15"/>
              <w:jc w:val="right"/>
              <w:rPr>
                <w:noProof/>
                <w:sz w:val="20"/>
                <w:szCs w:val="20"/>
              </w:rPr>
            </w:pPr>
            <w:r>
              <w:rPr>
                <w:noProof/>
                <w:sz w:val="20"/>
                <w:szCs w:val="20"/>
              </w:rPr>
              <w:t>16 670 000</w:t>
            </w:r>
          </w:p>
        </w:tc>
        <w:tc>
          <w:tcPr>
            <w:tcW w:w="1835" w:type="dxa"/>
            <w:gridSpan w:val="2"/>
          </w:tcPr>
          <w:p>
            <w:pPr>
              <w:widowControl w:val="0"/>
              <w:spacing w:before="15" w:after="15"/>
              <w:jc w:val="right"/>
              <w:rPr>
                <w:noProof/>
                <w:sz w:val="20"/>
                <w:szCs w:val="20"/>
              </w:rPr>
            </w:pPr>
            <w:r>
              <w:rPr>
                <w:noProof/>
                <w:sz w:val="20"/>
                <w:szCs w:val="20"/>
              </w:rPr>
              <w:t>830 000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81"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498" w:type="dxa"/>
            <w:shd w:val="clear" w:color="auto" w:fill="D9D9D9"/>
          </w:tcPr>
          <w:p>
            <w:pPr>
              <w:widowControl w:val="0"/>
              <w:spacing w:before="15" w:after="15"/>
              <w:jc w:val="right"/>
              <w:rPr>
                <w:b/>
                <w:noProof/>
                <w:sz w:val="20"/>
                <w:szCs w:val="20"/>
              </w:rPr>
            </w:pPr>
            <w:r>
              <w:rPr>
                <w:b/>
                <w:noProof/>
                <w:sz w:val="20"/>
                <w:szCs w:val="20"/>
              </w:rPr>
              <w:t>50 000 000</w:t>
            </w:r>
          </w:p>
        </w:tc>
        <w:tc>
          <w:tcPr>
            <w:tcW w:w="1835" w:type="dxa"/>
            <w:gridSpan w:val="2"/>
            <w:shd w:val="clear" w:color="auto" w:fill="D9D9D9"/>
          </w:tcPr>
          <w:p>
            <w:pPr>
              <w:widowControl w:val="0"/>
              <w:spacing w:before="15" w:after="15"/>
              <w:jc w:val="right"/>
              <w:rPr>
                <w:b/>
                <w:noProof/>
                <w:sz w:val="20"/>
                <w:szCs w:val="20"/>
              </w:rPr>
            </w:pPr>
            <w:r>
              <w:rPr>
                <w:b/>
                <w:noProof/>
                <w:sz w:val="20"/>
                <w:szCs w:val="20"/>
              </w:rPr>
              <w:t>6 890 000</w:t>
            </w:r>
          </w:p>
        </w:tc>
      </w:tr>
    </w:tbl>
    <w:p>
      <w:pPr>
        <w:pStyle w:val="ManualHeading2"/>
        <w:numPr>
          <w:ilvl w:val="0"/>
          <w:numId w:val="0"/>
        </w:numPr>
        <w:tabs>
          <w:tab w:val="left" w:pos="851"/>
        </w:tabs>
      </w:pPr>
      <w:bookmarkStart w:id="90" w:name="_Toc464138542"/>
      <w:r>
        <w:rPr>
          <w:rFonts w:eastAsia="Calibri"/>
        </w:rPr>
        <w:t xml:space="preserve">3.2 </w:t>
      </w:r>
      <w:r>
        <w:rPr>
          <w:rFonts w:eastAsia="Calibri"/>
        </w:rPr>
        <w:tab/>
      </w:r>
      <w:r>
        <w:t>Competitiveness of enterprises and small and medium-sized enterprises (COSME)</w:t>
      </w:r>
      <w:bookmarkEnd w:id="90"/>
    </w:p>
    <w:p>
      <w:pPr>
        <w:spacing w:before="120" w:after="120"/>
        <w:jc w:val="both"/>
        <w:rPr>
          <w:noProof/>
          <w:szCs w:val="20"/>
          <w:lang w:eastAsia="de-DE"/>
        </w:rPr>
      </w:pPr>
      <w:r>
        <w:rPr>
          <w:noProof/>
          <w:szCs w:val="20"/>
          <w:lang w:eastAsia="de-DE"/>
        </w:rPr>
        <w:t>Support to European SMEs is key to boosting competitiveness, job creation and growth. The financial instruments under COSME (Competitiveness of Enterprises and small and medium-sized enterprises) support those SMEs experiencing difficulties in obtaining finance from financial intermediaries, due to their perceived higher risk or lack of collateral. To improve the financial environment of SMEs, the Commission proposes an increase in commitment appropriations of EUR 50 million to reinforce the Loan Guarantee Facility and the Equity Facility for Growth under the programme. The instruments have been implemented successfully, as shown by the strong demand from SMEs. Given the lead time required for the implementation of these projects, no additional payment appropriations are requested at this stage.</w:t>
      </w:r>
    </w:p>
    <w:tbl>
      <w:tblPr>
        <w:tblW w:w="9952" w:type="dxa"/>
        <w:jc w:val="center"/>
        <w:tblLayout w:type="fixed"/>
        <w:tblCellMar>
          <w:left w:w="40" w:type="dxa"/>
          <w:right w:w="40" w:type="dxa"/>
        </w:tblCellMar>
        <w:tblLook w:val="0000" w:firstRow="0" w:lastRow="0" w:firstColumn="0" w:lastColumn="0" w:noHBand="0" w:noVBand="0"/>
      </w:tblPr>
      <w:tblGrid>
        <w:gridCol w:w="69"/>
        <w:gridCol w:w="1202"/>
        <w:gridCol w:w="5353"/>
        <w:gridCol w:w="1550"/>
        <w:gridCol w:w="1691"/>
        <w:gridCol w:w="87"/>
      </w:tblGrid>
      <w:tr>
        <w:trPr>
          <w:gridBefore w:val="1"/>
          <w:wBefore w:w="68" w:type="dxa"/>
          <w:trHeight w:val="164"/>
          <w:tblHeader/>
          <w:jc w:val="center"/>
        </w:trPr>
        <w:tc>
          <w:tcPr>
            <w:tcW w:w="994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Borders>
              <w:bottom w:val="nil"/>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387" w:type="dxa"/>
            <w:tcBorders>
              <w:bottom w:val="nil"/>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559" w:type="dxa"/>
            <w:tcBorders>
              <w:bottom w:val="nil"/>
            </w:tcBorders>
            <w:shd w:val="clear" w:color="auto" w:fill="D9D9D9"/>
          </w:tcPr>
          <w:p>
            <w:pPr>
              <w:widowControl w:val="0"/>
              <w:spacing w:before="15" w:after="15"/>
              <w:jc w:val="center"/>
              <w:rPr>
                <w:b/>
                <w:noProof/>
                <w:sz w:val="20"/>
                <w:szCs w:val="20"/>
              </w:rPr>
            </w:pPr>
            <w:r>
              <w:rPr>
                <w:b/>
                <w:noProof/>
                <w:sz w:val="20"/>
                <w:szCs w:val="20"/>
              </w:rPr>
              <w:t>Commitment appropriations</w:t>
            </w:r>
          </w:p>
        </w:tc>
        <w:tc>
          <w:tcPr>
            <w:tcW w:w="1701" w:type="dxa"/>
            <w:tcBorders>
              <w:bottom w:val="nil"/>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szCs w:val="20"/>
              </w:rPr>
              <w:t xml:space="preserve">02 02 02 </w:t>
            </w:r>
          </w:p>
        </w:tc>
        <w:tc>
          <w:tcPr>
            <w:tcW w:w="5387" w:type="dxa"/>
          </w:tcPr>
          <w:p>
            <w:pPr>
              <w:widowControl w:val="0"/>
              <w:tabs>
                <w:tab w:val="left" w:pos="1350"/>
              </w:tabs>
              <w:spacing w:before="15" w:after="15"/>
              <w:jc w:val="both"/>
              <w:rPr>
                <w:noProof/>
                <w:sz w:val="16"/>
                <w:szCs w:val="16"/>
              </w:rPr>
            </w:pPr>
            <w:r>
              <w:rPr>
                <w:noProof/>
                <w:sz w:val="16"/>
                <w:szCs w:val="16"/>
              </w:rPr>
              <w:t>Improving access to finance for small and medium-sized enterprises (SMEs) in the form of equity and debt</w:t>
            </w:r>
          </w:p>
        </w:tc>
        <w:tc>
          <w:tcPr>
            <w:tcW w:w="1559" w:type="dxa"/>
          </w:tcPr>
          <w:p>
            <w:pPr>
              <w:widowControl w:val="0"/>
              <w:spacing w:before="15" w:after="15"/>
              <w:jc w:val="right"/>
              <w:rPr>
                <w:noProof/>
                <w:sz w:val="20"/>
                <w:szCs w:val="20"/>
              </w:rPr>
            </w:pPr>
            <w:r>
              <w:rPr>
                <w:noProof/>
                <w:sz w:val="20"/>
                <w:szCs w:val="20"/>
              </w:rPr>
              <w:t>50 000 000</w:t>
            </w:r>
          </w:p>
        </w:tc>
        <w:tc>
          <w:tcPr>
            <w:tcW w:w="1701" w:type="dxa"/>
          </w:tcPr>
          <w:p>
            <w:pPr>
              <w:widowControl w:val="0"/>
              <w:spacing w:before="15" w:after="15"/>
              <w:jc w:val="right"/>
              <w:rPr>
                <w:noProof/>
                <w:sz w:val="20"/>
                <w:szCs w:val="20"/>
              </w:rPr>
            </w:pPr>
            <w:r>
              <w:rPr>
                <w:noProof/>
                <w:sz w:val="20"/>
                <w:szCs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59" w:type="dxa"/>
            <w:shd w:val="clear" w:color="auto" w:fill="D9D9D9"/>
          </w:tcPr>
          <w:p>
            <w:pPr>
              <w:widowControl w:val="0"/>
              <w:spacing w:before="15" w:after="15"/>
              <w:jc w:val="right"/>
              <w:rPr>
                <w:b/>
                <w:noProof/>
                <w:sz w:val="20"/>
                <w:szCs w:val="20"/>
              </w:rPr>
            </w:pPr>
            <w:r>
              <w:rPr>
                <w:b/>
                <w:noProof/>
                <w:sz w:val="20"/>
                <w:szCs w:val="20"/>
              </w:rPr>
              <w:t>50 000 000</w:t>
            </w:r>
          </w:p>
        </w:tc>
        <w:tc>
          <w:tcPr>
            <w:tcW w:w="1701" w:type="dxa"/>
            <w:shd w:val="clear" w:color="auto" w:fill="D9D9D9"/>
          </w:tcPr>
          <w:p>
            <w:pPr>
              <w:widowControl w:val="0"/>
              <w:spacing w:before="15" w:after="15"/>
              <w:jc w:val="right"/>
              <w:rPr>
                <w:b/>
                <w:noProof/>
                <w:sz w:val="20"/>
                <w:szCs w:val="20"/>
              </w:rPr>
            </w:pPr>
            <w:r>
              <w:rPr>
                <w:b/>
                <w:noProof/>
                <w:sz w:val="20"/>
                <w:szCs w:val="20"/>
              </w:rPr>
              <w:t>0</w:t>
            </w:r>
          </w:p>
        </w:tc>
      </w:tr>
    </w:tbl>
    <w:p>
      <w:pPr>
        <w:pStyle w:val="ManualHeading2"/>
        <w:numPr>
          <w:ilvl w:val="0"/>
          <w:numId w:val="0"/>
        </w:numPr>
        <w:tabs>
          <w:tab w:val="left" w:pos="851"/>
        </w:tabs>
      </w:pPr>
      <w:bookmarkStart w:id="91" w:name="_Toc464138543"/>
      <w:r>
        <w:rPr>
          <w:rFonts w:eastAsia="Calibri"/>
        </w:rPr>
        <w:t xml:space="preserve">3.3 </w:t>
      </w:r>
      <w:r>
        <w:rPr>
          <w:rFonts w:eastAsia="Calibri"/>
        </w:rPr>
        <w:tab/>
      </w:r>
      <w:r>
        <w:t>Connecting Europe Facility (CEF) - Transport</w:t>
      </w:r>
      <w:bookmarkEnd w:id="91"/>
    </w:p>
    <w:p>
      <w:pPr>
        <w:spacing w:before="120" w:after="120"/>
        <w:jc w:val="both"/>
        <w:rPr>
          <w:noProof/>
          <w:szCs w:val="20"/>
          <w:lang w:eastAsia="de-DE"/>
        </w:rPr>
      </w:pPr>
      <w:r>
        <w:rPr>
          <w:noProof/>
          <w:szCs w:val="20"/>
          <w:lang w:eastAsia="de-DE"/>
        </w:rPr>
        <w:t>The 2014 and 2015 calls for proposals launched under the transport strand of the Connecting Europe Facility (CEF-Transport) were very successful. Given the high demand and effective absorption, the Commission has proposed in the context of the mid-term review/revision to reinforce the original allocation of CEF-Transport by EUR 400 million over 2017 – 2020. Of this amount, EUR 50 million is proposed to be allocated in 2017 to enhance EU support to the integration and interconnection of transport modes and to support the operability of transport services. Given the lead time required for the implementation of these projects, no additional payment appropriations are requested at this stage.</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Borders>
              <w:bottom w:val="nil"/>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387" w:type="dxa"/>
            <w:tcBorders>
              <w:bottom w:val="nil"/>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559" w:type="dxa"/>
            <w:tcBorders>
              <w:bottom w:val="nil"/>
            </w:tcBorders>
            <w:shd w:val="clear" w:color="auto" w:fill="D9D9D9"/>
          </w:tcPr>
          <w:p>
            <w:pPr>
              <w:widowControl w:val="0"/>
              <w:spacing w:before="15" w:after="15"/>
              <w:jc w:val="center"/>
              <w:rPr>
                <w:b/>
                <w:noProof/>
                <w:sz w:val="20"/>
                <w:szCs w:val="20"/>
              </w:rPr>
            </w:pPr>
            <w:r>
              <w:rPr>
                <w:b/>
                <w:noProof/>
                <w:sz w:val="20"/>
                <w:szCs w:val="20"/>
              </w:rPr>
              <w:t>Commitment appropriations</w:t>
            </w:r>
          </w:p>
        </w:tc>
        <w:tc>
          <w:tcPr>
            <w:tcW w:w="1701" w:type="dxa"/>
            <w:tcBorders>
              <w:bottom w:val="nil"/>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06 02 01 03</w:t>
            </w:r>
          </w:p>
        </w:tc>
        <w:tc>
          <w:tcPr>
            <w:tcW w:w="5387" w:type="dxa"/>
          </w:tcPr>
          <w:p>
            <w:pPr>
              <w:widowControl w:val="0"/>
              <w:tabs>
                <w:tab w:val="left" w:pos="1350"/>
              </w:tabs>
              <w:spacing w:before="15" w:after="15"/>
              <w:jc w:val="both"/>
              <w:rPr>
                <w:noProof/>
                <w:sz w:val="16"/>
                <w:szCs w:val="16"/>
              </w:rPr>
            </w:pPr>
            <w:r>
              <w:rPr>
                <w:noProof/>
                <w:sz w:val="16"/>
                <w:szCs w:val="16"/>
              </w:rPr>
              <w:t>Optimising the integration and interconnection of transport modes and enhancing interoperability</w:t>
            </w:r>
          </w:p>
        </w:tc>
        <w:tc>
          <w:tcPr>
            <w:tcW w:w="1559" w:type="dxa"/>
          </w:tcPr>
          <w:p>
            <w:pPr>
              <w:widowControl w:val="0"/>
              <w:spacing w:before="15" w:after="15"/>
              <w:jc w:val="right"/>
              <w:rPr>
                <w:noProof/>
                <w:sz w:val="20"/>
                <w:szCs w:val="20"/>
              </w:rPr>
            </w:pPr>
            <w:r>
              <w:rPr>
                <w:noProof/>
                <w:sz w:val="20"/>
                <w:szCs w:val="20"/>
              </w:rPr>
              <w:t>50 000 000</w:t>
            </w:r>
          </w:p>
        </w:tc>
        <w:tc>
          <w:tcPr>
            <w:tcW w:w="1701" w:type="dxa"/>
          </w:tcPr>
          <w:p>
            <w:pPr>
              <w:widowControl w:val="0"/>
              <w:spacing w:before="15" w:after="15"/>
              <w:jc w:val="right"/>
              <w:rPr>
                <w:noProof/>
                <w:sz w:val="20"/>
                <w:szCs w:val="20"/>
              </w:rPr>
            </w:pPr>
            <w:r>
              <w:rPr>
                <w:noProof/>
                <w:sz w:val="20"/>
                <w:szCs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59" w:type="dxa"/>
            <w:shd w:val="clear" w:color="auto" w:fill="D9D9D9"/>
          </w:tcPr>
          <w:p>
            <w:pPr>
              <w:widowControl w:val="0"/>
              <w:spacing w:before="15" w:after="15"/>
              <w:jc w:val="right"/>
              <w:rPr>
                <w:b/>
                <w:noProof/>
                <w:sz w:val="20"/>
                <w:szCs w:val="20"/>
              </w:rPr>
            </w:pPr>
            <w:r>
              <w:rPr>
                <w:b/>
                <w:noProof/>
                <w:sz w:val="20"/>
                <w:szCs w:val="20"/>
              </w:rPr>
              <w:t>50 000 000</w:t>
            </w:r>
          </w:p>
        </w:tc>
        <w:tc>
          <w:tcPr>
            <w:tcW w:w="1701" w:type="dxa"/>
            <w:shd w:val="clear" w:color="auto" w:fill="D9D9D9"/>
          </w:tcPr>
          <w:p>
            <w:pPr>
              <w:widowControl w:val="0"/>
              <w:spacing w:before="15" w:after="15"/>
              <w:jc w:val="right"/>
              <w:rPr>
                <w:b/>
                <w:noProof/>
                <w:sz w:val="20"/>
                <w:szCs w:val="20"/>
              </w:rPr>
            </w:pPr>
            <w:r>
              <w:rPr>
                <w:b/>
                <w:noProof/>
                <w:sz w:val="20"/>
                <w:szCs w:val="20"/>
              </w:rPr>
              <w:t>0</w:t>
            </w:r>
          </w:p>
        </w:tc>
      </w:tr>
    </w:tbl>
    <w:p>
      <w:pPr>
        <w:pStyle w:val="ManualHeading2"/>
        <w:numPr>
          <w:ilvl w:val="0"/>
          <w:numId w:val="0"/>
        </w:numPr>
      </w:pPr>
      <w:bookmarkStart w:id="92" w:name="_Toc462933859"/>
      <w:bookmarkStart w:id="93" w:name="_Toc462935220"/>
      <w:bookmarkStart w:id="94" w:name="_Toc462935322"/>
      <w:bookmarkStart w:id="95" w:name="_Toc462935370"/>
      <w:bookmarkStart w:id="96" w:name="_Toc462935527"/>
      <w:bookmarkStart w:id="97" w:name="_Toc463004747"/>
      <w:bookmarkStart w:id="98" w:name="_Toc464138544"/>
      <w:bookmarkEnd w:id="92"/>
      <w:bookmarkEnd w:id="93"/>
      <w:bookmarkEnd w:id="94"/>
      <w:bookmarkEnd w:id="95"/>
      <w:bookmarkEnd w:id="96"/>
      <w:bookmarkEnd w:id="97"/>
      <w:r>
        <w:rPr>
          <w:rFonts w:eastAsia="Calibri"/>
        </w:rPr>
        <w:t xml:space="preserve">3.4 </w:t>
      </w:r>
      <w:r>
        <w:rPr>
          <w:rFonts w:eastAsia="Calibri"/>
        </w:rPr>
        <w:tab/>
      </w:r>
      <w:r>
        <w:t>Education, Training and Sport (Erasmus+)</w:t>
      </w:r>
      <w:bookmarkEnd w:id="98"/>
    </w:p>
    <w:p>
      <w:pPr>
        <w:spacing w:before="120" w:after="120"/>
        <w:jc w:val="both"/>
        <w:rPr>
          <w:noProof/>
          <w:szCs w:val="20"/>
          <w:lang w:eastAsia="de-DE"/>
        </w:rPr>
      </w:pPr>
      <w:r>
        <w:rPr>
          <w:noProof/>
          <w:szCs w:val="20"/>
          <w:lang w:eastAsia="de-DE"/>
        </w:rPr>
        <w:t>Building on the high demand for Erasmus+ activities in previous years as well as the strong take-up in the current financial framework and the newly announced European Solidarity Corps, the Commission has proposed to increase the budget for this programme by EUR 200 million over 2017-2020. Of this amount EUR 50 million is foreseen already in 2017 for actions increasing mobility opportunities for education and training (including apprenticeships), for actions which are considerably over-subscribed (such as initiatives related to social inclusion and combating extremism) as well as for newly announced activities.</w:t>
      </w:r>
    </w:p>
    <w:p>
      <w:pPr>
        <w:spacing w:before="120" w:after="120"/>
        <w:jc w:val="both"/>
        <w:rPr>
          <w:noProof/>
          <w:szCs w:val="20"/>
          <w:lang w:eastAsia="de-DE"/>
        </w:rPr>
      </w:pPr>
      <w:r>
        <w:rPr>
          <w:noProof/>
          <w:szCs w:val="20"/>
          <w:lang w:eastAsia="de-DE"/>
        </w:rPr>
        <w:t>As regards payment appropriations, the Commission will cover any needs resulting from these additional commitments from the amounts already included in the DB 2017.</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szCs w:val="20"/>
              </w:rPr>
              <w:t>Budget line</w:t>
            </w:r>
          </w:p>
        </w:tc>
        <w:tc>
          <w:tcPr>
            <w:tcW w:w="5387"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559" w:type="dxa"/>
            <w:shd w:val="clear" w:color="auto" w:fill="D9D9D9"/>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15 02 01 01</w:t>
            </w:r>
          </w:p>
        </w:tc>
        <w:tc>
          <w:tcPr>
            <w:tcW w:w="5387" w:type="dxa"/>
          </w:tcPr>
          <w:p>
            <w:pPr>
              <w:widowControl w:val="0"/>
              <w:tabs>
                <w:tab w:val="left" w:pos="1350"/>
              </w:tabs>
              <w:spacing w:before="15" w:after="15"/>
              <w:jc w:val="both"/>
              <w:rPr>
                <w:noProof/>
                <w:sz w:val="16"/>
                <w:szCs w:val="16"/>
              </w:rPr>
            </w:pPr>
            <w:r>
              <w:rPr>
                <w:noProof/>
                <w:sz w:val="16"/>
                <w:szCs w:val="16"/>
              </w:rPr>
              <w:t>Promoting excellence and cooperation in the European education and training area and its relevance to the labour market</w:t>
            </w:r>
          </w:p>
        </w:tc>
        <w:tc>
          <w:tcPr>
            <w:tcW w:w="1559" w:type="dxa"/>
          </w:tcPr>
          <w:p>
            <w:pPr>
              <w:widowControl w:val="0"/>
              <w:spacing w:before="15" w:after="15"/>
              <w:jc w:val="right"/>
              <w:rPr>
                <w:noProof/>
                <w:sz w:val="20"/>
                <w:szCs w:val="20"/>
              </w:rPr>
            </w:pPr>
            <w:r>
              <w:rPr>
                <w:noProof/>
                <w:sz w:val="20"/>
                <w:szCs w:val="20"/>
              </w:rPr>
              <w:t>23 500 000</w:t>
            </w:r>
          </w:p>
        </w:tc>
        <w:tc>
          <w:tcPr>
            <w:tcW w:w="1701" w:type="dxa"/>
          </w:tcPr>
          <w:p>
            <w:pPr>
              <w:widowControl w:val="0"/>
              <w:spacing w:before="15" w:after="15"/>
              <w:jc w:val="right"/>
              <w:rPr>
                <w:noProof/>
                <w:sz w:val="20"/>
                <w:szCs w:val="20"/>
              </w:rPr>
            </w:pPr>
            <w:r>
              <w:rPr>
                <w:noProof/>
                <w:sz w:val="20"/>
                <w:szCs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15 02 01 02</w:t>
            </w:r>
          </w:p>
        </w:tc>
        <w:tc>
          <w:tcPr>
            <w:tcW w:w="5387" w:type="dxa"/>
          </w:tcPr>
          <w:p>
            <w:pPr>
              <w:widowControl w:val="0"/>
              <w:tabs>
                <w:tab w:val="left" w:pos="1350"/>
              </w:tabs>
              <w:spacing w:before="15" w:after="15"/>
              <w:jc w:val="both"/>
              <w:rPr>
                <w:noProof/>
                <w:sz w:val="16"/>
                <w:szCs w:val="16"/>
              </w:rPr>
            </w:pPr>
            <w:r>
              <w:rPr>
                <w:noProof/>
                <w:sz w:val="16"/>
                <w:szCs w:val="16"/>
              </w:rPr>
              <w:t>Promoting excellence and cooperation in the European youth area and the participation of young people in European democratic life</w:t>
            </w:r>
          </w:p>
        </w:tc>
        <w:tc>
          <w:tcPr>
            <w:tcW w:w="1559" w:type="dxa"/>
          </w:tcPr>
          <w:p>
            <w:pPr>
              <w:widowControl w:val="0"/>
              <w:spacing w:before="15" w:after="15"/>
              <w:jc w:val="right"/>
              <w:rPr>
                <w:noProof/>
                <w:sz w:val="20"/>
                <w:szCs w:val="20"/>
              </w:rPr>
            </w:pPr>
            <w:r>
              <w:rPr>
                <w:noProof/>
                <w:sz w:val="20"/>
                <w:szCs w:val="20"/>
              </w:rPr>
              <w:t>26 500 000</w:t>
            </w:r>
          </w:p>
        </w:tc>
        <w:tc>
          <w:tcPr>
            <w:tcW w:w="1701" w:type="dxa"/>
          </w:tcPr>
          <w:p>
            <w:pPr>
              <w:widowControl w:val="0"/>
              <w:spacing w:before="15" w:after="15"/>
              <w:jc w:val="right"/>
              <w:rPr>
                <w:noProof/>
                <w:sz w:val="20"/>
                <w:szCs w:val="20"/>
              </w:rPr>
            </w:pPr>
            <w:r>
              <w:rPr>
                <w:noProof/>
                <w:sz w:val="20"/>
                <w:szCs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59" w:type="dxa"/>
            <w:shd w:val="clear" w:color="auto" w:fill="D9D9D9"/>
          </w:tcPr>
          <w:p>
            <w:pPr>
              <w:widowControl w:val="0"/>
              <w:spacing w:before="15" w:after="15"/>
              <w:jc w:val="right"/>
              <w:rPr>
                <w:b/>
                <w:noProof/>
                <w:sz w:val="20"/>
                <w:szCs w:val="20"/>
              </w:rPr>
            </w:pPr>
            <w:r>
              <w:rPr>
                <w:b/>
                <w:noProof/>
                <w:sz w:val="20"/>
                <w:szCs w:val="20"/>
              </w:rPr>
              <w:t>50 000 000</w:t>
            </w:r>
          </w:p>
        </w:tc>
        <w:tc>
          <w:tcPr>
            <w:tcW w:w="1701" w:type="dxa"/>
            <w:shd w:val="clear" w:color="auto" w:fill="D9D9D9"/>
          </w:tcPr>
          <w:p>
            <w:pPr>
              <w:widowControl w:val="0"/>
              <w:spacing w:before="15" w:after="15"/>
              <w:jc w:val="right"/>
              <w:rPr>
                <w:b/>
                <w:noProof/>
                <w:sz w:val="20"/>
                <w:szCs w:val="20"/>
              </w:rPr>
            </w:pPr>
            <w:r>
              <w:rPr>
                <w:b/>
                <w:noProof/>
                <w:sz w:val="20"/>
                <w:szCs w:val="20"/>
              </w:rPr>
              <w:t>0</w:t>
            </w:r>
          </w:p>
        </w:tc>
      </w:tr>
    </w:tbl>
    <w:p>
      <w:pPr>
        <w:pStyle w:val="ManualHeading2"/>
        <w:numPr>
          <w:ilvl w:val="0"/>
          <w:numId w:val="0"/>
        </w:numPr>
        <w:tabs>
          <w:tab w:val="left" w:pos="851"/>
        </w:tabs>
      </w:pPr>
      <w:bookmarkStart w:id="99" w:name="_Toc464138545"/>
      <w:r>
        <w:rPr>
          <w:rFonts w:eastAsia="Calibri"/>
        </w:rPr>
        <w:t xml:space="preserve">3.5 </w:t>
      </w:r>
      <w:r>
        <w:rPr>
          <w:rFonts w:eastAsia="Calibri"/>
        </w:rPr>
        <w:tab/>
      </w:r>
      <w:r>
        <w:t>WiFi4EU</w:t>
      </w:r>
      <w:bookmarkEnd w:id="99"/>
    </w:p>
    <w:p>
      <w:pPr>
        <w:spacing w:before="120" w:after="120"/>
        <w:jc w:val="both"/>
        <w:rPr>
          <w:noProof/>
          <w:szCs w:val="20"/>
          <w:lang w:eastAsia="de-DE"/>
        </w:rPr>
      </w:pPr>
      <w:r>
        <w:rPr>
          <w:noProof/>
          <w:szCs w:val="20"/>
          <w:lang w:eastAsia="de-DE"/>
        </w:rPr>
        <w:t>The WiFi4EU proposal embodies the Commission's wish to promote free Wi-Fi connectivity for citizens and visitors in public spaces such as parks, squares, public buildings, libraries, health centres, and museums, everywhere in Europe. The initial budget proposed for the scheme is EUR 120 million between 2017-2019. It will support the installation of state-of-the-art equipment like Wi-Fi antennas in the centres of community life. To start the new actions of the WiFi4EU proposal, the creation of a dedicated budget line is necessary as of 2017. As set out in the financial statement accompanying the proposal, in the first year of the new activity EUR 20 million is needed to cover the operational expenditure, administrative support in the Commission and the management of the new activities by the Innovation and Networks Executive Agency (INEA). However, the corresponding commitment and payment appropriations will be entirely met through redeployment from other budget lines of the CEF-Telecom programme, so the budgetary effect is neutral.</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lang w:eastAsia="en-US"/>
              </w:rPr>
            </w:pPr>
            <w:r>
              <w:rPr>
                <w:noProof/>
                <w:szCs w:val="20"/>
                <w:lang w:eastAsia="de-DE"/>
              </w:rPr>
              <w:br w:type="page"/>
            </w: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szCs w:val="20"/>
              </w:rPr>
              <w:t>Budget line</w:t>
            </w:r>
          </w:p>
        </w:tc>
        <w:tc>
          <w:tcPr>
            <w:tcW w:w="5387"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559" w:type="dxa"/>
            <w:shd w:val="clear" w:color="auto" w:fill="D9D9D9"/>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09 03 04</w:t>
            </w:r>
          </w:p>
        </w:tc>
        <w:tc>
          <w:tcPr>
            <w:tcW w:w="5387" w:type="dxa"/>
          </w:tcPr>
          <w:p>
            <w:pPr>
              <w:widowControl w:val="0"/>
              <w:tabs>
                <w:tab w:val="left" w:pos="1350"/>
              </w:tabs>
              <w:spacing w:before="15" w:after="15"/>
              <w:jc w:val="both"/>
              <w:rPr>
                <w:noProof/>
                <w:sz w:val="16"/>
                <w:szCs w:val="16"/>
              </w:rPr>
            </w:pPr>
            <w:r>
              <w:rPr>
                <w:noProof/>
                <w:sz w:val="16"/>
                <w:szCs w:val="16"/>
              </w:rPr>
              <w:t>WiFi4EU - Support the deployment of free local wifi</w:t>
            </w:r>
          </w:p>
        </w:tc>
        <w:tc>
          <w:tcPr>
            <w:tcW w:w="1559" w:type="dxa"/>
          </w:tcPr>
          <w:p>
            <w:pPr>
              <w:widowControl w:val="0"/>
              <w:spacing w:before="15" w:after="15"/>
              <w:jc w:val="right"/>
              <w:rPr>
                <w:noProof/>
                <w:sz w:val="20"/>
                <w:szCs w:val="20"/>
              </w:rPr>
            </w:pPr>
            <w:r>
              <w:rPr>
                <w:noProof/>
                <w:sz w:val="20"/>
                <w:szCs w:val="20"/>
              </w:rPr>
              <w:t>19 330 000</w:t>
            </w:r>
          </w:p>
        </w:tc>
        <w:tc>
          <w:tcPr>
            <w:tcW w:w="1701" w:type="dxa"/>
          </w:tcPr>
          <w:p>
            <w:pPr>
              <w:widowControl w:val="0"/>
              <w:spacing w:before="15" w:after="15"/>
              <w:jc w:val="right"/>
              <w:rPr>
                <w:noProof/>
                <w:sz w:val="20"/>
                <w:szCs w:val="20"/>
              </w:rPr>
            </w:pPr>
            <w:r>
              <w:rPr>
                <w:noProof/>
                <w:sz w:val="20"/>
                <w:szCs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06 01 06 01</w:t>
            </w:r>
          </w:p>
        </w:tc>
        <w:tc>
          <w:tcPr>
            <w:tcW w:w="5387" w:type="dxa"/>
          </w:tcPr>
          <w:p>
            <w:pPr>
              <w:widowControl w:val="0"/>
              <w:tabs>
                <w:tab w:val="left" w:pos="1350"/>
              </w:tabs>
              <w:spacing w:before="15" w:after="15"/>
              <w:jc w:val="both"/>
              <w:rPr>
                <w:noProof/>
                <w:sz w:val="16"/>
                <w:szCs w:val="16"/>
              </w:rPr>
            </w:pPr>
            <w:r>
              <w:rPr>
                <w:noProof/>
                <w:sz w:val="16"/>
                <w:szCs w:val="16"/>
              </w:rPr>
              <w:t xml:space="preserve">Innovation and networks Executive Agency </w:t>
            </w:r>
            <w:r>
              <w:rPr>
                <w:noProof/>
                <w:sz w:val="16"/>
                <w:szCs w:val="16"/>
              </w:rPr>
              <w:sym w:font="Symbol" w:char="F0BE"/>
            </w:r>
            <w:r>
              <w:rPr>
                <w:noProof/>
                <w:sz w:val="16"/>
                <w:szCs w:val="16"/>
              </w:rPr>
              <w:t xml:space="preserve"> contribution from CEF</w:t>
            </w:r>
          </w:p>
        </w:tc>
        <w:tc>
          <w:tcPr>
            <w:tcW w:w="1559" w:type="dxa"/>
          </w:tcPr>
          <w:p>
            <w:pPr>
              <w:widowControl w:val="0"/>
              <w:spacing w:before="15" w:after="15"/>
              <w:jc w:val="right"/>
              <w:rPr>
                <w:noProof/>
                <w:sz w:val="20"/>
                <w:szCs w:val="20"/>
              </w:rPr>
            </w:pPr>
            <w:r>
              <w:rPr>
                <w:noProof/>
                <w:sz w:val="20"/>
                <w:szCs w:val="20"/>
              </w:rPr>
              <w:t>580 000</w:t>
            </w:r>
          </w:p>
        </w:tc>
        <w:tc>
          <w:tcPr>
            <w:tcW w:w="1701" w:type="dxa"/>
          </w:tcPr>
          <w:p>
            <w:pPr>
              <w:widowControl w:val="0"/>
              <w:spacing w:before="15" w:after="15"/>
              <w:jc w:val="right"/>
              <w:rPr>
                <w:noProof/>
                <w:sz w:val="20"/>
                <w:szCs w:val="20"/>
              </w:rPr>
            </w:pPr>
            <w:r>
              <w:rPr>
                <w:noProof/>
                <w:sz w:val="20"/>
                <w:szCs w:val="20"/>
              </w:rPr>
              <w:t>580 000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09 01 04 01</w:t>
            </w:r>
          </w:p>
        </w:tc>
        <w:tc>
          <w:tcPr>
            <w:tcW w:w="5387" w:type="dxa"/>
          </w:tcPr>
          <w:p>
            <w:pPr>
              <w:widowControl w:val="0"/>
              <w:tabs>
                <w:tab w:val="left" w:pos="1350"/>
              </w:tabs>
              <w:spacing w:before="15" w:after="15"/>
              <w:jc w:val="both"/>
              <w:rPr>
                <w:noProof/>
                <w:sz w:val="16"/>
                <w:szCs w:val="16"/>
              </w:rPr>
            </w:pPr>
            <w:r>
              <w:rPr>
                <w:noProof/>
                <w:sz w:val="16"/>
                <w:szCs w:val="16"/>
              </w:rPr>
              <w:t>Suppport Expenditure for Connecting Europe Facility (CEF)</w:t>
            </w:r>
          </w:p>
        </w:tc>
        <w:tc>
          <w:tcPr>
            <w:tcW w:w="1559" w:type="dxa"/>
          </w:tcPr>
          <w:p>
            <w:pPr>
              <w:widowControl w:val="0"/>
              <w:spacing w:before="15" w:after="15"/>
              <w:jc w:val="right"/>
              <w:rPr>
                <w:noProof/>
                <w:sz w:val="20"/>
                <w:szCs w:val="20"/>
              </w:rPr>
            </w:pPr>
            <w:r>
              <w:rPr>
                <w:noProof/>
                <w:sz w:val="20"/>
                <w:szCs w:val="20"/>
              </w:rPr>
              <w:t>90 000</w:t>
            </w:r>
          </w:p>
        </w:tc>
        <w:tc>
          <w:tcPr>
            <w:tcW w:w="1701" w:type="dxa"/>
          </w:tcPr>
          <w:p>
            <w:pPr>
              <w:widowControl w:val="0"/>
              <w:spacing w:before="15" w:after="15"/>
              <w:jc w:val="right"/>
              <w:rPr>
                <w:noProof/>
                <w:sz w:val="20"/>
                <w:szCs w:val="20"/>
              </w:rPr>
            </w:pPr>
            <w:r>
              <w:rPr>
                <w:noProof/>
                <w:sz w:val="20"/>
                <w:szCs w:val="20"/>
              </w:rPr>
              <w:t>90 000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09 03 02</w:t>
            </w:r>
          </w:p>
        </w:tc>
        <w:tc>
          <w:tcPr>
            <w:tcW w:w="5387" w:type="dxa"/>
          </w:tcPr>
          <w:p>
            <w:pPr>
              <w:widowControl w:val="0"/>
              <w:tabs>
                <w:tab w:val="left" w:pos="1350"/>
              </w:tabs>
              <w:spacing w:before="15" w:after="15"/>
              <w:jc w:val="both"/>
              <w:rPr>
                <w:noProof/>
                <w:sz w:val="16"/>
                <w:szCs w:val="16"/>
              </w:rPr>
            </w:pPr>
            <w:r>
              <w:rPr>
                <w:noProof/>
                <w:sz w:val="16"/>
                <w:szCs w:val="16"/>
              </w:rPr>
              <w:t>Creating an environment more conducive to private investment for telecommunication infrastructure projects — CEF broadband</w:t>
            </w:r>
          </w:p>
        </w:tc>
        <w:tc>
          <w:tcPr>
            <w:tcW w:w="1559" w:type="dxa"/>
          </w:tcPr>
          <w:p>
            <w:pPr>
              <w:widowControl w:val="0"/>
              <w:spacing w:before="15" w:after="15"/>
              <w:jc w:val="right"/>
              <w:rPr>
                <w:noProof/>
                <w:sz w:val="20"/>
                <w:szCs w:val="20"/>
              </w:rPr>
            </w:pPr>
            <w:r>
              <w:rPr>
                <w:noProof/>
                <w:sz w:val="20"/>
                <w:szCs w:val="20"/>
              </w:rPr>
              <w:t>-19 422 150</w:t>
            </w:r>
          </w:p>
        </w:tc>
        <w:tc>
          <w:tcPr>
            <w:tcW w:w="1701" w:type="dxa"/>
          </w:tcPr>
          <w:p>
            <w:pPr>
              <w:widowControl w:val="0"/>
              <w:spacing w:before="15" w:after="15"/>
              <w:jc w:val="right"/>
              <w:rPr>
                <w:noProof/>
                <w:sz w:val="20"/>
                <w:szCs w:val="20"/>
              </w:rPr>
            </w:pPr>
            <w:r>
              <w:rPr>
                <w:noProof/>
                <w:sz w:val="20"/>
                <w:szCs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szCs w:val="20"/>
              </w:rPr>
              <w:t>09 03 03</w:t>
            </w:r>
          </w:p>
        </w:tc>
        <w:tc>
          <w:tcPr>
            <w:tcW w:w="5387" w:type="dxa"/>
          </w:tcPr>
          <w:p>
            <w:pPr>
              <w:widowControl w:val="0"/>
              <w:tabs>
                <w:tab w:val="left" w:pos="1350"/>
              </w:tabs>
              <w:spacing w:before="15" w:after="15"/>
              <w:jc w:val="both"/>
              <w:rPr>
                <w:noProof/>
                <w:sz w:val="16"/>
                <w:szCs w:val="16"/>
              </w:rPr>
            </w:pPr>
            <w:r>
              <w:rPr>
                <w:noProof/>
                <w:sz w:val="16"/>
                <w:szCs w:val="16"/>
              </w:rPr>
              <w:t>Promoting interoperability, sustainable deployment, operation and upgrading of trans-European digital service infrastructures, as well as coordination at European level</w:t>
            </w:r>
          </w:p>
        </w:tc>
        <w:tc>
          <w:tcPr>
            <w:tcW w:w="1559" w:type="dxa"/>
          </w:tcPr>
          <w:p>
            <w:pPr>
              <w:widowControl w:val="0"/>
              <w:spacing w:before="15" w:after="15"/>
              <w:jc w:val="right"/>
              <w:rPr>
                <w:noProof/>
                <w:sz w:val="20"/>
                <w:szCs w:val="20"/>
              </w:rPr>
            </w:pPr>
            <w:r>
              <w:rPr>
                <w:noProof/>
                <w:sz w:val="20"/>
                <w:szCs w:val="20"/>
              </w:rPr>
              <w:t>-577 850</w:t>
            </w:r>
          </w:p>
        </w:tc>
        <w:tc>
          <w:tcPr>
            <w:tcW w:w="1701" w:type="dxa"/>
          </w:tcPr>
          <w:p>
            <w:pPr>
              <w:widowControl w:val="0"/>
              <w:spacing w:before="15" w:after="15"/>
              <w:jc w:val="right"/>
              <w:rPr>
                <w:noProof/>
                <w:sz w:val="20"/>
                <w:szCs w:val="20"/>
              </w:rPr>
            </w:pPr>
            <w:r>
              <w:rPr>
                <w:noProof/>
                <w:sz w:val="20"/>
                <w:szCs w:val="20"/>
              </w:rPr>
              <w:t>-670 000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59" w:type="dxa"/>
            <w:shd w:val="clear" w:color="auto" w:fill="D9D9D9"/>
          </w:tcPr>
          <w:p>
            <w:pPr>
              <w:widowControl w:val="0"/>
              <w:spacing w:before="15" w:after="15"/>
              <w:jc w:val="right"/>
              <w:rPr>
                <w:b/>
                <w:noProof/>
                <w:sz w:val="20"/>
                <w:szCs w:val="20"/>
              </w:rPr>
            </w:pPr>
            <w:r>
              <w:rPr>
                <w:b/>
                <w:noProof/>
                <w:sz w:val="20"/>
                <w:szCs w:val="20"/>
              </w:rPr>
              <w:t>0</w:t>
            </w:r>
          </w:p>
        </w:tc>
        <w:tc>
          <w:tcPr>
            <w:tcW w:w="1701" w:type="dxa"/>
            <w:shd w:val="clear" w:color="auto" w:fill="D9D9D9"/>
          </w:tcPr>
          <w:p>
            <w:pPr>
              <w:widowControl w:val="0"/>
              <w:spacing w:before="15" w:after="15"/>
              <w:jc w:val="right"/>
              <w:rPr>
                <w:b/>
                <w:noProof/>
                <w:sz w:val="20"/>
                <w:szCs w:val="20"/>
              </w:rPr>
            </w:pPr>
            <w:r>
              <w:rPr>
                <w:b/>
                <w:noProof/>
                <w:sz w:val="20"/>
                <w:szCs w:val="20"/>
              </w:rPr>
              <w:t>0</w:t>
            </w:r>
          </w:p>
        </w:tc>
      </w:tr>
    </w:tbl>
    <w:p>
      <w:pPr>
        <w:pStyle w:val="ManualHeading2"/>
        <w:numPr>
          <w:ilvl w:val="0"/>
          <w:numId w:val="0"/>
        </w:numPr>
      </w:pPr>
      <w:bookmarkStart w:id="100" w:name="_Toc464138546"/>
      <w:r>
        <w:rPr>
          <w:rFonts w:eastAsia="Calibri"/>
        </w:rPr>
        <w:t xml:space="preserve">3.6 </w:t>
      </w:r>
      <w:r>
        <w:rPr>
          <w:rFonts w:eastAsia="Calibri"/>
        </w:rPr>
        <w:tab/>
      </w:r>
      <w:r>
        <w:t>Use of the Global margin for commitments for heading 1a</w:t>
      </w:r>
      <w:bookmarkEnd w:id="100"/>
    </w:p>
    <w:p>
      <w:pPr>
        <w:spacing w:before="120" w:after="120"/>
        <w:jc w:val="both"/>
        <w:rPr>
          <w:b/>
          <w:smallCaps/>
          <w:noProof/>
          <w:lang w:eastAsia="de-DE"/>
        </w:rPr>
      </w:pPr>
      <w:r>
        <w:rPr>
          <w:noProof/>
          <w:szCs w:val="20"/>
          <w:lang w:eastAsia="de-DE"/>
        </w:rPr>
        <w:t>As already mentioned, in 2017, there is still EUR 174,1 million in the Global margin for commitments (GMC) after using EUR 1 265 million to finance EFSI. Therefore the Commission proposes to finance the proposed increases for COSME, CEF-Transport, Eramus+ and H2020 from the unused portion of the GMC and from the unallocated margin under heading 1a.</w:t>
      </w:r>
      <w:bookmarkStart w:id="101" w:name="_Toc463264178"/>
    </w:p>
    <w:p>
      <w:pPr>
        <w:pStyle w:val="ManualHeading1"/>
        <w:spacing w:before="240"/>
        <w:rPr>
          <w:noProof/>
        </w:rPr>
      </w:pPr>
      <w:bookmarkStart w:id="102" w:name="_Toc462935530"/>
      <w:bookmarkStart w:id="103" w:name="_Toc463004750"/>
      <w:bookmarkStart w:id="104" w:name="_Toc463974168"/>
      <w:bookmarkStart w:id="105" w:name="_Toc464028213"/>
      <w:bookmarkStart w:id="106" w:name="_Toc464028345"/>
      <w:bookmarkStart w:id="107" w:name="_Toc464138547"/>
      <w:bookmarkEnd w:id="89"/>
      <w:bookmarkEnd w:id="101"/>
      <w:bookmarkEnd w:id="102"/>
      <w:bookmarkEnd w:id="103"/>
      <w:bookmarkEnd w:id="104"/>
      <w:bookmarkEnd w:id="105"/>
      <w:bookmarkEnd w:id="106"/>
      <w:r>
        <w:rPr>
          <w:noProof/>
        </w:rPr>
        <w:t>4.</w:t>
      </w:r>
      <w:r>
        <w:rPr>
          <w:noProof/>
        </w:rPr>
        <w:tab/>
        <w:t>Partnership Framework under the migration agenda, External Investment Plan, and Security</w:t>
      </w:r>
      <w:bookmarkEnd w:id="107"/>
    </w:p>
    <w:p>
      <w:pPr>
        <w:pStyle w:val="ManualHeading2"/>
        <w:numPr>
          <w:ilvl w:val="0"/>
          <w:numId w:val="0"/>
        </w:numPr>
        <w:tabs>
          <w:tab w:val="left" w:pos="851"/>
        </w:tabs>
      </w:pPr>
      <w:bookmarkStart w:id="108" w:name="_Toc464138548"/>
      <w:r>
        <w:rPr>
          <w:rFonts w:eastAsia="Calibri"/>
        </w:rPr>
        <w:t xml:space="preserve">4.1 </w:t>
      </w:r>
      <w:r>
        <w:rPr>
          <w:rFonts w:eastAsia="Calibri"/>
        </w:rPr>
        <w:tab/>
      </w:r>
      <w:r>
        <w:t>A quick start for the new Partnership Framework process with priority partners</w:t>
      </w:r>
      <w:bookmarkEnd w:id="108"/>
    </w:p>
    <w:p>
      <w:pPr>
        <w:autoSpaceDE w:val="0"/>
        <w:autoSpaceDN w:val="0"/>
        <w:adjustRightInd w:val="0"/>
        <w:spacing w:before="120" w:after="120"/>
        <w:jc w:val="both"/>
        <w:rPr>
          <w:noProof/>
          <w:color w:val="000000"/>
        </w:rPr>
      </w:pPr>
      <w:r>
        <w:rPr>
          <w:noProof/>
          <w:color w:val="000000"/>
        </w:rPr>
        <w:t xml:space="preserve">On 7 June 2016 the Commission presented a communication </w:t>
      </w:r>
      <w:r>
        <w:rPr>
          <w:i/>
          <w:noProof/>
          <w:color w:val="000000"/>
        </w:rPr>
        <w:t>on establishing a new Partnership Framework with third countries under the European Agenda on Migration</w:t>
      </w:r>
      <w:r>
        <w:rPr>
          <w:noProof/>
          <w:color w:val="000000"/>
          <w:vertAlign w:val="superscript"/>
        </w:rPr>
        <w:footnoteReference w:id="16"/>
      </w:r>
      <w:r>
        <w:rPr>
          <w:noProof/>
          <w:color w:val="000000"/>
        </w:rPr>
        <w:t>, which builds on the Valletta Action Plan</w:t>
      </w:r>
      <w:r>
        <w:rPr>
          <w:noProof/>
          <w:color w:val="000000"/>
          <w:vertAlign w:val="superscript"/>
        </w:rPr>
        <w:footnoteReference w:id="17"/>
      </w:r>
      <w:r>
        <w:rPr>
          <w:noProof/>
          <w:color w:val="000000"/>
        </w:rPr>
        <w:t xml:space="preserve"> and the results of high-level dialogues on migration and </w:t>
      </w:r>
      <w:r>
        <w:rPr>
          <w:i/>
          <w:noProof/>
          <w:color w:val="000000"/>
        </w:rPr>
        <w:t>compacts</w:t>
      </w:r>
      <w:r>
        <w:rPr>
          <w:i/>
          <w:noProof/>
          <w:color w:val="000000"/>
          <w:vertAlign w:val="superscript"/>
        </w:rPr>
        <w:footnoteReference w:id="18"/>
      </w:r>
      <w:r>
        <w:rPr>
          <w:noProof/>
          <w:color w:val="000000"/>
        </w:rPr>
        <w:t xml:space="preserve"> with a number of priority partners, which will require additional funding. The compacts seek to present a coordinated, systematic and structured approach to maximise the synergies and leverage of the Union’s internal and external policies, reflecting both the EU's interests and those of partner countries. Tailored for the priority countries, as each country package becomes operational it will also build on the special relationships that Member States have with third countries reflecting the political, historic and cultural ties fostered through decades of contacts. All available funding instruments and resources will be deployed in a more targeted, coordinated, flexible and rapid manner to achieve the short-term objectives of the compacts.</w:t>
      </w:r>
    </w:p>
    <w:p>
      <w:pPr>
        <w:spacing w:before="120" w:after="120"/>
        <w:jc w:val="both"/>
        <w:rPr>
          <w:noProof/>
          <w:szCs w:val="20"/>
          <w:lang w:eastAsia="de-DE"/>
        </w:rPr>
      </w:pPr>
      <w:r>
        <w:rPr>
          <w:noProof/>
          <w:szCs w:val="20"/>
          <w:lang w:eastAsia="de-DE"/>
        </w:rPr>
        <w:t>In line with the June communication and in order to give a quick start to the delivery on the compacts especially with the priority partners, the Commission proposes to reinforce the Development Cooperation Instrument (DCI) and the European Neighbourhood Instrument (ENI) by EUR 750 million in commitment and EUR 210 million in payment appropriations. Based on progress in the implementation of the compacts, part of this reinforcement may be channelled through the European Union Emergency Trust Fund for stability and addressing root causes of irregular migration and displaced persons in Africa (“Africa” trust fund) and the European Union Regional Trust Fund in response to the Syrian crisis (the “Madad” trust fund), for use in 2017 and beyond.</w:t>
      </w:r>
    </w:p>
    <w:p>
      <w:pPr>
        <w:spacing w:before="120" w:after="120"/>
        <w:jc w:val="both"/>
        <w:rPr>
          <w:i/>
          <w:noProof/>
          <w:szCs w:val="20"/>
          <w:lang w:eastAsia="de-DE"/>
        </w:rPr>
      </w:pPr>
      <w:r>
        <w:rPr>
          <w:i/>
          <w:noProof/>
          <w:szCs w:val="20"/>
          <w:lang w:eastAsia="de-DE"/>
        </w:rPr>
        <w:t>Development Cooperation Instrument (DCI)</w:t>
      </w:r>
    </w:p>
    <w:p>
      <w:pPr>
        <w:spacing w:before="120" w:after="120"/>
        <w:jc w:val="both"/>
        <w:rPr>
          <w:noProof/>
          <w:szCs w:val="20"/>
          <w:lang w:eastAsia="de-DE"/>
        </w:rPr>
      </w:pPr>
      <w:r>
        <w:rPr>
          <w:noProof/>
          <w:szCs w:val="20"/>
          <w:lang w:eastAsia="de-DE"/>
        </w:rPr>
        <w:t xml:space="preserve">To support the priority third countries in Asia and Sub-Saharan Africa, the Commission proposes to reinforce the budget item </w:t>
      </w:r>
      <w:r>
        <w:rPr>
          <w:i/>
          <w:noProof/>
          <w:szCs w:val="20"/>
          <w:lang w:eastAsia="de-DE"/>
        </w:rPr>
        <w:t>Migration and Asylum</w:t>
      </w:r>
      <w:r>
        <w:rPr>
          <w:noProof/>
          <w:szCs w:val="20"/>
          <w:lang w:eastAsia="de-DE"/>
        </w:rPr>
        <w:t xml:space="preserve"> (21 02 07 05) with EUR 400 million in commitment and EUR 120 million in payment appropriations.</w:t>
      </w:r>
    </w:p>
    <w:p>
      <w:pPr>
        <w:spacing w:before="120" w:after="120"/>
        <w:jc w:val="both"/>
        <w:rPr>
          <w:noProof/>
          <w:szCs w:val="20"/>
          <w:lang w:eastAsia="de-DE"/>
        </w:rPr>
      </w:pPr>
      <w:r>
        <w:rPr>
          <w:noProof/>
          <w:szCs w:val="20"/>
          <w:lang w:eastAsia="de-DE"/>
        </w:rPr>
        <w:t xml:space="preserve">To adress specific issues in Asia and to support actions for economic opportunities and job creation, the Commission proposes to reinforce the budget article </w:t>
      </w:r>
      <w:r>
        <w:rPr>
          <w:i/>
          <w:noProof/>
          <w:szCs w:val="20"/>
          <w:lang w:eastAsia="de-DE"/>
        </w:rPr>
        <w:t>Cooperation with Asia</w:t>
      </w:r>
      <w:r>
        <w:rPr>
          <w:noProof/>
          <w:szCs w:val="20"/>
          <w:lang w:eastAsia="de-DE"/>
        </w:rPr>
        <w:t xml:space="preserve"> (21 02 02) with EUR 100 million in commitment and EUR 30 million in payment appropriations.</w:t>
      </w:r>
    </w:p>
    <w:p>
      <w:pPr>
        <w:spacing w:before="120" w:after="120"/>
        <w:jc w:val="both"/>
        <w:rPr>
          <w:i/>
          <w:noProof/>
          <w:szCs w:val="20"/>
          <w:lang w:eastAsia="de-DE"/>
        </w:rPr>
      </w:pPr>
      <w:r>
        <w:rPr>
          <w:i/>
          <w:noProof/>
          <w:szCs w:val="20"/>
          <w:lang w:eastAsia="de-DE"/>
        </w:rPr>
        <w:t>European Neighbourhood Instrument (ENI)</w:t>
      </w:r>
    </w:p>
    <w:p>
      <w:pPr>
        <w:spacing w:before="120" w:after="120"/>
        <w:jc w:val="both"/>
        <w:rPr>
          <w:noProof/>
          <w:szCs w:val="20"/>
          <w:lang w:eastAsia="de-DE"/>
        </w:rPr>
      </w:pPr>
      <w:r>
        <w:rPr>
          <w:noProof/>
          <w:szCs w:val="20"/>
          <w:lang w:eastAsia="de-DE"/>
        </w:rPr>
        <w:t xml:space="preserve">To help address the challenge of irregular migration and forced displacement, including through support to the implementation of the future compacts with countries of the Southern Neighbourhood, notably with Lebanon and Jordan, to strengthen the relationship with Tunisia and to contribute to the stabilisation of Libya, it is proposed to reinforce the budget item </w:t>
      </w:r>
      <w:r>
        <w:rPr>
          <w:i/>
          <w:noProof/>
          <w:szCs w:val="20"/>
          <w:lang w:eastAsia="de-DE"/>
        </w:rPr>
        <w:t>Mediterranean countries – Confidence building, security and the prevention and settlements of conflicts</w:t>
      </w:r>
      <w:r>
        <w:rPr>
          <w:noProof/>
          <w:szCs w:val="20"/>
          <w:lang w:eastAsia="de-DE"/>
        </w:rPr>
        <w:t xml:space="preserve"> (22 04 01 03)</w:t>
      </w:r>
      <w:r>
        <w:rPr>
          <w:i/>
          <w:noProof/>
          <w:szCs w:val="20"/>
          <w:lang w:eastAsia="de-DE"/>
        </w:rPr>
        <w:t xml:space="preserve"> </w:t>
      </w:r>
      <w:r>
        <w:rPr>
          <w:noProof/>
          <w:szCs w:val="20"/>
          <w:lang w:eastAsia="de-DE"/>
        </w:rPr>
        <w:t>with EUR 250 million in commitment and EUR 60 million in payment appropriations.</w:t>
      </w:r>
    </w:p>
    <w:tbl>
      <w:tblPr>
        <w:tblW w:w="9952" w:type="dxa"/>
        <w:jc w:val="center"/>
        <w:tblLayout w:type="fixed"/>
        <w:tblCellMar>
          <w:left w:w="40" w:type="dxa"/>
          <w:right w:w="40" w:type="dxa"/>
        </w:tblCellMar>
        <w:tblLook w:val="0000" w:firstRow="0" w:lastRow="0" w:firstColumn="0" w:lastColumn="0" w:noHBand="0" w:noVBand="0"/>
      </w:tblPr>
      <w:tblGrid>
        <w:gridCol w:w="69"/>
        <w:gridCol w:w="1202"/>
        <w:gridCol w:w="5353"/>
        <w:gridCol w:w="1550"/>
        <w:gridCol w:w="1691"/>
        <w:gridCol w:w="87"/>
      </w:tblGrid>
      <w:tr>
        <w:trPr>
          <w:gridBefore w:val="1"/>
          <w:wBefore w:w="68" w:type="dxa"/>
          <w:trHeight w:val="164"/>
          <w:tblHeader/>
          <w:jc w:val="center"/>
        </w:trPr>
        <w:tc>
          <w:tcPr>
            <w:tcW w:w="994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szCs w:val="20"/>
              </w:rPr>
              <w:t>Budget line</w:t>
            </w:r>
          </w:p>
        </w:tc>
        <w:tc>
          <w:tcPr>
            <w:tcW w:w="5387"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559" w:type="dxa"/>
            <w:shd w:val="clear" w:color="auto" w:fill="D9D9D9"/>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szCs w:val="20"/>
              </w:rPr>
              <w:t>22 04 01 03</w:t>
            </w:r>
          </w:p>
        </w:tc>
        <w:tc>
          <w:tcPr>
            <w:tcW w:w="5387" w:type="dxa"/>
          </w:tcPr>
          <w:p>
            <w:pPr>
              <w:widowControl w:val="0"/>
              <w:tabs>
                <w:tab w:val="left" w:pos="1350"/>
              </w:tabs>
              <w:spacing w:before="15" w:after="15"/>
              <w:jc w:val="both"/>
              <w:rPr>
                <w:noProof/>
                <w:sz w:val="16"/>
                <w:szCs w:val="16"/>
              </w:rPr>
            </w:pPr>
            <w:r>
              <w:rPr>
                <w:noProof/>
                <w:sz w:val="16"/>
                <w:szCs w:val="16"/>
              </w:rPr>
              <w:t>Mediterranean countries – Confidence building, security and the prevention and settlements of conflicts</w:t>
            </w:r>
          </w:p>
        </w:tc>
        <w:tc>
          <w:tcPr>
            <w:tcW w:w="1559" w:type="dxa"/>
          </w:tcPr>
          <w:p>
            <w:pPr>
              <w:widowControl w:val="0"/>
              <w:spacing w:before="15" w:after="15"/>
              <w:jc w:val="right"/>
              <w:rPr>
                <w:noProof/>
                <w:sz w:val="20"/>
                <w:szCs w:val="20"/>
              </w:rPr>
            </w:pPr>
            <w:r>
              <w:rPr>
                <w:noProof/>
                <w:sz w:val="20"/>
                <w:szCs w:val="20"/>
              </w:rPr>
              <w:t>250 000 000</w:t>
            </w:r>
          </w:p>
        </w:tc>
        <w:tc>
          <w:tcPr>
            <w:tcW w:w="1701" w:type="dxa"/>
          </w:tcPr>
          <w:p>
            <w:pPr>
              <w:widowControl w:val="0"/>
              <w:spacing w:before="15" w:after="15"/>
              <w:jc w:val="right"/>
              <w:rPr>
                <w:noProof/>
                <w:sz w:val="20"/>
                <w:szCs w:val="20"/>
              </w:rPr>
            </w:pPr>
            <w:r>
              <w:rPr>
                <w:noProof/>
                <w:sz w:val="20"/>
                <w:szCs w:val="20"/>
              </w:rPr>
              <w:t>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szCs w:val="20"/>
              </w:rPr>
              <w:t>21 02 07 05</w:t>
            </w:r>
          </w:p>
        </w:tc>
        <w:tc>
          <w:tcPr>
            <w:tcW w:w="5387" w:type="dxa"/>
          </w:tcPr>
          <w:p>
            <w:pPr>
              <w:widowControl w:val="0"/>
              <w:tabs>
                <w:tab w:val="left" w:pos="1350"/>
              </w:tabs>
              <w:spacing w:before="15" w:after="15"/>
              <w:jc w:val="both"/>
              <w:rPr>
                <w:noProof/>
                <w:sz w:val="16"/>
                <w:szCs w:val="16"/>
              </w:rPr>
            </w:pPr>
            <w:r>
              <w:rPr>
                <w:noProof/>
                <w:sz w:val="16"/>
                <w:szCs w:val="16"/>
              </w:rPr>
              <w:t>Migration and asylum</w:t>
            </w:r>
          </w:p>
        </w:tc>
        <w:tc>
          <w:tcPr>
            <w:tcW w:w="1559" w:type="dxa"/>
          </w:tcPr>
          <w:p>
            <w:pPr>
              <w:widowControl w:val="0"/>
              <w:spacing w:before="15" w:after="15"/>
              <w:jc w:val="right"/>
              <w:rPr>
                <w:noProof/>
                <w:sz w:val="20"/>
                <w:szCs w:val="20"/>
              </w:rPr>
            </w:pPr>
            <w:r>
              <w:rPr>
                <w:noProof/>
                <w:sz w:val="20"/>
                <w:szCs w:val="20"/>
              </w:rPr>
              <w:t>400 000 000</w:t>
            </w:r>
          </w:p>
        </w:tc>
        <w:tc>
          <w:tcPr>
            <w:tcW w:w="1701" w:type="dxa"/>
          </w:tcPr>
          <w:p>
            <w:pPr>
              <w:widowControl w:val="0"/>
              <w:spacing w:before="15" w:after="15"/>
              <w:jc w:val="right"/>
              <w:rPr>
                <w:noProof/>
                <w:sz w:val="20"/>
                <w:szCs w:val="20"/>
                <w:highlight w:val="yellow"/>
              </w:rPr>
            </w:pPr>
            <w:r>
              <w:rPr>
                <w:noProof/>
                <w:sz w:val="20"/>
                <w:szCs w:val="20"/>
              </w:rPr>
              <w:t>120 000 000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szCs w:val="20"/>
              </w:rPr>
              <w:t>21 02 02</w:t>
            </w:r>
          </w:p>
        </w:tc>
        <w:tc>
          <w:tcPr>
            <w:tcW w:w="5387" w:type="dxa"/>
          </w:tcPr>
          <w:p>
            <w:pPr>
              <w:widowControl w:val="0"/>
              <w:tabs>
                <w:tab w:val="left" w:pos="1350"/>
              </w:tabs>
              <w:spacing w:before="15" w:after="15"/>
              <w:jc w:val="both"/>
              <w:rPr>
                <w:noProof/>
                <w:sz w:val="16"/>
                <w:szCs w:val="16"/>
              </w:rPr>
            </w:pPr>
            <w:r>
              <w:rPr>
                <w:noProof/>
                <w:sz w:val="16"/>
                <w:szCs w:val="16"/>
              </w:rPr>
              <w:t>Cooperation with Asia</w:t>
            </w:r>
          </w:p>
        </w:tc>
        <w:tc>
          <w:tcPr>
            <w:tcW w:w="1559" w:type="dxa"/>
          </w:tcPr>
          <w:p>
            <w:pPr>
              <w:widowControl w:val="0"/>
              <w:spacing w:before="15" w:after="15"/>
              <w:jc w:val="right"/>
              <w:rPr>
                <w:noProof/>
                <w:sz w:val="20"/>
                <w:szCs w:val="20"/>
              </w:rPr>
            </w:pPr>
            <w:r>
              <w:rPr>
                <w:noProof/>
                <w:sz w:val="20"/>
                <w:szCs w:val="20"/>
              </w:rPr>
              <w:t>100 000 000</w:t>
            </w:r>
          </w:p>
        </w:tc>
        <w:tc>
          <w:tcPr>
            <w:tcW w:w="1701" w:type="dxa"/>
          </w:tcPr>
          <w:p>
            <w:pPr>
              <w:widowControl w:val="0"/>
              <w:spacing w:before="15" w:after="15"/>
              <w:jc w:val="right"/>
              <w:rPr>
                <w:noProof/>
                <w:sz w:val="20"/>
                <w:szCs w:val="20"/>
              </w:rPr>
            </w:pPr>
            <w:r>
              <w:rPr>
                <w:noProof/>
                <w:sz w:val="20"/>
                <w:szCs w:val="20"/>
              </w:rPr>
              <w:t>30 000 000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59" w:type="dxa"/>
            <w:shd w:val="clear" w:color="auto" w:fill="D9D9D9"/>
          </w:tcPr>
          <w:p>
            <w:pPr>
              <w:widowControl w:val="0"/>
              <w:spacing w:before="15" w:after="15"/>
              <w:jc w:val="right"/>
              <w:rPr>
                <w:b/>
                <w:noProof/>
                <w:sz w:val="20"/>
                <w:szCs w:val="20"/>
              </w:rPr>
            </w:pPr>
            <w:r>
              <w:rPr>
                <w:b/>
                <w:noProof/>
                <w:sz w:val="20"/>
                <w:szCs w:val="20"/>
              </w:rPr>
              <w:t>750 000 000</w:t>
            </w:r>
          </w:p>
        </w:tc>
        <w:tc>
          <w:tcPr>
            <w:tcW w:w="1701" w:type="dxa"/>
            <w:shd w:val="clear" w:color="auto" w:fill="D9D9D9"/>
          </w:tcPr>
          <w:p>
            <w:pPr>
              <w:widowControl w:val="0"/>
              <w:spacing w:before="15" w:after="15"/>
              <w:jc w:val="right"/>
              <w:rPr>
                <w:b/>
                <w:noProof/>
                <w:sz w:val="20"/>
                <w:szCs w:val="20"/>
              </w:rPr>
            </w:pPr>
            <w:r>
              <w:rPr>
                <w:b/>
                <w:noProof/>
                <w:sz w:val="20"/>
                <w:szCs w:val="20"/>
              </w:rPr>
              <w:t>210 000 000</w:t>
            </w:r>
          </w:p>
        </w:tc>
      </w:tr>
    </w:tbl>
    <w:p>
      <w:pPr>
        <w:pStyle w:val="ManualHeading2"/>
        <w:numPr>
          <w:ilvl w:val="0"/>
          <w:numId w:val="0"/>
        </w:numPr>
        <w:tabs>
          <w:tab w:val="left" w:pos="851"/>
        </w:tabs>
        <w:ind w:left="851" w:hanging="851"/>
        <w:rPr>
          <w:rFonts w:eastAsia="Calibri"/>
        </w:rPr>
      </w:pPr>
      <w:bookmarkStart w:id="109" w:name="_Toc464138549"/>
      <w:r>
        <w:rPr>
          <w:rFonts w:eastAsia="Calibri"/>
        </w:rPr>
        <w:t xml:space="preserve">4.2 </w:t>
      </w:r>
      <w:r>
        <w:rPr>
          <w:rFonts w:eastAsia="Calibri"/>
        </w:rPr>
        <w:tab/>
        <w:t>Endowment of the new European Fund for Sustainable Development (EFSD) Guarantee Fund</w:t>
      </w:r>
      <w:bookmarkEnd w:id="109"/>
    </w:p>
    <w:p>
      <w:pPr>
        <w:spacing w:before="120" w:after="120"/>
        <w:rPr>
          <w:noProof/>
        </w:rPr>
      </w:pPr>
      <w:r>
        <w:rPr>
          <w:noProof/>
        </w:rPr>
        <w:t>On 14 September 2016, the Commission presented  a draft Regulation of the European Parliament and of the Council on the European Fund for Sustainable Development (EFSD) and establishing the EFSD Guarantee and the EFSD Guarantee Fund</w:t>
      </w:r>
      <w:r>
        <w:rPr>
          <w:noProof/>
          <w:vertAlign w:val="superscript"/>
        </w:rPr>
        <w:footnoteReference w:id="19"/>
      </w:r>
      <w:r>
        <w:rPr>
          <w:noProof/>
        </w:rPr>
        <w:t>. The EFSD is part of the External Investment Plan (EIP), the long-term strategy to address the root causes of migration, as outlined in the Commission communications of 7 June 2016 and of 14 September 2016</w:t>
      </w:r>
      <w:r>
        <w:rPr>
          <w:noProof/>
          <w:vertAlign w:val="superscript"/>
        </w:rPr>
        <w:footnoteReference w:id="20"/>
      </w:r>
      <w:r>
        <w:rPr>
          <w:noProof/>
        </w:rPr>
        <w:t>. The Commission proposes to endow the EFSD Guarantee Fund with EUR 750 million over the period 2017–2020, of which EUR 400 million from the European Development Fund (EDF) over the four years, EUR 100 million from the ENI over 2017–2020, and EUR 250 million by mobilising the contingency margin in 2017.</w:t>
      </w:r>
    </w:p>
    <w:p>
      <w:pPr>
        <w:spacing w:before="120" w:after="120"/>
        <w:rPr>
          <w:noProof/>
        </w:rPr>
      </w:pPr>
      <w:r>
        <w:rPr>
          <w:noProof/>
        </w:rPr>
        <w:t>The present amending letter proposes the corresponding changes to the draft budget 2017, namely:</w:t>
      </w:r>
    </w:p>
    <w:p>
      <w:pPr>
        <w:numPr>
          <w:ilvl w:val="0"/>
          <w:numId w:val="17"/>
        </w:numPr>
        <w:spacing w:before="120" w:after="120"/>
        <w:ind w:left="426" w:hanging="426"/>
        <w:jc w:val="both"/>
        <w:rPr>
          <w:noProof/>
          <w:szCs w:val="20"/>
          <w:lang w:eastAsia="de-DE"/>
        </w:rPr>
      </w:pPr>
      <w:r>
        <w:rPr>
          <w:noProof/>
          <w:szCs w:val="20"/>
          <w:lang w:eastAsia="de-DE"/>
        </w:rPr>
        <w:t>The necessary changes to the budgetary nomenclature by creating two new budget lines in order to provision the EFSD Guarantee Fund and to provide the guarantee with a token entry (p.m.) from the EU budget, to provide for future need.</w:t>
      </w:r>
    </w:p>
    <w:p>
      <w:pPr>
        <w:numPr>
          <w:ilvl w:val="0"/>
          <w:numId w:val="17"/>
        </w:numPr>
        <w:spacing w:before="120" w:after="120"/>
        <w:ind w:left="360"/>
        <w:jc w:val="both"/>
        <w:rPr>
          <w:noProof/>
          <w:szCs w:val="20"/>
          <w:lang w:eastAsia="de-DE"/>
        </w:rPr>
      </w:pPr>
      <w:r>
        <w:rPr>
          <w:noProof/>
          <w:szCs w:val="20"/>
          <w:lang w:eastAsia="de-DE"/>
        </w:rPr>
        <w:t>The entry of EUR 275 million on the new provisioning line for the EFSD Guarantee Fund, of which EUR 250 million to come from the contingency margin and EUR 25 million from the ENI (1/3 from an Eastern Neighbourhood budget line and 2/3 from a Southern Neighbourhood line as shown in the table below).</w:t>
      </w:r>
    </w:p>
    <w:tbl>
      <w:tblPr>
        <w:tblW w:w="9952" w:type="dxa"/>
        <w:jc w:val="center"/>
        <w:tblLayout w:type="fixed"/>
        <w:tblCellMar>
          <w:left w:w="40" w:type="dxa"/>
          <w:right w:w="40" w:type="dxa"/>
        </w:tblCellMar>
        <w:tblLook w:val="0000" w:firstRow="0" w:lastRow="0" w:firstColumn="0" w:lastColumn="0" w:noHBand="0" w:noVBand="0"/>
      </w:tblPr>
      <w:tblGrid>
        <w:gridCol w:w="9"/>
        <w:gridCol w:w="1431"/>
        <w:gridCol w:w="5267"/>
        <w:gridCol w:w="1515"/>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shd w:val="clear" w:color="auto" w:fill="D9D9D9" w:themeFill="background1" w:themeFillShade="D9"/>
            <w:vAlign w:val="center"/>
          </w:tcPr>
          <w:p>
            <w:pPr>
              <w:widowControl w:val="0"/>
              <w:spacing w:before="15" w:after="15"/>
              <w:ind w:right="-113"/>
              <w:jc w:val="center"/>
              <w:rPr>
                <w:noProof/>
                <w:sz w:val="20"/>
              </w:rPr>
            </w:pPr>
            <w:r>
              <w:rPr>
                <w:b/>
                <w:noProof/>
                <w:sz w:val="20"/>
                <w:szCs w:val="20"/>
              </w:rPr>
              <w:t>Budget line</w:t>
            </w:r>
          </w:p>
        </w:tc>
        <w:tc>
          <w:tcPr>
            <w:tcW w:w="5267" w:type="dxa"/>
            <w:shd w:val="clear" w:color="auto" w:fill="D9D9D9" w:themeFill="background1" w:themeFillShade="D9"/>
            <w:vAlign w:val="center"/>
          </w:tcPr>
          <w:p>
            <w:pPr>
              <w:widowControl w:val="0"/>
              <w:spacing w:before="15" w:after="15"/>
              <w:ind w:right="-113"/>
              <w:jc w:val="center"/>
              <w:rPr>
                <w:noProof/>
                <w:sz w:val="20"/>
              </w:rPr>
            </w:pPr>
            <w:r>
              <w:rPr>
                <w:b/>
                <w:noProof/>
                <w:sz w:val="20"/>
                <w:szCs w:val="20"/>
              </w:rPr>
              <w:t>Name</w:t>
            </w:r>
          </w:p>
        </w:tc>
        <w:tc>
          <w:tcPr>
            <w:tcW w:w="1515" w:type="dxa"/>
            <w:shd w:val="clear" w:color="auto" w:fill="D9D9D9" w:themeFill="background1" w:themeFillShade="D9"/>
            <w:vAlign w:val="center"/>
          </w:tcPr>
          <w:p>
            <w:pPr>
              <w:widowControl w:val="0"/>
              <w:spacing w:before="15" w:after="15"/>
              <w:jc w:val="center"/>
              <w:rPr>
                <w:noProof/>
                <w:sz w:val="20"/>
              </w:rPr>
            </w:pPr>
            <w:r>
              <w:rPr>
                <w:b/>
                <w:noProof/>
                <w:sz w:val="20"/>
                <w:szCs w:val="20"/>
              </w:rPr>
              <w:t>Commitment appropriations</w:t>
            </w:r>
          </w:p>
        </w:tc>
        <w:tc>
          <w:tcPr>
            <w:tcW w:w="1701" w:type="dxa"/>
            <w:shd w:val="clear" w:color="auto" w:fill="D9D9D9" w:themeFill="background1" w:themeFillShade="D9"/>
            <w:vAlign w:val="center"/>
          </w:tcPr>
          <w:p>
            <w:pPr>
              <w:widowControl w:val="0"/>
              <w:spacing w:before="15" w:after="15"/>
              <w:jc w:val="center"/>
              <w:rPr>
                <w:noProof/>
                <w:sz w:val="20"/>
              </w:rPr>
            </w:pPr>
            <w:r>
              <w:rPr>
                <w:b/>
                <w:noProof/>
                <w:sz w:val="20"/>
                <w:szCs w:val="20"/>
              </w:rPr>
              <w:t>Payment appropriations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szCs w:val="20"/>
              </w:rPr>
              <w:t>01 03 07</w:t>
            </w:r>
          </w:p>
        </w:tc>
        <w:tc>
          <w:tcPr>
            <w:tcW w:w="5267" w:type="dxa"/>
          </w:tcPr>
          <w:p>
            <w:pPr>
              <w:widowControl w:val="0"/>
              <w:spacing w:before="15" w:after="15"/>
              <w:jc w:val="both"/>
              <w:rPr>
                <w:noProof/>
                <w:sz w:val="20"/>
                <w:szCs w:val="20"/>
              </w:rPr>
            </w:pPr>
            <w:r>
              <w:rPr>
                <w:noProof/>
                <w:sz w:val="20"/>
                <w:szCs w:val="20"/>
              </w:rPr>
              <w:t>European Union guarantee for the European Fund for Sustainable Development (EFSD)</w:t>
            </w:r>
          </w:p>
        </w:tc>
        <w:tc>
          <w:tcPr>
            <w:tcW w:w="1515" w:type="dxa"/>
          </w:tcPr>
          <w:p>
            <w:pPr>
              <w:widowControl w:val="0"/>
              <w:spacing w:before="15" w:after="15"/>
              <w:jc w:val="right"/>
              <w:rPr>
                <w:noProof/>
                <w:sz w:val="20"/>
                <w:szCs w:val="20"/>
              </w:rPr>
            </w:pPr>
            <w:r>
              <w:rPr>
                <w:noProof/>
                <w:sz w:val="20"/>
                <w:szCs w:val="20"/>
              </w:rPr>
              <w:t>p.m.</w:t>
            </w:r>
          </w:p>
        </w:tc>
        <w:tc>
          <w:tcPr>
            <w:tcW w:w="1701" w:type="dxa"/>
          </w:tcPr>
          <w:p>
            <w:pPr>
              <w:widowControl w:val="0"/>
              <w:spacing w:before="15" w:after="15"/>
              <w:jc w:val="right"/>
              <w:rPr>
                <w:noProof/>
                <w:sz w:val="20"/>
                <w:szCs w:val="20"/>
              </w:rPr>
            </w:pPr>
            <w:r>
              <w:rPr>
                <w:noProof/>
                <w:sz w:val="20"/>
                <w:szCs w:val="20"/>
              </w:rPr>
              <w:t>p.m.</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szCs w:val="20"/>
              </w:rPr>
              <w:t>01 03 08</w:t>
            </w:r>
          </w:p>
        </w:tc>
        <w:tc>
          <w:tcPr>
            <w:tcW w:w="5267" w:type="dxa"/>
          </w:tcPr>
          <w:p>
            <w:pPr>
              <w:widowControl w:val="0"/>
              <w:spacing w:before="15" w:after="15"/>
              <w:jc w:val="both"/>
              <w:rPr>
                <w:noProof/>
                <w:sz w:val="20"/>
                <w:szCs w:val="20"/>
              </w:rPr>
            </w:pPr>
            <w:r>
              <w:rPr>
                <w:noProof/>
                <w:sz w:val="20"/>
                <w:szCs w:val="20"/>
              </w:rPr>
              <w:t>Provisioning of the EFSD Guarantee Fund</w:t>
            </w:r>
          </w:p>
        </w:tc>
        <w:tc>
          <w:tcPr>
            <w:tcW w:w="1515" w:type="dxa"/>
          </w:tcPr>
          <w:p>
            <w:pPr>
              <w:widowControl w:val="0"/>
              <w:spacing w:before="15" w:after="15"/>
              <w:jc w:val="right"/>
              <w:rPr>
                <w:noProof/>
                <w:sz w:val="20"/>
                <w:szCs w:val="20"/>
              </w:rPr>
            </w:pPr>
            <w:r>
              <w:rPr>
                <w:noProof/>
                <w:sz w:val="20"/>
                <w:szCs w:val="20"/>
              </w:rPr>
              <w:t>275 000 000</w:t>
            </w:r>
          </w:p>
        </w:tc>
        <w:tc>
          <w:tcPr>
            <w:tcW w:w="1701" w:type="dxa"/>
          </w:tcPr>
          <w:p>
            <w:pPr>
              <w:widowControl w:val="0"/>
              <w:spacing w:before="15" w:after="15"/>
              <w:jc w:val="right"/>
              <w:rPr>
                <w:noProof/>
                <w:sz w:val="20"/>
                <w:szCs w:val="20"/>
              </w:rPr>
            </w:pPr>
            <w:r>
              <w:rPr>
                <w:noProof/>
                <w:sz w:val="20"/>
                <w:szCs w:val="20"/>
              </w:rPr>
              <w:t>275 000 000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szCs w:val="20"/>
              </w:rPr>
              <w:t>22 04 01 02</w:t>
            </w:r>
          </w:p>
        </w:tc>
        <w:tc>
          <w:tcPr>
            <w:tcW w:w="5267" w:type="dxa"/>
          </w:tcPr>
          <w:p>
            <w:pPr>
              <w:widowControl w:val="0"/>
              <w:spacing w:before="15" w:after="15"/>
              <w:jc w:val="both"/>
              <w:rPr>
                <w:noProof/>
                <w:sz w:val="20"/>
                <w:szCs w:val="20"/>
              </w:rPr>
            </w:pPr>
            <w:r>
              <w:rPr>
                <w:noProof/>
                <w:sz w:val="20"/>
                <w:szCs w:val="20"/>
              </w:rPr>
              <w:t xml:space="preserve">Mediterranean countries </w:t>
            </w:r>
            <w:r>
              <w:rPr>
                <w:noProof/>
                <w:sz w:val="20"/>
                <w:szCs w:val="20"/>
              </w:rPr>
              <w:sym w:font="Symbol" w:char="F0BE"/>
            </w:r>
            <w:r>
              <w:rPr>
                <w:noProof/>
                <w:sz w:val="20"/>
                <w:szCs w:val="20"/>
              </w:rPr>
              <w:t xml:space="preserve"> Poverty reduction and sustainable development</w:t>
            </w:r>
          </w:p>
        </w:tc>
        <w:tc>
          <w:tcPr>
            <w:tcW w:w="1515" w:type="dxa"/>
          </w:tcPr>
          <w:p>
            <w:pPr>
              <w:widowControl w:val="0"/>
              <w:spacing w:before="15" w:after="15"/>
              <w:jc w:val="right"/>
              <w:rPr>
                <w:noProof/>
                <w:sz w:val="20"/>
                <w:szCs w:val="20"/>
              </w:rPr>
            </w:pPr>
            <w:r>
              <w:rPr>
                <w:noProof/>
                <w:sz w:val="20"/>
                <w:szCs w:val="20"/>
              </w:rPr>
              <w:t>- 16 700 000</w:t>
            </w:r>
          </w:p>
        </w:tc>
        <w:tc>
          <w:tcPr>
            <w:tcW w:w="1701" w:type="dxa"/>
          </w:tcPr>
          <w:p>
            <w:pPr>
              <w:widowControl w:val="0"/>
              <w:spacing w:before="15" w:after="15"/>
              <w:jc w:val="right"/>
              <w:rPr>
                <w:noProof/>
                <w:sz w:val="20"/>
                <w:szCs w:val="20"/>
              </w:rPr>
            </w:pPr>
            <w:r>
              <w:rPr>
                <w:noProof/>
                <w:sz w:val="20"/>
                <w:szCs w:val="20"/>
              </w:rPr>
              <w:t>- 16 700 000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Borders>
              <w:bottom w:val="single" w:sz="4" w:space="0" w:color="auto"/>
            </w:tcBorders>
          </w:tcPr>
          <w:p>
            <w:pPr>
              <w:widowControl w:val="0"/>
              <w:spacing w:before="15" w:after="15"/>
              <w:ind w:right="-113"/>
              <w:jc w:val="both"/>
              <w:rPr>
                <w:noProof/>
                <w:sz w:val="20"/>
                <w:szCs w:val="20"/>
              </w:rPr>
            </w:pPr>
            <w:r>
              <w:rPr>
                <w:noProof/>
                <w:sz w:val="20"/>
                <w:szCs w:val="20"/>
              </w:rPr>
              <w:t>22 04 02 02</w:t>
            </w:r>
          </w:p>
        </w:tc>
        <w:tc>
          <w:tcPr>
            <w:tcW w:w="5267" w:type="dxa"/>
            <w:tcBorders>
              <w:bottom w:val="single" w:sz="4" w:space="0" w:color="auto"/>
            </w:tcBorders>
          </w:tcPr>
          <w:p>
            <w:pPr>
              <w:widowControl w:val="0"/>
              <w:spacing w:before="15" w:after="15"/>
              <w:jc w:val="both"/>
              <w:rPr>
                <w:noProof/>
                <w:sz w:val="20"/>
                <w:szCs w:val="20"/>
              </w:rPr>
            </w:pPr>
            <w:r>
              <w:rPr>
                <w:noProof/>
                <w:sz w:val="20"/>
                <w:szCs w:val="20"/>
              </w:rPr>
              <w:t xml:space="preserve">Eastern Partnership </w:t>
            </w:r>
            <w:r>
              <w:rPr>
                <w:noProof/>
                <w:sz w:val="20"/>
                <w:szCs w:val="20"/>
              </w:rPr>
              <w:sym w:font="Symbol" w:char="F0BE"/>
            </w:r>
            <w:r>
              <w:rPr>
                <w:noProof/>
                <w:sz w:val="20"/>
                <w:szCs w:val="20"/>
              </w:rPr>
              <w:t xml:space="preserve"> Poverty reduction and sustainable development</w:t>
            </w:r>
          </w:p>
        </w:tc>
        <w:tc>
          <w:tcPr>
            <w:tcW w:w="1515" w:type="dxa"/>
            <w:tcBorders>
              <w:bottom w:val="single" w:sz="4" w:space="0" w:color="auto"/>
            </w:tcBorders>
          </w:tcPr>
          <w:p>
            <w:pPr>
              <w:widowControl w:val="0"/>
              <w:spacing w:before="15" w:after="15"/>
              <w:jc w:val="right"/>
              <w:rPr>
                <w:noProof/>
                <w:sz w:val="20"/>
                <w:szCs w:val="20"/>
              </w:rPr>
            </w:pPr>
            <w:r>
              <w:rPr>
                <w:noProof/>
                <w:sz w:val="20"/>
                <w:szCs w:val="20"/>
              </w:rPr>
              <w:t>- 8 300 000</w:t>
            </w:r>
          </w:p>
        </w:tc>
        <w:tc>
          <w:tcPr>
            <w:tcW w:w="1701" w:type="dxa"/>
            <w:tcBorders>
              <w:bottom w:val="single" w:sz="4" w:space="0" w:color="auto"/>
            </w:tcBorders>
          </w:tcPr>
          <w:p>
            <w:pPr>
              <w:widowControl w:val="0"/>
              <w:spacing w:before="15" w:after="15"/>
              <w:jc w:val="right"/>
              <w:rPr>
                <w:noProof/>
                <w:sz w:val="20"/>
                <w:szCs w:val="20"/>
              </w:rPr>
            </w:pPr>
            <w:r>
              <w:rPr>
                <w:noProof/>
                <w:sz w:val="20"/>
                <w:szCs w:val="20"/>
              </w:rPr>
              <w:t>- 8 300 000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6707" w:type="dxa"/>
            <w:gridSpan w:val="3"/>
            <w:shd w:val="clear" w:color="auto" w:fill="D9D9D9" w:themeFill="background1" w:themeFillShade="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15" w:type="dxa"/>
            <w:shd w:val="clear" w:color="auto" w:fill="D9D9D9" w:themeFill="background1" w:themeFillShade="D9"/>
          </w:tcPr>
          <w:p>
            <w:pPr>
              <w:widowControl w:val="0"/>
              <w:spacing w:before="15" w:after="15"/>
              <w:jc w:val="right"/>
              <w:rPr>
                <w:b/>
                <w:noProof/>
                <w:sz w:val="20"/>
                <w:szCs w:val="20"/>
              </w:rPr>
            </w:pPr>
            <w:r>
              <w:rPr>
                <w:b/>
                <w:noProof/>
                <w:sz w:val="20"/>
                <w:szCs w:val="20"/>
              </w:rPr>
              <w:t>250 000 000</w:t>
            </w:r>
          </w:p>
        </w:tc>
        <w:tc>
          <w:tcPr>
            <w:tcW w:w="1701" w:type="dxa"/>
            <w:shd w:val="clear" w:color="auto" w:fill="D9D9D9" w:themeFill="background1" w:themeFillShade="D9"/>
          </w:tcPr>
          <w:p>
            <w:pPr>
              <w:widowControl w:val="0"/>
              <w:spacing w:before="15" w:after="15"/>
              <w:jc w:val="right"/>
              <w:rPr>
                <w:b/>
                <w:noProof/>
                <w:sz w:val="20"/>
                <w:szCs w:val="20"/>
              </w:rPr>
            </w:pPr>
            <w:r>
              <w:rPr>
                <w:b/>
                <w:noProof/>
                <w:sz w:val="20"/>
                <w:szCs w:val="20"/>
              </w:rPr>
              <w:t>250 000 000</w:t>
            </w:r>
          </w:p>
        </w:tc>
      </w:tr>
    </w:tbl>
    <w:p>
      <w:pPr>
        <w:pStyle w:val="ManualHeading2"/>
        <w:numPr>
          <w:ilvl w:val="0"/>
          <w:numId w:val="0"/>
        </w:numPr>
        <w:tabs>
          <w:tab w:val="left" w:pos="851"/>
        </w:tabs>
        <w:ind w:left="851" w:hanging="851"/>
      </w:pPr>
      <w:bookmarkStart w:id="110" w:name="_Toc464138550"/>
      <w:r>
        <w:rPr>
          <w:rFonts w:eastAsia="Calibri"/>
        </w:rPr>
        <w:t xml:space="preserve">4.3 </w:t>
      </w:r>
      <w:r>
        <w:rPr>
          <w:rFonts w:eastAsia="Calibri"/>
        </w:rPr>
        <w:tab/>
      </w:r>
      <w:r>
        <w:t>Mobilisation of the contingency margin for heading 4</w:t>
      </w:r>
      <w:bookmarkEnd w:id="110"/>
    </w:p>
    <w:p>
      <w:pPr>
        <w:spacing w:before="120" w:after="120"/>
        <w:jc w:val="both"/>
        <w:rPr>
          <w:noProof/>
          <w:szCs w:val="22"/>
        </w:rPr>
      </w:pPr>
      <w:r>
        <w:rPr>
          <w:noProof/>
          <w:szCs w:val="22"/>
        </w:rPr>
        <w:t>The DB 2017 exhausted the expenditure ceiling for commitments for heading 4</w:t>
      </w:r>
      <w:r>
        <w:rPr>
          <w:i/>
          <w:noProof/>
          <w:szCs w:val="22"/>
        </w:rPr>
        <w:t xml:space="preserve"> Global Europe</w:t>
      </w:r>
      <w:r>
        <w:rPr>
          <w:noProof/>
          <w:szCs w:val="22"/>
        </w:rPr>
        <w:t xml:space="preserve"> and proposed the full mobilisation of the Flexibility Instrument (EUR 530 million) for heading 3 </w:t>
      </w:r>
      <w:r>
        <w:rPr>
          <w:i/>
          <w:noProof/>
          <w:szCs w:val="22"/>
        </w:rPr>
        <w:t>Security and Citizenship</w:t>
      </w:r>
      <w:r>
        <w:rPr>
          <w:noProof/>
          <w:szCs w:val="22"/>
        </w:rPr>
        <w:t>. Consequently, the mobilisation of the Contingency Margin in 2017 is the last resort instrument available to address the additional needs described above. Taking into account the small margin of EUR 13,8 million created by the proposed transfer of the financing of some EU Special Representatives (EUSR) from heading 4 to heading 3, the Commission proposes to mobilise the Contingency Margin for an amount of EUR 986,2 million to be offset in the period 2017-2019 against the margins of  heading 2 in 2017 and heading 5 in 2018-2019</w:t>
      </w:r>
      <w:r>
        <w:rPr>
          <w:noProof/>
          <w:szCs w:val="22"/>
          <w:vertAlign w:val="superscript"/>
        </w:rPr>
        <w:footnoteReference w:id="21"/>
      </w:r>
      <w:r>
        <w:rPr>
          <w:noProof/>
          <w:szCs w:val="22"/>
        </w:rPr>
        <w:t>.</w:t>
      </w:r>
    </w:p>
    <w:p>
      <w:pPr>
        <w:pStyle w:val="ManualHeading2"/>
        <w:numPr>
          <w:ilvl w:val="0"/>
          <w:numId w:val="0"/>
        </w:numPr>
        <w:tabs>
          <w:tab w:val="left" w:pos="851"/>
        </w:tabs>
      </w:pPr>
      <w:bookmarkStart w:id="111" w:name="_Toc462933865"/>
      <w:bookmarkStart w:id="112" w:name="_Toc462935229"/>
      <w:bookmarkStart w:id="113" w:name="_Toc462935331"/>
      <w:bookmarkStart w:id="114" w:name="_Toc462935379"/>
      <w:bookmarkStart w:id="115" w:name="_Toc462935536"/>
      <w:bookmarkStart w:id="116" w:name="_Toc463004756"/>
      <w:bookmarkStart w:id="117" w:name="_Toc464138551"/>
      <w:bookmarkEnd w:id="111"/>
      <w:bookmarkEnd w:id="112"/>
      <w:bookmarkEnd w:id="113"/>
      <w:bookmarkEnd w:id="114"/>
      <w:bookmarkEnd w:id="115"/>
      <w:bookmarkEnd w:id="116"/>
      <w:r>
        <w:rPr>
          <w:rFonts w:eastAsia="Calibri"/>
        </w:rPr>
        <w:t xml:space="preserve">4.4 </w:t>
      </w:r>
      <w:r>
        <w:rPr>
          <w:rFonts w:eastAsia="Calibri"/>
        </w:rPr>
        <w:tab/>
      </w:r>
      <w:r>
        <w:t>Reinforcing the Establishment Plan of Europol</w:t>
      </w:r>
      <w:bookmarkEnd w:id="117"/>
    </w:p>
    <w:p>
      <w:pPr>
        <w:spacing w:before="120" w:after="120"/>
        <w:jc w:val="both"/>
        <w:rPr>
          <w:noProof/>
        </w:rPr>
      </w:pPr>
      <w:r>
        <w:rPr>
          <w:noProof/>
        </w:rPr>
        <w:t>Under the European Agenda for Security, the European Counter Terrorism Centre (ECTC) in Europol plays a key role as the central hub in the fight against terrorism in the EU, contributing to a coordinated reaction against the ongoing and anticipated terrorist threat and attacks. The Centre supports Member States by providing operational and analytical support for investigations into terrorist activities as well as cooperation with international partners.</w:t>
      </w:r>
    </w:p>
    <w:p>
      <w:pPr>
        <w:spacing w:before="120" w:after="120"/>
        <w:jc w:val="both"/>
        <w:rPr>
          <w:noProof/>
        </w:rPr>
      </w:pPr>
      <w:r>
        <w:rPr>
          <w:noProof/>
        </w:rPr>
        <w:t>In the wake of the recent terrorist attacks in Europe, the level of information submitted to EUROPOL and requests for support from Member States has increased steeply, which creates a significant additional workload in the agency. The DB 2017 already included 25 additional establishment plan posts, 5 contract agents and 5 seconded national experts for this reason.</w:t>
      </w:r>
    </w:p>
    <w:p>
      <w:pPr>
        <w:spacing w:before="120" w:after="120"/>
        <w:jc w:val="both"/>
        <w:rPr>
          <w:noProof/>
        </w:rPr>
      </w:pPr>
      <w:r>
        <w:rPr>
          <w:noProof/>
        </w:rPr>
        <w:t xml:space="preserve">Based on a needs assessment carried out in light of the Commission communication on </w:t>
      </w:r>
      <w:r>
        <w:rPr>
          <w:i/>
          <w:noProof/>
        </w:rPr>
        <w:t>Enhancing security in a world of mobility</w:t>
      </w:r>
      <w:r>
        <w:rPr>
          <w:noProof/>
          <w:vertAlign w:val="superscript"/>
          <w:lang w:eastAsia="en-US"/>
        </w:rPr>
        <w:footnoteReference w:id="22"/>
      </w:r>
      <w:r>
        <w:rPr>
          <w:noProof/>
        </w:rPr>
        <w:t>, the Commission requests a further reinforcement of 20 establishment plan posts for the ECTC. The additional staff is requested to reinforce operational support, notably to provide a 24/7 service and on-the-spot deployment capabilities.</w:t>
      </w:r>
    </w:p>
    <w:p>
      <w:pPr>
        <w:spacing w:before="120" w:after="120"/>
        <w:jc w:val="both"/>
        <w:rPr>
          <w:noProof/>
        </w:rPr>
      </w:pPr>
      <w:r>
        <w:rPr>
          <w:noProof/>
        </w:rPr>
        <w:t>The related additional appropriations for the remuneration of new staff (EUR 1 340 000) have been calculated on the basis of an average of six months' presence in 2017. The funding is proposed to be made available through a reprioritisation of actions under the Asylum, Migration and Integration Fund (AMIF) which were planned to be implemented by the Commission under direct management in 2017. The Commission will monitor the funding needs for these actions throughout the year, and it will propose corrective measures if necessary.</w:t>
      </w:r>
    </w:p>
    <w:tbl>
      <w:tblPr>
        <w:tblW w:w="9960" w:type="dxa"/>
        <w:jc w:val="center"/>
        <w:tblLayout w:type="fixed"/>
        <w:tblCellMar>
          <w:left w:w="40" w:type="dxa"/>
          <w:right w:w="40" w:type="dxa"/>
        </w:tblCellMar>
        <w:tblLook w:val="0000" w:firstRow="0" w:lastRow="0" w:firstColumn="0" w:lastColumn="0" w:noHBand="0" w:noVBand="0"/>
      </w:tblPr>
      <w:tblGrid>
        <w:gridCol w:w="9"/>
        <w:gridCol w:w="1191"/>
        <w:gridCol w:w="5463"/>
        <w:gridCol w:w="1617"/>
        <w:gridCol w:w="1672"/>
        <w:gridCol w:w="8"/>
      </w:tblGrid>
      <w:tr>
        <w:trPr>
          <w:gridBefore w:val="1"/>
          <w:gridAfter w:val="1"/>
          <w:wBefore w:w="9" w:type="dxa"/>
          <w:wAfter w:w="8" w:type="dxa"/>
          <w:trHeight w:val="164"/>
          <w:tblHeader/>
          <w:jc w:val="center"/>
        </w:trPr>
        <w:tc>
          <w:tcPr>
            <w:tcW w:w="994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46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18 03 01 01</w:t>
            </w:r>
          </w:p>
        </w:tc>
        <w:tc>
          <w:tcPr>
            <w:tcW w:w="5463" w:type="dxa"/>
          </w:tcPr>
          <w:p>
            <w:pPr>
              <w:widowControl w:val="0"/>
              <w:tabs>
                <w:tab w:val="left" w:pos="1350"/>
              </w:tabs>
              <w:spacing w:before="15" w:after="15" w:line="276" w:lineRule="auto"/>
              <w:jc w:val="both"/>
              <w:rPr>
                <w:noProof/>
                <w:sz w:val="20"/>
                <w:szCs w:val="20"/>
                <w:lang w:eastAsia="en-US"/>
              </w:rPr>
            </w:pPr>
            <w:r>
              <w:rPr>
                <w:noProof/>
                <w:sz w:val="20"/>
                <w:szCs w:val="20"/>
                <w:lang w:eastAsia="en-US"/>
              </w:rPr>
              <w:t>Strengthening and developing the common European asylum system and enhancing solidarity and responsibility-sharing between the Member States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-1 340 000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-1 340 000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18 02 04</w:t>
            </w:r>
          </w:p>
        </w:tc>
        <w:tc>
          <w:tcPr>
            <w:tcW w:w="5463" w:type="dxa"/>
          </w:tcPr>
          <w:p>
            <w:pPr>
              <w:widowControl w:val="0"/>
              <w:tabs>
                <w:tab w:val="left" w:pos="1350"/>
              </w:tabs>
              <w:spacing w:before="15" w:after="15" w:line="276" w:lineRule="auto"/>
              <w:jc w:val="both"/>
              <w:rPr>
                <w:noProof/>
                <w:sz w:val="20"/>
                <w:szCs w:val="20"/>
                <w:lang w:eastAsia="en-US"/>
              </w:rPr>
            </w:pPr>
            <w:r>
              <w:rPr>
                <w:noProof/>
                <w:sz w:val="20"/>
                <w:szCs w:val="20"/>
                <w:lang w:eastAsia="en-US"/>
              </w:rPr>
              <w:t>European Police Office (Europol)</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1 340 000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1 340 000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66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0</w:t>
            </w:r>
          </w:p>
        </w:tc>
        <w:tc>
          <w:tcPr>
            <w:tcW w:w="1680" w:type="dxa"/>
            <w:gridSpan w:val="2"/>
            <w:shd w:val="clear" w:color="auto" w:fill="D9D9D9"/>
          </w:tcPr>
          <w:p>
            <w:pPr>
              <w:widowControl w:val="0"/>
              <w:spacing w:before="15" w:after="15"/>
              <w:jc w:val="right"/>
              <w:rPr>
                <w:b/>
                <w:noProof/>
                <w:sz w:val="20"/>
                <w:szCs w:val="20"/>
              </w:rPr>
            </w:pPr>
            <w:r>
              <w:rPr>
                <w:b/>
                <w:noProof/>
                <w:sz w:val="20"/>
                <w:szCs w:val="20"/>
              </w:rPr>
              <w:t>0</w:t>
            </w:r>
          </w:p>
        </w:tc>
      </w:tr>
    </w:tbl>
    <w:p>
      <w:pPr>
        <w:spacing w:before="120" w:after="120"/>
        <w:jc w:val="both"/>
        <w:rPr>
          <w:noProof/>
        </w:rPr>
      </w:pPr>
      <w:r>
        <w:rPr>
          <w:noProof/>
          <w:lang w:eastAsia="en-US"/>
        </w:rPr>
        <w:t>The updated establishment plan is set out in the budgetary annex.</w:t>
      </w:r>
    </w:p>
    <w:p>
      <w:pPr>
        <w:rPr>
          <w:b/>
          <w:smallCaps/>
          <w:noProof/>
          <w:lang w:eastAsia="de-DE"/>
        </w:rPr>
      </w:pPr>
      <w:bookmarkStart w:id="118" w:name="_Toc463974174"/>
      <w:bookmarkStart w:id="119" w:name="_Toc464028219"/>
      <w:bookmarkStart w:id="120" w:name="_Toc464028351"/>
      <w:bookmarkStart w:id="121" w:name="_Toc463264184"/>
      <w:bookmarkEnd w:id="118"/>
      <w:bookmarkEnd w:id="119"/>
      <w:bookmarkEnd w:id="120"/>
      <w:r>
        <w:rPr>
          <w:noProof/>
        </w:rPr>
        <w:br w:type="page"/>
      </w:r>
    </w:p>
    <w:p>
      <w:pPr>
        <w:pStyle w:val="ManualHeading1"/>
        <w:spacing w:before="240"/>
        <w:rPr>
          <w:noProof/>
        </w:rPr>
      </w:pPr>
      <w:bookmarkStart w:id="122" w:name="_Toc464138552"/>
      <w:r>
        <w:rPr>
          <w:noProof/>
        </w:rPr>
        <w:t>5.</w:t>
      </w:r>
      <w:r>
        <w:rPr>
          <w:noProof/>
        </w:rPr>
        <w:tab/>
        <w:t>Other adjustments</w:t>
      </w:r>
      <w:bookmarkEnd w:id="122"/>
      <w:r>
        <w:rPr>
          <w:noProof/>
        </w:rPr>
        <w:t xml:space="preserve"> </w:t>
      </w:r>
    </w:p>
    <w:p>
      <w:pPr>
        <w:pStyle w:val="ManualHeading2"/>
        <w:numPr>
          <w:ilvl w:val="0"/>
          <w:numId w:val="0"/>
        </w:numPr>
        <w:tabs>
          <w:tab w:val="left" w:pos="851"/>
        </w:tabs>
      </w:pPr>
      <w:bookmarkStart w:id="123" w:name="_Toc464138553"/>
      <w:r>
        <w:rPr>
          <w:rFonts w:eastAsia="Calibri"/>
        </w:rPr>
        <w:t xml:space="preserve">5.1. </w:t>
      </w:r>
      <w:r>
        <w:rPr>
          <w:rFonts w:eastAsia="Calibri"/>
        </w:rPr>
        <w:tab/>
      </w:r>
      <w:r>
        <w:t>Adjustments to the Establishment Plans of Frontex and EASO</w:t>
      </w:r>
      <w:bookmarkEnd w:id="123"/>
    </w:p>
    <w:p>
      <w:pPr>
        <w:spacing w:before="120" w:after="120"/>
        <w:jc w:val="both"/>
        <w:rPr>
          <w:noProof/>
        </w:rPr>
      </w:pPr>
      <w:r>
        <w:rPr>
          <w:noProof/>
        </w:rPr>
        <w:t>The DB 2017 contained a substantial reinforcement of the number of establishment plan posts of Frontex (+130 posts, of which 50 proposed to be frontloaded in draft amending budget 4/2016</w:t>
      </w:r>
      <w:r>
        <w:rPr>
          <w:noProof/>
          <w:szCs w:val="22"/>
          <w:vertAlign w:val="superscript"/>
        </w:rPr>
        <w:footnoteReference w:id="23"/>
      </w:r>
      <w:r>
        <w:rPr>
          <w:noProof/>
          <w:szCs w:val="22"/>
          <w:vertAlign w:val="superscript"/>
        </w:rPr>
        <w:t>)</w:t>
      </w:r>
      <w:r>
        <w:rPr>
          <w:noProof/>
        </w:rPr>
        <w:t xml:space="preserve"> and EASO (+64 posts), so as to enable the agencies to carry out their extended mandates as the new European Border and Coast Guard Agency</w:t>
      </w:r>
      <w:r>
        <w:rPr>
          <w:noProof/>
          <w:szCs w:val="22"/>
          <w:vertAlign w:val="superscript"/>
        </w:rPr>
        <w:footnoteReference w:id="24"/>
      </w:r>
      <w:r>
        <w:rPr>
          <w:noProof/>
          <w:szCs w:val="22"/>
          <w:vertAlign w:val="superscript"/>
        </w:rPr>
        <w:t xml:space="preserve"> </w:t>
      </w:r>
      <w:r>
        <w:rPr>
          <w:noProof/>
        </w:rPr>
        <w:t>and the EU Agency for Asylum</w:t>
      </w:r>
      <w:r>
        <w:rPr>
          <w:noProof/>
          <w:szCs w:val="22"/>
          <w:vertAlign w:val="superscript"/>
        </w:rPr>
        <w:footnoteReference w:id="25"/>
      </w:r>
      <w:r>
        <w:rPr>
          <w:noProof/>
        </w:rPr>
        <w:t>.</w:t>
      </w:r>
    </w:p>
    <w:p>
      <w:pPr>
        <w:spacing w:before="120" w:after="120"/>
        <w:jc w:val="both"/>
        <w:rPr>
          <w:noProof/>
        </w:rPr>
      </w:pPr>
      <w:r>
        <w:rPr>
          <w:noProof/>
        </w:rPr>
        <w:t>Awaiting a more detailed analysis of the job profiles required, in the draft budget the additional posts for both agencies were requested at the entry grades of the function groups for Administrators (AD 5) and Assistants (AST 3, in the case of EASO also AST 1). The needs assessment has confirmed that there should be more emphasis on recruiting experienced staff across the establishment plan, as well as the creation of new units in the new areas of activity under the extended mandates, which requires the recruitment of a number of staff to middle-management positions.</w:t>
      </w:r>
    </w:p>
    <w:p>
      <w:pPr>
        <w:spacing w:before="120" w:after="120"/>
        <w:jc w:val="both"/>
        <w:rPr>
          <w:noProof/>
        </w:rPr>
      </w:pPr>
      <w:r>
        <w:rPr>
          <w:noProof/>
        </w:rPr>
        <w:t>This regrading of establishment plan posts for both Frontex and EASO in 2017 can be financed within the agencies' budgets for the year as proposed in the draft budget. Consequently, a reinforcement of the EU contribution to the agencies is not required.</w:t>
      </w:r>
    </w:p>
    <w:p>
      <w:pPr>
        <w:spacing w:before="120" w:after="120"/>
        <w:jc w:val="both"/>
        <w:rPr>
          <w:noProof/>
        </w:rPr>
      </w:pPr>
      <w:r>
        <w:rPr>
          <w:noProof/>
          <w:lang w:eastAsia="en-US"/>
        </w:rPr>
        <w:t>The updated establishment plans are set out in the budgetary annex.</w:t>
      </w:r>
    </w:p>
    <w:p>
      <w:pPr>
        <w:pStyle w:val="ManualHeading2"/>
        <w:numPr>
          <w:ilvl w:val="0"/>
          <w:numId w:val="0"/>
        </w:numPr>
        <w:tabs>
          <w:tab w:val="left" w:pos="851"/>
        </w:tabs>
      </w:pPr>
      <w:bookmarkStart w:id="124" w:name="_Toc464138554"/>
      <w:r>
        <w:rPr>
          <w:rFonts w:eastAsia="Calibri"/>
        </w:rPr>
        <w:t xml:space="preserve">5.2. </w:t>
      </w:r>
      <w:r>
        <w:rPr>
          <w:rFonts w:eastAsia="Calibri"/>
        </w:rPr>
        <w:tab/>
      </w:r>
      <w:r>
        <w:t>Adjustments to the establishment plans of EU-OSHA and EUROFOUND</w:t>
      </w:r>
      <w:bookmarkEnd w:id="124"/>
    </w:p>
    <w:p>
      <w:pPr>
        <w:spacing w:before="120" w:after="120"/>
        <w:jc w:val="both"/>
        <w:rPr>
          <w:noProof/>
          <w:szCs w:val="20"/>
          <w:lang w:eastAsia="de-DE"/>
        </w:rPr>
      </w:pPr>
      <w:r>
        <w:rPr>
          <w:noProof/>
          <w:szCs w:val="20"/>
          <w:lang w:eastAsia="de-DE"/>
        </w:rPr>
        <w:t>The staff reduction target for the European agency for safety and health at work (EU-OSHA) in Bilbao translates into a reduction of one post in 2017, i.e. from 41 posts authorised in the 2016 budget to 40 posts in the draft budget 2017, of which 23 posts were proposed in the function group for Administrators and 17 posts in the function group for Assistants. However, taking into account a current vacancy, the agency has now requested to reduce one post in the function group for Assistants, and to keep the number of posts in the function group for Administrators stable at the 2016 level. This has no impact on expenditure.</w:t>
      </w:r>
    </w:p>
    <w:p>
      <w:pPr>
        <w:spacing w:before="120" w:after="120"/>
        <w:jc w:val="both"/>
        <w:rPr>
          <w:noProof/>
          <w:szCs w:val="20"/>
          <w:lang w:eastAsia="de-DE"/>
        </w:rPr>
      </w:pPr>
      <w:r>
        <w:rPr>
          <w:noProof/>
          <w:szCs w:val="20"/>
          <w:lang w:eastAsia="de-DE"/>
        </w:rPr>
        <w:t>The staff reduction target for the European foundation for the improvement of living and working conditions (EUROFOUND) in Dublin translates into a reduction of two posts in 2017, i.e. from 95 posts authorised in the 2016 budget to 93 posts in the 2017 draft budget, of which 50 posts were proposed in the function group for Administrators and 43 posts in the function group for Assistants. However, taking into account the planned reintegration of a temporary agent in the function group for Administrators, the agency has now requested to swap one permanent post for officials for one temporary post for temporary agents within the function group for Administrators. This keeps the overall number of posts in the function group for Administrators stable at the level initially requested for 2017 (50). This has no impact on expenditure.</w:t>
      </w:r>
    </w:p>
    <w:p>
      <w:pPr>
        <w:spacing w:before="120" w:after="120"/>
        <w:jc w:val="both"/>
        <w:rPr>
          <w:noProof/>
          <w:lang w:eastAsia="en-US"/>
        </w:rPr>
      </w:pPr>
      <w:r>
        <w:rPr>
          <w:noProof/>
          <w:lang w:eastAsia="en-US"/>
        </w:rPr>
        <w:t>The updated establishment plans are set out in the budgetary annex.</w:t>
      </w:r>
    </w:p>
    <w:p>
      <w:pPr>
        <w:rPr>
          <w:rFonts w:eastAsia="Calibri"/>
          <w:b/>
          <w:noProof/>
          <w:lang w:eastAsia="en-US"/>
        </w:rPr>
      </w:pPr>
      <w:bookmarkStart w:id="125" w:name="_Toc463974178"/>
      <w:bookmarkStart w:id="126" w:name="_Toc464028223"/>
      <w:bookmarkStart w:id="127" w:name="_Toc464028355"/>
      <w:bookmarkEnd w:id="121"/>
      <w:bookmarkEnd w:id="125"/>
      <w:bookmarkEnd w:id="126"/>
      <w:bookmarkEnd w:id="127"/>
      <w:r>
        <w:rPr>
          <w:rFonts w:eastAsia="Calibri"/>
          <w:noProof/>
        </w:rPr>
        <w:br w:type="page"/>
      </w:r>
    </w:p>
    <w:p>
      <w:pPr>
        <w:pStyle w:val="ManualHeading2"/>
        <w:numPr>
          <w:ilvl w:val="0"/>
          <w:numId w:val="0"/>
        </w:numPr>
        <w:tabs>
          <w:tab w:val="left" w:pos="851"/>
        </w:tabs>
        <w:ind w:left="851" w:hanging="851"/>
      </w:pPr>
      <w:bookmarkStart w:id="128" w:name="_Toc464138555"/>
      <w:r>
        <w:rPr>
          <w:rFonts w:eastAsia="Calibri"/>
        </w:rPr>
        <w:t>5.3.</w:t>
      </w:r>
      <w:r>
        <w:rPr>
          <w:rFonts w:eastAsia="Calibri"/>
        </w:rPr>
        <w:tab/>
      </w:r>
      <w:r>
        <w:t>Transfer of three double-hatted EUSRs from heading 4 (Section III- Commission) to heading 5 (Section X- EEAS)</w:t>
      </w:r>
      <w:bookmarkEnd w:id="128"/>
    </w:p>
    <w:p>
      <w:pPr>
        <w:spacing w:before="120" w:after="120"/>
        <w:jc w:val="both"/>
        <w:rPr>
          <w:noProof/>
        </w:rPr>
      </w:pPr>
      <w:r>
        <w:rPr>
          <w:noProof/>
        </w:rPr>
        <w:t>There are currently three EU Special Representatives (EUSRs), in Afghanistan, Bosnia and Herzegovina and in Kosovo</w:t>
      </w:r>
      <w:r>
        <w:rPr>
          <w:noProof/>
          <w:vertAlign w:val="superscript"/>
        </w:rPr>
        <w:footnoteReference w:id="26"/>
      </w:r>
      <w:r>
        <w:rPr>
          <w:noProof/>
        </w:rPr>
        <w:t>, who are "double-hatted" as Heads of EU Delegations (EU Office in the case of Kosovo). Their mandates, which currently run until 28 February 2017, are decided by the Council on a proposal of the High Representative of the Union for Foreign Affairs and Security Policy, and their costs are covered under the budget chapter of the Common Foreign and Security Policy (CFSP), part of heading 4.</w:t>
      </w:r>
    </w:p>
    <w:p>
      <w:pPr>
        <w:spacing w:before="120" w:after="120"/>
        <w:jc w:val="both"/>
        <w:rPr>
          <w:noProof/>
        </w:rPr>
      </w:pPr>
      <w:r>
        <w:rPr>
          <w:noProof/>
        </w:rPr>
        <w:t>Before the creation of the European External Action Service (EEAS), the underlying argument for the double-hatted arrangement was to ensure that the EU representative had a political mandate and the expertise necessary to carry out political and diplomatic tasks, as such tasks could not be entrusted directly to the Commission Delegations.</w:t>
      </w:r>
    </w:p>
    <w:p>
      <w:pPr>
        <w:spacing w:before="120" w:after="120"/>
        <w:jc w:val="both"/>
        <w:rPr>
          <w:noProof/>
        </w:rPr>
      </w:pPr>
      <w:r>
        <w:rPr>
          <w:noProof/>
        </w:rPr>
        <w:t>In the post-Lisbon context, heads of EU Delegations worldwide now have a greatly strengthened political mandate to represent the EU comprehensively in third countries.</w:t>
      </w:r>
    </w:p>
    <w:p>
      <w:pPr>
        <w:spacing w:before="120" w:after="120"/>
        <w:jc w:val="both"/>
        <w:rPr>
          <w:noProof/>
        </w:rPr>
      </w:pPr>
      <w:r>
        <w:rPr>
          <w:rFonts w:eastAsia="TimesNewRoman"/>
          <w:noProof/>
        </w:rPr>
        <w:t xml:space="preserve">In the </w:t>
      </w:r>
      <w:r>
        <w:rPr>
          <w:rFonts w:eastAsia="TimesNewRoman"/>
          <w:i/>
          <w:noProof/>
        </w:rPr>
        <w:t>Conclusions on the EEAS review</w:t>
      </w:r>
      <w:r>
        <w:rPr>
          <w:rFonts w:eastAsia="TimesNewRoman"/>
          <w:i/>
          <w:noProof/>
          <w:vertAlign w:val="superscript"/>
        </w:rPr>
        <w:footnoteReference w:id="27"/>
      </w:r>
      <w:r>
        <w:rPr>
          <w:rFonts w:eastAsia="TimesNewRoman"/>
          <w:noProof/>
        </w:rPr>
        <w:t xml:space="preserve"> of 17 December 2013, the Council stressed with respect to the EUSRs "the need to enhance overall efficiency and accountability, as well as to ensure coordination and coherence with all other EU actors, emphasising the importance of close cooperation with the EEAS." At the same time, in the Decision</w:t>
      </w:r>
      <w:r>
        <w:rPr>
          <w:rFonts w:eastAsia="TimesNewRoman"/>
          <w:noProof/>
          <w:vertAlign w:val="superscript"/>
        </w:rPr>
        <w:footnoteReference w:id="28"/>
      </w:r>
      <w:r>
        <w:rPr>
          <w:rFonts w:eastAsia="TimesNewRoman"/>
          <w:noProof/>
        </w:rPr>
        <w:t xml:space="preserve"> on </w:t>
      </w:r>
      <w:r>
        <w:rPr>
          <w:noProof/>
        </w:rPr>
        <w:t>discharge in respect of the implementation of the general budget of the European Union for the financial year 2014, Section X – European External Action Service, the European Parliament called for "steps to better integrate the EU Special Representatives more closely into the administrative structure and senior management of the EEAS in order to increase interaction and coordination, exploit synergies and ensure cost-effectiveness".</w:t>
      </w:r>
    </w:p>
    <w:p>
      <w:pPr>
        <w:spacing w:before="120" w:after="120"/>
        <w:jc w:val="both"/>
        <w:rPr>
          <w:noProof/>
        </w:rPr>
      </w:pPr>
      <w:r>
        <w:rPr>
          <w:noProof/>
        </w:rPr>
        <w:t>The current administrative set-up of the double-hatted EUSR offices/EU Delegations is far from ideal. It is funded from two different EU budget headings, which leads to parallel administrative, financial and logistical circuits. Although mostly working hand-in-hand with the colleagues from the EU Delegations, the members of the EUSRs offices are not formally and administratively attached to the EEAS and the respective EU Delegation.</w:t>
      </w:r>
    </w:p>
    <w:p>
      <w:pPr>
        <w:spacing w:before="120" w:after="120"/>
        <w:jc w:val="both"/>
        <w:rPr>
          <w:noProof/>
        </w:rPr>
      </w:pPr>
      <w:r>
        <w:rPr>
          <w:noProof/>
        </w:rPr>
        <w:t>Under the current mandate 115 full-time equivalent (FTE) staff in the Offices concerned are authorised, with the following breakdown:</w:t>
      </w:r>
    </w:p>
    <w:p>
      <w:pPr>
        <w:tabs>
          <w:tab w:val="left" w:pos="612"/>
          <w:tab w:val="center" w:pos="4536"/>
        </w:tabs>
        <w:autoSpaceDE w:val="0"/>
        <w:autoSpaceDN w:val="0"/>
        <w:adjustRightInd w:val="0"/>
        <w:spacing w:before="100" w:beforeAutospacing="1" w:line="360" w:lineRule="auto"/>
        <w:jc w:val="center"/>
        <w:rPr>
          <w:rFonts w:eastAsia="TimesNewRoman"/>
          <w:b/>
          <w:noProof/>
        </w:rPr>
      </w:pPr>
      <w:r>
        <w:rPr>
          <w:rFonts w:eastAsia="TimesNewRoman"/>
          <w:b/>
          <w:noProof/>
        </w:rPr>
        <w:t>Current mandate: authorised number of FTEs in the 3 double-hatted EUSR Offices</w:t>
      </w:r>
    </w:p>
    <w:tbl>
      <w:tblPr>
        <w:tblW w:w="8104" w:type="dxa"/>
        <w:jc w:val="center"/>
        <w:tblLook w:val="00A0" w:firstRow="1" w:lastRow="0" w:firstColumn="1" w:lastColumn="0" w:noHBand="0" w:noVBand="0"/>
      </w:tblPr>
      <w:tblGrid>
        <w:gridCol w:w="1640"/>
        <w:gridCol w:w="1786"/>
        <w:gridCol w:w="1715"/>
        <w:gridCol w:w="1546"/>
        <w:gridCol w:w="1417"/>
      </w:tblGrid>
      <w:tr>
        <w:trPr>
          <w:trHeight w:val="255"/>
          <w:jc w:val="center"/>
        </w:trPr>
        <w:tc>
          <w:tcPr>
            <w:tcW w:w="164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Location</w:t>
            </w:r>
          </w:p>
        </w:tc>
        <w:tc>
          <w:tcPr>
            <w:tcW w:w="178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International Contracted Staff</w:t>
            </w:r>
          </w:p>
        </w:tc>
        <w:tc>
          <w:tcPr>
            <w:tcW w:w="171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center"/>
              <w:rPr>
                <w:b/>
                <w:noProof/>
                <w:sz w:val="20"/>
                <w:szCs w:val="20"/>
                <w:lang w:eastAsia="en-US"/>
              </w:rPr>
            </w:pPr>
            <w:r>
              <w:rPr>
                <w:b/>
                <w:noProof/>
                <w:sz w:val="20"/>
                <w:szCs w:val="20"/>
                <w:lang w:eastAsia="en-US"/>
              </w:rPr>
              <w:t>Seconded national experts</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Local agents</w:t>
            </w:r>
          </w:p>
        </w:tc>
        <w:tc>
          <w:tcPr>
            <w:tcW w:w="1417"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Total</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Afghanistan</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5</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7</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8</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20</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Kosovo</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13</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5</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21</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39</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Bosnia</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4</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15</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37</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56</w:t>
            </w:r>
          </w:p>
        </w:tc>
      </w:tr>
      <w:tr>
        <w:trPr>
          <w:trHeight w:val="270"/>
          <w:jc w:val="center"/>
        </w:trPr>
        <w:tc>
          <w:tcPr>
            <w:tcW w:w="164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lang w:eastAsia="en-US"/>
              </w:rPr>
            </w:pPr>
            <w:r>
              <w:rPr>
                <w:b/>
                <w:noProof/>
                <w:sz w:val="20"/>
                <w:szCs w:val="20"/>
                <w:lang w:eastAsia="en-US"/>
              </w:rPr>
              <w:t>Total</w:t>
            </w:r>
          </w:p>
        </w:tc>
        <w:tc>
          <w:tcPr>
            <w:tcW w:w="1786"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22</w:t>
            </w:r>
          </w:p>
        </w:tc>
        <w:tc>
          <w:tcPr>
            <w:tcW w:w="1715"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27</w:t>
            </w:r>
          </w:p>
        </w:tc>
        <w:tc>
          <w:tcPr>
            <w:tcW w:w="1546"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66</w:t>
            </w: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115</w:t>
            </w:r>
          </w:p>
        </w:tc>
      </w:tr>
    </w:tbl>
    <w:p>
      <w:pPr>
        <w:spacing w:before="120" w:after="120"/>
        <w:jc w:val="both"/>
        <w:rPr>
          <w:noProof/>
          <w:szCs w:val="20"/>
          <w:lang w:eastAsia="de-DE"/>
        </w:rPr>
      </w:pPr>
      <w:r>
        <w:rPr>
          <w:noProof/>
          <w:szCs w:val="20"/>
          <w:lang w:eastAsia="de-DE"/>
        </w:rPr>
        <w:t>The related cost charged to the CFSP budget line (19 03 01 07) in the DB 2017 is estimated at EUR 13,8 million. The current mandate of the EUSRs was agreed for 16 months and therefore the appropriations in the table below are annualised.</w:t>
      </w:r>
    </w:p>
    <w:tbl>
      <w:tblPr>
        <w:tblW w:w="8110" w:type="dxa"/>
        <w:jc w:val="center"/>
        <w:tblLook w:val="00A0" w:firstRow="1" w:lastRow="0" w:firstColumn="1" w:lastColumn="0" w:noHBand="0" w:noVBand="0"/>
      </w:tblPr>
      <w:tblGrid>
        <w:gridCol w:w="2280"/>
        <w:gridCol w:w="1554"/>
        <w:gridCol w:w="1405"/>
        <w:gridCol w:w="1442"/>
        <w:gridCol w:w="1429"/>
      </w:tblGrid>
      <w:tr>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Type of cost</w:t>
            </w:r>
          </w:p>
        </w:tc>
        <w:tc>
          <w:tcPr>
            <w:tcW w:w="1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Afghanistan</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Kosovo</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Bosnia</w:t>
            </w:r>
          </w:p>
        </w:tc>
        <w:tc>
          <w:tcPr>
            <w:tcW w:w="1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Total</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lang w:eastAsia="en-US"/>
              </w:rPr>
            </w:pPr>
            <w:r>
              <w:rPr>
                <w:noProof/>
                <w:sz w:val="20"/>
                <w:szCs w:val="20"/>
                <w:lang w:eastAsia="en-US"/>
              </w:rPr>
              <w:t>Personnel</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1 356 052</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1 803 931</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2 776 680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lang w:eastAsia="en-US"/>
              </w:rPr>
            </w:pPr>
            <w:r>
              <w:rPr>
                <w:b/>
                <w:noProof/>
                <w:sz w:val="20"/>
                <w:szCs w:val="20"/>
                <w:lang w:eastAsia="en-US"/>
              </w:rPr>
              <w:t>5 936 663</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lang w:eastAsia="en-US"/>
              </w:rPr>
            </w:pPr>
            <w:r>
              <w:rPr>
                <w:noProof/>
                <w:sz w:val="20"/>
                <w:szCs w:val="20"/>
                <w:lang w:eastAsia="en-US"/>
              </w:rPr>
              <w:t>Missions</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225 000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85 311</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201 744</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lang w:eastAsia="en-US"/>
              </w:rPr>
            </w:pPr>
            <w:r>
              <w:rPr>
                <w:b/>
                <w:noProof/>
                <w:sz w:val="20"/>
                <w:szCs w:val="20"/>
                <w:lang w:eastAsia="en-US"/>
              </w:rPr>
              <w:t>512 055</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lang w:eastAsia="en-US"/>
              </w:rPr>
            </w:pPr>
            <w:r>
              <w:rPr>
                <w:noProof/>
                <w:sz w:val="20"/>
                <w:szCs w:val="20"/>
                <w:lang w:eastAsia="en-US"/>
              </w:rPr>
              <w:t>Running expenditure</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4 020 156</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425 366</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2 583 900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lang w:eastAsia="en-US"/>
              </w:rPr>
            </w:pPr>
            <w:r>
              <w:rPr>
                <w:b/>
                <w:noProof/>
                <w:sz w:val="20"/>
                <w:szCs w:val="20"/>
                <w:lang w:eastAsia="en-US"/>
              </w:rPr>
              <w:t>7 029 422</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lang w:eastAsia="en-US"/>
              </w:rPr>
            </w:pPr>
            <w:r>
              <w:rPr>
                <w:noProof/>
                <w:sz w:val="20"/>
                <w:szCs w:val="20"/>
                <w:lang w:eastAsia="en-US"/>
              </w:rPr>
              <w:t>Capital expenditure</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22 500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10 238</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34 572</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lang w:eastAsia="en-US"/>
              </w:rPr>
            </w:pPr>
            <w:r>
              <w:rPr>
                <w:b/>
                <w:noProof/>
                <w:sz w:val="20"/>
                <w:szCs w:val="20"/>
                <w:lang w:eastAsia="en-US"/>
              </w:rPr>
              <w:t>67 310</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lang w:eastAsia="en-US"/>
              </w:rPr>
            </w:pPr>
            <w:r>
              <w:rPr>
                <w:noProof/>
                <w:sz w:val="20"/>
                <w:szCs w:val="20"/>
                <w:lang w:eastAsia="en-US"/>
              </w:rPr>
              <w:t>Representation</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16 800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8 400</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12 000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lang w:eastAsia="en-US"/>
              </w:rPr>
            </w:pPr>
            <w:r>
              <w:rPr>
                <w:b/>
                <w:noProof/>
                <w:sz w:val="20"/>
                <w:szCs w:val="20"/>
                <w:lang w:eastAsia="en-US"/>
              </w:rPr>
              <w:t>37 200</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lang w:eastAsia="en-US"/>
              </w:rPr>
            </w:pPr>
            <w:r>
              <w:rPr>
                <w:noProof/>
                <w:sz w:val="20"/>
                <w:szCs w:val="20"/>
                <w:lang w:eastAsia="en-US"/>
              </w:rPr>
              <w:t>Other</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78 242</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18 004</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lang w:eastAsia="en-US"/>
              </w:rPr>
            </w:pPr>
            <w:r>
              <w:rPr>
                <w:noProof/>
                <w:sz w:val="20"/>
                <w:szCs w:val="20"/>
                <w:lang w:eastAsia="en-US"/>
              </w:rPr>
              <w:t>91 104</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lang w:eastAsia="en-US"/>
              </w:rPr>
            </w:pPr>
            <w:r>
              <w:rPr>
                <w:b/>
                <w:noProof/>
                <w:sz w:val="20"/>
                <w:szCs w:val="20"/>
                <w:lang w:eastAsia="en-US"/>
              </w:rPr>
              <w:t>187 350</w:t>
            </w:r>
          </w:p>
        </w:tc>
      </w:tr>
      <w:tr>
        <w:trPr>
          <w:trHeight w:val="300"/>
          <w:jc w:val="center"/>
        </w:trPr>
        <w:tc>
          <w:tcPr>
            <w:tcW w:w="228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both"/>
              <w:rPr>
                <w:b/>
                <w:noProof/>
                <w:sz w:val="20"/>
                <w:szCs w:val="20"/>
                <w:lang w:eastAsia="en-US"/>
              </w:rPr>
            </w:pPr>
            <w:r>
              <w:rPr>
                <w:b/>
                <w:noProof/>
                <w:sz w:val="20"/>
                <w:szCs w:val="20"/>
                <w:lang w:eastAsia="en-US"/>
              </w:rPr>
              <w:t>Total</w:t>
            </w:r>
          </w:p>
        </w:tc>
        <w:tc>
          <w:tcPr>
            <w:tcW w:w="1554"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lang w:eastAsia="en-US"/>
              </w:rPr>
            </w:pPr>
            <w:r>
              <w:rPr>
                <w:b/>
                <w:noProof/>
                <w:sz w:val="20"/>
                <w:szCs w:val="20"/>
                <w:lang w:eastAsia="en-US"/>
              </w:rPr>
              <w:t>5 718 750</w:t>
            </w:r>
          </w:p>
        </w:tc>
        <w:tc>
          <w:tcPr>
            <w:tcW w:w="1405"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lang w:eastAsia="en-US"/>
              </w:rPr>
            </w:pPr>
            <w:r>
              <w:rPr>
                <w:b/>
                <w:noProof/>
                <w:sz w:val="20"/>
                <w:szCs w:val="20"/>
                <w:lang w:eastAsia="en-US"/>
              </w:rPr>
              <w:t>2 351 250</w:t>
            </w:r>
          </w:p>
        </w:tc>
        <w:tc>
          <w:tcPr>
            <w:tcW w:w="1442"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lang w:eastAsia="en-US"/>
              </w:rPr>
            </w:pPr>
            <w:r>
              <w:rPr>
                <w:b/>
                <w:noProof/>
                <w:sz w:val="20"/>
                <w:szCs w:val="20"/>
                <w:lang w:eastAsia="en-US"/>
              </w:rPr>
              <w:t>5 700 000</w:t>
            </w:r>
          </w:p>
        </w:tc>
        <w:tc>
          <w:tcPr>
            <w:tcW w:w="1429"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lang w:eastAsia="en-US"/>
              </w:rPr>
            </w:pPr>
            <w:r>
              <w:rPr>
                <w:b/>
                <w:noProof/>
                <w:sz w:val="20"/>
                <w:szCs w:val="20"/>
                <w:lang w:eastAsia="en-US"/>
              </w:rPr>
              <w:t>13 770 000</w:t>
            </w:r>
          </w:p>
        </w:tc>
      </w:tr>
    </w:tbl>
    <w:p>
      <w:pPr>
        <w:spacing w:before="120" w:after="120"/>
        <w:jc w:val="both"/>
        <w:rPr>
          <w:noProof/>
          <w:szCs w:val="20"/>
          <w:lang w:eastAsia="de-DE"/>
        </w:rPr>
      </w:pPr>
      <w:r>
        <w:rPr>
          <w:noProof/>
          <w:szCs w:val="20"/>
          <w:lang w:eastAsia="de-DE"/>
        </w:rPr>
        <w:t>The High Representative, in agreement with the Commission, proposes to transfer the current tasks of these EUSR offices to the respective EU Delegation/Office, thus simplifying and streamlining the administrative, financial and logistical circuits of EU Delegations.</w:t>
      </w:r>
    </w:p>
    <w:p>
      <w:pPr>
        <w:spacing w:before="120" w:after="120"/>
        <w:jc w:val="both"/>
        <w:rPr>
          <w:noProof/>
          <w:szCs w:val="20"/>
          <w:lang w:eastAsia="de-DE"/>
        </w:rPr>
      </w:pPr>
      <w:r>
        <w:rPr>
          <w:noProof/>
          <w:szCs w:val="20"/>
          <w:lang w:eastAsia="de-DE"/>
        </w:rPr>
        <w:t xml:space="preserve">The staff concerned (contract agents, seconded national experts, and local staff) would be transferred from the current CFSP employment regime to the EEAS. The integration and the resulting streamlining of procedures would give rise to synergies and allow for a reduction of around 15 % of the number of FTEs concerned (with corresponding savings in salary and office costs). The number of FTEs to be added to the EEAS' staff would be reduced to a total of 97 (compared to the current 115), distributed as follows: </w:t>
      </w:r>
    </w:p>
    <w:tbl>
      <w:tblPr>
        <w:tblW w:w="7927" w:type="dxa"/>
        <w:jc w:val="center"/>
        <w:tblLook w:val="00A0" w:firstRow="1" w:lastRow="0" w:firstColumn="1" w:lastColumn="0" w:noHBand="0" w:noVBand="0"/>
      </w:tblPr>
      <w:tblGrid>
        <w:gridCol w:w="1640"/>
        <w:gridCol w:w="1644"/>
        <w:gridCol w:w="1857"/>
        <w:gridCol w:w="1451"/>
        <w:gridCol w:w="1335"/>
      </w:tblGrid>
      <w:tr>
        <w:trPr>
          <w:trHeight w:val="255"/>
          <w:jc w:val="center"/>
        </w:trPr>
        <w:tc>
          <w:tcPr>
            <w:tcW w:w="164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Location</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Contract Agents</w:t>
            </w:r>
          </w:p>
        </w:tc>
        <w:tc>
          <w:tcPr>
            <w:tcW w:w="185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center"/>
              <w:rPr>
                <w:b/>
                <w:noProof/>
                <w:sz w:val="20"/>
                <w:szCs w:val="20"/>
                <w:lang w:eastAsia="en-US"/>
              </w:rPr>
            </w:pPr>
            <w:r>
              <w:rPr>
                <w:b/>
                <w:noProof/>
                <w:sz w:val="20"/>
                <w:szCs w:val="20"/>
                <w:lang w:eastAsia="en-US"/>
              </w:rPr>
              <w:t>Seconded national experts</w:t>
            </w:r>
          </w:p>
        </w:tc>
        <w:tc>
          <w:tcPr>
            <w:tcW w:w="14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Local agents</w:t>
            </w:r>
          </w:p>
        </w:tc>
        <w:tc>
          <w:tcPr>
            <w:tcW w:w="1335"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Total</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Afghanistan</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4</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6</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7</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17</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Kosovo</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9</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6</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18</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33</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Bosnia</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3</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13</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31</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47</w:t>
            </w:r>
          </w:p>
        </w:tc>
      </w:tr>
      <w:tr>
        <w:trPr>
          <w:trHeight w:val="270"/>
          <w:jc w:val="center"/>
        </w:trPr>
        <w:tc>
          <w:tcPr>
            <w:tcW w:w="164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lang w:eastAsia="en-US"/>
              </w:rPr>
            </w:pPr>
            <w:r>
              <w:rPr>
                <w:b/>
                <w:noProof/>
                <w:sz w:val="20"/>
                <w:szCs w:val="20"/>
                <w:lang w:eastAsia="en-US"/>
              </w:rPr>
              <w:t>Total</w:t>
            </w:r>
          </w:p>
        </w:tc>
        <w:tc>
          <w:tcPr>
            <w:tcW w:w="1644"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16</w:t>
            </w:r>
          </w:p>
        </w:tc>
        <w:tc>
          <w:tcPr>
            <w:tcW w:w="1857"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25</w:t>
            </w:r>
          </w:p>
        </w:tc>
        <w:tc>
          <w:tcPr>
            <w:tcW w:w="1451"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56</w:t>
            </w:r>
          </w:p>
        </w:tc>
        <w:tc>
          <w:tcPr>
            <w:tcW w:w="1335" w:type="dxa"/>
            <w:tcBorders>
              <w:top w:val="nil"/>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97</w:t>
            </w:r>
          </w:p>
        </w:tc>
      </w:tr>
    </w:tbl>
    <w:p>
      <w:pPr>
        <w:spacing w:before="120" w:after="120"/>
        <w:jc w:val="both"/>
        <w:rPr>
          <w:noProof/>
          <w:szCs w:val="20"/>
          <w:lang w:eastAsia="de-DE"/>
        </w:rPr>
      </w:pPr>
      <w:r>
        <w:rPr>
          <w:noProof/>
          <w:szCs w:val="20"/>
          <w:lang w:eastAsia="de-DE"/>
        </w:rPr>
        <w:t>It should be recalled that the staff regimes of the EUSRs and the EEAS are different. Therefore, the personnel costs have been recalculated following the average values used for the preparation of the EEAS 2017 Draft Budget. As the transfer of the EUSRs would be performed at the end of current mandate (end of February 2017), the calculations are based on a 10 month period in 2017.</w:t>
      </w:r>
    </w:p>
    <w:p>
      <w:pPr>
        <w:tabs>
          <w:tab w:val="left" w:pos="612"/>
          <w:tab w:val="center" w:pos="4536"/>
        </w:tabs>
        <w:autoSpaceDE w:val="0"/>
        <w:autoSpaceDN w:val="0"/>
        <w:adjustRightInd w:val="0"/>
        <w:spacing w:before="100" w:beforeAutospacing="1" w:line="360" w:lineRule="auto"/>
        <w:jc w:val="center"/>
        <w:rPr>
          <w:rFonts w:eastAsia="TimesNewRoman"/>
          <w:b/>
          <w:noProof/>
        </w:rPr>
      </w:pPr>
      <w:r>
        <w:rPr>
          <w:rFonts w:eastAsia="TimesNewRoman"/>
          <w:b/>
          <w:noProof/>
        </w:rPr>
        <w:t>Number of FTEs and appropriations to be transferred to the EEAS budget</w:t>
      </w:r>
    </w:p>
    <w:tbl>
      <w:tblPr>
        <w:tblW w:w="9157" w:type="dxa"/>
        <w:jc w:val="center"/>
        <w:tblLook w:val="00E0" w:firstRow="1" w:lastRow="1" w:firstColumn="1" w:lastColumn="0" w:noHBand="0" w:noVBand="0"/>
      </w:tblPr>
      <w:tblGrid>
        <w:gridCol w:w="3487"/>
        <w:gridCol w:w="1532"/>
        <w:gridCol w:w="1799"/>
        <w:gridCol w:w="2339"/>
      </w:tblGrid>
      <w:tr>
        <w:trPr>
          <w:trHeight w:val="285"/>
          <w:jc w:val="center"/>
        </w:trPr>
        <w:tc>
          <w:tcPr>
            <w:tcW w:w="3487"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Staff category</w:t>
            </w:r>
          </w:p>
        </w:tc>
        <w:tc>
          <w:tcPr>
            <w:tcW w:w="1532"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lang w:eastAsia="en-US"/>
              </w:rPr>
            </w:pPr>
            <w:r>
              <w:rPr>
                <w:b/>
                <w:noProof/>
                <w:sz w:val="20"/>
                <w:szCs w:val="20"/>
                <w:lang w:eastAsia="en-US"/>
              </w:rPr>
              <w:t>Number of FTEs</w:t>
            </w:r>
          </w:p>
        </w:tc>
        <w:tc>
          <w:tcPr>
            <w:tcW w:w="1799" w:type="dxa"/>
            <w:tcBorders>
              <w:top w:val="single" w:sz="4" w:space="0" w:color="auto"/>
              <w:left w:val="nil"/>
              <w:bottom w:val="single" w:sz="4" w:space="0" w:color="auto"/>
              <w:right w:val="single" w:sz="8" w:space="0" w:color="auto"/>
            </w:tcBorders>
            <w:shd w:val="clear" w:color="auto" w:fill="D9D9D9" w:themeFill="background1" w:themeFillShade="D9"/>
            <w:vAlign w:val="center"/>
          </w:tcPr>
          <w:p>
            <w:pPr>
              <w:widowControl w:val="0"/>
              <w:spacing w:before="15" w:after="15" w:line="276" w:lineRule="auto"/>
              <w:ind w:right="-113"/>
              <w:jc w:val="center"/>
              <w:rPr>
                <w:b/>
                <w:noProof/>
                <w:sz w:val="20"/>
                <w:szCs w:val="20"/>
                <w:lang w:eastAsia="en-US"/>
              </w:rPr>
            </w:pPr>
            <w:r>
              <w:rPr>
                <w:b/>
                <w:noProof/>
                <w:sz w:val="20"/>
                <w:szCs w:val="20"/>
                <w:lang w:eastAsia="en-US"/>
              </w:rPr>
              <w:t>Direct salary costs and emoluments*</w:t>
            </w:r>
          </w:p>
        </w:tc>
        <w:tc>
          <w:tcPr>
            <w:tcW w:w="2339" w:type="dxa"/>
            <w:tcBorders>
              <w:top w:val="single" w:sz="4" w:space="0" w:color="auto"/>
              <w:left w:val="nil"/>
              <w:bottom w:val="single" w:sz="4" w:space="0" w:color="auto"/>
              <w:right w:val="single" w:sz="8" w:space="0" w:color="auto"/>
            </w:tcBorders>
            <w:shd w:val="clear" w:color="auto" w:fill="D9D9D9" w:themeFill="background1" w:themeFillShade="D9"/>
            <w:vAlign w:val="center"/>
          </w:tcPr>
          <w:p>
            <w:pPr>
              <w:widowControl w:val="0"/>
              <w:spacing w:before="15" w:after="15" w:line="276" w:lineRule="auto"/>
              <w:ind w:right="-113"/>
              <w:jc w:val="center"/>
              <w:rPr>
                <w:b/>
                <w:noProof/>
                <w:sz w:val="20"/>
                <w:szCs w:val="20"/>
                <w:lang w:eastAsia="en-US"/>
              </w:rPr>
            </w:pPr>
            <w:r>
              <w:rPr>
                <w:b/>
                <w:noProof/>
                <w:sz w:val="20"/>
                <w:szCs w:val="20"/>
                <w:lang w:eastAsia="en-US"/>
              </w:rPr>
              <w:t xml:space="preserve">Other related costs* </w:t>
            </w:r>
            <w:r>
              <w:rPr>
                <w:noProof/>
                <w:sz w:val="20"/>
                <w:szCs w:val="20"/>
                <w:lang w:eastAsia="en-US"/>
              </w:rPr>
              <w:t>(rents, security, missions, telecoms, etc.)</w:t>
            </w:r>
          </w:p>
        </w:tc>
      </w:tr>
      <w:tr>
        <w:trPr>
          <w:trHeight w:val="285"/>
          <w:jc w:val="center"/>
        </w:trPr>
        <w:tc>
          <w:tcPr>
            <w:tcW w:w="3487" w:type="dxa"/>
            <w:tcBorders>
              <w:top w:val="single" w:sz="4" w:space="0" w:color="auto"/>
              <w:left w:val="single" w:sz="8" w:space="0" w:color="auto"/>
              <w:bottom w:val="nil"/>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Contract agents</w:t>
            </w:r>
          </w:p>
        </w:tc>
        <w:tc>
          <w:tcPr>
            <w:tcW w:w="1532" w:type="dxa"/>
            <w:tcBorders>
              <w:top w:val="single" w:sz="4" w:space="0" w:color="auto"/>
              <w:left w:val="nil"/>
              <w:bottom w:val="nil"/>
              <w:right w:val="single" w:sz="8"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16</w:t>
            </w:r>
          </w:p>
        </w:tc>
        <w:tc>
          <w:tcPr>
            <w:tcW w:w="1799" w:type="dxa"/>
            <w:tcBorders>
              <w:top w:val="single" w:sz="4" w:space="0" w:color="auto"/>
              <w:left w:val="nil"/>
              <w:bottom w:val="nil"/>
              <w:right w:val="single" w:sz="8" w:space="0" w:color="auto"/>
            </w:tcBorders>
          </w:tcPr>
          <w:p>
            <w:pPr>
              <w:widowControl w:val="0"/>
              <w:spacing w:before="15" w:after="15" w:line="276" w:lineRule="auto"/>
              <w:jc w:val="right"/>
              <w:rPr>
                <w:noProof/>
                <w:sz w:val="20"/>
                <w:szCs w:val="20"/>
                <w:lang w:eastAsia="en-US"/>
              </w:rPr>
            </w:pPr>
            <w:r>
              <w:rPr>
                <w:noProof/>
                <w:sz w:val="20"/>
                <w:szCs w:val="20"/>
                <w:lang w:eastAsia="en-US"/>
              </w:rPr>
              <w:t>1 685 000</w:t>
            </w:r>
          </w:p>
        </w:tc>
        <w:tc>
          <w:tcPr>
            <w:tcW w:w="2339" w:type="dxa"/>
            <w:tcBorders>
              <w:top w:val="single" w:sz="4" w:space="0" w:color="auto"/>
              <w:left w:val="nil"/>
              <w:bottom w:val="nil"/>
              <w:right w:val="single" w:sz="8" w:space="0" w:color="auto"/>
            </w:tcBorders>
          </w:tcPr>
          <w:p>
            <w:pPr>
              <w:widowControl w:val="0"/>
              <w:spacing w:before="15" w:after="15" w:line="276" w:lineRule="auto"/>
              <w:jc w:val="right"/>
              <w:rPr>
                <w:noProof/>
                <w:sz w:val="20"/>
                <w:szCs w:val="20"/>
                <w:lang w:eastAsia="en-US"/>
              </w:rPr>
            </w:pPr>
          </w:p>
        </w:tc>
      </w:tr>
      <w:tr>
        <w:trPr>
          <w:trHeight w:val="285"/>
          <w:jc w:val="center"/>
        </w:trPr>
        <w:tc>
          <w:tcPr>
            <w:tcW w:w="3487" w:type="dxa"/>
            <w:tcBorders>
              <w:top w:val="nil"/>
              <w:left w:val="single" w:sz="8" w:space="0" w:color="auto"/>
              <w:bottom w:val="nil"/>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Seconded National Experts</w:t>
            </w:r>
          </w:p>
        </w:tc>
        <w:tc>
          <w:tcPr>
            <w:tcW w:w="1532" w:type="dxa"/>
            <w:tcBorders>
              <w:top w:val="nil"/>
              <w:left w:val="nil"/>
              <w:bottom w:val="nil"/>
              <w:right w:val="single" w:sz="8"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25</w:t>
            </w:r>
          </w:p>
        </w:tc>
        <w:tc>
          <w:tcPr>
            <w:tcW w:w="1799" w:type="dxa"/>
            <w:tcBorders>
              <w:top w:val="nil"/>
              <w:left w:val="nil"/>
              <w:bottom w:val="nil"/>
              <w:right w:val="single" w:sz="8" w:space="0" w:color="auto"/>
            </w:tcBorders>
          </w:tcPr>
          <w:p>
            <w:pPr>
              <w:widowControl w:val="0"/>
              <w:spacing w:before="15" w:after="15" w:line="276" w:lineRule="auto"/>
              <w:jc w:val="right"/>
              <w:rPr>
                <w:noProof/>
                <w:sz w:val="20"/>
                <w:szCs w:val="20"/>
                <w:lang w:eastAsia="en-US"/>
              </w:rPr>
            </w:pPr>
            <w:r>
              <w:rPr>
                <w:noProof/>
                <w:sz w:val="20"/>
                <w:szCs w:val="20"/>
                <w:lang w:eastAsia="en-US"/>
              </w:rPr>
              <w:t>1 540 000</w:t>
            </w:r>
          </w:p>
        </w:tc>
        <w:tc>
          <w:tcPr>
            <w:tcW w:w="2339" w:type="dxa"/>
            <w:tcBorders>
              <w:top w:val="nil"/>
              <w:left w:val="nil"/>
              <w:bottom w:val="nil"/>
              <w:right w:val="single" w:sz="8" w:space="0" w:color="auto"/>
            </w:tcBorders>
          </w:tcPr>
          <w:p>
            <w:pPr>
              <w:widowControl w:val="0"/>
              <w:spacing w:before="15" w:after="15" w:line="276" w:lineRule="auto"/>
              <w:jc w:val="right"/>
              <w:rPr>
                <w:noProof/>
                <w:sz w:val="20"/>
                <w:szCs w:val="20"/>
                <w:lang w:eastAsia="en-US"/>
              </w:rPr>
            </w:pPr>
          </w:p>
        </w:tc>
      </w:tr>
      <w:tr>
        <w:trPr>
          <w:trHeight w:val="285"/>
          <w:jc w:val="center"/>
        </w:trPr>
        <w:tc>
          <w:tcPr>
            <w:tcW w:w="3487" w:type="dxa"/>
            <w:tcBorders>
              <w:top w:val="nil"/>
              <w:left w:val="single" w:sz="8" w:space="0" w:color="auto"/>
              <w:bottom w:val="single" w:sz="8" w:space="0" w:color="auto"/>
              <w:right w:val="single" w:sz="4" w:space="0" w:color="auto"/>
            </w:tcBorders>
            <w:noWrap/>
            <w:vAlign w:val="bottom"/>
          </w:tcPr>
          <w:p>
            <w:pPr>
              <w:widowControl w:val="0"/>
              <w:spacing w:before="15" w:after="15" w:line="276" w:lineRule="auto"/>
              <w:ind w:right="-113"/>
              <w:jc w:val="both"/>
              <w:rPr>
                <w:noProof/>
                <w:sz w:val="20"/>
                <w:szCs w:val="20"/>
                <w:lang w:eastAsia="en-US"/>
              </w:rPr>
            </w:pPr>
            <w:r>
              <w:rPr>
                <w:noProof/>
                <w:sz w:val="20"/>
                <w:szCs w:val="20"/>
                <w:lang w:eastAsia="en-US"/>
              </w:rPr>
              <w:t>Local agents</w:t>
            </w:r>
          </w:p>
        </w:tc>
        <w:tc>
          <w:tcPr>
            <w:tcW w:w="1532" w:type="dxa"/>
            <w:tcBorders>
              <w:top w:val="nil"/>
              <w:left w:val="nil"/>
              <w:bottom w:val="single" w:sz="8" w:space="0" w:color="auto"/>
              <w:right w:val="single" w:sz="8" w:space="0" w:color="auto"/>
            </w:tcBorders>
            <w:noWrap/>
            <w:vAlign w:val="bottom"/>
          </w:tcPr>
          <w:p>
            <w:pPr>
              <w:widowControl w:val="0"/>
              <w:spacing w:before="15" w:after="15" w:line="276" w:lineRule="auto"/>
              <w:ind w:right="-113"/>
              <w:jc w:val="center"/>
              <w:rPr>
                <w:noProof/>
                <w:sz w:val="20"/>
                <w:szCs w:val="20"/>
                <w:lang w:eastAsia="en-US"/>
              </w:rPr>
            </w:pPr>
            <w:r>
              <w:rPr>
                <w:noProof/>
                <w:sz w:val="20"/>
                <w:szCs w:val="20"/>
                <w:lang w:eastAsia="en-US"/>
              </w:rPr>
              <w:t>56</w:t>
            </w:r>
          </w:p>
        </w:tc>
        <w:tc>
          <w:tcPr>
            <w:tcW w:w="1799" w:type="dxa"/>
            <w:tcBorders>
              <w:top w:val="nil"/>
              <w:left w:val="nil"/>
              <w:bottom w:val="single" w:sz="8" w:space="0" w:color="auto"/>
              <w:right w:val="single" w:sz="8" w:space="0" w:color="auto"/>
            </w:tcBorders>
          </w:tcPr>
          <w:p>
            <w:pPr>
              <w:widowControl w:val="0"/>
              <w:spacing w:before="15" w:after="15" w:line="276" w:lineRule="auto"/>
              <w:jc w:val="right"/>
              <w:rPr>
                <w:noProof/>
                <w:sz w:val="20"/>
                <w:szCs w:val="20"/>
                <w:lang w:eastAsia="en-US"/>
              </w:rPr>
            </w:pPr>
            <w:r>
              <w:rPr>
                <w:noProof/>
                <w:sz w:val="20"/>
                <w:szCs w:val="20"/>
                <w:lang w:eastAsia="en-US"/>
              </w:rPr>
              <w:t>1 960 000</w:t>
            </w:r>
          </w:p>
        </w:tc>
        <w:tc>
          <w:tcPr>
            <w:tcW w:w="2339" w:type="dxa"/>
            <w:tcBorders>
              <w:top w:val="nil"/>
              <w:left w:val="nil"/>
              <w:bottom w:val="single" w:sz="8" w:space="0" w:color="auto"/>
              <w:right w:val="single" w:sz="8" w:space="0" w:color="auto"/>
            </w:tcBorders>
          </w:tcPr>
          <w:p>
            <w:pPr>
              <w:widowControl w:val="0"/>
              <w:spacing w:before="15" w:after="15" w:line="276" w:lineRule="auto"/>
              <w:jc w:val="right"/>
              <w:rPr>
                <w:noProof/>
                <w:sz w:val="20"/>
                <w:szCs w:val="20"/>
                <w:lang w:eastAsia="en-US"/>
              </w:rPr>
            </w:pPr>
          </w:p>
        </w:tc>
      </w:tr>
      <w:tr>
        <w:trPr>
          <w:trHeight w:val="285"/>
          <w:jc w:val="center"/>
        </w:trPr>
        <w:tc>
          <w:tcPr>
            <w:tcW w:w="348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lang w:eastAsia="en-US"/>
              </w:rPr>
            </w:pPr>
            <w:r>
              <w:rPr>
                <w:b/>
                <w:noProof/>
                <w:sz w:val="20"/>
                <w:szCs w:val="20"/>
                <w:lang w:eastAsia="en-US"/>
              </w:rPr>
              <w:t>Total</w:t>
            </w:r>
          </w:p>
        </w:tc>
        <w:tc>
          <w:tcPr>
            <w:tcW w:w="1532"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fldChar w:fldCharType="begin"/>
            </w:r>
            <w:r>
              <w:rPr>
                <w:b/>
                <w:noProof/>
                <w:sz w:val="20"/>
                <w:szCs w:val="20"/>
                <w:lang w:eastAsia="en-US"/>
              </w:rPr>
              <w:instrText xml:space="preserve"> =SUM(ABOVE) </w:instrText>
            </w:r>
            <w:r>
              <w:rPr>
                <w:b/>
                <w:noProof/>
                <w:sz w:val="20"/>
                <w:szCs w:val="20"/>
                <w:lang w:eastAsia="en-US"/>
              </w:rPr>
              <w:fldChar w:fldCharType="separate"/>
            </w:r>
            <w:r>
              <w:rPr>
                <w:b/>
                <w:noProof/>
                <w:sz w:val="20"/>
                <w:szCs w:val="20"/>
                <w:lang w:eastAsia="en-US"/>
              </w:rPr>
              <w:t>97</w:t>
            </w:r>
            <w:r>
              <w:rPr>
                <w:b/>
                <w:noProof/>
                <w:sz w:val="20"/>
                <w:szCs w:val="20"/>
                <w:lang w:eastAsia="en-US"/>
              </w:rPr>
              <w:fldChar w:fldCharType="end"/>
            </w:r>
          </w:p>
        </w:tc>
        <w:tc>
          <w:tcPr>
            <w:tcW w:w="1799" w:type="dxa"/>
            <w:tcBorders>
              <w:top w:val="single" w:sz="8" w:space="0" w:color="auto"/>
              <w:left w:val="nil"/>
              <w:bottom w:val="single" w:sz="8" w:space="0" w:color="auto"/>
              <w:right w:val="single" w:sz="8" w:space="0" w:color="auto"/>
            </w:tcBorders>
            <w:shd w:val="clear" w:color="auto" w:fill="D9D9D9" w:themeFill="background1" w:themeFillShade="D9"/>
          </w:tcPr>
          <w:p>
            <w:pPr>
              <w:widowControl w:val="0"/>
              <w:spacing w:before="15" w:after="15" w:line="276" w:lineRule="auto"/>
              <w:jc w:val="right"/>
              <w:rPr>
                <w:b/>
                <w:noProof/>
                <w:sz w:val="20"/>
                <w:szCs w:val="20"/>
                <w:lang w:eastAsia="en-US"/>
              </w:rPr>
            </w:pPr>
            <w:r>
              <w:rPr>
                <w:b/>
                <w:noProof/>
                <w:sz w:val="20"/>
                <w:szCs w:val="20"/>
                <w:lang w:eastAsia="en-US"/>
              </w:rPr>
              <w:fldChar w:fldCharType="begin"/>
            </w:r>
            <w:r>
              <w:rPr>
                <w:b/>
                <w:noProof/>
                <w:sz w:val="20"/>
                <w:szCs w:val="20"/>
                <w:lang w:eastAsia="en-US"/>
              </w:rPr>
              <w:instrText xml:space="preserve"> =SUM(ABOVE) </w:instrText>
            </w:r>
            <w:r>
              <w:rPr>
                <w:b/>
                <w:noProof/>
                <w:sz w:val="20"/>
                <w:szCs w:val="20"/>
                <w:lang w:eastAsia="en-US"/>
              </w:rPr>
              <w:fldChar w:fldCharType="separate"/>
            </w:r>
            <w:r>
              <w:rPr>
                <w:b/>
                <w:noProof/>
                <w:sz w:val="20"/>
                <w:szCs w:val="20"/>
                <w:lang w:eastAsia="en-US"/>
              </w:rPr>
              <w:t>5 185 000</w:t>
            </w:r>
            <w:r>
              <w:rPr>
                <w:b/>
                <w:noProof/>
                <w:sz w:val="20"/>
                <w:szCs w:val="20"/>
                <w:lang w:eastAsia="en-US"/>
              </w:rPr>
              <w:fldChar w:fldCharType="end"/>
            </w:r>
          </w:p>
        </w:tc>
        <w:tc>
          <w:tcPr>
            <w:tcW w:w="2339" w:type="dxa"/>
            <w:tcBorders>
              <w:top w:val="single" w:sz="8" w:space="0" w:color="auto"/>
              <w:left w:val="nil"/>
              <w:bottom w:val="single" w:sz="8" w:space="0" w:color="auto"/>
              <w:right w:val="single" w:sz="8" w:space="0" w:color="auto"/>
            </w:tcBorders>
            <w:shd w:val="clear" w:color="auto" w:fill="D9D9D9" w:themeFill="background1" w:themeFillShade="D9"/>
          </w:tcPr>
          <w:p>
            <w:pPr>
              <w:widowControl w:val="0"/>
              <w:spacing w:before="15" w:after="15" w:line="276" w:lineRule="auto"/>
              <w:jc w:val="right"/>
              <w:rPr>
                <w:b/>
                <w:noProof/>
                <w:sz w:val="20"/>
                <w:szCs w:val="20"/>
                <w:lang w:eastAsia="en-US"/>
              </w:rPr>
            </w:pPr>
            <w:r>
              <w:rPr>
                <w:b/>
                <w:noProof/>
                <w:sz w:val="20"/>
                <w:szCs w:val="20"/>
                <w:lang w:eastAsia="en-US"/>
              </w:rPr>
              <w:t>4 891 000</w:t>
            </w:r>
          </w:p>
        </w:tc>
      </w:tr>
      <w:tr>
        <w:trPr>
          <w:trHeight w:val="285"/>
          <w:jc w:val="center"/>
        </w:trPr>
        <w:tc>
          <w:tcPr>
            <w:tcW w:w="9157" w:type="dxa"/>
            <w:gridSpan w:val="4"/>
            <w:tcBorders>
              <w:top w:val="single" w:sz="8" w:space="0" w:color="auto"/>
            </w:tcBorders>
            <w:shd w:val="clear" w:color="auto" w:fill="FFFFFF" w:themeFill="background1"/>
            <w:noWrap/>
            <w:vAlign w:val="bottom"/>
          </w:tcPr>
          <w:p>
            <w:pPr>
              <w:widowControl w:val="0"/>
              <w:spacing w:before="15" w:after="15" w:line="276" w:lineRule="auto"/>
              <w:rPr>
                <w:b/>
                <w:noProof/>
                <w:sz w:val="20"/>
                <w:szCs w:val="20"/>
                <w:lang w:eastAsia="en-US"/>
              </w:rPr>
            </w:pPr>
            <w:r>
              <w:rPr>
                <w:rFonts w:eastAsia="TimesNewRoman"/>
                <w:noProof/>
                <w:sz w:val="20"/>
                <w:szCs w:val="20"/>
              </w:rPr>
              <w:t>*10-month basis</w:t>
            </w:r>
          </w:p>
        </w:tc>
      </w:tr>
    </w:tbl>
    <w:p>
      <w:pPr>
        <w:spacing w:before="120" w:after="120"/>
        <w:jc w:val="both"/>
        <w:rPr>
          <w:noProof/>
          <w:szCs w:val="20"/>
          <w:lang w:eastAsia="de-DE"/>
        </w:rPr>
      </w:pPr>
      <w:r>
        <w:rPr>
          <w:noProof/>
          <w:szCs w:val="20"/>
          <w:lang w:eastAsia="de-DE"/>
        </w:rPr>
        <w:t>The corresponding reduction in CFSP should cover a 12 month period, since the yearly budgets of the EUSRs are committed in full with each mandate renewal. Therefore, the present amending letter proposes to reduce EUR 13,8 million from the CFSP budget line and increase the EEAS budget by EUR 10,1 million, with a net reduction of EUR 3,7 million in expenditure in 2017.</w:t>
      </w:r>
    </w:p>
    <w:p>
      <w:pPr>
        <w:spacing w:before="120" w:after="120"/>
        <w:jc w:val="both"/>
        <w:rPr>
          <w:noProof/>
          <w:szCs w:val="20"/>
          <w:lang w:eastAsia="de-DE"/>
        </w:rPr>
      </w:pPr>
      <w:r>
        <w:rPr>
          <w:noProof/>
          <w:szCs w:val="20"/>
          <w:lang w:eastAsia="de-DE"/>
        </w:rPr>
        <w:t>On a comparable annual basis, the proposed transfer will allow savings of 18 FTEs and EUR 1,7 million compared to the current situation. The effect on heading 5 is shown in the table in section 5.2, below.</w:t>
      </w:r>
    </w:p>
    <w:p>
      <w:pPr>
        <w:rPr>
          <w:b/>
          <w:noProof/>
          <w:szCs w:val="20"/>
          <w:lang w:eastAsia="de-DE"/>
        </w:rPr>
      </w:pPr>
      <w:r>
        <w:rPr>
          <w:b/>
          <w:noProof/>
          <w:szCs w:val="20"/>
          <w:lang w:eastAsia="de-DE"/>
        </w:rPr>
        <w:br w:type="page"/>
      </w:r>
    </w:p>
    <w:p>
      <w:pPr>
        <w:spacing w:before="120" w:after="120"/>
        <w:jc w:val="both"/>
        <w:rPr>
          <w:b/>
          <w:noProof/>
          <w:szCs w:val="20"/>
          <w:lang w:eastAsia="de-DE"/>
        </w:rPr>
      </w:pPr>
      <w:r>
        <w:rPr>
          <w:b/>
          <w:noProof/>
          <w:szCs w:val="20"/>
          <w:lang w:eastAsia="de-DE"/>
        </w:rPr>
        <w:t>Section III – Commission (heading 4)</w:t>
      </w:r>
    </w:p>
    <w:tbl>
      <w:tblPr>
        <w:tblW w:w="9886" w:type="dxa"/>
        <w:tblInd w:w="108" w:type="dxa"/>
        <w:tblLayout w:type="fixed"/>
        <w:tblLook w:val="00E0" w:firstRow="1" w:lastRow="1" w:firstColumn="1" w:lastColumn="0" w:noHBand="0" w:noVBand="0"/>
      </w:tblPr>
      <w:tblGrid>
        <w:gridCol w:w="1507"/>
        <w:gridCol w:w="1396"/>
        <w:gridCol w:w="1397"/>
        <w:gridCol w:w="1396"/>
        <w:gridCol w:w="1397"/>
        <w:gridCol w:w="1396"/>
        <w:gridCol w:w="1397"/>
      </w:tblGrid>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lang w:eastAsia="en-US"/>
              </w:rPr>
            </w:pP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jc w:val="center"/>
              <w:rPr>
                <w:b/>
                <w:noProof/>
                <w:sz w:val="20"/>
                <w:szCs w:val="20"/>
                <w:lang w:eastAsia="en-US"/>
              </w:rPr>
            </w:pPr>
            <w:r>
              <w:rPr>
                <w:b/>
                <w:noProof/>
                <w:sz w:val="16"/>
                <w:szCs w:val="16"/>
                <w:lang w:eastAsia="en-US"/>
              </w:rPr>
              <w:t>Draft Budget 2017</w:t>
            </w:r>
          </w:p>
        </w:tc>
        <w:tc>
          <w:tcPr>
            <w:tcW w:w="27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lang w:eastAsia="en-US"/>
              </w:rPr>
            </w:pPr>
            <w:r>
              <w:rPr>
                <w:b/>
                <w:noProof/>
                <w:sz w:val="16"/>
                <w:szCs w:val="16"/>
                <w:lang w:eastAsia="en-US"/>
              </w:rPr>
              <w:t>Amending Letter</w:t>
            </w:r>
            <w:r>
              <w:rPr>
                <w:b/>
                <w:noProof/>
                <w:sz w:val="16"/>
                <w:szCs w:val="16"/>
                <w:lang w:eastAsia="en-US"/>
              </w:rPr>
              <w:br/>
              <w:t xml:space="preserve"> No 1/2017</w:t>
            </w: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lang w:eastAsia="en-US"/>
              </w:rPr>
            </w:pPr>
            <w:r>
              <w:rPr>
                <w:b/>
                <w:noProof/>
                <w:sz w:val="16"/>
                <w:szCs w:val="16"/>
                <w:lang w:eastAsia="en-US"/>
              </w:rPr>
              <w:t xml:space="preserve">Draft Budget 2017 </w:t>
            </w:r>
            <w:r>
              <w:rPr>
                <w:b/>
                <w:noProof/>
                <w:sz w:val="16"/>
                <w:szCs w:val="16"/>
                <w:lang w:eastAsia="en-US"/>
              </w:rPr>
              <w:br/>
              <w:t>(incl. AL 1/2017)</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lang w:eastAsia="en-US"/>
              </w:rPr>
            </w:pPr>
            <w:r>
              <w:rPr>
                <w:b/>
                <w:noProof/>
                <w:sz w:val="16"/>
                <w:szCs w:val="16"/>
                <w:lang w:eastAsia="en-US"/>
              </w:rPr>
              <w:t>Budget line</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Commitments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lang w:eastAsia="en-US"/>
              </w:rPr>
            </w:pPr>
            <w:r>
              <w:rPr>
                <w:b/>
                <w:noProof/>
                <w:sz w:val="16"/>
                <w:szCs w:val="16"/>
                <w:lang w:eastAsia="en-US"/>
              </w:rPr>
              <w:t xml:space="preserve">Payments </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lang w:eastAsia="en-US"/>
              </w:rPr>
            </w:pPr>
            <w:r>
              <w:rPr>
                <w:b/>
                <w:noProof/>
                <w:sz w:val="16"/>
                <w:szCs w:val="16"/>
                <w:lang w:eastAsia="en-US"/>
              </w:rPr>
              <w:t xml:space="preserve">Commitments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lang w:eastAsia="en-US"/>
              </w:rPr>
            </w:pPr>
            <w:r>
              <w:rPr>
                <w:b/>
                <w:noProof/>
                <w:sz w:val="16"/>
                <w:szCs w:val="16"/>
                <w:lang w:eastAsia="en-US"/>
              </w:rPr>
              <w:t xml:space="preserve">Payments </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lang w:eastAsia="en-US"/>
              </w:rPr>
            </w:pPr>
            <w:r>
              <w:rPr>
                <w:b/>
                <w:noProof/>
                <w:sz w:val="16"/>
                <w:szCs w:val="16"/>
                <w:lang w:eastAsia="en-US"/>
              </w:rPr>
              <w:t xml:space="preserve">Commitments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lang w:eastAsia="en-US"/>
              </w:rPr>
            </w:pPr>
            <w:r>
              <w:rPr>
                <w:b/>
                <w:noProof/>
                <w:sz w:val="16"/>
                <w:szCs w:val="16"/>
                <w:lang w:eastAsia="en-US"/>
              </w:rPr>
              <w:t xml:space="preserve">Payments </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b/>
                <w:noProof/>
                <w:sz w:val="20"/>
                <w:szCs w:val="20"/>
                <w:lang w:eastAsia="en-US"/>
              </w:rPr>
            </w:pPr>
            <w:r>
              <w:rPr>
                <w:noProof/>
                <w:sz w:val="20"/>
                <w:szCs w:val="20"/>
                <w:lang w:eastAsia="en-US"/>
              </w:rPr>
              <w:t>19 03 01 07</w:t>
            </w:r>
          </w:p>
        </w:tc>
        <w:tc>
          <w:tcPr>
            <w:tcW w:w="1396" w:type="dxa"/>
            <w:tcBorders>
              <w:top w:val="single" w:sz="8" w:space="0" w:color="auto"/>
              <w:left w:val="nil"/>
              <w:bottom w:val="single" w:sz="8" w:space="0" w:color="auto"/>
              <w:right w:val="single" w:sz="8" w:space="0" w:color="auto"/>
            </w:tcBorders>
            <w:shd w:val="clear" w:color="auto" w:fill="auto"/>
            <w:noWrap/>
            <w:vAlign w:val="bottom"/>
          </w:tcPr>
          <w:p>
            <w:pPr>
              <w:widowControl w:val="0"/>
              <w:spacing w:before="15" w:after="15" w:line="276" w:lineRule="auto"/>
              <w:ind w:right="-113"/>
              <w:jc w:val="center"/>
              <w:rPr>
                <w:b/>
                <w:noProof/>
                <w:sz w:val="20"/>
                <w:szCs w:val="20"/>
                <w:lang w:eastAsia="en-US"/>
              </w:rPr>
            </w:pPr>
            <w:r>
              <w:rPr>
                <w:noProof/>
                <w:sz w:val="20"/>
                <w:szCs w:val="20"/>
                <w:lang w:eastAsia="en-US"/>
              </w:rPr>
              <w:t>24 020 000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lang w:eastAsia="en-US"/>
              </w:rPr>
            </w:pPr>
            <w:r>
              <w:rPr>
                <w:noProof/>
                <w:sz w:val="20"/>
                <w:szCs w:val="20"/>
                <w:lang w:eastAsia="en-US"/>
              </w:rPr>
              <w:t>26 861 438</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lang w:eastAsia="en-US"/>
              </w:rPr>
            </w:pPr>
            <w:r>
              <w:rPr>
                <w:noProof/>
                <w:sz w:val="20"/>
                <w:szCs w:val="20"/>
                <w:lang w:eastAsia="en-US"/>
              </w:rPr>
              <w:t>- 13 770 000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lang w:eastAsia="en-US"/>
              </w:rPr>
            </w:pPr>
            <w:r>
              <w:rPr>
                <w:noProof/>
                <w:sz w:val="20"/>
                <w:szCs w:val="20"/>
                <w:lang w:eastAsia="en-US"/>
              </w:rPr>
              <w:t>- 13 770 000</w:t>
            </w:r>
          </w:p>
        </w:tc>
        <w:tc>
          <w:tcPr>
            <w:tcW w:w="1396" w:type="dxa"/>
            <w:tcBorders>
              <w:top w:val="single" w:sz="8" w:space="0" w:color="auto"/>
              <w:left w:val="nil"/>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lang w:eastAsia="en-US"/>
              </w:rPr>
            </w:pPr>
            <w:r>
              <w:rPr>
                <w:noProof/>
                <w:sz w:val="20"/>
                <w:szCs w:val="20"/>
                <w:lang w:eastAsia="en-US"/>
              </w:rPr>
              <w:t>10 250 000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lang w:eastAsia="en-US"/>
              </w:rPr>
            </w:pPr>
            <w:r>
              <w:rPr>
                <w:noProof/>
                <w:sz w:val="20"/>
                <w:szCs w:val="20"/>
                <w:lang w:eastAsia="en-US"/>
              </w:rPr>
              <w:t>13 091 438</w:t>
            </w:r>
          </w:p>
        </w:tc>
      </w:tr>
    </w:tbl>
    <w:p>
      <w:pPr>
        <w:spacing w:before="360" w:after="120"/>
        <w:jc w:val="both"/>
        <w:rPr>
          <w:b/>
          <w:noProof/>
          <w:szCs w:val="20"/>
          <w:lang w:eastAsia="de-DE"/>
        </w:rPr>
      </w:pPr>
      <w:r>
        <w:rPr>
          <w:b/>
          <w:noProof/>
          <w:szCs w:val="20"/>
          <w:lang w:eastAsia="de-DE"/>
        </w:rPr>
        <w:t>Section X – EEAS (heading 5)</w:t>
      </w:r>
    </w:p>
    <w:tbl>
      <w:tblPr>
        <w:tblW w:w="9886" w:type="dxa"/>
        <w:tblInd w:w="108" w:type="dxa"/>
        <w:tblLayout w:type="fixed"/>
        <w:tblLook w:val="00E0" w:firstRow="1" w:lastRow="1" w:firstColumn="1" w:lastColumn="0" w:noHBand="0" w:noVBand="0"/>
      </w:tblPr>
      <w:tblGrid>
        <w:gridCol w:w="1507"/>
        <w:gridCol w:w="1396"/>
        <w:gridCol w:w="1397"/>
        <w:gridCol w:w="1396"/>
        <w:gridCol w:w="1397"/>
        <w:gridCol w:w="1396"/>
        <w:gridCol w:w="1397"/>
      </w:tblGrid>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lang w:eastAsia="en-US"/>
              </w:rPr>
            </w:pP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jc w:val="center"/>
              <w:rPr>
                <w:b/>
                <w:noProof/>
                <w:sz w:val="20"/>
                <w:szCs w:val="20"/>
                <w:lang w:eastAsia="en-US"/>
              </w:rPr>
            </w:pPr>
            <w:r>
              <w:rPr>
                <w:b/>
                <w:noProof/>
                <w:sz w:val="16"/>
                <w:szCs w:val="16"/>
                <w:lang w:eastAsia="en-US"/>
              </w:rPr>
              <w:t>Draft Budget 2017</w:t>
            </w:r>
          </w:p>
        </w:tc>
        <w:tc>
          <w:tcPr>
            <w:tcW w:w="27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lang w:eastAsia="en-US"/>
              </w:rPr>
            </w:pPr>
            <w:r>
              <w:rPr>
                <w:b/>
                <w:noProof/>
                <w:sz w:val="16"/>
                <w:szCs w:val="16"/>
                <w:lang w:eastAsia="en-US"/>
              </w:rPr>
              <w:t>Amending Letter</w:t>
            </w:r>
            <w:r>
              <w:rPr>
                <w:b/>
                <w:noProof/>
                <w:sz w:val="16"/>
                <w:szCs w:val="16"/>
                <w:lang w:eastAsia="en-US"/>
              </w:rPr>
              <w:br/>
              <w:t xml:space="preserve"> No 1/2017</w:t>
            </w: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lang w:eastAsia="en-US"/>
              </w:rPr>
            </w:pPr>
            <w:r>
              <w:rPr>
                <w:b/>
                <w:noProof/>
                <w:sz w:val="16"/>
                <w:szCs w:val="16"/>
                <w:lang w:eastAsia="en-US"/>
              </w:rPr>
              <w:t xml:space="preserve">Draft Budget 2017 </w:t>
            </w:r>
            <w:r>
              <w:rPr>
                <w:b/>
                <w:noProof/>
                <w:sz w:val="16"/>
                <w:szCs w:val="16"/>
                <w:lang w:eastAsia="en-US"/>
              </w:rPr>
              <w:br/>
              <w:t>(incl. AL 1/2017)</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lang w:eastAsia="en-US"/>
              </w:rPr>
            </w:pPr>
            <w:r>
              <w:rPr>
                <w:b/>
                <w:noProof/>
                <w:sz w:val="16"/>
                <w:szCs w:val="16"/>
                <w:lang w:eastAsia="en-US"/>
              </w:rPr>
              <w:t>Budget line</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Commitments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Payments </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Commitments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Payments </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Commitments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lang w:eastAsia="en-US"/>
              </w:rPr>
            </w:pPr>
            <w:r>
              <w:rPr>
                <w:b/>
                <w:noProof/>
                <w:sz w:val="16"/>
                <w:szCs w:val="16"/>
                <w:lang w:eastAsia="en-US"/>
              </w:rPr>
              <w:t xml:space="preserve">Payments </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lang w:eastAsia="en-US"/>
              </w:rPr>
            </w:pPr>
            <w:r>
              <w:rPr>
                <w:noProof/>
                <w:sz w:val="20"/>
                <w:szCs w:val="20"/>
                <w:lang w:eastAsia="en-US"/>
              </w:rPr>
              <w:t>3 0 0 1</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lang w:eastAsia="en-US"/>
              </w:rPr>
            </w:pPr>
            <w:r>
              <w:rPr>
                <w:noProof/>
                <w:sz w:val="20"/>
                <w:szCs w:val="20"/>
                <w:lang w:eastAsia="en-US"/>
              </w:rPr>
              <w:t xml:space="preserve">68 300 000 </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68 300 000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3 645 000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3 645 000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71 945 000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71 945 000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lang w:eastAsia="en-US"/>
              </w:rPr>
            </w:pPr>
            <w:r>
              <w:rPr>
                <w:noProof/>
                <w:sz w:val="20"/>
                <w:szCs w:val="20"/>
                <w:lang w:eastAsia="en-US"/>
              </w:rPr>
              <w:t>3 0 0 2</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lang w:eastAsia="en-US"/>
              </w:rPr>
            </w:pPr>
            <w:r>
              <w:rPr>
                <w:noProof/>
                <w:sz w:val="20"/>
                <w:szCs w:val="20"/>
                <w:lang w:eastAsia="en-US"/>
              </w:rPr>
              <w:t>27 911 000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27 911 000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1 980 000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1 980 000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29 891 000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29 891 000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lang w:eastAsia="en-US"/>
              </w:rPr>
            </w:pPr>
            <w:r>
              <w:rPr>
                <w:noProof/>
                <w:sz w:val="20"/>
                <w:szCs w:val="20"/>
                <w:lang w:eastAsia="en-US"/>
              </w:rPr>
              <w:t>3 0 0 3</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lang w:eastAsia="en-US"/>
              </w:rPr>
            </w:pPr>
            <w:r>
              <w:rPr>
                <w:noProof/>
                <w:sz w:val="20"/>
                <w:szCs w:val="20"/>
                <w:lang w:eastAsia="en-US"/>
              </w:rPr>
              <w:t>168 109 000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168 109 000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3 636 000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3 636 000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171 745 000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171 745 000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lang w:eastAsia="en-US"/>
              </w:rPr>
            </w:pPr>
            <w:r>
              <w:rPr>
                <w:noProof/>
                <w:sz w:val="20"/>
                <w:szCs w:val="20"/>
                <w:lang w:eastAsia="en-US"/>
              </w:rPr>
              <w:t>3 0 0 4</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lang w:eastAsia="en-US"/>
              </w:rPr>
            </w:pPr>
            <w:r>
              <w:rPr>
                <w:noProof/>
                <w:sz w:val="20"/>
                <w:szCs w:val="20"/>
                <w:lang w:eastAsia="en-US"/>
              </w:rPr>
              <w:t>45 227 000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45 227 000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815 000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815 000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46 042 000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lang w:eastAsia="en-US"/>
              </w:rPr>
            </w:pPr>
            <w:r>
              <w:rPr>
                <w:noProof/>
                <w:sz w:val="20"/>
                <w:szCs w:val="20"/>
                <w:lang w:eastAsia="en-US"/>
              </w:rPr>
              <w:t>46 042 000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lang w:eastAsia="en-US"/>
              </w:rPr>
            </w:pPr>
            <w:r>
              <w:rPr>
                <w:b/>
                <w:noProof/>
                <w:sz w:val="20"/>
                <w:szCs w:val="20"/>
                <w:lang w:eastAsia="en-US"/>
              </w:rPr>
              <w:t>Total</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lang w:eastAsia="en-US"/>
              </w:rPr>
            </w:pPr>
            <w:r>
              <w:rPr>
                <w:b/>
                <w:noProof/>
                <w:sz w:val="20"/>
                <w:szCs w:val="20"/>
                <w:lang w:eastAsia="en-US"/>
              </w:rPr>
              <w:t>309 547 000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lang w:eastAsia="en-US"/>
              </w:rPr>
            </w:pPr>
            <w:r>
              <w:rPr>
                <w:b/>
                <w:noProof/>
                <w:sz w:val="20"/>
                <w:szCs w:val="20"/>
                <w:lang w:eastAsia="en-US"/>
              </w:rPr>
              <w:t>309 547 000</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lang w:eastAsia="en-US"/>
              </w:rPr>
            </w:pPr>
            <w:r>
              <w:rPr>
                <w:b/>
                <w:noProof/>
                <w:sz w:val="20"/>
                <w:szCs w:val="20"/>
                <w:lang w:eastAsia="en-US"/>
              </w:rPr>
              <w:t>10 076 000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lang w:eastAsia="en-US"/>
              </w:rPr>
            </w:pPr>
            <w:r>
              <w:rPr>
                <w:b/>
                <w:noProof/>
                <w:sz w:val="20"/>
                <w:szCs w:val="20"/>
                <w:lang w:eastAsia="en-US"/>
              </w:rPr>
              <w:t>10 076 000</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lang w:eastAsia="en-US"/>
              </w:rPr>
            </w:pPr>
            <w:r>
              <w:rPr>
                <w:b/>
                <w:noProof/>
                <w:sz w:val="20"/>
                <w:szCs w:val="20"/>
                <w:lang w:eastAsia="en-US"/>
              </w:rPr>
              <w:t>319 623 000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lang w:eastAsia="en-US"/>
              </w:rPr>
            </w:pPr>
            <w:r>
              <w:rPr>
                <w:b/>
                <w:noProof/>
                <w:sz w:val="20"/>
                <w:szCs w:val="20"/>
                <w:lang w:eastAsia="en-US"/>
              </w:rPr>
              <w:t>319 623 000</w:t>
            </w:r>
          </w:p>
        </w:tc>
      </w:tr>
    </w:tbl>
    <w:p>
      <w:pPr>
        <w:pStyle w:val="ManualHeading2"/>
        <w:numPr>
          <w:ilvl w:val="0"/>
          <w:numId w:val="0"/>
        </w:numPr>
        <w:tabs>
          <w:tab w:val="left" w:pos="851"/>
        </w:tabs>
        <w:ind w:left="851" w:hanging="851"/>
      </w:pPr>
      <w:bookmarkStart w:id="129" w:name="_Toc463004760"/>
      <w:bookmarkStart w:id="130" w:name="_Toc463004761"/>
      <w:bookmarkStart w:id="131" w:name="_Toc463004762"/>
      <w:bookmarkStart w:id="132" w:name="_Toc464138556"/>
      <w:bookmarkEnd w:id="129"/>
      <w:bookmarkEnd w:id="130"/>
      <w:bookmarkEnd w:id="131"/>
      <w:r>
        <w:rPr>
          <w:rFonts w:eastAsia="Calibri"/>
        </w:rPr>
        <w:t>5.4.</w:t>
      </w:r>
      <w:r>
        <w:rPr>
          <w:rFonts w:eastAsia="Calibri"/>
        </w:rPr>
        <w:tab/>
      </w:r>
      <w:r>
        <w:t>Remunerations and Pensions</w:t>
      </w:r>
      <w:bookmarkEnd w:id="132"/>
    </w:p>
    <w:p>
      <w:pPr>
        <w:spacing w:before="120" w:after="120"/>
        <w:jc w:val="both"/>
        <w:rPr>
          <w:noProof/>
          <w:szCs w:val="20"/>
        </w:rPr>
      </w:pPr>
      <w:r>
        <w:rPr>
          <w:noProof/>
          <w:szCs w:val="20"/>
        </w:rPr>
        <w:t>In accordance with articles 64 and 65 of the Staff Regulations, the remuneration of the officials and other servants of the European Union is updated each year, in the light of a report presented by the Commission, based on statistical data prepared by Eurostat in agreement with the national statistical offices of the Member States, reflecting the situation in the Member States at 1 July.</w:t>
      </w:r>
    </w:p>
    <w:p>
      <w:pPr>
        <w:spacing w:before="120" w:after="120"/>
        <w:jc w:val="both"/>
        <w:rPr>
          <w:noProof/>
          <w:szCs w:val="20"/>
        </w:rPr>
      </w:pPr>
      <w:r>
        <w:rPr>
          <w:noProof/>
          <w:szCs w:val="20"/>
        </w:rPr>
        <w:t>The calculation of the update is based on the principle of parallelism between the evolution of real (net of inflation) remuneration of EU officials and national civil servants of the Member States. It reflects the combined effect of two main variables:</w:t>
      </w:r>
    </w:p>
    <w:p>
      <w:pPr>
        <w:numPr>
          <w:ilvl w:val="0"/>
          <w:numId w:val="22"/>
        </w:numPr>
        <w:spacing w:before="120" w:after="120"/>
        <w:ind w:left="426" w:hanging="426"/>
        <w:jc w:val="both"/>
        <w:rPr>
          <w:noProof/>
          <w:szCs w:val="20"/>
        </w:rPr>
      </w:pPr>
      <w:r>
        <w:rPr>
          <w:noProof/>
          <w:szCs w:val="20"/>
        </w:rPr>
        <w:t>The annual evolution of real salaries of civil servants in the central governments of a sample of 11 Member States representing more than 75 % of the Union GDP.</w:t>
      </w:r>
    </w:p>
    <w:p>
      <w:pPr>
        <w:numPr>
          <w:ilvl w:val="0"/>
          <w:numId w:val="22"/>
        </w:numPr>
        <w:spacing w:before="120" w:after="120"/>
        <w:ind w:left="426" w:hanging="426"/>
        <w:jc w:val="both"/>
        <w:rPr>
          <w:noProof/>
          <w:szCs w:val="20"/>
        </w:rPr>
      </w:pPr>
      <w:r>
        <w:rPr>
          <w:noProof/>
          <w:szCs w:val="20"/>
        </w:rPr>
        <w:t>Annual inflation in Brussels and Luxembourg calculated by weighting national consumer price inflation as measured by the Belgium HICP and Luxembourg CPI according to the distribution of EU staff serving in those Member States.</w:t>
      </w:r>
    </w:p>
    <w:p>
      <w:pPr>
        <w:spacing w:before="120" w:after="120"/>
        <w:jc w:val="both"/>
        <w:rPr>
          <w:noProof/>
          <w:szCs w:val="20"/>
        </w:rPr>
      </w:pPr>
      <w:r>
        <w:rPr>
          <w:noProof/>
          <w:szCs w:val="20"/>
        </w:rPr>
        <w:t>The forecast rates used for the second half of 2016 and for the draft budget 2017 were 1,8 % and 2,1 % respectively. As the report for the current exercise approaches, it is appropriate to review the situation, bearing in mind that any amending letter for the 2017 budget should be presented prior to the commencement of the conciliation process.</w:t>
      </w:r>
    </w:p>
    <w:p>
      <w:pPr>
        <w:spacing w:before="120" w:after="120"/>
        <w:jc w:val="both"/>
        <w:rPr>
          <w:noProof/>
        </w:rPr>
      </w:pPr>
      <w:r>
        <w:rPr>
          <w:noProof/>
        </w:rPr>
        <w:t>Belgium's yearly inflation rate, based on the European harmonised index of consumer prices, was 1,8% in June, well above the EU average of 0,1 %. While this figure almost equals the current forecast rate, the latter should also take account of the effect on the purchasing power of EU officials due to the increases in real salaries of civil servants in Member States with a lower rate of inflation during the same period.</w:t>
      </w:r>
    </w:p>
    <w:p>
      <w:pPr>
        <w:spacing w:before="120" w:after="120"/>
        <w:jc w:val="both"/>
        <w:rPr>
          <w:noProof/>
        </w:rPr>
      </w:pPr>
      <w:r>
        <w:rPr>
          <w:noProof/>
        </w:rPr>
        <w:t>On the basis of these developments, the probability of a salary update in excess of that used to establish the budget 2016 and estimates for 2017 is significant. It is prudent to plan for the necessary budgetary appropriations to address an increase to the rate, of a similar magnitude to that recorded for the 2015 update i.e. +/-1,2 %.</w:t>
      </w:r>
    </w:p>
    <w:p>
      <w:pPr>
        <w:spacing w:before="120" w:after="120"/>
        <w:jc w:val="both"/>
        <w:rPr>
          <w:noProof/>
        </w:rPr>
      </w:pPr>
      <w:r>
        <w:rPr>
          <w:noProof/>
        </w:rPr>
        <w:t>The budgetary consequences of this would be in the region of EUR 59,0 million for 2017, of which EUR 27,8 million for the Commission, and EUR 19,1 million for the pensions of all institutions.</w:t>
      </w:r>
    </w:p>
    <w:p>
      <w:pPr>
        <w:rPr>
          <w:noProof/>
          <w:szCs w:val="20"/>
        </w:rPr>
      </w:pPr>
      <w:r>
        <w:rPr>
          <w:noProof/>
          <w:szCs w:val="20"/>
        </w:rPr>
        <w:br w:type="page"/>
      </w:r>
    </w:p>
    <w:p>
      <w:pPr>
        <w:spacing w:before="120" w:after="120"/>
        <w:jc w:val="both"/>
        <w:rPr>
          <w:noProof/>
        </w:rPr>
      </w:pPr>
      <w:r>
        <w:rPr>
          <w:noProof/>
          <w:szCs w:val="20"/>
        </w:rPr>
        <w:t>It is therefore proposed to request the additional appropriations to cover the needs related to 2017 for the salaries and pensions of all institutions in this amending letter. Since the timing of the Eurostat report is clearly set out in Annex XI of the Staff Regulations, as end October, it would be too late to propose an amending letter after the rate is finalised. Therefore, the current proposal indicates the likely needs for all institutions, which can be updated as required on finalisation of the official report.</w:t>
      </w:r>
    </w:p>
    <w:p>
      <w:pPr>
        <w:spacing w:before="120" w:after="120"/>
        <w:jc w:val="both"/>
        <w:rPr>
          <w:noProof/>
          <w:szCs w:val="20"/>
        </w:rPr>
      </w:pPr>
      <w:r>
        <w:rPr>
          <w:noProof/>
          <w:szCs w:val="20"/>
        </w:rPr>
        <w:t>The indicative breakdown by type of expenditure and institution would be as follows:</w:t>
      </w:r>
    </w:p>
    <w:p>
      <w:pPr>
        <w:rPr>
          <w:noProof/>
        </w:rPr>
      </w:pPr>
    </w:p>
    <w:tbl>
      <w:tblPr>
        <w:tblW w:w="9916" w:type="dxa"/>
        <w:jc w:val="center"/>
        <w:tblInd w:w="-167" w:type="dxa"/>
        <w:tblLayout w:type="fixed"/>
        <w:tblCellMar>
          <w:left w:w="40" w:type="dxa"/>
          <w:right w:w="40" w:type="dxa"/>
        </w:tblCellMar>
        <w:tblLook w:val="0000" w:firstRow="0" w:lastRow="0" w:firstColumn="0" w:lastColumn="0" w:noHBand="0" w:noVBand="0"/>
      </w:tblPr>
      <w:tblGrid>
        <w:gridCol w:w="1432"/>
        <w:gridCol w:w="2374"/>
        <w:gridCol w:w="1700"/>
        <w:gridCol w:w="1426"/>
        <w:gridCol w:w="1426"/>
        <w:gridCol w:w="1558"/>
      </w:tblGrid>
      <w:tr>
        <w:trPr>
          <w:trHeight w:val="164"/>
          <w:tblHeader/>
          <w:jc w:val="center"/>
        </w:trPr>
        <w:tc>
          <w:tcPr>
            <w:tcW w:w="1432" w:type="dxa"/>
            <w:shd w:val="clear" w:color="auto" w:fill="FFFFFF"/>
          </w:tcPr>
          <w:p>
            <w:pPr>
              <w:jc w:val="right"/>
              <w:rPr>
                <w:noProof/>
                <w:sz w:val="18"/>
                <w:szCs w:val="18"/>
              </w:rPr>
            </w:pPr>
          </w:p>
        </w:tc>
        <w:tc>
          <w:tcPr>
            <w:tcW w:w="8484" w:type="dxa"/>
            <w:gridSpan w:val="5"/>
            <w:shd w:val="clear" w:color="auto" w:fill="FFFFFF"/>
            <w:vAlign w:val="center"/>
          </w:tcPr>
          <w:p>
            <w:pPr>
              <w:jc w:val="right"/>
              <w:rPr>
                <w:noProof/>
                <w:sz w:val="18"/>
                <w:szCs w:val="18"/>
                <w:lang w:eastAsia="en-US"/>
              </w:rPr>
            </w:pPr>
            <w:r>
              <w:rPr>
                <w:noProof/>
                <w:sz w:val="18"/>
                <w:szCs w:val="18"/>
              </w:rPr>
              <w:br w:type="page"/>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vMerge w:val="restart"/>
            <w:tcBorders>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lang w:eastAsia="en-US"/>
              </w:rPr>
            </w:pPr>
            <w:r>
              <w:rPr>
                <w:b/>
                <w:noProof/>
                <w:sz w:val="18"/>
                <w:szCs w:val="18"/>
                <w:lang w:eastAsia="en-US"/>
              </w:rPr>
              <w:t>Heading 5</w:t>
            </w:r>
          </w:p>
        </w:tc>
        <w:tc>
          <w:tcPr>
            <w:tcW w:w="1700" w:type="dxa"/>
            <w:vMerge w:val="restart"/>
            <w:tcBorders>
              <w:left w:val="single" w:sz="4" w:space="0" w:color="auto"/>
              <w:right w:val="single" w:sz="4" w:space="0" w:color="auto"/>
            </w:tcBorders>
            <w:shd w:val="clear" w:color="auto" w:fill="D9D9D9" w:themeFill="background1" w:themeFillShade="D9"/>
            <w:vAlign w:val="center"/>
          </w:tcPr>
          <w:p>
            <w:pPr>
              <w:widowControl w:val="0"/>
              <w:tabs>
                <w:tab w:val="left" w:pos="1350"/>
              </w:tabs>
              <w:spacing w:before="15" w:after="15" w:line="276" w:lineRule="auto"/>
              <w:jc w:val="center"/>
              <w:rPr>
                <w:b/>
                <w:noProof/>
                <w:sz w:val="18"/>
                <w:szCs w:val="18"/>
                <w:lang w:eastAsia="en-US"/>
              </w:rPr>
            </w:pPr>
            <w:r>
              <w:rPr>
                <w:b/>
                <w:noProof/>
                <w:sz w:val="18"/>
                <w:szCs w:val="18"/>
                <w:lang w:eastAsia="en-US"/>
              </w:rPr>
              <w:t>DB 2017</w:t>
            </w:r>
          </w:p>
        </w:tc>
        <w:tc>
          <w:tcPr>
            <w:tcW w:w="2852" w:type="dxa"/>
            <w:gridSpan w:val="2"/>
            <w:tcBorders>
              <w:left w:val="single" w:sz="4" w:space="0" w:color="auto"/>
              <w:bottom w:val="dotted" w:sz="4" w:space="0" w:color="auto"/>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lang w:eastAsia="en-US"/>
              </w:rPr>
            </w:pPr>
            <w:r>
              <w:rPr>
                <w:b/>
                <w:noProof/>
                <w:sz w:val="18"/>
                <w:szCs w:val="18"/>
                <w:lang w:eastAsia="en-US"/>
              </w:rPr>
              <w:t>AL 1/2017</w:t>
            </w:r>
          </w:p>
        </w:tc>
        <w:tc>
          <w:tcPr>
            <w:tcW w:w="1558" w:type="dxa"/>
            <w:vMerge w:val="restart"/>
            <w:tcBorders>
              <w:left w:val="single" w:sz="4" w:space="0" w:color="auto"/>
            </w:tcBorders>
            <w:shd w:val="clear" w:color="auto" w:fill="D9D9D9" w:themeFill="background1" w:themeFillShade="D9"/>
            <w:vAlign w:val="center"/>
          </w:tcPr>
          <w:p>
            <w:pPr>
              <w:widowControl w:val="0"/>
              <w:tabs>
                <w:tab w:val="left" w:pos="1350"/>
              </w:tabs>
              <w:spacing w:before="15" w:after="15" w:line="276" w:lineRule="auto"/>
              <w:jc w:val="center"/>
              <w:rPr>
                <w:b/>
                <w:noProof/>
                <w:sz w:val="18"/>
                <w:szCs w:val="18"/>
                <w:lang w:eastAsia="en-US"/>
              </w:rPr>
            </w:pPr>
            <w:r>
              <w:rPr>
                <w:b/>
                <w:noProof/>
                <w:sz w:val="18"/>
                <w:szCs w:val="18"/>
                <w:lang w:eastAsia="en-US"/>
              </w:rPr>
              <w:t xml:space="preserve">DB 2017 </w:t>
            </w:r>
            <w:r>
              <w:rPr>
                <w:b/>
                <w:noProof/>
                <w:sz w:val="18"/>
                <w:szCs w:val="18"/>
                <w:lang w:eastAsia="en-US"/>
              </w:rPr>
              <w:br/>
              <w:t>(incl. AL 1/2017)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vMerge/>
            <w:tcBorders>
              <w:bottom w:val="single" w:sz="4" w:space="0" w:color="auto"/>
              <w:right w:val="single" w:sz="4" w:space="0" w:color="auto"/>
            </w:tcBorders>
            <w:shd w:val="clear" w:color="auto" w:fill="D9D9D9" w:themeFill="background1" w:themeFillShade="D9"/>
          </w:tcPr>
          <w:p>
            <w:pPr>
              <w:widowControl w:val="0"/>
              <w:spacing w:before="15" w:after="15" w:line="276" w:lineRule="auto"/>
              <w:jc w:val="both"/>
              <w:rPr>
                <w:b/>
                <w:noProof/>
                <w:sz w:val="18"/>
                <w:szCs w:val="18"/>
                <w:lang w:eastAsia="en-US"/>
              </w:rPr>
            </w:pPr>
          </w:p>
        </w:tc>
        <w:tc>
          <w:tcPr>
            <w:tcW w:w="1700" w:type="dxa"/>
            <w:vMerge/>
            <w:tcBorders>
              <w:left w:val="single" w:sz="4" w:space="0" w:color="auto"/>
              <w:bottom w:val="single"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noProof/>
                <w:sz w:val="18"/>
                <w:szCs w:val="18"/>
                <w:lang w:eastAsia="en-US"/>
              </w:rPr>
            </w:pPr>
          </w:p>
        </w:tc>
        <w:tc>
          <w:tcPr>
            <w:tcW w:w="1426" w:type="dxa"/>
            <w:tcBorders>
              <w:left w:val="single" w:sz="4" w:space="0" w:color="auto"/>
              <w:bottom w:val="single" w:sz="4" w:space="0" w:color="auto"/>
              <w:right w:val="dotted" w:sz="4" w:space="0" w:color="auto"/>
            </w:tcBorders>
            <w:shd w:val="clear" w:color="auto" w:fill="D9D9D9" w:themeFill="background1" w:themeFillShade="D9"/>
            <w:vAlign w:val="center"/>
          </w:tcPr>
          <w:p>
            <w:pPr>
              <w:widowControl w:val="0"/>
              <w:spacing w:before="15" w:after="15" w:line="276" w:lineRule="auto"/>
              <w:jc w:val="center"/>
              <w:rPr>
                <w:b/>
                <w:noProof/>
                <w:sz w:val="18"/>
                <w:szCs w:val="18"/>
                <w:lang w:eastAsia="en-US"/>
              </w:rPr>
            </w:pPr>
            <w:r>
              <w:rPr>
                <w:b/>
                <w:noProof/>
                <w:sz w:val="18"/>
                <w:szCs w:val="18"/>
                <w:lang w:eastAsia="en-US"/>
              </w:rPr>
              <w:t>Transfer of EUSRs + change</w:t>
            </w:r>
            <w:r>
              <w:rPr>
                <w:b/>
                <w:noProof/>
                <w:sz w:val="18"/>
                <w:szCs w:val="18"/>
                <w:lang w:eastAsia="en-US"/>
              </w:rPr>
              <w:br/>
              <w:t>EESC &amp; CoR</w:t>
            </w:r>
          </w:p>
        </w:tc>
        <w:tc>
          <w:tcPr>
            <w:tcW w:w="1426" w:type="dxa"/>
            <w:tcBorders>
              <w:left w:val="dotted" w:sz="4" w:space="0" w:color="auto"/>
              <w:bottom w:val="single" w:sz="4" w:space="0" w:color="auto"/>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lang w:eastAsia="en-US"/>
              </w:rPr>
            </w:pPr>
            <w:r>
              <w:rPr>
                <w:b/>
                <w:noProof/>
                <w:sz w:val="18"/>
                <w:szCs w:val="18"/>
                <w:lang w:eastAsia="en-US"/>
              </w:rPr>
              <w:t>Higher than estimated salary updated 2016</w:t>
            </w:r>
            <w:r>
              <w:rPr>
                <w:b/>
                <w:noProof/>
                <w:sz w:val="18"/>
                <w:szCs w:val="18"/>
                <w:lang w:eastAsia="en-US"/>
              </w:rPr>
              <w:br/>
              <w:t>[12 months]</w:t>
            </w:r>
          </w:p>
        </w:tc>
        <w:tc>
          <w:tcPr>
            <w:tcW w:w="1558" w:type="dxa"/>
            <w:vMerge/>
            <w:tcBorders>
              <w:left w:val="single" w:sz="4" w:space="0" w:color="auto"/>
              <w:bottom w:val="single" w:sz="4" w:space="0" w:color="auto"/>
            </w:tcBorders>
            <w:shd w:val="clear" w:color="auto" w:fill="D9D9D9" w:themeFill="background1" w:themeFillShade="D9"/>
          </w:tcPr>
          <w:p>
            <w:pPr>
              <w:widowControl w:val="0"/>
              <w:spacing w:before="15" w:after="15" w:line="276" w:lineRule="auto"/>
              <w:jc w:val="right"/>
              <w:rPr>
                <w:noProof/>
                <w:sz w:val="18"/>
                <w:szCs w:val="18"/>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single" w:sz="4" w:space="0" w:color="auto"/>
              <w:bottom w:val="dotted" w:sz="4" w:space="0" w:color="auto"/>
              <w:right w:val="single" w:sz="4" w:space="0" w:color="auto"/>
            </w:tcBorders>
          </w:tcPr>
          <w:p>
            <w:pPr>
              <w:widowControl w:val="0"/>
              <w:spacing w:before="15" w:after="15" w:line="276" w:lineRule="auto"/>
              <w:jc w:val="both"/>
              <w:rPr>
                <w:b/>
                <w:noProof/>
                <w:sz w:val="18"/>
                <w:szCs w:val="18"/>
                <w:lang w:eastAsia="en-US"/>
              </w:rPr>
            </w:pPr>
            <w:r>
              <w:rPr>
                <w:b/>
                <w:noProof/>
                <w:sz w:val="18"/>
                <w:szCs w:val="18"/>
                <w:lang w:eastAsia="en-US"/>
              </w:rPr>
              <w:t>Commission</w:t>
            </w:r>
          </w:p>
        </w:tc>
        <w:tc>
          <w:tcPr>
            <w:tcW w:w="1700" w:type="dxa"/>
            <w:tcBorders>
              <w:top w:val="single"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lang w:eastAsia="en-US"/>
              </w:rPr>
            </w:pPr>
            <w:r>
              <w:rPr>
                <w:b/>
                <w:noProof/>
                <w:sz w:val="18"/>
                <w:szCs w:val="18"/>
                <w:lang w:eastAsia="en-US"/>
              </w:rPr>
              <w:t>3 466,0</w:t>
            </w:r>
          </w:p>
        </w:tc>
        <w:tc>
          <w:tcPr>
            <w:tcW w:w="1426" w:type="dxa"/>
            <w:tcBorders>
              <w:top w:val="single"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single"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27,8</w:t>
            </w:r>
          </w:p>
        </w:tc>
        <w:tc>
          <w:tcPr>
            <w:tcW w:w="1558" w:type="dxa"/>
            <w:tcBorders>
              <w:top w:val="single" w:sz="4" w:space="0" w:color="auto"/>
              <w:left w:val="single" w:sz="4" w:space="0" w:color="auto"/>
              <w:bottom w:val="dotted" w:sz="4" w:space="0" w:color="auto"/>
            </w:tcBorders>
          </w:tcPr>
          <w:p>
            <w:pPr>
              <w:widowControl w:val="0"/>
              <w:spacing w:before="15" w:after="15" w:line="276" w:lineRule="auto"/>
              <w:jc w:val="right"/>
              <w:rPr>
                <w:noProof/>
                <w:sz w:val="18"/>
                <w:szCs w:val="18"/>
                <w:lang w:eastAsia="en-US"/>
              </w:rPr>
            </w:pPr>
            <w:r>
              <w:rPr>
                <w:b/>
                <w:noProof/>
                <w:sz w:val="18"/>
                <w:szCs w:val="18"/>
                <w:lang w:eastAsia="en-US"/>
              </w:rPr>
              <w:t>3 493,8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noProof/>
                <w:sz w:val="18"/>
                <w:szCs w:val="18"/>
                <w:lang w:eastAsia="en-US"/>
              </w:rPr>
            </w:pPr>
            <w:r>
              <w:rPr>
                <w:b/>
                <w:noProof/>
                <w:sz w:val="18"/>
                <w:szCs w:val="18"/>
                <w:lang w:eastAsia="en-US"/>
              </w:rPr>
              <w:t>Other institutions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lang w:eastAsia="en-US"/>
              </w:rPr>
            </w:pPr>
            <w:r>
              <w:rPr>
                <w:b/>
                <w:noProof/>
                <w:sz w:val="18"/>
                <w:szCs w:val="18"/>
                <w:lang w:eastAsia="en-US"/>
              </w:rPr>
              <w:t>3 899,1</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r>
              <w:rPr>
                <w:b/>
                <w:noProof/>
                <w:sz w:val="18"/>
                <w:szCs w:val="18"/>
                <w:lang w:eastAsia="en-US"/>
              </w:rPr>
              <w:t>12,0</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12,2</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3 923,3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European Parliament</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1 900,6</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1 900,6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European Council and Council</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559,5</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3,3</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562,8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Court of Justice</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396,3</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3,1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399,3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Court of Auditors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140,2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1,4</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141,5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European Economic and Social Committee</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131,9</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r>
              <w:rPr>
                <w:noProof/>
                <w:sz w:val="18"/>
                <w:szCs w:val="18"/>
                <w:lang w:eastAsia="en-US"/>
              </w:rPr>
              <w:t>1,2</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0,7</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133,8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Committee of the Regions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92,0</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r>
              <w:rPr>
                <w:noProof/>
                <w:sz w:val="18"/>
                <w:szCs w:val="18"/>
                <w:lang w:eastAsia="en-US"/>
              </w:rPr>
              <w:t>0,8</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0,6</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93,3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European Ombudsman</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10,7</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10,7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European data-protection Supervisor</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11,2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0,1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11,3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eastAsia="en-US"/>
              </w:rPr>
            </w:pPr>
            <w:r>
              <w:rPr>
                <w:noProof/>
                <w:sz w:val="18"/>
                <w:szCs w:val="18"/>
                <w:lang w:eastAsia="en-US"/>
              </w:rPr>
              <w:t>European External Action Service</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lang w:eastAsia="en-US"/>
              </w:rPr>
            </w:pPr>
            <w:r>
              <w:rPr>
                <w:noProof/>
                <w:sz w:val="18"/>
                <w:szCs w:val="18"/>
                <w:lang w:eastAsia="en-US"/>
              </w:rPr>
              <w:t>656,9</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r>
              <w:rPr>
                <w:noProof/>
                <w:sz w:val="18"/>
                <w:szCs w:val="18"/>
                <w:lang w:eastAsia="en-US"/>
              </w:rPr>
              <w:t>10,1</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3,0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noProof/>
                <w:sz w:val="18"/>
                <w:szCs w:val="18"/>
                <w:lang w:eastAsia="en-US"/>
              </w:rPr>
              <w:t>670,1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b/>
                <w:i/>
                <w:noProof/>
                <w:sz w:val="18"/>
                <w:szCs w:val="18"/>
                <w:lang w:eastAsia="en-US"/>
              </w:rPr>
            </w:pPr>
            <w:r>
              <w:rPr>
                <w:b/>
                <w:i/>
                <w:noProof/>
                <w:sz w:val="18"/>
                <w:szCs w:val="18"/>
                <w:lang w:eastAsia="en-US"/>
              </w:rPr>
              <w:t xml:space="preserve">Administrative expenditure </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7 365,2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r>
              <w:rPr>
                <w:b/>
                <w:noProof/>
                <w:sz w:val="18"/>
                <w:szCs w:val="18"/>
                <w:lang w:eastAsia="en-US"/>
              </w:rPr>
              <w:t>12,0</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39,9</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7 417,1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b/>
                <w:noProof/>
                <w:sz w:val="18"/>
                <w:szCs w:val="18"/>
                <w:lang w:eastAsia="en-US"/>
              </w:rPr>
            </w:pPr>
            <w:r>
              <w:rPr>
                <w:b/>
                <w:noProof/>
                <w:sz w:val="18"/>
                <w:szCs w:val="18"/>
                <w:lang w:eastAsia="en-US"/>
              </w:rPr>
              <w:t>Pensions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lang w:eastAsia="en-US"/>
              </w:rPr>
            </w:pPr>
            <w:r>
              <w:rPr>
                <w:b/>
                <w:noProof/>
                <w:sz w:val="18"/>
                <w:szCs w:val="18"/>
                <w:lang w:eastAsia="en-US"/>
              </w:rPr>
              <w:t>1 770,8</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19,1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1 789,9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b/>
                <w:noProof/>
                <w:sz w:val="18"/>
                <w:szCs w:val="18"/>
                <w:lang w:eastAsia="en-US"/>
              </w:rPr>
            </w:pPr>
            <w:r>
              <w:rPr>
                <w:b/>
                <w:noProof/>
                <w:sz w:val="18"/>
                <w:szCs w:val="18"/>
                <w:lang w:eastAsia="en-US"/>
              </w:rPr>
              <w:t>European schools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lang w:eastAsia="en-US"/>
              </w:rPr>
            </w:pPr>
            <w:r>
              <w:rPr>
                <w:b/>
                <w:noProof/>
                <w:sz w:val="18"/>
                <w:szCs w:val="18"/>
                <w:lang w:eastAsia="en-US"/>
              </w:rPr>
              <w:t>185,8</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185,8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single" w:sz="4" w:space="0" w:color="auto"/>
              <w:right w:val="single" w:sz="4" w:space="0" w:color="auto"/>
            </w:tcBorders>
          </w:tcPr>
          <w:p>
            <w:pPr>
              <w:widowControl w:val="0"/>
              <w:spacing w:before="15" w:after="15" w:line="276" w:lineRule="auto"/>
              <w:jc w:val="right"/>
              <w:rPr>
                <w:b/>
                <w:i/>
                <w:noProof/>
                <w:sz w:val="18"/>
                <w:szCs w:val="18"/>
                <w:lang w:eastAsia="en-US"/>
              </w:rPr>
            </w:pPr>
            <w:r>
              <w:rPr>
                <w:b/>
                <w:i/>
                <w:noProof/>
                <w:sz w:val="18"/>
                <w:szCs w:val="18"/>
                <w:lang w:eastAsia="en-US"/>
              </w:rPr>
              <w:t xml:space="preserve">Pensions and European schools </w:t>
            </w:r>
          </w:p>
        </w:tc>
        <w:tc>
          <w:tcPr>
            <w:tcW w:w="1700" w:type="dxa"/>
            <w:tcBorders>
              <w:top w:val="dotted"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1 956,5</w:t>
            </w:r>
          </w:p>
        </w:tc>
        <w:tc>
          <w:tcPr>
            <w:tcW w:w="1426" w:type="dxa"/>
            <w:tcBorders>
              <w:top w:val="dotted" w:sz="4" w:space="0" w:color="auto"/>
              <w:left w:val="single" w:sz="4" w:space="0" w:color="auto"/>
              <w:bottom w:val="single" w:sz="4" w:space="0" w:color="auto"/>
              <w:right w:val="dotted" w:sz="4" w:space="0" w:color="auto"/>
            </w:tcBorders>
          </w:tcPr>
          <w:p>
            <w:pPr>
              <w:widowControl w:val="0"/>
              <w:spacing w:before="15" w:after="15" w:line="276" w:lineRule="auto"/>
              <w:jc w:val="right"/>
              <w:rPr>
                <w:noProof/>
                <w:sz w:val="18"/>
                <w:szCs w:val="18"/>
                <w:lang w:eastAsia="en-US"/>
              </w:rPr>
            </w:pPr>
            <w:r>
              <w:rPr>
                <w:b/>
                <w:noProof/>
                <w:sz w:val="18"/>
                <w:szCs w:val="18"/>
                <w:lang w:eastAsia="en-US"/>
              </w:rPr>
              <w:t>0,0</w:t>
            </w:r>
          </w:p>
        </w:tc>
        <w:tc>
          <w:tcPr>
            <w:tcW w:w="1426" w:type="dxa"/>
            <w:tcBorders>
              <w:top w:val="dotted" w:sz="4" w:space="0" w:color="auto"/>
              <w:left w:val="dotted" w:sz="4" w:space="0" w:color="auto"/>
              <w:bottom w:val="single"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19,1</w:t>
            </w:r>
          </w:p>
        </w:tc>
        <w:tc>
          <w:tcPr>
            <w:tcW w:w="1558" w:type="dxa"/>
            <w:tcBorders>
              <w:top w:val="dotted" w:sz="4" w:space="0" w:color="auto"/>
              <w:left w:val="single" w:sz="4" w:space="0" w:color="auto"/>
              <w:bottom w:val="single" w:sz="4" w:space="0" w:color="auto"/>
              <w:right w:val="single" w:sz="4" w:space="0" w:color="auto"/>
            </w:tcBorders>
          </w:tcPr>
          <w:p>
            <w:pPr>
              <w:widowControl w:val="0"/>
              <w:spacing w:before="15" w:after="15" w:line="276" w:lineRule="auto"/>
              <w:jc w:val="right"/>
              <w:rPr>
                <w:noProof/>
                <w:sz w:val="18"/>
                <w:szCs w:val="18"/>
                <w:lang w:eastAsia="en-US"/>
              </w:rPr>
            </w:pPr>
            <w:r>
              <w:rPr>
                <w:b/>
                <w:noProof/>
                <w:sz w:val="18"/>
                <w:szCs w:val="18"/>
                <w:lang w:eastAsia="en-US"/>
              </w:rPr>
              <w:t>1 975,6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single"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 xml:space="preserve">Total  </w:t>
            </w:r>
          </w:p>
        </w:tc>
        <w:tc>
          <w:tcPr>
            <w:tcW w:w="1700"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9 321,7</w:t>
            </w:r>
          </w:p>
        </w:tc>
        <w:tc>
          <w:tcPr>
            <w:tcW w:w="1426" w:type="dxa"/>
            <w:tcBorders>
              <w:top w:val="single" w:sz="4" w:space="0" w:color="auto"/>
              <w:left w:val="single" w:sz="4" w:space="0" w:color="auto"/>
              <w:bottom w:val="dotted" w:sz="4" w:space="0" w:color="auto"/>
              <w:right w:val="dotted"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12,0</w:t>
            </w:r>
          </w:p>
        </w:tc>
        <w:tc>
          <w:tcPr>
            <w:tcW w:w="1426" w:type="dxa"/>
            <w:tcBorders>
              <w:top w:val="single" w:sz="4" w:space="0" w:color="auto"/>
              <w:left w:val="dotted"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59,0</w:t>
            </w:r>
          </w:p>
        </w:tc>
        <w:tc>
          <w:tcPr>
            <w:tcW w:w="1558" w:type="dxa"/>
            <w:tcBorders>
              <w:top w:val="single"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9 392,7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Ceiling</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9 918,0</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9 918,0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Sub-ceiling</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8 007,0</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8 007,0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Of which offset against Contingency Margin</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-514,4</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-514,4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Margin heading 5</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81,9</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i/>
                <w:noProof/>
                <w:sz w:val="18"/>
                <w:szCs w:val="18"/>
                <w:lang w:eastAsia="en-US"/>
              </w:rPr>
            </w:pPr>
            <w:r>
              <w:rPr>
                <w:b/>
                <w:i/>
                <w:noProof/>
                <w:sz w:val="18"/>
                <w:szCs w:val="18"/>
                <w:lang w:eastAsia="en-US"/>
              </w:rPr>
              <w:t>-12,0</w:t>
            </w: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i/>
                <w:noProof/>
                <w:sz w:val="18"/>
                <w:szCs w:val="18"/>
                <w:lang w:eastAsia="en-US"/>
              </w:rPr>
            </w:pPr>
            <w:r>
              <w:rPr>
                <w:b/>
                <w:i/>
                <w:noProof/>
                <w:sz w:val="18"/>
                <w:szCs w:val="18"/>
                <w:lang w:eastAsia="en-US"/>
              </w:rPr>
              <w:t>-59,0</w:t>
            </w: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i/>
                <w:noProof/>
                <w:sz w:val="18"/>
                <w:szCs w:val="18"/>
                <w:lang w:eastAsia="en-US"/>
              </w:rPr>
            </w:pPr>
            <w:r>
              <w:rPr>
                <w:b/>
                <w:i/>
                <w:noProof/>
                <w:sz w:val="18"/>
                <w:szCs w:val="18"/>
                <w:lang w:eastAsia="en-US"/>
              </w:rPr>
              <w:t>10,9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single"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eastAsia="en-US"/>
              </w:rPr>
            </w:pPr>
            <w:r>
              <w:rPr>
                <w:b/>
                <w:i/>
                <w:noProof/>
                <w:sz w:val="18"/>
                <w:szCs w:val="18"/>
                <w:lang w:eastAsia="en-US"/>
              </w:rPr>
              <w:t xml:space="preserve">Sub-margin </w:t>
            </w:r>
          </w:p>
        </w:tc>
        <w:tc>
          <w:tcPr>
            <w:tcW w:w="1700"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lang w:eastAsia="en-US"/>
              </w:rPr>
            </w:pPr>
            <w:r>
              <w:rPr>
                <w:b/>
                <w:i/>
                <w:noProof/>
                <w:sz w:val="18"/>
                <w:szCs w:val="18"/>
                <w:lang w:eastAsia="en-US"/>
              </w:rPr>
              <w:t>127,5</w:t>
            </w:r>
          </w:p>
        </w:tc>
        <w:tc>
          <w:tcPr>
            <w:tcW w:w="1426"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pPr>
              <w:widowControl w:val="0"/>
              <w:spacing w:before="15" w:after="15" w:line="276" w:lineRule="auto"/>
              <w:jc w:val="right"/>
              <w:rPr>
                <w:i/>
                <w:noProof/>
                <w:sz w:val="18"/>
                <w:szCs w:val="18"/>
                <w:lang w:eastAsia="en-US"/>
              </w:rPr>
            </w:pPr>
            <w:r>
              <w:rPr>
                <w:b/>
                <w:i/>
                <w:noProof/>
                <w:sz w:val="18"/>
                <w:szCs w:val="18"/>
                <w:lang w:eastAsia="en-US"/>
              </w:rPr>
              <w:t>-12,0</w:t>
            </w:r>
          </w:p>
        </w:tc>
        <w:tc>
          <w:tcPr>
            <w:tcW w:w="1426" w:type="dxa"/>
            <w:tcBorders>
              <w:top w:val="dotted" w:sz="4" w:space="0" w:color="auto"/>
              <w:left w:val="dotted" w:sz="4" w:space="0" w:color="auto"/>
              <w:bottom w:val="single" w:sz="4" w:space="0" w:color="auto"/>
              <w:right w:val="single" w:sz="4" w:space="0" w:color="auto"/>
            </w:tcBorders>
            <w:shd w:val="clear" w:color="auto" w:fill="D9D9D9" w:themeFill="background1" w:themeFillShade="D9"/>
          </w:tcPr>
          <w:p>
            <w:pPr>
              <w:widowControl w:val="0"/>
              <w:spacing w:before="15" w:after="15" w:line="276" w:lineRule="auto"/>
              <w:jc w:val="right"/>
              <w:rPr>
                <w:i/>
                <w:noProof/>
                <w:sz w:val="18"/>
                <w:szCs w:val="18"/>
                <w:lang w:eastAsia="en-US"/>
              </w:rPr>
            </w:pPr>
            <w:r>
              <w:rPr>
                <w:b/>
                <w:i/>
                <w:noProof/>
                <w:sz w:val="18"/>
                <w:szCs w:val="18"/>
                <w:lang w:eastAsia="en-US"/>
              </w:rPr>
              <w:t>-39,9</w:t>
            </w:r>
          </w:p>
        </w:tc>
        <w:tc>
          <w:tcPr>
            <w:tcW w:w="1558" w:type="dxa"/>
            <w:tcBorders>
              <w:top w:val="dotted" w:sz="4" w:space="0" w:color="auto"/>
              <w:left w:val="single" w:sz="4" w:space="0" w:color="auto"/>
            </w:tcBorders>
            <w:shd w:val="clear" w:color="auto" w:fill="D9D9D9" w:themeFill="background1" w:themeFillShade="D9"/>
          </w:tcPr>
          <w:p>
            <w:pPr>
              <w:widowControl w:val="0"/>
              <w:spacing w:before="15" w:after="15" w:line="276" w:lineRule="auto"/>
              <w:jc w:val="right"/>
              <w:rPr>
                <w:i/>
                <w:noProof/>
                <w:sz w:val="18"/>
                <w:szCs w:val="18"/>
                <w:lang w:eastAsia="en-US"/>
              </w:rPr>
            </w:pPr>
            <w:r>
              <w:rPr>
                <w:b/>
                <w:i/>
                <w:noProof/>
                <w:sz w:val="18"/>
                <w:szCs w:val="18"/>
                <w:lang w:eastAsia="en-US"/>
              </w:rPr>
              <w:t>75,5</w:t>
            </w:r>
          </w:p>
        </w:tc>
      </w:tr>
    </w:tbl>
    <w:p>
      <w:pPr>
        <w:pStyle w:val="ManualHeading2"/>
        <w:numPr>
          <w:ilvl w:val="0"/>
          <w:numId w:val="0"/>
        </w:numPr>
        <w:tabs>
          <w:tab w:val="left" w:pos="851"/>
        </w:tabs>
        <w:ind w:left="851" w:hanging="851"/>
      </w:pPr>
      <w:bookmarkStart w:id="133" w:name="_Toc464138557"/>
      <w:r>
        <w:rPr>
          <w:rFonts w:eastAsia="Calibri"/>
        </w:rPr>
        <w:t>5.5.</w:t>
      </w:r>
      <w:r>
        <w:rPr>
          <w:rFonts w:eastAsia="Calibri"/>
        </w:rPr>
        <w:tab/>
      </w:r>
      <w:r>
        <w:t>Change in the establishment plans of the European Parliament, the European Economic and Social Committee and the Committee of the Regions</w:t>
      </w:r>
      <w:bookmarkEnd w:id="133"/>
    </w:p>
    <w:p>
      <w:pPr>
        <w:spacing w:before="120" w:after="120"/>
        <w:jc w:val="both"/>
        <w:rPr>
          <w:noProof/>
          <w:szCs w:val="20"/>
          <w:lang w:eastAsia="de-DE"/>
        </w:rPr>
      </w:pPr>
      <w:r>
        <w:rPr>
          <w:noProof/>
          <w:szCs w:val="20"/>
          <w:lang w:eastAsia="de-DE"/>
        </w:rPr>
        <w:t>In 2013 the European Parliament (EP), the Economic and Social Committee (EESC) and the Committee of the Regions (CoR) signed a cooperation agreement with a view to reinforcing political and administrative cooperation, through which the two Committees would contribute to building up the EP Members Research Service, which would in return provide products and services free of charge to the Committees. The cooperation agreement included a potential transfer of up to 80 posts from the Committees to the EP.</w:t>
      </w:r>
    </w:p>
    <w:p>
      <w:pPr>
        <w:spacing w:before="120" w:after="120"/>
        <w:jc w:val="both"/>
        <w:rPr>
          <w:noProof/>
          <w:szCs w:val="20"/>
          <w:lang w:eastAsia="de-DE"/>
        </w:rPr>
      </w:pPr>
      <w:r>
        <w:rPr>
          <w:noProof/>
          <w:szCs w:val="20"/>
          <w:lang w:eastAsia="de-DE"/>
        </w:rPr>
        <w:t>Initially, 80 posts were created in the EP's establishment plan in 2014 in view of the implementation of the cooperation agreement, and thus far 60 posts (24 for the CoR and 36 for the EESC) have been removed from the establishment plans of these institutions.</w:t>
      </w:r>
    </w:p>
    <w:p>
      <w:pPr>
        <w:spacing w:before="120" w:after="120"/>
        <w:jc w:val="both"/>
        <w:rPr>
          <w:noProof/>
          <w:szCs w:val="20"/>
          <w:lang w:eastAsia="de-DE"/>
        </w:rPr>
      </w:pPr>
      <w:r>
        <w:rPr>
          <w:noProof/>
          <w:szCs w:val="20"/>
          <w:lang w:eastAsia="de-DE"/>
        </w:rPr>
        <w:t>In order to ensure full compliance with the principle of budget neutrality of the agreement, the Commission integrated a revised Statement of Estimates for the EESC and the CoR in the draft budget 2017, reducing the establishment plan of the EESC by 12 posts together with the corresponding appropriations (- EUR 1,2 million) and that of the CoR by 8 posts (-EUR 0,8 million). The effect on heading 5 is shown in the table in section 5.2, above.</w:t>
      </w:r>
    </w:p>
    <w:p>
      <w:pPr>
        <w:spacing w:before="120" w:after="120"/>
        <w:jc w:val="both"/>
        <w:rPr>
          <w:noProof/>
          <w:szCs w:val="20"/>
          <w:lang w:eastAsia="de-DE"/>
        </w:rPr>
      </w:pPr>
      <w:r>
        <w:rPr>
          <w:noProof/>
          <w:szCs w:val="20"/>
          <w:lang w:eastAsia="de-DE"/>
        </w:rPr>
        <w:t>However, since the adoption of DB2017, the three Institutions concerned have come to a common understanding that the transfers can be considered as fully finalised. Therefore, the Commission proposes, in line with the agreement between the EP, the EESC and the CoR, that the 20 additional posts be removed from the EP's establishment plan in the 2017 draft budget, while restoring a corresponding number of posts in the respective establishment plans of the two Committees, together with the related appropriations.</w:t>
      </w:r>
    </w:p>
    <w:p>
      <w:pPr>
        <w:spacing w:before="120" w:after="120"/>
        <w:jc w:val="both"/>
        <w:rPr>
          <w:noProof/>
          <w:szCs w:val="20"/>
          <w:lang w:eastAsia="de-DE"/>
        </w:rPr>
      </w:pPr>
      <w:r>
        <w:rPr>
          <w:noProof/>
          <w:szCs w:val="20"/>
          <w:lang w:eastAsia="de-DE"/>
        </w:rPr>
        <w:t>Given that the 20 extra posts allocated to the European Parliament remained blocked and unused since 2014, the proposed adaptation to the establishment plan has no impact on the request for appropriations for the EP in section I of the EU budget.</w:t>
      </w:r>
    </w:p>
    <w:p>
      <w:pPr>
        <w:spacing w:before="120" w:after="120"/>
        <w:jc w:val="both"/>
        <w:rPr>
          <w:noProof/>
          <w:szCs w:val="20"/>
          <w:lang w:eastAsia="de-DE"/>
        </w:rPr>
      </w:pPr>
      <w:r>
        <w:rPr>
          <w:noProof/>
          <w:szCs w:val="20"/>
          <w:lang w:eastAsia="de-DE"/>
        </w:rPr>
        <w:t>As this is a zero-sum operation between Institutions, it has no impact on their respective 5 % staff reduction targets.</w:t>
      </w:r>
    </w:p>
    <w:p>
      <w:pPr>
        <w:pStyle w:val="ManualHeading1"/>
        <w:spacing w:before="240"/>
        <w:ind w:left="0" w:firstLine="0"/>
        <w:rPr>
          <w:noProof/>
        </w:rPr>
      </w:pPr>
      <w:bookmarkStart w:id="134" w:name="_Toc464138558"/>
      <w:bookmarkStart w:id="135" w:name="_Toc463264188"/>
      <w:r>
        <w:rPr>
          <w:noProof/>
        </w:rPr>
        <w:t>6.</w:t>
      </w:r>
      <w:r>
        <w:rPr>
          <w:noProof/>
        </w:rPr>
        <w:tab/>
        <w:t>Increase of the revenue linked to fines</w:t>
      </w:r>
      <w:bookmarkEnd w:id="134"/>
    </w:p>
    <w:p>
      <w:pPr>
        <w:spacing w:before="120" w:after="120"/>
        <w:jc w:val="both"/>
        <w:rPr>
          <w:noProof/>
          <w:lang w:eastAsia="de-DE"/>
        </w:rPr>
      </w:pPr>
      <w:r>
        <w:rPr>
          <w:noProof/>
          <w:lang w:eastAsia="de-DE"/>
        </w:rPr>
        <w:t>Some fines decided by the Commission recently will be paid and all legal remedies will be exhausted at the end of 2016 for an estimated amount of EUR 1 billion. The Commission proposes to increase the relevant budget items in the revenue part of the budget by this amount. This will reduce the GNI contribution requested from the national budgets by the same amount.</w:t>
      </w:r>
    </w:p>
    <w:bookmarkEnd w:id="135"/>
    <w:p>
      <w:pPr>
        <w:pStyle w:val="ManualHeading1"/>
        <w:spacing w:before="240"/>
        <w:ind w:left="0" w:firstLine="0"/>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pPr>
    </w:p>
    <w:p>
      <w:pPr>
        <w:pStyle w:val="ManualHeading1"/>
        <w:spacing w:before="120" w:after="0"/>
        <w:ind w:left="0" w:firstLine="0"/>
        <w:rPr>
          <w:noProof/>
        </w:rPr>
      </w:pPr>
      <w:bookmarkStart w:id="136" w:name="_Toc464138559"/>
      <w:r>
        <w:rPr>
          <w:noProof/>
        </w:rPr>
        <w:t>7.</w:t>
      </w:r>
      <w:r>
        <w:rPr>
          <w:noProof/>
        </w:rPr>
        <w:tab/>
        <w:t>Summary Table by MFF Heading</w:t>
      </w:r>
      <w:bookmarkEnd w:id="136"/>
    </w:p>
    <w:tbl>
      <w:tblPr>
        <w:tblW w:w="11309" w:type="dxa"/>
        <w:jc w:val="center"/>
        <w:tblCellMar>
          <w:left w:w="0" w:type="dxa"/>
          <w:right w:w="0" w:type="dxa"/>
        </w:tblCellMar>
        <w:tblLook w:val="04A0" w:firstRow="1" w:lastRow="0" w:firstColumn="1" w:lastColumn="0" w:noHBand="0" w:noVBand="1"/>
      </w:tblPr>
      <w:tblGrid>
        <w:gridCol w:w="3469"/>
        <w:gridCol w:w="1360"/>
        <w:gridCol w:w="1360"/>
        <w:gridCol w:w="1200"/>
        <w:gridCol w:w="1200"/>
        <w:gridCol w:w="1360"/>
        <w:gridCol w:w="1360"/>
      </w:tblGrid>
      <w:tr>
        <w:trPr>
          <w:trHeight w:val="300"/>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bottom"/>
            <w:hideMark/>
          </w:tcPr>
          <w:p>
            <w:pPr>
              <w:jc w:val="center"/>
              <w:rPr>
                <w:b/>
                <w:bCs/>
                <w:noProof/>
                <w:sz w:val="23"/>
                <w:szCs w:val="23"/>
                <w:u w:val="single"/>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jc w:val="right"/>
              <w:rPr>
                <w:i/>
                <w:iCs/>
                <w:noProof/>
                <w:sz w:val="16"/>
                <w:szCs w:val="16"/>
              </w:rPr>
            </w:pPr>
            <w:r>
              <w:rPr>
                <w:i/>
                <w:iCs/>
                <w:noProof/>
                <w:sz w:val="16"/>
                <w:szCs w:val="16"/>
              </w:rPr>
              <w:t>In EUR</w:t>
            </w:r>
          </w:p>
        </w:tc>
      </w:tr>
      <w:tr>
        <w:trPr>
          <w:trHeight w:val="255"/>
          <w:jc w:val="center"/>
        </w:trPr>
        <w:tc>
          <w:tcPr>
            <w:tcW w:w="3469" w:type="dxa"/>
            <w:vMerge w:val="restart"/>
            <w:tcBorders>
              <w:top w:val="single" w:sz="8" w:space="0" w:color="auto"/>
              <w:left w:val="single" w:sz="8" w:space="0" w:color="auto"/>
              <w:bottom w:val="single" w:sz="8" w:space="0" w:color="000000"/>
              <w:right w:val="single" w:sz="8" w:space="0" w:color="auto"/>
            </w:tcBorders>
            <w:shd w:val="clear" w:color="000000" w:fill="C0C0C0"/>
            <w:tcMar>
              <w:top w:w="15" w:type="dxa"/>
              <w:left w:w="15" w:type="dxa"/>
              <w:bottom w:w="0" w:type="dxa"/>
              <w:right w:w="15" w:type="dxa"/>
            </w:tcMar>
            <w:vAlign w:val="center"/>
            <w:hideMark/>
          </w:tcPr>
          <w:p>
            <w:pPr>
              <w:jc w:val="center"/>
              <w:rPr>
                <w:b/>
                <w:bCs/>
                <w:noProof/>
                <w:sz w:val="17"/>
                <w:szCs w:val="17"/>
              </w:rPr>
            </w:pPr>
            <w:r>
              <w:rPr>
                <w:b/>
                <w:bCs/>
                <w:noProof/>
                <w:sz w:val="17"/>
                <w:szCs w:val="17"/>
              </w:rPr>
              <w:t>Financial framework</w:t>
            </w:r>
            <w:r>
              <w:rPr>
                <w:b/>
                <w:bCs/>
                <w:noProof/>
                <w:sz w:val="17"/>
                <w:szCs w:val="17"/>
              </w:rPr>
              <w:br/>
              <w:t>Heading/sub-heading</w:t>
            </w:r>
          </w:p>
        </w:tc>
        <w:tc>
          <w:tcPr>
            <w:tcW w:w="2720" w:type="dxa"/>
            <w:gridSpan w:val="2"/>
            <w:vMerge w:val="restart"/>
            <w:tcBorders>
              <w:top w:val="single" w:sz="8" w:space="0" w:color="auto"/>
              <w:left w:val="single" w:sz="8" w:space="0" w:color="auto"/>
              <w:bottom w:val="single" w:sz="8" w:space="0" w:color="000000"/>
              <w:right w:val="nil"/>
            </w:tcBorders>
            <w:shd w:val="clear" w:color="000000" w:fill="C0C0C0"/>
            <w:tcMar>
              <w:top w:w="15" w:type="dxa"/>
              <w:left w:w="15" w:type="dxa"/>
              <w:bottom w:w="0" w:type="dxa"/>
              <w:right w:w="15" w:type="dxa"/>
            </w:tcMar>
            <w:vAlign w:val="center"/>
            <w:hideMark/>
          </w:tcPr>
          <w:p>
            <w:pPr>
              <w:jc w:val="center"/>
              <w:rPr>
                <w:b/>
                <w:bCs/>
                <w:noProof/>
                <w:sz w:val="16"/>
                <w:szCs w:val="16"/>
              </w:rPr>
            </w:pPr>
            <w:r>
              <w:rPr>
                <w:b/>
                <w:bCs/>
                <w:noProof/>
                <w:sz w:val="16"/>
                <w:szCs w:val="16"/>
              </w:rPr>
              <w:t>Draft Budget 2017</w:t>
            </w:r>
          </w:p>
        </w:tc>
        <w:tc>
          <w:tcPr>
            <w:tcW w:w="2400" w:type="dxa"/>
            <w:gridSpan w:val="2"/>
            <w:vMerge w:val="restart"/>
            <w:tcBorders>
              <w:top w:val="single" w:sz="8" w:space="0" w:color="auto"/>
              <w:left w:val="single" w:sz="4" w:space="0" w:color="auto"/>
              <w:bottom w:val="single" w:sz="8" w:space="0" w:color="000000"/>
              <w:right w:val="single" w:sz="4" w:space="0" w:color="000000"/>
            </w:tcBorders>
            <w:shd w:val="clear" w:color="000000" w:fill="C0C0C0"/>
            <w:tcMar>
              <w:top w:w="15" w:type="dxa"/>
              <w:left w:w="15" w:type="dxa"/>
              <w:bottom w:w="0" w:type="dxa"/>
              <w:right w:w="15" w:type="dxa"/>
            </w:tcMar>
            <w:vAlign w:val="center"/>
            <w:hideMark/>
          </w:tcPr>
          <w:p>
            <w:pPr>
              <w:jc w:val="center"/>
              <w:rPr>
                <w:b/>
                <w:bCs/>
                <w:noProof/>
                <w:sz w:val="16"/>
                <w:szCs w:val="16"/>
              </w:rPr>
            </w:pPr>
            <w:r>
              <w:rPr>
                <w:b/>
                <w:bCs/>
                <w:noProof/>
                <w:sz w:val="16"/>
                <w:szCs w:val="16"/>
              </w:rPr>
              <w:t>Draft Amending Letter No 1</w:t>
            </w:r>
          </w:p>
        </w:tc>
        <w:tc>
          <w:tcPr>
            <w:tcW w:w="2720" w:type="dxa"/>
            <w:gridSpan w:val="2"/>
            <w:vMerge w:val="restart"/>
            <w:tcBorders>
              <w:top w:val="single" w:sz="8" w:space="0" w:color="auto"/>
              <w:left w:val="nil"/>
              <w:bottom w:val="single" w:sz="8" w:space="0" w:color="000000"/>
              <w:right w:val="single" w:sz="8" w:space="0" w:color="000000"/>
            </w:tcBorders>
            <w:shd w:val="clear" w:color="000000" w:fill="C0C0C0"/>
            <w:tcMar>
              <w:top w:w="15" w:type="dxa"/>
              <w:left w:w="15" w:type="dxa"/>
              <w:bottom w:w="0" w:type="dxa"/>
              <w:right w:w="15" w:type="dxa"/>
            </w:tcMar>
            <w:vAlign w:val="center"/>
            <w:hideMark/>
          </w:tcPr>
          <w:p>
            <w:pPr>
              <w:jc w:val="center"/>
              <w:rPr>
                <w:b/>
                <w:bCs/>
                <w:noProof/>
                <w:sz w:val="16"/>
                <w:szCs w:val="16"/>
              </w:rPr>
            </w:pPr>
            <w:r>
              <w:rPr>
                <w:b/>
                <w:bCs/>
                <w:noProof/>
                <w:sz w:val="16"/>
                <w:szCs w:val="16"/>
              </w:rPr>
              <w:t xml:space="preserve">Draft Budget 2017 </w:t>
            </w:r>
            <w:r>
              <w:rPr>
                <w:b/>
                <w:bCs/>
                <w:noProof/>
                <w:sz w:val="16"/>
                <w:szCs w:val="16"/>
              </w:rPr>
              <w:br/>
              <w:t>(incl. AL1/2017)</w:t>
            </w:r>
          </w:p>
        </w:tc>
      </w:tr>
      <w:tr>
        <w:trPr>
          <w:trHeight w:val="195"/>
          <w:jc w:val="center"/>
        </w:trPr>
        <w:tc>
          <w:tcPr>
            <w:tcW w:w="3469" w:type="dxa"/>
            <w:vMerge/>
            <w:tcBorders>
              <w:top w:val="single" w:sz="8" w:space="0" w:color="auto"/>
              <w:left w:val="single" w:sz="8" w:space="0" w:color="auto"/>
              <w:bottom w:val="single" w:sz="8" w:space="0" w:color="000000"/>
              <w:right w:val="single" w:sz="8" w:space="0" w:color="auto"/>
            </w:tcBorders>
            <w:vAlign w:val="center"/>
            <w:hideMark/>
          </w:tcPr>
          <w:p>
            <w:pPr>
              <w:rPr>
                <w:b/>
                <w:bCs/>
                <w:noProof/>
                <w:sz w:val="17"/>
                <w:szCs w:val="17"/>
              </w:rPr>
            </w:pPr>
          </w:p>
        </w:tc>
        <w:tc>
          <w:tcPr>
            <w:tcW w:w="0" w:type="auto"/>
            <w:gridSpan w:val="2"/>
            <w:vMerge/>
            <w:tcBorders>
              <w:top w:val="single" w:sz="8" w:space="0" w:color="auto"/>
              <w:left w:val="single" w:sz="8" w:space="0" w:color="auto"/>
              <w:bottom w:val="single" w:sz="8" w:space="0" w:color="000000"/>
              <w:right w:val="nil"/>
            </w:tcBorders>
            <w:vAlign w:val="center"/>
            <w:hideMark/>
          </w:tcPr>
          <w:p>
            <w:pPr>
              <w:rPr>
                <w:b/>
                <w:bCs/>
                <w:noProof/>
                <w:sz w:val="16"/>
                <w:szCs w:val="16"/>
              </w:rPr>
            </w:pPr>
          </w:p>
        </w:tc>
        <w:tc>
          <w:tcPr>
            <w:tcW w:w="0" w:type="auto"/>
            <w:gridSpan w:val="2"/>
            <w:vMerge/>
            <w:tcBorders>
              <w:top w:val="single" w:sz="8" w:space="0" w:color="auto"/>
              <w:left w:val="single" w:sz="4" w:space="0" w:color="auto"/>
              <w:bottom w:val="single" w:sz="8" w:space="0" w:color="000000"/>
              <w:right w:val="single" w:sz="4" w:space="0" w:color="000000"/>
            </w:tcBorders>
            <w:vAlign w:val="center"/>
            <w:hideMark/>
          </w:tcPr>
          <w:p>
            <w:pPr>
              <w:rPr>
                <w:b/>
                <w:bCs/>
                <w:noProof/>
                <w:sz w:val="16"/>
                <w:szCs w:val="16"/>
              </w:rPr>
            </w:pPr>
          </w:p>
        </w:tc>
        <w:tc>
          <w:tcPr>
            <w:tcW w:w="0" w:type="auto"/>
            <w:gridSpan w:val="2"/>
            <w:vMerge/>
            <w:tcBorders>
              <w:top w:val="single" w:sz="8" w:space="0" w:color="auto"/>
              <w:left w:val="nil"/>
              <w:bottom w:val="single" w:sz="8" w:space="0" w:color="000000"/>
              <w:right w:val="single" w:sz="8" w:space="0" w:color="000000"/>
            </w:tcBorders>
            <w:vAlign w:val="center"/>
            <w:hideMark/>
          </w:tcPr>
          <w:p>
            <w:pPr>
              <w:rPr>
                <w:b/>
                <w:bCs/>
                <w:noProof/>
                <w:sz w:val="16"/>
                <w:szCs w:val="16"/>
              </w:rPr>
            </w:pPr>
          </w:p>
        </w:tc>
      </w:tr>
      <w:tr>
        <w:trPr>
          <w:trHeight w:val="147"/>
          <w:jc w:val="center"/>
        </w:trPr>
        <w:tc>
          <w:tcPr>
            <w:tcW w:w="3469" w:type="dxa"/>
            <w:vMerge/>
            <w:tcBorders>
              <w:top w:val="single" w:sz="8" w:space="0" w:color="auto"/>
              <w:left w:val="single" w:sz="8" w:space="0" w:color="auto"/>
              <w:bottom w:val="single" w:sz="8" w:space="0" w:color="000000"/>
              <w:right w:val="single" w:sz="8" w:space="0" w:color="auto"/>
            </w:tcBorders>
            <w:vAlign w:val="center"/>
            <w:hideMark/>
          </w:tcPr>
          <w:p>
            <w:pPr>
              <w:rPr>
                <w:b/>
                <w:bCs/>
                <w:noProof/>
                <w:sz w:val="17"/>
                <w:szCs w:val="17"/>
              </w:rPr>
            </w:pPr>
          </w:p>
        </w:tc>
        <w:tc>
          <w:tcPr>
            <w:tcW w:w="136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szCs w:val="16"/>
              </w:rPr>
              <w:t>CA</w:t>
            </w:r>
          </w:p>
        </w:tc>
        <w:tc>
          <w:tcPr>
            <w:tcW w:w="1360" w:type="dxa"/>
            <w:tcBorders>
              <w:top w:val="nil"/>
              <w:left w:val="nil"/>
              <w:bottom w:val="single" w:sz="8" w:space="0" w:color="auto"/>
              <w:right w:val="nil"/>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szCs w:val="16"/>
              </w:rPr>
              <w:t>PA</w:t>
            </w:r>
          </w:p>
        </w:tc>
        <w:tc>
          <w:tcPr>
            <w:tcW w:w="1200" w:type="dxa"/>
            <w:tcBorders>
              <w:top w:val="nil"/>
              <w:left w:val="single" w:sz="4" w:space="0" w:color="auto"/>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szCs w:val="16"/>
              </w:rPr>
              <w:t>CA</w:t>
            </w:r>
          </w:p>
        </w:tc>
        <w:tc>
          <w:tcPr>
            <w:tcW w:w="120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szCs w:val="16"/>
              </w:rPr>
              <w:t>PA</w:t>
            </w:r>
          </w:p>
        </w:tc>
        <w:tc>
          <w:tcPr>
            <w:tcW w:w="136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szCs w:val="16"/>
              </w:rPr>
              <w:t>CA</w:t>
            </w:r>
          </w:p>
        </w:tc>
        <w:tc>
          <w:tcPr>
            <w:tcW w:w="1360" w:type="dxa"/>
            <w:tcBorders>
              <w:top w:val="nil"/>
              <w:left w:val="nil"/>
              <w:bottom w:val="single" w:sz="8" w:space="0" w:color="auto"/>
              <w:right w:val="single" w:sz="8"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szCs w:val="16"/>
              </w:rPr>
              <w:t>PA</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bCs/>
                <w:noProof/>
                <w:sz w:val="16"/>
                <w:szCs w:val="16"/>
              </w:rPr>
              <w:t>1. Smart and inclusive growth</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74 682 751 585</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56 646 663 545</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6 890 000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74 882 751 585</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56 653 553 545</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under global margin for comitments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1 265 000 000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73 512 000 000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73 512 000 000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bookmarkStart w:id="137" w:name="RANGE!B13"/>
            <w:r>
              <w:rPr>
                <w:i/>
                <w:iCs/>
                <w:noProof/>
                <w:sz w:val="14"/>
                <w:szCs w:val="14"/>
              </w:rPr>
              <w:t>Margin</w:t>
            </w:r>
            <w:bookmarkEnd w:id="137"/>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94 248 415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68 348 415</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szCs w:val="16"/>
              </w:rPr>
              <w:t>1a. Competitiveness for growth and jobs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21 108 952 950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19 297 994 503</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xml:space="preserve">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xml:space="preserve"> 6 890 000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21 308 952 950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19 304 884 503</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1 265 000 000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19 925 000 000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19 925 000 000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Margin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81 047 050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55 147 050</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386"/>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szCs w:val="16"/>
              </w:rPr>
              <w:t>1b. Economic, social and territorial cohesion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53 573 798 635</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37 348 669 042</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53 573 798 635</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37 348 669 042</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53 587 000 000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53 587 000 000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Margin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13 201 365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13 201 365</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372"/>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bCs/>
                <w:noProof/>
                <w:sz w:val="16"/>
                <w:szCs w:val="16"/>
              </w:rPr>
              <w:t>2. Sustainable growth: natural resources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58 901 743 884</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55 236 239 537</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- 1 020 000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58 901 743 884</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55 235 219 537</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60 191 000 000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60 191 000 000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- 650 000 000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- 850 000 000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Margin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639 256 116</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439 256 116</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67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szCs w:val="16"/>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42 937 572 079</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42 888 987 974</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- 1 020 000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42 937 572 079</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42 887 967 974</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Sub-ceiling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44 146 000 000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44 146 000 000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Rounding difference excluded from margin calculation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318 000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318 000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EAGF Margin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1 208 109 921</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1 208 109 921</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bCs/>
                <w:noProof/>
                <w:sz w:val="16"/>
                <w:szCs w:val="16"/>
              </w:rPr>
              <w:t>3. SECURITY AND CITIZENSHIP</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4 272 380 960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3 781 908 287</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4 272 380 960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3 781 908 287</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530 000 000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530 000 000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under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1 164 380 960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1 164 380 960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2 578 000 000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2 578 000 000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bookmarkStart w:id="138" w:name="RANGE!B44"/>
            <w:r>
              <w:rPr>
                <w:i/>
                <w:iCs/>
                <w:noProof/>
                <w:sz w:val="14"/>
                <w:szCs w:val="14"/>
              </w:rPr>
              <w:t>Margin</w:t>
            </w:r>
            <w:bookmarkEnd w:id="138"/>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bookmarkStart w:id="139" w:name="RANGE!B45"/>
            <w:r>
              <w:rPr>
                <w:b/>
                <w:bCs/>
                <w:noProof/>
                <w:sz w:val="16"/>
                <w:szCs w:val="16"/>
              </w:rPr>
              <w:t>4. GLOBAL EUROPE</w:t>
            </w:r>
            <w:bookmarkEnd w:id="139"/>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9 432 000 000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9 289 727 178</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446 230 000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10 418 230 000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9 735 957 178</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under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986 230 000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9 432 000 000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9 432 000 000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Margin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bookmarkStart w:id="140" w:name="RANGE!B51"/>
            <w:r>
              <w:rPr>
                <w:b/>
                <w:bCs/>
                <w:noProof/>
                <w:sz w:val="16"/>
                <w:szCs w:val="16"/>
              </w:rPr>
              <w:t>5. ADMINISTRATION</w:t>
            </w:r>
            <w:bookmarkEnd w:id="140"/>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9 321 692 016</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9 324 103 016</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71 010 800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71 010 800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9 392 702 816</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9 395 113 816</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9 918 000 000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9 918 000 000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- 514 380 960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- 514 380 960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Margin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81 927 024</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10 916 224</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szCs w:val="16"/>
              </w:rPr>
              <w:t>Of Which: Pensions and European Schools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1 956 535 156</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7 367 567 860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xml:space="preserve"> 19 076 000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xml:space="preserve"> 19 076 000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1 975 611 156</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7 386 643 860</w:t>
            </w:r>
          </w:p>
        </w:tc>
      </w:tr>
      <w:tr>
        <w:trPr>
          <w:trHeight w:val="255"/>
          <w:jc w:val="center"/>
        </w:trPr>
        <w:tc>
          <w:tcPr>
            <w:tcW w:w="3469" w:type="dxa"/>
            <w:tcBorders>
              <w:top w:val="single" w:sz="4" w:space="0" w:color="auto"/>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szCs w:val="16"/>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7 365 156 860</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7 367 567 860</w:t>
            </w:r>
          </w:p>
        </w:tc>
        <w:tc>
          <w:tcPr>
            <w:tcW w:w="120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xml:space="preserve"> 51 934 800</w:t>
            </w:r>
          </w:p>
        </w:tc>
        <w:tc>
          <w:tcPr>
            <w:tcW w:w="120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 xml:space="preserve"> 51 934 800</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7 417 091 660</w:t>
            </w:r>
          </w:p>
        </w:tc>
        <w:tc>
          <w:tcPr>
            <w:tcW w:w="1360" w:type="dxa"/>
            <w:tcBorders>
              <w:top w:val="single" w:sz="4" w:space="0" w:color="auto"/>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szCs w:val="16"/>
              </w:rPr>
              <w:t>7 419 502 660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8 007 000 000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8 007 000 000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- 514 380 960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- 514 380 960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270"/>
          <w:jc w:val="center"/>
        </w:trPr>
        <w:tc>
          <w:tcPr>
            <w:tcW w:w="346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iCs/>
                <w:noProof/>
                <w:sz w:val="14"/>
                <w:szCs w:val="14"/>
              </w:rPr>
              <w:t>Margin</w:t>
            </w:r>
          </w:p>
        </w:tc>
        <w:tc>
          <w:tcPr>
            <w:tcW w:w="13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127 462 180</w:t>
            </w:r>
          </w:p>
        </w:tc>
        <w:tc>
          <w:tcPr>
            <w:tcW w:w="13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xml:space="preserve"> 75 527 380</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iCs/>
                <w:noProof/>
                <w:color w:val="000000"/>
                <w:sz w:val="14"/>
                <w:szCs w:val="14"/>
              </w:rPr>
              <w:t> </w:t>
            </w:r>
          </w:p>
        </w:tc>
      </w:tr>
      <w:tr>
        <w:trPr>
          <w:trHeight w:val="176"/>
          <w:jc w:val="center"/>
        </w:trPr>
        <w:tc>
          <w:tcPr>
            <w:tcW w:w="346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bCs/>
                <w:noProof/>
                <w:sz w:val="16"/>
                <w:szCs w:val="16"/>
              </w:rPr>
              <w:t>TOTAL APPROPRIATIONS FOR HEADINGS</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156 610 568 445</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134 278 641 563</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1 257 240 800</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523 110 800</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157 867 809 245</w:t>
            </w:r>
          </w:p>
        </w:tc>
        <w:tc>
          <w:tcPr>
            <w:tcW w:w="136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134 801 752 363</w:t>
            </w:r>
          </w:p>
        </w:tc>
      </w:tr>
      <w:tr>
        <w:trPr>
          <w:trHeight w:val="165"/>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Appropriations as% of GNI</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1,04%</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0,89%</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1,05%</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0,90%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530 000 000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981 093 985</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530 000 000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981 093 985</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1 265 000 000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tcPr>
          <w:p>
            <w:pPr>
              <w:jc w:val="right"/>
              <w:rPr>
                <w:b/>
                <w:bCs/>
                <w:i/>
                <w:iCs/>
                <w:noProof/>
                <w:sz w:val="14"/>
                <w:szCs w:val="14"/>
              </w:rPr>
            </w:pPr>
            <w:r>
              <w:rPr>
                <w:b/>
                <w:bCs/>
                <w:i/>
                <w:iCs/>
                <w:noProof/>
                <w:sz w:val="14"/>
                <w:szCs w:val="14"/>
              </w:rPr>
              <w:t>Of which under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bCs/>
                <w:i/>
                <w:iCs/>
                <w:noProof/>
                <w:color w:val="000000"/>
                <w:sz w:val="14"/>
                <w:szCs w:val="14"/>
              </w:rPr>
              <w:t>1 164 380 960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bCs/>
                <w:i/>
                <w:iCs/>
                <w:noProof/>
                <w:color w:val="000000"/>
                <w:sz w:val="14"/>
                <w:szCs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bCs/>
                <w:i/>
                <w:iCs/>
                <w:noProof/>
                <w:color w:val="000000"/>
                <w:sz w:val="14"/>
                <w:szCs w:val="14"/>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bCs/>
                <w:i/>
                <w:iCs/>
                <w:noProof/>
                <w:color w:val="000000"/>
                <w:sz w:val="14"/>
                <w:szCs w:val="14"/>
              </w:rPr>
              <w:t>2 150 610 960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bCs/>
                <w:i/>
                <w:iCs/>
                <w:noProof/>
                <w:color w:val="000000"/>
                <w:sz w:val="14"/>
                <w:szCs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Ceiling</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155 631 000 000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142 906 000 000</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155 631 000 000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142 906 000 000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Of offset against Contingency Margin</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-1 164 380 960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-1 364 380 960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r>
      <w:tr>
        <w:trPr>
          <w:trHeight w:val="270"/>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Margin</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815 431 555</w:t>
            </w:r>
          </w:p>
        </w:tc>
        <w:tc>
          <w:tcPr>
            <w:tcW w:w="1360" w:type="dxa"/>
            <w:tcBorders>
              <w:top w:val="nil"/>
              <w:left w:val="single" w:sz="4" w:space="0" w:color="auto"/>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9 608 452 422</w:t>
            </w:r>
          </w:p>
        </w:tc>
        <w:tc>
          <w:tcPr>
            <w:tcW w:w="120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- 296 910 800</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- 523 110 800</w:t>
            </w:r>
          </w:p>
        </w:tc>
        <w:tc>
          <w:tcPr>
            <w:tcW w:w="136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xml:space="preserve"> 518 520 755</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9 085 341 622</w:t>
            </w:r>
          </w:p>
        </w:tc>
      </w:tr>
      <w:tr>
        <w:trPr>
          <w:trHeight w:val="179"/>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r>
      <w:tr>
        <w:trPr>
          <w:trHeight w:val="208"/>
          <w:jc w:val="center"/>
        </w:trPr>
        <w:tc>
          <w:tcPr>
            <w:tcW w:w="346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bCs/>
                <w:noProof/>
                <w:sz w:val="16"/>
                <w:szCs w:val="16"/>
              </w:rPr>
              <w:t>Other special instruments</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1 046 924 000</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620 000 000</w:t>
            </w:r>
          </w:p>
        </w:tc>
        <w:tc>
          <w:tcPr>
            <w:tcW w:w="120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w:t>
            </w:r>
          </w:p>
        </w:tc>
        <w:tc>
          <w:tcPr>
            <w:tcW w:w="120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1 046 924 000</w:t>
            </w:r>
          </w:p>
        </w:tc>
        <w:tc>
          <w:tcPr>
            <w:tcW w:w="13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620 000 000</w:t>
            </w:r>
          </w:p>
        </w:tc>
      </w:tr>
      <w:tr>
        <w:trPr>
          <w:trHeight w:val="54"/>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r>
      <w:tr>
        <w:trPr>
          <w:trHeight w:val="186"/>
          <w:jc w:val="center"/>
        </w:trPr>
        <w:tc>
          <w:tcPr>
            <w:tcW w:w="346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bCs/>
                <w:noProof/>
                <w:sz w:val="16"/>
                <w:szCs w:val="16"/>
              </w:rPr>
              <w:t>TOTAL APPROPRIATIONS</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157 657 492 445</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134 898 641 563</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1 257 240 800</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 xml:space="preserve"> 523 110 800</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158 914 733 245</w:t>
            </w:r>
          </w:p>
        </w:tc>
        <w:tc>
          <w:tcPr>
            <w:tcW w:w="136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bCs/>
                <w:noProof/>
                <w:color w:val="000000"/>
                <w:sz w:val="16"/>
                <w:szCs w:val="16"/>
              </w:rPr>
              <w:t>135 421 752 363</w:t>
            </w:r>
          </w:p>
        </w:tc>
      </w:tr>
      <w:tr>
        <w:trPr>
          <w:trHeight w:val="180"/>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bCs/>
                <w:i/>
                <w:iCs/>
                <w:noProof/>
                <w:sz w:val="14"/>
                <w:szCs w:val="14"/>
              </w:rPr>
              <w:t>Appropriations as% of GNI</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1,05%</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0,90%</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1,06%</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bCs/>
                <w:i/>
                <w:iCs/>
                <w:noProof/>
                <w:color w:val="000000"/>
                <w:sz w:val="14"/>
                <w:szCs w:val="14"/>
              </w:rPr>
              <w:t>0,90%</w:t>
            </w:r>
          </w:p>
        </w:tc>
      </w:tr>
    </w:tbl>
    <w:p>
      <w:pPr>
        <w:spacing w:before="120" w:after="120"/>
        <w:jc w:val="both"/>
        <w:rPr>
          <w:noProof/>
          <w:szCs w:val="20"/>
          <w:lang w:eastAsia="de-DE"/>
        </w:rPr>
      </w:pPr>
    </w:p>
    <w:sectPr>
      <w:headerReference w:type="even" r:id="rId35"/>
      <w:headerReference w:type="default" r:id="rId36"/>
      <w:footerReference w:type="even" r:id="rId37"/>
      <w:footerReference w:type="default" r:id="rId38"/>
      <w:headerReference w:type="first" r:id="rId39"/>
      <w:footerReference w:type="first" r:id="rId40"/>
      <w:pgSz w:w="11907" w:h="16839"/>
      <w:pgMar w:top="284" w:right="1021" w:bottom="851" w:left="1021" w:header="280"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23</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24</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sz w:val="19"/>
          <w:szCs w:val="19"/>
          <w:lang w:val="pt-PT"/>
        </w:rPr>
        <w:tab/>
      </w:r>
      <w:r>
        <w:rPr>
          <w:sz w:val="18"/>
          <w:szCs w:val="18"/>
          <w:lang w:val="pt-PT"/>
        </w:rPr>
        <w:t>OJ L 298, 26.10.2012, p. 1.</w:t>
      </w:r>
    </w:p>
  </w:footnote>
  <w:footnote w:id="3">
    <w:p>
      <w:pPr>
        <w:pStyle w:val="FootnoteText"/>
        <w:rPr>
          <w:lang w:val="pt-PT"/>
        </w:rPr>
      </w:pPr>
      <w:r>
        <w:rPr>
          <w:rStyle w:val="FootnoteReference"/>
        </w:rPr>
        <w:footnoteRef/>
      </w:r>
      <w:r>
        <w:rPr>
          <w:lang w:val="pt-PT"/>
        </w:rPr>
        <w:tab/>
      </w:r>
      <w:r>
        <w:rPr>
          <w:sz w:val="18"/>
          <w:szCs w:val="18"/>
          <w:lang w:val="pt-PT"/>
        </w:rPr>
        <w:t>COM(2016) 300, 18.7.2016.</w:t>
      </w:r>
    </w:p>
  </w:footnote>
  <w:footnote w:id="4">
    <w:p>
      <w:pPr>
        <w:pStyle w:val="FootnoteText"/>
        <w:rPr>
          <w:lang w:val="pt-PT"/>
        </w:rPr>
      </w:pPr>
      <w:r>
        <w:rPr>
          <w:rStyle w:val="FootnoteReference"/>
        </w:rPr>
        <w:footnoteRef/>
      </w:r>
      <w:r>
        <w:rPr>
          <w:lang w:val="pt-PT"/>
        </w:rPr>
        <w:t xml:space="preserve"> </w:t>
      </w:r>
      <w:r>
        <w:rPr>
          <w:lang w:val="pt-PT"/>
        </w:rPr>
        <w:tab/>
        <w:t>COM(2016) 603 final, 14.9.2016.</w:t>
      </w:r>
    </w:p>
  </w:footnote>
  <w:footnote w:id="5">
    <w:p>
      <w:pPr>
        <w:pStyle w:val="FootnoteText"/>
        <w:rPr>
          <w:lang w:val="en-GB"/>
        </w:rPr>
      </w:pPr>
      <w:r>
        <w:rPr>
          <w:rStyle w:val="FootnoteReference"/>
        </w:rPr>
        <w:footnoteRef/>
      </w:r>
      <w:r>
        <w:rPr>
          <w:lang w:val="en-GB"/>
        </w:rPr>
        <w:tab/>
        <w:t>COM(2016) 586 final, 14.9.2016.</w:t>
      </w:r>
    </w:p>
  </w:footnote>
  <w:footnote w:id="6">
    <w:p>
      <w:pPr>
        <w:pStyle w:val="FootnoteText"/>
        <w:rPr>
          <w:lang w:val="en-GB"/>
        </w:rPr>
      </w:pPr>
      <w:r>
        <w:rPr>
          <w:rStyle w:val="FootnoteReference"/>
        </w:rPr>
        <w:footnoteRef/>
      </w:r>
      <w:r>
        <w:rPr>
          <w:lang w:val="en-GB"/>
        </w:rPr>
        <w:t xml:space="preserve"> </w:t>
      </w:r>
      <w:r>
        <w:rPr>
          <w:lang w:val="en-GB"/>
        </w:rPr>
        <w:tab/>
        <w:t>COM(2016) 602 final, 14.9.2016.</w:t>
      </w:r>
    </w:p>
  </w:footnote>
  <w:footnote w:id="7">
    <w:p>
      <w:pPr>
        <w:pStyle w:val="FootnoteText"/>
        <w:rPr>
          <w:lang w:val="en-GB"/>
        </w:rPr>
      </w:pPr>
      <w:r>
        <w:rPr>
          <w:rStyle w:val="FootnoteReference"/>
        </w:rPr>
        <w:footnoteRef/>
      </w:r>
      <w:r>
        <w:rPr>
          <w:lang w:val="en-GB"/>
        </w:rPr>
        <w:t xml:space="preserve"> </w:t>
      </w:r>
      <w:r>
        <w:rPr>
          <w:lang w:val="en-GB"/>
        </w:rPr>
        <w:tab/>
        <w:t>Under the 2014-2020 MFF, the initial EAGF sub-ceiling for 2017 amounted to EUR 44 863 million. After taking into account a net amount of EUR 717.3 million to be transferred to Rural Development, which had already been incorporated in the DB 2017, the net balance available for EAGF expenditure (‘net sub-ceiling’) amounts to EUR 44 145,7 million. The EAGF needs for 2017 are assessed against this EAGF ‘net sub-ceiling’.</w:t>
      </w:r>
    </w:p>
  </w:footnote>
  <w:footnote w:id="8">
    <w:p>
      <w:pPr>
        <w:pStyle w:val="FootnoteText"/>
        <w:rPr>
          <w:lang w:val="en-GB"/>
        </w:rPr>
      </w:pPr>
      <w:r>
        <w:rPr>
          <w:rStyle w:val="FootnoteReference"/>
        </w:rPr>
        <w:footnoteRef/>
      </w:r>
      <w:r>
        <w:rPr>
          <w:lang w:val="en-GB"/>
        </w:rPr>
        <w:t xml:space="preserve"> </w:t>
      </w:r>
      <w:r>
        <w:rPr>
          <w:lang w:val="en-GB"/>
        </w:rPr>
        <w:tab/>
        <w:t>The adjustment rate for direct payments related to the financial discipline mechanism in respect of the calendar year 2016 is set in Commission Implementing Regulation (EU) 2016/1153. The Commission will adapt this adjustment rate on the basis of this AL 1/2017.</w:t>
      </w:r>
    </w:p>
  </w:footnote>
  <w:footnote w:id="9">
    <w:p>
      <w:pPr>
        <w:pStyle w:val="FootnoteText"/>
        <w:rPr>
          <w:lang w:val="en-GB"/>
        </w:rPr>
      </w:pPr>
      <w:r>
        <w:rPr>
          <w:rStyle w:val="FootnoteReference"/>
        </w:rPr>
        <w:footnoteRef/>
      </w:r>
      <w:r>
        <w:rPr>
          <w:lang w:val="en-GB"/>
        </w:rPr>
        <w:t xml:space="preserve"> </w:t>
      </w:r>
      <w:r>
        <w:rPr>
          <w:lang w:val="en-GB"/>
        </w:rPr>
        <w:tab/>
        <w:t>Commission Delegated Regulation (EU) 2016/1612.</w:t>
      </w:r>
    </w:p>
  </w:footnote>
  <w:footnote w:id="10">
    <w:p>
      <w:pPr>
        <w:pStyle w:val="FootnoteText"/>
        <w:rPr>
          <w:lang w:val="en-GB"/>
        </w:rPr>
      </w:pPr>
      <w:r>
        <w:rPr>
          <w:rStyle w:val="FootnoteReference"/>
        </w:rPr>
        <w:footnoteRef/>
      </w:r>
      <w:r>
        <w:rPr>
          <w:lang w:val="en-GB"/>
        </w:rPr>
        <w:t xml:space="preserve"> </w:t>
      </w:r>
      <w:r>
        <w:rPr>
          <w:lang w:val="en-GB"/>
        </w:rPr>
        <w:tab/>
        <w:t>Commission Delegated Regulation (EU) 2016/1613.</w:t>
      </w:r>
    </w:p>
  </w:footnote>
  <w:footnote w:id="11">
    <w:p>
      <w:pPr>
        <w:pStyle w:val="FootnoteText"/>
        <w:rPr>
          <w:lang w:val="en-GB"/>
        </w:rPr>
      </w:pPr>
      <w:r>
        <w:rPr>
          <w:rStyle w:val="FootnoteReference"/>
        </w:rPr>
        <w:footnoteRef/>
      </w:r>
      <w:r>
        <w:rPr>
          <w:lang w:val="en-GB"/>
        </w:rPr>
        <w:t xml:space="preserve"> </w:t>
      </w:r>
      <w:r>
        <w:rPr>
          <w:lang w:val="en-GB"/>
        </w:rPr>
        <w:tab/>
        <w:t>Communication of the Commission to the Council (COM(2013) 526 final) of 17.7.2013.</w:t>
      </w:r>
    </w:p>
  </w:footnote>
  <w:footnote w:id="12">
    <w:p>
      <w:pPr>
        <w:pStyle w:val="FootnoteText"/>
        <w:rPr>
          <w:lang w:val="en-GB"/>
        </w:rPr>
      </w:pPr>
      <w:r>
        <w:rPr>
          <w:rStyle w:val="FootnoteReference"/>
        </w:rPr>
        <w:footnoteRef/>
      </w:r>
      <w:r>
        <w:rPr>
          <w:lang w:val="en-GB"/>
        </w:rPr>
        <w:t xml:space="preserve"> </w:t>
      </w:r>
      <w:r>
        <w:rPr>
          <w:lang w:val="en-GB"/>
        </w:rPr>
        <w:tab/>
        <w:t>Articles 05 08 01, 05 08 02 and 05 08 03, which are for measures under direct management by the Commission, are among the few EAGF budget lines working with differentiated appropriations, while most of the other, especially such for financing measures under shared management with Member States, operate with non-differentiated appropriations.</w:t>
      </w:r>
    </w:p>
  </w:footnote>
  <w:footnote w:id="13">
    <w:p>
      <w:pPr>
        <w:pStyle w:val="FootnoteText"/>
        <w:rPr>
          <w:lang w:val="en-GB"/>
        </w:rPr>
      </w:pPr>
      <w:r>
        <w:rPr>
          <w:rStyle w:val="FootnoteReference"/>
        </w:rPr>
        <w:footnoteRef/>
      </w:r>
      <w:r>
        <w:rPr>
          <w:lang w:val="en-GB"/>
        </w:rPr>
        <w:t xml:space="preserve"> </w:t>
      </w:r>
      <w:r>
        <w:rPr>
          <w:lang w:val="en-GB"/>
        </w:rPr>
        <w:tab/>
        <w:t>OJ C 373, 20.12.2013, p. 1.</w:t>
      </w:r>
    </w:p>
  </w:footnote>
  <w:footnote w:id="14">
    <w:p>
      <w:pPr>
        <w:pStyle w:val="FootnoteText"/>
        <w:rPr>
          <w:lang w:val="en-GB"/>
        </w:rPr>
      </w:pPr>
      <w:r>
        <w:rPr>
          <w:rStyle w:val="FootnoteReference"/>
        </w:rPr>
        <w:footnoteRef/>
      </w:r>
      <w:r>
        <w:rPr>
          <w:lang w:val="en-GB"/>
        </w:rPr>
        <w:t xml:space="preserve"> </w:t>
      </w:r>
      <w:r>
        <w:rPr>
          <w:lang w:val="en-GB"/>
        </w:rPr>
        <w:tab/>
        <w:t>COM(2016) 603, 604, 605, 606, 607, 14.9.2016 and accompanying Staff Working Document SWD(2016) 299.</w:t>
      </w:r>
    </w:p>
  </w:footnote>
  <w:footnote w:id="15">
    <w:p>
      <w:pPr>
        <w:pStyle w:val="FootnoteText"/>
        <w:rPr>
          <w:lang w:val="pt-PT"/>
        </w:rPr>
      </w:pPr>
      <w:r>
        <w:rPr>
          <w:rStyle w:val="FootnoteReference"/>
        </w:rPr>
        <w:footnoteRef/>
      </w:r>
      <w:r>
        <w:rPr>
          <w:lang w:val="pt-PT"/>
        </w:rPr>
        <w:t xml:space="preserve"> </w:t>
      </w:r>
      <w:r>
        <w:rPr>
          <w:lang w:val="pt-PT"/>
        </w:rPr>
        <w:tab/>
        <w:t>COM(2016) 589, 14.9.2016.</w:t>
      </w:r>
    </w:p>
  </w:footnote>
  <w:footnote w:id="16">
    <w:p>
      <w:pPr>
        <w:pStyle w:val="FootnoteText"/>
        <w:rPr>
          <w:lang w:val="pt-PT"/>
        </w:rPr>
      </w:pPr>
      <w:r>
        <w:rPr>
          <w:rStyle w:val="FootnoteReference"/>
        </w:rPr>
        <w:footnoteRef/>
      </w:r>
      <w:r>
        <w:rPr>
          <w:lang w:val="pt-PT"/>
        </w:rPr>
        <w:t xml:space="preserve"> </w:t>
      </w:r>
      <w:r>
        <w:rPr>
          <w:lang w:val="pt-PT"/>
        </w:rPr>
        <w:tab/>
        <w:t>COM(2016) 385, 7.6.2016.</w:t>
      </w:r>
    </w:p>
  </w:footnote>
  <w:footnote w:id="17">
    <w:p>
      <w:pPr>
        <w:pStyle w:val="FootnoteText"/>
        <w:rPr>
          <w:lang w:val="pt-PT"/>
        </w:rPr>
      </w:pPr>
      <w:r>
        <w:rPr>
          <w:rStyle w:val="FootnoteReference"/>
        </w:rPr>
        <w:footnoteRef/>
      </w:r>
      <w:r>
        <w:rPr>
          <w:lang w:val="pt-PT"/>
        </w:rPr>
        <w:t xml:space="preserve"> </w:t>
      </w:r>
      <w:r>
        <w:rPr>
          <w:lang w:val="pt-PT"/>
        </w:rPr>
        <w:tab/>
        <w:t>http://www.consilium.europa.eu/en/meetings/international-summit/2015/11/11-12</w:t>
      </w:r>
    </w:p>
  </w:footnote>
  <w:footnote w:id="18">
    <w:p>
      <w:pPr>
        <w:pStyle w:val="FootnoteText"/>
        <w:rPr>
          <w:lang w:val="en-GB"/>
        </w:rPr>
      </w:pPr>
      <w:r>
        <w:rPr>
          <w:rStyle w:val="FootnoteReference"/>
        </w:rPr>
        <w:footnoteRef/>
      </w:r>
      <w:r>
        <w:rPr>
          <w:lang w:val="en-GB"/>
        </w:rPr>
        <w:t xml:space="preserve"> </w:t>
      </w:r>
      <w:r>
        <w:rPr>
          <w:lang w:val="en-GB"/>
        </w:rPr>
        <w:tab/>
        <w:t>Tailor-made country packages to implement the new partnership framework. The short-term objective is to save lives in the Mediterranean, increase the rate of returns to countries of origin and transit, and enable migrants and refugees to stay close to home and avoid taking dangerous journeys.</w:t>
      </w:r>
    </w:p>
  </w:footnote>
  <w:footnote w:id="19">
    <w:p>
      <w:pPr>
        <w:pStyle w:val="FootnoteText"/>
        <w:rPr>
          <w:lang w:val="pt-PT"/>
        </w:rPr>
      </w:pPr>
      <w:r>
        <w:rPr>
          <w:rStyle w:val="FootnoteReference"/>
        </w:rPr>
        <w:footnoteRef/>
      </w:r>
      <w:r>
        <w:rPr>
          <w:lang w:val="pt-PT"/>
        </w:rPr>
        <w:tab/>
        <w:t>COM(2016) 586 final, 14.9.2016.</w:t>
      </w:r>
    </w:p>
  </w:footnote>
  <w:footnote w:id="20">
    <w:p>
      <w:pPr>
        <w:pStyle w:val="FootnoteText"/>
        <w:rPr>
          <w:lang w:val="pt-PT"/>
        </w:rPr>
      </w:pPr>
      <w:r>
        <w:rPr>
          <w:rStyle w:val="FootnoteReference"/>
        </w:rPr>
        <w:footnoteRef/>
      </w:r>
      <w:r>
        <w:rPr>
          <w:lang w:val="pt-PT"/>
        </w:rPr>
        <w:t xml:space="preserve"> </w:t>
      </w:r>
      <w:r>
        <w:rPr>
          <w:lang w:val="pt-PT"/>
        </w:rPr>
        <w:tab/>
        <w:t>COM(2016) 581 final, 14.9.2016.</w:t>
      </w:r>
    </w:p>
  </w:footnote>
  <w:footnote w:id="21">
    <w:p>
      <w:pPr>
        <w:pStyle w:val="FootnoteText"/>
        <w:rPr>
          <w:lang w:val="pt-PT"/>
        </w:rPr>
      </w:pPr>
      <w:r>
        <w:rPr>
          <w:rStyle w:val="FootnoteReference"/>
        </w:rPr>
        <w:footnoteRef/>
      </w:r>
      <w:r>
        <w:rPr>
          <w:lang w:val="pt-PT"/>
        </w:rPr>
        <w:t xml:space="preserve"> </w:t>
      </w:r>
      <w:r>
        <w:rPr>
          <w:lang w:val="pt-PT"/>
        </w:rPr>
        <w:tab/>
        <w:t>COM(2016) 678 final, 17.10.2016.</w:t>
      </w:r>
    </w:p>
  </w:footnote>
  <w:footnote w:id="22">
    <w:p>
      <w:pPr>
        <w:pStyle w:val="FootnoteText"/>
        <w:rPr>
          <w:lang w:val="en-GB"/>
        </w:rPr>
      </w:pPr>
      <w:r>
        <w:rPr>
          <w:rStyle w:val="FootnoteReference"/>
        </w:rPr>
        <w:footnoteRef/>
      </w:r>
      <w:r>
        <w:rPr>
          <w:lang w:val="en-GB"/>
        </w:rPr>
        <w:t xml:space="preserve"> </w:t>
      </w:r>
      <w:r>
        <w:rPr>
          <w:lang w:val="en-GB"/>
        </w:rPr>
        <w:tab/>
        <w:t>COM(2016) 602, 14.9.2016.</w:t>
      </w:r>
    </w:p>
  </w:footnote>
  <w:footnote w:id="23">
    <w:p>
      <w:pPr>
        <w:pStyle w:val="FootnoteText"/>
        <w:rPr>
          <w:lang w:val="en-GB"/>
        </w:rPr>
      </w:pPr>
      <w:r>
        <w:rPr>
          <w:rStyle w:val="FootnoteReference"/>
        </w:rPr>
        <w:footnoteRef/>
      </w:r>
      <w:r>
        <w:rPr>
          <w:lang w:val="en-GB"/>
        </w:rPr>
        <w:t xml:space="preserve"> </w:t>
      </w:r>
      <w:r>
        <w:rPr>
          <w:lang w:val="en-GB"/>
        </w:rPr>
        <w:tab/>
        <w:t>COM(2016) 624, 30.9.2016.</w:t>
      </w:r>
    </w:p>
  </w:footnote>
  <w:footnote w:id="24">
    <w:p>
      <w:pPr>
        <w:pStyle w:val="FootnoteText"/>
        <w:rPr>
          <w:lang w:val="en-GB"/>
        </w:rPr>
      </w:pPr>
      <w:r>
        <w:rPr>
          <w:rStyle w:val="FootnoteReference"/>
        </w:rPr>
        <w:footnoteRef/>
      </w:r>
      <w:r>
        <w:rPr>
          <w:lang w:val="en-GB"/>
        </w:rPr>
        <w:t xml:space="preserve"> </w:t>
      </w:r>
      <w:r>
        <w:rPr>
          <w:lang w:val="en-GB"/>
        </w:rPr>
        <w:tab/>
        <w:t>COM(2015) 671, 15.12.2015.</w:t>
      </w:r>
    </w:p>
  </w:footnote>
  <w:footnote w:id="25">
    <w:p>
      <w:pPr>
        <w:pStyle w:val="FootnoteText"/>
        <w:rPr>
          <w:lang w:val="en-GB"/>
        </w:rPr>
      </w:pPr>
      <w:r>
        <w:rPr>
          <w:rStyle w:val="FootnoteReference"/>
        </w:rPr>
        <w:footnoteRef/>
      </w:r>
      <w:r>
        <w:rPr>
          <w:lang w:val="en-GB"/>
        </w:rPr>
        <w:t xml:space="preserve"> </w:t>
      </w:r>
      <w:r>
        <w:rPr>
          <w:lang w:val="en-GB"/>
        </w:rPr>
        <w:tab/>
        <w:t>COM(2016) 271, 4.5.2016.</w:t>
      </w:r>
    </w:p>
  </w:footnote>
  <w:footnote w:id="26">
    <w:p>
      <w:pPr>
        <w:pStyle w:val="FootnoteText"/>
        <w:rPr>
          <w:lang w:val="en-GB"/>
        </w:rPr>
      </w:pPr>
      <w:r>
        <w:rPr>
          <w:rStyle w:val="FootnoteReference"/>
        </w:rPr>
        <w:footnoteRef/>
      </w:r>
      <w:r>
        <w:rPr>
          <w:lang w:val="en-GB"/>
        </w:rPr>
        <w:t xml:space="preserve"> </w:t>
      </w:r>
      <w:r>
        <w:rPr>
          <w:lang w:val="en-GB"/>
        </w:rPr>
        <w:tab/>
        <w:t>This designation is without prejudice to positions on status, and is in line with UNSCR 1244 and the ICJ Opinion on the Kosovo Declaration of Independence.</w:t>
      </w:r>
    </w:p>
  </w:footnote>
  <w:footnote w:id="27">
    <w:p>
      <w:pPr>
        <w:pStyle w:val="FootnoteText"/>
        <w:rPr>
          <w:lang w:val="en-GB"/>
        </w:rPr>
      </w:pPr>
      <w:r>
        <w:rPr>
          <w:rStyle w:val="FootnoteReference"/>
        </w:rPr>
        <w:footnoteRef/>
      </w:r>
      <w:r>
        <w:rPr>
          <w:lang w:val="en-GB"/>
        </w:rPr>
        <w:t xml:space="preserve"> </w:t>
      </w:r>
      <w:r>
        <w:rPr>
          <w:lang w:val="en-GB"/>
        </w:rPr>
        <w:tab/>
        <w:t xml:space="preserve">Council conclusions on the EEAS Review, GENERAL AFFAIRS Council meeting Brussels, 17 December 2013 </w:t>
      </w:r>
      <w:r>
        <w:rPr>
          <w:u w:val="single"/>
          <w:lang w:val="en-GB"/>
        </w:rPr>
        <w:t>http://www.consilium.europa.eu/uedocs/cms_data/docs/pressdata/EN/genaff/140141.pdf</w:t>
      </w:r>
      <w:r>
        <w:rPr>
          <w:lang w:val="en-GB"/>
        </w:rPr>
        <w:t>.</w:t>
      </w:r>
    </w:p>
  </w:footnote>
  <w:footnote w:id="28">
    <w:p>
      <w:pPr>
        <w:pStyle w:val="FootnoteText"/>
        <w:rPr>
          <w:lang w:val="en-GB"/>
        </w:rPr>
      </w:pPr>
      <w:r>
        <w:rPr>
          <w:rStyle w:val="FootnoteReference"/>
        </w:rPr>
        <w:footnoteRef/>
      </w:r>
      <w:r>
        <w:rPr>
          <w:lang w:val="en-GB"/>
        </w:rPr>
        <w:t xml:space="preserve"> </w:t>
      </w:r>
      <w:r>
        <w:rPr>
          <w:lang w:val="en-GB"/>
        </w:rPr>
        <w:tab/>
        <w:t>European Parliament decision of 28 April 2016 on discharge in respect of the implementation of the general budget of the European Union for the financial year 2014, Section X – European External Action Service (2015/2163(DEC)): http://www.europarl.europa.eu/sides/getDoc.do?pubRef=-//EP//TEXT+TA+P8-TA-2016-0156+0+DOC+XML+V0//EN.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lvlText w:val="%1."/>
      <w:lvlJc w:val="left"/>
      <w:pPr>
        <w:tabs>
          <w:tab w:val="num" w:pos="1492"/>
        </w:tabs>
        <w:ind w:left="1492" w:hanging="360"/>
      </w:pPr>
      <w:rPr>
        <w:rFonts w:cs="Times New Roman"/>
      </w:rPr>
    </w:lvl>
  </w:abstractNum>
  <w:abstractNum w:abstractNumId="1">
    <w:nsid w:val="FFFFFF82"/>
    <w:multiLevelType w:val="singleLevel"/>
    <w:tmpl w:val="338AC50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8"/>
    <w:multiLevelType w:val="singleLevel"/>
    <w:tmpl w:val="4EA45498"/>
    <w:lvl w:ilvl="0">
      <w:start w:val="1"/>
      <w:numFmt w:val="decimal"/>
      <w:lvlText w:val="%1."/>
      <w:lvlJc w:val="left"/>
      <w:pPr>
        <w:tabs>
          <w:tab w:val="num" w:pos="360"/>
        </w:tabs>
        <w:ind w:left="360" w:hanging="360"/>
      </w:pPr>
    </w:lvl>
  </w:abstractNum>
  <w:abstractNum w:abstractNumId="4">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5">
    <w:nsid w:val="07C9596F"/>
    <w:multiLevelType w:val="hybridMultilevel"/>
    <w:tmpl w:val="854EA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
    <w:nsid w:val="1B926BAF"/>
    <w:multiLevelType w:val="hybridMultilevel"/>
    <w:tmpl w:val="BA840F62"/>
    <w:lvl w:ilvl="0" w:tplc="0809000F">
      <w:start w:val="1"/>
      <w:numFmt w:val="decimal"/>
      <w:lvlText w:val="%1."/>
      <w:lvlJc w:val="left"/>
      <w:pPr>
        <w:ind w:left="360" w:hanging="360"/>
      </w:pPr>
      <w:rPr>
        <w:rFonts w:cs="Times New Roman"/>
      </w:rPr>
    </w:lvl>
    <w:lvl w:ilvl="1" w:tplc="08090003">
      <w:start w:val="1"/>
      <w:numFmt w:val="bullet"/>
      <w:lvlText w:val="o"/>
      <w:lvlJc w:val="left"/>
      <w:pPr>
        <w:ind w:left="1080" w:hanging="360"/>
      </w:pPr>
      <w:rPr>
        <w:rFonts w:ascii="Courier New" w:hAnsi="Courier New"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33A69"/>
    <w:multiLevelType w:val="hybridMultilevel"/>
    <w:tmpl w:val="3484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3F7C32"/>
    <w:multiLevelType w:val="hybridMultilevel"/>
    <w:tmpl w:val="C2F8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3A0473A"/>
    <w:multiLevelType w:val="hybridMultilevel"/>
    <w:tmpl w:val="5F829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157C2"/>
    <w:multiLevelType w:val="multilevel"/>
    <w:tmpl w:val="FB0C84F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A7730C4"/>
    <w:multiLevelType w:val="singleLevel"/>
    <w:tmpl w:val="0809000F"/>
    <w:lvl w:ilvl="0">
      <w:start w:val="1"/>
      <w:numFmt w:val="decimal"/>
      <w:pStyle w:val="ManualHeading2"/>
      <w:lvlText w:val="%1."/>
      <w:lvlJc w:val="left"/>
      <w:pPr>
        <w:ind w:left="720" w:hanging="360"/>
      </w:pPr>
    </w:lvl>
  </w:abstractNum>
  <w:abstractNum w:abstractNumId="17">
    <w:nsid w:val="49D24923"/>
    <w:multiLevelType w:val="hybridMultilevel"/>
    <w:tmpl w:val="F31AF43C"/>
    <w:lvl w:ilvl="0" w:tplc="8A36BA8C">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A223FAC"/>
    <w:multiLevelType w:val="multilevel"/>
    <w:tmpl w:val="592420B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4B843E64"/>
    <w:multiLevelType w:val="hybridMultilevel"/>
    <w:tmpl w:val="7C2AEA10"/>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71E1AD9"/>
    <w:multiLevelType w:val="hybridMultilevel"/>
    <w:tmpl w:val="B56ECF6C"/>
    <w:lvl w:ilvl="0" w:tplc="4B36AFE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0"/>
  </w:num>
  <w:num w:numId="7">
    <w:abstractNumId w:val="1"/>
  </w:num>
  <w:num w:numId="8">
    <w:abstractNumId w:val="13"/>
  </w:num>
  <w:num w:numId="9">
    <w:abstractNumId w:val="23"/>
  </w:num>
  <w:num w:numId="10">
    <w:abstractNumId w:val="16"/>
  </w:num>
  <w:num w:numId="11">
    <w:abstractNumId w:val="12"/>
  </w:num>
  <w:num w:numId="12">
    <w:abstractNumId w:val="21"/>
  </w:num>
  <w:num w:numId="13">
    <w:abstractNumId w:val="7"/>
  </w:num>
  <w:num w:numId="14">
    <w:abstractNumId w:val="22"/>
  </w:num>
  <w:num w:numId="15">
    <w:abstractNumId w:val="0"/>
  </w:num>
  <w:num w:numId="16">
    <w:abstractNumId w:val="15"/>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8"/>
  </w:num>
  <w:num w:numId="22">
    <w:abstractNumId w:val="5"/>
  </w:num>
  <w:num w:numId="23">
    <w:abstractNumId w:val="16"/>
  </w:num>
  <w:num w:numId="24">
    <w:abstractNumId w:val="17"/>
  </w:num>
  <w:num w:numId="25">
    <w:abstractNumId w:val="9"/>
  </w:num>
  <w:num w:numId="26">
    <w:abstractNumId w:val="24"/>
  </w:num>
  <w:num w:numId="27">
    <w:abstractNumId w:val="14"/>
  </w:num>
  <w:num w:numId="28">
    <w:abstractNumId w:val="18"/>
  </w:num>
  <w:num w:numId="29">
    <w:abstractNumId w:val="11"/>
  </w:num>
  <w:num w:numId="30">
    <w:abstractNumId w:val="16"/>
  </w:num>
  <w:num w:numId="31">
    <w:abstractNumId w:val="16"/>
  </w:num>
  <w:num w:numId="32">
    <w:abstractNumId w:val="16"/>
  </w:num>
  <w:num w:numId="33">
    <w:abstractNumId w:val="6"/>
  </w:num>
  <w:num w:numId="34">
    <w:abstractNumId w:val="16"/>
  </w:num>
  <w:num w:numId="35">
    <w:abstractNumId w:val="16"/>
  </w:num>
  <w:num w:numId="36">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GB" w:vendorID="64" w:dllVersion="131078" w:nlCheck="1" w:checkStyle="0"/>
  <w:activeWritingStyle w:appName="MSWord" w:lang="de-DE" w:vendorID="64" w:dllVersion="131078" w:nlCheck="1" w:checkStyle="0"/>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0CD5013254C545ADA45D8210F03AFBF6"/>
    <w:docVar w:name="LW_CROSSREFERENCE" w:val="&lt;UNUSED&gt;"/>
    <w:docVar w:name="LW_DATE.ADOPT.CP_ISODATE" w:val="&lt;EMPTY&gt;"/>
    <w:docVar w:name="LW_DocType" w:val="NORMAL"/>
    <w:docVar w:name="LW_EMISSION" w:val="17.10.2016"/>
    <w:docVar w:name="LW_EMISSION_ISODATE" w:val="2016-10-17"/>
    <w:docVar w:name="LW_EMISSION_LOCATION" w:val="BRX"/>
    <w:docVar w:name="LW_EMISSION_PREFIX" w:val="Brussels, "/>
    <w:docVar w:name="LW_EMISSION_SUFFIX" w:val="&lt;EMPTY&gt;"/>
    <w:docVar w:name="LW_ID_DOCTYPE_NONLW" w:val="CP-035"/>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9"/>
    <w:docVar w:name="LW_REF.INTERNE" w:val="&lt;UNUSED&gt;"/>
    <w:docVar w:name="LW_SOUS.TITRE.OBJ.CP" w:val="&lt;UNUSED&gt;"/>
    <w:docVar w:name="LW_SUPERTITRE" w:val="&lt;UNUSED&gt;"/>
    <w:docVar w:name="LW_TITRE.OBJ.CP" w:val="Updating the estimated needs for agricultural expenditure and fisheries_x000b_Enhancing successful programmes and instruments for sustainable growth _x000b_Migration agenda, external investment plan and security_x000b_Technical adjustments relating to agencies and administrative expenditure_x000b_Increase of revenue linked to fines"/>
    <w:docVar w:name="LW_TITRE.OBJ.CP_PREVIOUS" w:val="&lt;UNUSED&gt;"/>
    <w:docVar w:name="LW_TYPE.DOC.CP" w:val="AMENDING LETTER No 1 TO THE DRAFT GENERAL BUDGET 2017"/>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Pr>
      <w:rFonts w:ascii="Calibri" w:hAnsi="Calibri" w:cs="Times New Roman"/>
      <w:b/>
      <w:bCs/>
      <w:sz w:val="28"/>
      <w:szCs w:val="28"/>
      <w:lang w:val="en-GB" w:eastAsia="en-GB"/>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de-DE"/>
    </w:rPr>
  </w:style>
  <w:style w:type="character" w:customStyle="1" w:styleId="FooterChar">
    <w:name w:val="Footer Char"/>
    <w:basedOn w:val="DefaultParagraphFont"/>
    <w:link w:val="Footer"/>
    <w:uiPriority w:val="99"/>
    <w:locked/>
    <w:rPr>
      <w:rFonts w:cs="Times New Roman"/>
      <w:sz w:val="24"/>
      <w:szCs w:val="24"/>
      <w:lang w:val="en-GB" w:eastAsia="en-GB"/>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locked/>
    <w:rPr>
      <w:rFonts w:cs="Times New Roman"/>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8"/>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ilvl w:val="1"/>
        <w:numId w:val="10"/>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en-GB" w:eastAsia="en-GB"/>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9"/>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11"/>
      </w:numPr>
      <w:spacing w:after="240"/>
      <w:jc w:val="both"/>
    </w:pPr>
    <w:rPr>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b/>
      <w:lang w:eastAsia="en-US"/>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 w:type="paragraph" w:styleId="ListNumber">
    <w:name w:val="List Number"/>
    <w:basedOn w:val="Normal"/>
    <w:uiPriority w:val="99"/>
    <w:pPr>
      <w:numPr>
        <w:numId w:val="12"/>
      </w:numPr>
      <w:spacing w:before="120" w:after="120"/>
      <w:jc w:val="both"/>
    </w:pPr>
    <w:rPr>
      <w:lang w:eastAsia="de-DE"/>
    </w:rPr>
  </w:style>
  <w:style w:type="paragraph" w:customStyle="1" w:styleId="ListNumberLevel2">
    <w:name w:val="List Number (Level 2)"/>
    <w:basedOn w:val="Normal"/>
    <w:uiPriority w:val="99"/>
    <w:pPr>
      <w:numPr>
        <w:ilvl w:val="1"/>
        <w:numId w:val="12"/>
      </w:numPr>
      <w:spacing w:before="120" w:after="120"/>
      <w:jc w:val="both"/>
    </w:pPr>
    <w:rPr>
      <w:lang w:eastAsia="de-DE"/>
    </w:rPr>
  </w:style>
  <w:style w:type="paragraph" w:customStyle="1" w:styleId="ListNumberLevel3">
    <w:name w:val="List Number (Level 3)"/>
    <w:basedOn w:val="Normal"/>
    <w:uiPriority w:val="99"/>
    <w:pPr>
      <w:numPr>
        <w:ilvl w:val="2"/>
        <w:numId w:val="12"/>
      </w:numPr>
      <w:spacing w:before="120" w:after="120"/>
      <w:jc w:val="both"/>
    </w:pPr>
    <w:rPr>
      <w:lang w:eastAsia="de-DE"/>
    </w:rPr>
  </w:style>
  <w:style w:type="paragraph" w:customStyle="1" w:styleId="ListNumberLevel4">
    <w:name w:val="List Number (Level 4)"/>
    <w:basedOn w:val="Normal"/>
    <w:uiPriority w:val="99"/>
    <w:pPr>
      <w:numPr>
        <w:ilvl w:val="3"/>
        <w:numId w:val="12"/>
      </w:numPr>
      <w:spacing w:before="120" w:after="120"/>
      <w:jc w:val="both"/>
    </w:pPr>
    <w:rPr>
      <w:lang w:eastAsia="de-DE"/>
    </w:rPr>
  </w:style>
  <w:style w:type="character" w:customStyle="1" w:styleId="ListDashChar">
    <w:name w:val="List Dash Char"/>
    <w:link w:val="ListDash"/>
    <w:uiPriority w:val="99"/>
    <w:locked/>
    <w:rPr>
      <w:sz w:val="24"/>
      <w:lang w:eastAsia="de-DE"/>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lang w:val="en-GB"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13"/>
      </w:numPr>
      <w:spacing w:before="120" w:after="120"/>
      <w:jc w:val="both"/>
    </w:pPr>
    <w:rPr>
      <w:szCs w:val="22"/>
    </w:rPr>
  </w:style>
  <w:style w:type="paragraph" w:customStyle="1" w:styleId="Point1number">
    <w:name w:val="Point 1 (number)"/>
    <w:basedOn w:val="Normal"/>
    <w:uiPriority w:val="99"/>
    <w:pPr>
      <w:numPr>
        <w:ilvl w:val="2"/>
        <w:numId w:val="13"/>
      </w:numPr>
      <w:spacing w:before="120" w:after="120"/>
      <w:jc w:val="both"/>
    </w:pPr>
    <w:rPr>
      <w:szCs w:val="22"/>
    </w:rPr>
  </w:style>
  <w:style w:type="paragraph" w:customStyle="1" w:styleId="Point2number">
    <w:name w:val="Point 2 (number)"/>
    <w:basedOn w:val="Normal"/>
    <w:uiPriority w:val="99"/>
    <w:pPr>
      <w:numPr>
        <w:ilvl w:val="4"/>
        <w:numId w:val="13"/>
      </w:numPr>
      <w:spacing w:before="120" w:after="120"/>
      <w:jc w:val="both"/>
    </w:pPr>
    <w:rPr>
      <w:szCs w:val="22"/>
    </w:rPr>
  </w:style>
  <w:style w:type="paragraph" w:customStyle="1" w:styleId="Point3number">
    <w:name w:val="Point 3 (number)"/>
    <w:basedOn w:val="Normal"/>
    <w:uiPriority w:val="99"/>
    <w:pPr>
      <w:numPr>
        <w:ilvl w:val="6"/>
        <w:numId w:val="13"/>
      </w:numPr>
      <w:spacing w:before="120" w:after="120"/>
      <w:jc w:val="both"/>
    </w:pPr>
    <w:rPr>
      <w:szCs w:val="22"/>
    </w:rPr>
  </w:style>
  <w:style w:type="paragraph" w:customStyle="1" w:styleId="Point0letter">
    <w:name w:val="Point 0 (letter)"/>
    <w:basedOn w:val="Normal"/>
    <w:uiPriority w:val="99"/>
    <w:pPr>
      <w:numPr>
        <w:ilvl w:val="1"/>
        <w:numId w:val="13"/>
      </w:numPr>
      <w:spacing w:before="120" w:after="120"/>
      <w:jc w:val="both"/>
    </w:pPr>
    <w:rPr>
      <w:szCs w:val="22"/>
    </w:rPr>
  </w:style>
  <w:style w:type="paragraph" w:customStyle="1" w:styleId="Point1letter">
    <w:name w:val="Point 1 (letter)"/>
    <w:basedOn w:val="Normal"/>
    <w:uiPriority w:val="99"/>
    <w:pPr>
      <w:numPr>
        <w:ilvl w:val="3"/>
        <w:numId w:val="13"/>
      </w:numPr>
      <w:spacing w:before="120" w:after="120"/>
      <w:jc w:val="both"/>
    </w:pPr>
    <w:rPr>
      <w:szCs w:val="22"/>
    </w:rPr>
  </w:style>
  <w:style w:type="paragraph" w:customStyle="1" w:styleId="Point2letter">
    <w:name w:val="Point 2 (letter)"/>
    <w:basedOn w:val="Normal"/>
    <w:uiPriority w:val="99"/>
    <w:pPr>
      <w:numPr>
        <w:ilvl w:val="5"/>
        <w:numId w:val="13"/>
      </w:numPr>
      <w:spacing w:before="120" w:after="120"/>
      <w:jc w:val="both"/>
    </w:pPr>
    <w:rPr>
      <w:szCs w:val="22"/>
    </w:rPr>
  </w:style>
  <w:style w:type="paragraph" w:customStyle="1" w:styleId="Point3letter">
    <w:name w:val="Point 3 (letter)"/>
    <w:basedOn w:val="Normal"/>
    <w:uiPriority w:val="99"/>
    <w:pPr>
      <w:numPr>
        <w:ilvl w:val="7"/>
        <w:numId w:val="13"/>
      </w:numPr>
      <w:spacing w:before="120" w:after="120"/>
      <w:jc w:val="both"/>
    </w:pPr>
    <w:rPr>
      <w:szCs w:val="22"/>
    </w:rPr>
  </w:style>
  <w:style w:type="paragraph" w:customStyle="1" w:styleId="Point4letter">
    <w:name w:val="Point 4 (letter)"/>
    <w:basedOn w:val="Normal"/>
    <w:uiPriority w:val="99"/>
    <w:pPr>
      <w:numPr>
        <w:ilvl w:val="8"/>
        <w:numId w:val="13"/>
      </w:numPr>
      <w:spacing w:before="120" w:after="120"/>
      <w:jc w:val="both"/>
    </w:pPr>
    <w:rPr>
      <w:szCs w:val="22"/>
    </w:rPr>
  </w:style>
  <w:style w:type="paragraph" w:customStyle="1" w:styleId="Tiret2">
    <w:name w:val="Tiret 2"/>
    <w:basedOn w:val="Normal"/>
    <w:uiPriority w:val="99"/>
    <w:pPr>
      <w:numPr>
        <w:numId w:val="14"/>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33"/>
      </w:numPr>
    </w:pPr>
  </w:style>
  <w:style w:type="paragraph" w:customStyle="1" w:styleId="Style3">
    <w:name w:val="Style3"/>
    <w:basedOn w:val="ManualHeading1"/>
    <w:autoRedefine/>
    <w:qFormat/>
    <w:pPr>
      <w:numPr>
        <w:numId w:val="25"/>
      </w:numP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Pr>
      <w:rFonts w:ascii="Calibri" w:hAnsi="Calibri" w:cs="Times New Roman"/>
      <w:b/>
      <w:bCs/>
      <w:sz w:val="28"/>
      <w:szCs w:val="28"/>
      <w:lang w:val="en-GB" w:eastAsia="en-GB"/>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de-DE"/>
    </w:rPr>
  </w:style>
  <w:style w:type="character" w:customStyle="1" w:styleId="FooterChar">
    <w:name w:val="Footer Char"/>
    <w:basedOn w:val="DefaultParagraphFont"/>
    <w:link w:val="Footer"/>
    <w:uiPriority w:val="99"/>
    <w:locked/>
    <w:rPr>
      <w:rFonts w:cs="Times New Roman"/>
      <w:sz w:val="24"/>
      <w:szCs w:val="24"/>
      <w:lang w:val="en-GB" w:eastAsia="en-GB"/>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locked/>
    <w:rPr>
      <w:rFonts w:cs="Times New Roman"/>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8"/>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ilvl w:val="1"/>
        <w:numId w:val="10"/>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en-GB" w:eastAsia="en-GB"/>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9"/>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11"/>
      </w:numPr>
      <w:spacing w:after="240"/>
      <w:jc w:val="both"/>
    </w:pPr>
    <w:rPr>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b/>
      <w:lang w:eastAsia="en-US"/>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 w:type="paragraph" w:styleId="ListNumber">
    <w:name w:val="List Number"/>
    <w:basedOn w:val="Normal"/>
    <w:uiPriority w:val="99"/>
    <w:pPr>
      <w:numPr>
        <w:numId w:val="12"/>
      </w:numPr>
      <w:spacing w:before="120" w:after="120"/>
      <w:jc w:val="both"/>
    </w:pPr>
    <w:rPr>
      <w:lang w:eastAsia="de-DE"/>
    </w:rPr>
  </w:style>
  <w:style w:type="paragraph" w:customStyle="1" w:styleId="ListNumberLevel2">
    <w:name w:val="List Number (Level 2)"/>
    <w:basedOn w:val="Normal"/>
    <w:uiPriority w:val="99"/>
    <w:pPr>
      <w:numPr>
        <w:ilvl w:val="1"/>
        <w:numId w:val="12"/>
      </w:numPr>
      <w:spacing w:before="120" w:after="120"/>
      <w:jc w:val="both"/>
    </w:pPr>
    <w:rPr>
      <w:lang w:eastAsia="de-DE"/>
    </w:rPr>
  </w:style>
  <w:style w:type="paragraph" w:customStyle="1" w:styleId="ListNumberLevel3">
    <w:name w:val="List Number (Level 3)"/>
    <w:basedOn w:val="Normal"/>
    <w:uiPriority w:val="99"/>
    <w:pPr>
      <w:numPr>
        <w:ilvl w:val="2"/>
        <w:numId w:val="12"/>
      </w:numPr>
      <w:spacing w:before="120" w:after="120"/>
      <w:jc w:val="both"/>
    </w:pPr>
    <w:rPr>
      <w:lang w:eastAsia="de-DE"/>
    </w:rPr>
  </w:style>
  <w:style w:type="paragraph" w:customStyle="1" w:styleId="ListNumberLevel4">
    <w:name w:val="List Number (Level 4)"/>
    <w:basedOn w:val="Normal"/>
    <w:uiPriority w:val="99"/>
    <w:pPr>
      <w:numPr>
        <w:ilvl w:val="3"/>
        <w:numId w:val="12"/>
      </w:numPr>
      <w:spacing w:before="120" w:after="120"/>
      <w:jc w:val="both"/>
    </w:pPr>
    <w:rPr>
      <w:lang w:eastAsia="de-DE"/>
    </w:rPr>
  </w:style>
  <w:style w:type="character" w:customStyle="1" w:styleId="ListDashChar">
    <w:name w:val="List Dash Char"/>
    <w:link w:val="ListDash"/>
    <w:uiPriority w:val="99"/>
    <w:locked/>
    <w:rPr>
      <w:sz w:val="24"/>
      <w:lang w:eastAsia="de-DE"/>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lang w:val="en-GB"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13"/>
      </w:numPr>
      <w:spacing w:before="120" w:after="120"/>
      <w:jc w:val="both"/>
    </w:pPr>
    <w:rPr>
      <w:szCs w:val="22"/>
    </w:rPr>
  </w:style>
  <w:style w:type="paragraph" w:customStyle="1" w:styleId="Point1number">
    <w:name w:val="Point 1 (number)"/>
    <w:basedOn w:val="Normal"/>
    <w:uiPriority w:val="99"/>
    <w:pPr>
      <w:numPr>
        <w:ilvl w:val="2"/>
        <w:numId w:val="13"/>
      </w:numPr>
      <w:spacing w:before="120" w:after="120"/>
      <w:jc w:val="both"/>
    </w:pPr>
    <w:rPr>
      <w:szCs w:val="22"/>
    </w:rPr>
  </w:style>
  <w:style w:type="paragraph" w:customStyle="1" w:styleId="Point2number">
    <w:name w:val="Point 2 (number)"/>
    <w:basedOn w:val="Normal"/>
    <w:uiPriority w:val="99"/>
    <w:pPr>
      <w:numPr>
        <w:ilvl w:val="4"/>
        <w:numId w:val="13"/>
      </w:numPr>
      <w:spacing w:before="120" w:after="120"/>
      <w:jc w:val="both"/>
    </w:pPr>
    <w:rPr>
      <w:szCs w:val="22"/>
    </w:rPr>
  </w:style>
  <w:style w:type="paragraph" w:customStyle="1" w:styleId="Point3number">
    <w:name w:val="Point 3 (number)"/>
    <w:basedOn w:val="Normal"/>
    <w:uiPriority w:val="99"/>
    <w:pPr>
      <w:numPr>
        <w:ilvl w:val="6"/>
        <w:numId w:val="13"/>
      </w:numPr>
      <w:spacing w:before="120" w:after="120"/>
      <w:jc w:val="both"/>
    </w:pPr>
    <w:rPr>
      <w:szCs w:val="22"/>
    </w:rPr>
  </w:style>
  <w:style w:type="paragraph" w:customStyle="1" w:styleId="Point0letter">
    <w:name w:val="Point 0 (letter)"/>
    <w:basedOn w:val="Normal"/>
    <w:uiPriority w:val="99"/>
    <w:pPr>
      <w:numPr>
        <w:ilvl w:val="1"/>
        <w:numId w:val="13"/>
      </w:numPr>
      <w:spacing w:before="120" w:after="120"/>
      <w:jc w:val="both"/>
    </w:pPr>
    <w:rPr>
      <w:szCs w:val="22"/>
    </w:rPr>
  </w:style>
  <w:style w:type="paragraph" w:customStyle="1" w:styleId="Point1letter">
    <w:name w:val="Point 1 (letter)"/>
    <w:basedOn w:val="Normal"/>
    <w:uiPriority w:val="99"/>
    <w:pPr>
      <w:numPr>
        <w:ilvl w:val="3"/>
        <w:numId w:val="13"/>
      </w:numPr>
      <w:spacing w:before="120" w:after="120"/>
      <w:jc w:val="both"/>
    </w:pPr>
    <w:rPr>
      <w:szCs w:val="22"/>
    </w:rPr>
  </w:style>
  <w:style w:type="paragraph" w:customStyle="1" w:styleId="Point2letter">
    <w:name w:val="Point 2 (letter)"/>
    <w:basedOn w:val="Normal"/>
    <w:uiPriority w:val="99"/>
    <w:pPr>
      <w:numPr>
        <w:ilvl w:val="5"/>
        <w:numId w:val="13"/>
      </w:numPr>
      <w:spacing w:before="120" w:after="120"/>
      <w:jc w:val="both"/>
    </w:pPr>
    <w:rPr>
      <w:szCs w:val="22"/>
    </w:rPr>
  </w:style>
  <w:style w:type="paragraph" w:customStyle="1" w:styleId="Point3letter">
    <w:name w:val="Point 3 (letter)"/>
    <w:basedOn w:val="Normal"/>
    <w:uiPriority w:val="99"/>
    <w:pPr>
      <w:numPr>
        <w:ilvl w:val="7"/>
        <w:numId w:val="13"/>
      </w:numPr>
      <w:spacing w:before="120" w:after="120"/>
      <w:jc w:val="both"/>
    </w:pPr>
    <w:rPr>
      <w:szCs w:val="22"/>
    </w:rPr>
  </w:style>
  <w:style w:type="paragraph" w:customStyle="1" w:styleId="Point4letter">
    <w:name w:val="Point 4 (letter)"/>
    <w:basedOn w:val="Normal"/>
    <w:uiPriority w:val="99"/>
    <w:pPr>
      <w:numPr>
        <w:ilvl w:val="8"/>
        <w:numId w:val="13"/>
      </w:numPr>
      <w:spacing w:before="120" w:after="120"/>
      <w:jc w:val="both"/>
    </w:pPr>
    <w:rPr>
      <w:szCs w:val="22"/>
    </w:rPr>
  </w:style>
  <w:style w:type="paragraph" w:customStyle="1" w:styleId="Tiret2">
    <w:name w:val="Tiret 2"/>
    <w:basedOn w:val="Normal"/>
    <w:uiPriority w:val="99"/>
    <w:pPr>
      <w:numPr>
        <w:numId w:val="14"/>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33"/>
      </w:numPr>
    </w:pPr>
  </w:style>
  <w:style w:type="paragraph" w:customStyle="1" w:styleId="Style3">
    <w:name w:val="Style3"/>
    <w:basedOn w:val="ManualHeading1"/>
    <w:autoRedefine/>
    <w:qFormat/>
    <w:pPr>
      <w:numPr>
        <w:numId w:val="25"/>
      </w:numP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576">
      <w:bodyDiv w:val="1"/>
      <w:marLeft w:val="0"/>
      <w:marRight w:val="0"/>
      <w:marTop w:val="0"/>
      <w:marBottom w:val="0"/>
      <w:divBdr>
        <w:top w:val="none" w:sz="0" w:space="0" w:color="auto"/>
        <w:left w:val="none" w:sz="0" w:space="0" w:color="auto"/>
        <w:bottom w:val="none" w:sz="0" w:space="0" w:color="auto"/>
        <w:right w:val="none" w:sz="0" w:space="0" w:color="auto"/>
      </w:divBdr>
    </w:div>
    <w:div w:id="259334016">
      <w:marLeft w:val="0"/>
      <w:marRight w:val="0"/>
      <w:marTop w:val="0"/>
      <w:marBottom w:val="0"/>
      <w:divBdr>
        <w:top w:val="none" w:sz="0" w:space="0" w:color="auto"/>
        <w:left w:val="none" w:sz="0" w:space="0" w:color="auto"/>
        <w:bottom w:val="none" w:sz="0" w:space="0" w:color="auto"/>
        <w:right w:val="none" w:sz="0" w:space="0" w:color="auto"/>
      </w:divBdr>
    </w:div>
    <w:div w:id="259334017">
      <w:marLeft w:val="0"/>
      <w:marRight w:val="0"/>
      <w:marTop w:val="0"/>
      <w:marBottom w:val="0"/>
      <w:divBdr>
        <w:top w:val="none" w:sz="0" w:space="0" w:color="auto"/>
        <w:left w:val="none" w:sz="0" w:space="0" w:color="auto"/>
        <w:bottom w:val="none" w:sz="0" w:space="0" w:color="auto"/>
        <w:right w:val="none" w:sz="0" w:space="0" w:color="auto"/>
      </w:divBdr>
      <w:divsChild>
        <w:div w:id="259334065">
          <w:marLeft w:val="0"/>
          <w:marRight w:val="0"/>
          <w:marTop w:val="0"/>
          <w:marBottom w:val="0"/>
          <w:divBdr>
            <w:top w:val="none" w:sz="0" w:space="0" w:color="auto"/>
            <w:left w:val="none" w:sz="0" w:space="0" w:color="auto"/>
            <w:bottom w:val="none" w:sz="0" w:space="0" w:color="auto"/>
            <w:right w:val="none" w:sz="0" w:space="0" w:color="auto"/>
          </w:divBdr>
          <w:divsChild>
            <w:div w:id="259334063">
              <w:marLeft w:val="0"/>
              <w:marRight w:val="0"/>
              <w:marTop w:val="0"/>
              <w:marBottom w:val="0"/>
              <w:divBdr>
                <w:top w:val="none" w:sz="0" w:space="0" w:color="auto"/>
                <w:left w:val="none" w:sz="0" w:space="0" w:color="auto"/>
                <w:bottom w:val="none" w:sz="0" w:space="0" w:color="auto"/>
                <w:right w:val="none" w:sz="0" w:space="0" w:color="auto"/>
              </w:divBdr>
              <w:divsChild>
                <w:div w:id="259334045">
                  <w:marLeft w:val="0"/>
                  <w:marRight w:val="0"/>
                  <w:marTop w:val="0"/>
                  <w:marBottom w:val="0"/>
                  <w:divBdr>
                    <w:top w:val="none" w:sz="0" w:space="0" w:color="auto"/>
                    <w:left w:val="none" w:sz="0" w:space="0" w:color="auto"/>
                    <w:bottom w:val="none" w:sz="0" w:space="0" w:color="auto"/>
                    <w:right w:val="none" w:sz="0" w:space="0" w:color="auto"/>
                  </w:divBdr>
                  <w:divsChild>
                    <w:div w:id="259334048">
                      <w:marLeft w:val="1"/>
                      <w:marRight w:val="1"/>
                      <w:marTop w:val="0"/>
                      <w:marBottom w:val="0"/>
                      <w:divBdr>
                        <w:top w:val="none" w:sz="0" w:space="0" w:color="auto"/>
                        <w:left w:val="none" w:sz="0" w:space="0" w:color="auto"/>
                        <w:bottom w:val="none" w:sz="0" w:space="0" w:color="auto"/>
                        <w:right w:val="none" w:sz="0" w:space="0" w:color="auto"/>
                      </w:divBdr>
                      <w:divsChild>
                        <w:div w:id="259334064">
                          <w:marLeft w:val="0"/>
                          <w:marRight w:val="0"/>
                          <w:marTop w:val="0"/>
                          <w:marBottom w:val="0"/>
                          <w:divBdr>
                            <w:top w:val="none" w:sz="0" w:space="0" w:color="auto"/>
                            <w:left w:val="none" w:sz="0" w:space="0" w:color="auto"/>
                            <w:bottom w:val="none" w:sz="0" w:space="0" w:color="auto"/>
                            <w:right w:val="none" w:sz="0" w:space="0" w:color="auto"/>
                          </w:divBdr>
                          <w:divsChild>
                            <w:div w:id="259334041">
                              <w:marLeft w:val="0"/>
                              <w:marRight w:val="0"/>
                              <w:marTop w:val="0"/>
                              <w:marBottom w:val="360"/>
                              <w:divBdr>
                                <w:top w:val="none" w:sz="0" w:space="0" w:color="auto"/>
                                <w:left w:val="none" w:sz="0" w:space="0" w:color="auto"/>
                                <w:bottom w:val="none" w:sz="0" w:space="0" w:color="auto"/>
                                <w:right w:val="none" w:sz="0" w:space="0" w:color="auto"/>
                              </w:divBdr>
                              <w:divsChild>
                                <w:div w:id="259334052">
                                  <w:marLeft w:val="0"/>
                                  <w:marRight w:val="0"/>
                                  <w:marTop w:val="0"/>
                                  <w:marBottom w:val="0"/>
                                  <w:divBdr>
                                    <w:top w:val="none" w:sz="0" w:space="0" w:color="auto"/>
                                    <w:left w:val="none" w:sz="0" w:space="0" w:color="auto"/>
                                    <w:bottom w:val="none" w:sz="0" w:space="0" w:color="auto"/>
                                    <w:right w:val="none" w:sz="0" w:space="0" w:color="auto"/>
                                  </w:divBdr>
                                  <w:divsChild>
                                    <w:div w:id="2593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334018">
      <w:marLeft w:val="0"/>
      <w:marRight w:val="0"/>
      <w:marTop w:val="0"/>
      <w:marBottom w:val="0"/>
      <w:divBdr>
        <w:top w:val="none" w:sz="0" w:space="0" w:color="auto"/>
        <w:left w:val="none" w:sz="0" w:space="0" w:color="auto"/>
        <w:bottom w:val="none" w:sz="0" w:space="0" w:color="auto"/>
        <w:right w:val="none" w:sz="0" w:space="0" w:color="auto"/>
      </w:divBdr>
    </w:div>
    <w:div w:id="259334019">
      <w:marLeft w:val="0"/>
      <w:marRight w:val="0"/>
      <w:marTop w:val="0"/>
      <w:marBottom w:val="0"/>
      <w:divBdr>
        <w:top w:val="none" w:sz="0" w:space="0" w:color="auto"/>
        <w:left w:val="none" w:sz="0" w:space="0" w:color="auto"/>
        <w:bottom w:val="none" w:sz="0" w:space="0" w:color="auto"/>
        <w:right w:val="none" w:sz="0" w:space="0" w:color="auto"/>
      </w:divBdr>
    </w:div>
    <w:div w:id="259334020">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259334022">
      <w:marLeft w:val="0"/>
      <w:marRight w:val="0"/>
      <w:marTop w:val="0"/>
      <w:marBottom w:val="0"/>
      <w:divBdr>
        <w:top w:val="none" w:sz="0" w:space="0" w:color="auto"/>
        <w:left w:val="none" w:sz="0" w:space="0" w:color="auto"/>
        <w:bottom w:val="none" w:sz="0" w:space="0" w:color="auto"/>
        <w:right w:val="none" w:sz="0" w:space="0" w:color="auto"/>
      </w:divBdr>
    </w:div>
    <w:div w:id="259334023">
      <w:marLeft w:val="0"/>
      <w:marRight w:val="0"/>
      <w:marTop w:val="0"/>
      <w:marBottom w:val="0"/>
      <w:divBdr>
        <w:top w:val="none" w:sz="0" w:space="0" w:color="auto"/>
        <w:left w:val="none" w:sz="0" w:space="0" w:color="auto"/>
        <w:bottom w:val="none" w:sz="0" w:space="0" w:color="auto"/>
        <w:right w:val="none" w:sz="0" w:space="0" w:color="auto"/>
      </w:divBdr>
    </w:div>
    <w:div w:id="259334024">
      <w:marLeft w:val="0"/>
      <w:marRight w:val="0"/>
      <w:marTop w:val="0"/>
      <w:marBottom w:val="0"/>
      <w:divBdr>
        <w:top w:val="none" w:sz="0" w:space="0" w:color="auto"/>
        <w:left w:val="none" w:sz="0" w:space="0" w:color="auto"/>
        <w:bottom w:val="none" w:sz="0" w:space="0" w:color="auto"/>
        <w:right w:val="none" w:sz="0" w:space="0" w:color="auto"/>
      </w:divBdr>
    </w:div>
    <w:div w:id="259334025">
      <w:marLeft w:val="0"/>
      <w:marRight w:val="0"/>
      <w:marTop w:val="0"/>
      <w:marBottom w:val="0"/>
      <w:divBdr>
        <w:top w:val="none" w:sz="0" w:space="0" w:color="auto"/>
        <w:left w:val="none" w:sz="0" w:space="0" w:color="auto"/>
        <w:bottom w:val="none" w:sz="0" w:space="0" w:color="auto"/>
        <w:right w:val="none" w:sz="0" w:space="0" w:color="auto"/>
      </w:divBdr>
    </w:div>
    <w:div w:id="259334026">
      <w:marLeft w:val="0"/>
      <w:marRight w:val="0"/>
      <w:marTop w:val="0"/>
      <w:marBottom w:val="0"/>
      <w:divBdr>
        <w:top w:val="none" w:sz="0" w:space="0" w:color="auto"/>
        <w:left w:val="none" w:sz="0" w:space="0" w:color="auto"/>
        <w:bottom w:val="none" w:sz="0" w:space="0" w:color="auto"/>
        <w:right w:val="none" w:sz="0" w:space="0" w:color="auto"/>
      </w:divBdr>
    </w:div>
    <w:div w:id="259334027">
      <w:marLeft w:val="0"/>
      <w:marRight w:val="0"/>
      <w:marTop w:val="0"/>
      <w:marBottom w:val="0"/>
      <w:divBdr>
        <w:top w:val="none" w:sz="0" w:space="0" w:color="auto"/>
        <w:left w:val="none" w:sz="0" w:space="0" w:color="auto"/>
        <w:bottom w:val="none" w:sz="0" w:space="0" w:color="auto"/>
        <w:right w:val="none" w:sz="0" w:space="0" w:color="auto"/>
      </w:divBdr>
    </w:div>
    <w:div w:id="259334028">
      <w:marLeft w:val="0"/>
      <w:marRight w:val="0"/>
      <w:marTop w:val="0"/>
      <w:marBottom w:val="0"/>
      <w:divBdr>
        <w:top w:val="none" w:sz="0" w:space="0" w:color="auto"/>
        <w:left w:val="none" w:sz="0" w:space="0" w:color="auto"/>
        <w:bottom w:val="none" w:sz="0" w:space="0" w:color="auto"/>
        <w:right w:val="none" w:sz="0" w:space="0" w:color="auto"/>
      </w:divBdr>
    </w:div>
    <w:div w:id="259334029">
      <w:marLeft w:val="0"/>
      <w:marRight w:val="0"/>
      <w:marTop w:val="0"/>
      <w:marBottom w:val="0"/>
      <w:divBdr>
        <w:top w:val="none" w:sz="0" w:space="0" w:color="auto"/>
        <w:left w:val="none" w:sz="0" w:space="0" w:color="auto"/>
        <w:bottom w:val="none" w:sz="0" w:space="0" w:color="auto"/>
        <w:right w:val="none" w:sz="0" w:space="0" w:color="auto"/>
      </w:divBdr>
    </w:div>
    <w:div w:id="259334030">
      <w:marLeft w:val="0"/>
      <w:marRight w:val="0"/>
      <w:marTop w:val="0"/>
      <w:marBottom w:val="0"/>
      <w:divBdr>
        <w:top w:val="none" w:sz="0" w:space="0" w:color="auto"/>
        <w:left w:val="none" w:sz="0" w:space="0" w:color="auto"/>
        <w:bottom w:val="none" w:sz="0" w:space="0" w:color="auto"/>
        <w:right w:val="none" w:sz="0" w:space="0" w:color="auto"/>
      </w:divBdr>
    </w:div>
    <w:div w:id="259334031">
      <w:marLeft w:val="0"/>
      <w:marRight w:val="0"/>
      <w:marTop w:val="0"/>
      <w:marBottom w:val="0"/>
      <w:divBdr>
        <w:top w:val="none" w:sz="0" w:space="0" w:color="auto"/>
        <w:left w:val="none" w:sz="0" w:space="0" w:color="auto"/>
        <w:bottom w:val="none" w:sz="0" w:space="0" w:color="auto"/>
        <w:right w:val="none" w:sz="0" w:space="0" w:color="auto"/>
      </w:divBdr>
    </w:div>
    <w:div w:id="259334032">
      <w:marLeft w:val="0"/>
      <w:marRight w:val="0"/>
      <w:marTop w:val="0"/>
      <w:marBottom w:val="0"/>
      <w:divBdr>
        <w:top w:val="none" w:sz="0" w:space="0" w:color="auto"/>
        <w:left w:val="none" w:sz="0" w:space="0" w:color="auto"/>
        <w:bottom w:val="none" w:sz="0" w:space="0" w:color="auto"/>
        <w:right w:val="none" w:sz="0" w:space="0" w:color="auto"/>
      </w:divBdr>
    </w:div>
    <w:div w:id="259334033">
      <w:marLeft w:val="0"/>
      <w:marRight w:val="0"/>
      <w:marTop w:val="0"/>
      <w:marBottom w:val="0"/>
      <w:divBdr>
        <w:top w:val="none" w:sz="0" w:space="0" w:color="auto"/>
        <w:left w:val="none" w:sz="0" w:space="0" w:color="auto"/>
        <w:bottom w:val="none" w:sz="0" w:space="0" w:color="auto"/>
        <w:right w:val="none" w:sz="0" w:space="0" w:color="auto"/>
      </w:divBdr>
    </w:div>
    <w:div w:id="259334034">
      <w:marLeft w:val="0"/>
      <w:marRight w:val="0"/>
      <w:marTop w:val="0"/>
      <w:marBottom w:val="0"/>
      <w:divBdr>
        <w:top w:val="none" w:sz="0" w:space="0" w:color="auto"/>
        <w:left w:val="none" w:sz="0" w:space="0" w:color="auto"/>
        <w:bottom w:val="none" w:sz="0" w:space="0" w:color="auto"/>
        <w:right w:val="none" w:sz="0" w:space="0" w:color="auto"/>
      </w:divBdr>
    </w:div>
    <w:div w:id="259334035">
      <w:marLeft w:val="0"/>
      <w:marRight w:val="0"/>
      <w:marTop w:val="0"/>
      <w:marBottom w:val="0"/>
      <w:divBdr>
        <w:top w:val="none" w:sz="0" w:space="0" w:color="auto"/>
        <w:left w:val="none" w:sz="0" w:space="0" w:color="auto"/>
        <w:bottom w:val="none" w:sz="0" w:space="0" w:color="auto"/>
        <w:right w:val="none" w:sz="0" w:space="0" w:color="auto"/>
      </w:divBdr>
    </w:div>
    <w:div w:id="259334036">
      <w:marLeft w:val="0"/>
      <w:marRight w:val="0"/>
      <w:marTop w:val="0"/>
      <w:marBottom w:val="0"/>
      <w:divBdr>
        <w:top w:val="none" w:sz="0" w:space="0" w:color="auto"/>
        <w:left w:val="none" w:sz="0" w:space="0" w:color="auto"/>
        <w:bottom w:val="none" w:sz="0" w:space="0" w:color="auto"/>
        <w:right w:val="none" w:sz="0" w:space="0" w:color="auto"/>
      </w:divBdr>
    </w:div>
    <w:div w:id="259334037">
      <w:marLeft w:val="0"/>
      <w:marRight w:val="0"/>
      <w:marTop w:val="0"/>
      <w:marBottom w:val="0"/>
      <w:divBdr>
        <w:top w:val="none" w:sz="0" w:space="0" w:color="auto"/>
        <w:left w:val="none" w:sz="0" w:space="0" w:color="auto"/>
        <w:bottom w:val="none" w:sz="0" w:space="0" w:color="auto"/>
        <w:right w:val="none" w:sz="0" w:space="0" w:color="auto"/>
      </w:divBdr>
    </w:div>
    <w:div w:id="259334038">
      <w:marLeft w:val="0"/>
      <w:marRight w:val="0"/>
      <w:marTop w:val="0"/>
      <w:marBottom w:val="0"/>
      <w:divBdr>
        <w:top w:val="none" w:sz="0" w:space="0" w:color="auto"/>
        <w:left w:val="none" w:sz="0" w:space="0" w:color="auto"/>
        <w:bottom w:val="none" w:sz="0" w:space="0" w:color="auto"/>
        <w:right w:val="none" w:sz="0" w:space="0" w:color="auto"/>
      </w:divBdr>
    </w:div>
    <w:div w:id="259334039">
      <w:marLeft w:val="0"/>
      <w:marRight w:val="0"/>
      <w:marTop w:val="0"/>
      <w:marBottom w:val="0"/>
      <w:divBdr>
        <w:top w:val="none" w:sz="0" w:space="0" w:color="auto"/>
        <w:left w:val="none" w:sz="0" w:space="0" w:color="auto"/>
        <w:bottom w:val="none" w:sz="0" w:space="0" w:color="auto"/>
        <w:right w:val="none" w:sz="0" w:space="0" w:color="auto"/>
      </w:divBdr>
    </w:div>
    <w:div w:id="259334040">
      <w:marLeft w:val="0"/>
      <w:marRight w:val="0"/>
      <w:marTop w:val="0"/>
      <w:marBottom w:val="0"/>
      <w:divBdr>
        <w:top w:val="none" w:sz="0" w:space="0" w:color="auto"/>
        <w:left w:val="none" w:sz="0" w:space="0" w:color="auto"/>
        <w:bottom w:val="none" w:sz="0" w:space="0" w:color="auto"/>
        <w:right w:val="none" w:sz="0" w:space="0" w:color="auto"/>
      </w:divBdr>
    </w:div>
    <w:div w:id="259334042">
      <w:marLeft w:val="0"/>
      <w:marRight w:val="0"/>
      <w:marTop w:val="0"/>
      <w:marBottom w:val="0"/>
      <w:divBdr>
        <w:top w:val="none" w:sz="0" w:space="0" w:color="auto"/>
        <w:left w:val="none" w:sz="0" w:space="0" w:color="auto"/>
        <w:bottom w:val="none" w:sz="0" w:space="0" w:color="auto"/>
        <w:right w:val="none" w:sz="0" w:space="0" w:color="auto"/>
      </w:divBdr>
    </w:div>
    <w:div w:id="259334043">
      <w:marLeft w:val="0"/>
      <w:marRight w:val="0"/>
      <w:marTop w:val="0"/>
      <w:marBottom w:val="0"/>
      <w:divBdr>
        <w:top w:val="none" w:sz="0" w:space="0" w:color="auto"/>
        <w:left w:val="none" w:sz="0" w:space="0" w:color="auto"/>
        <w:bottom w:val="none" w:sz="0" w:space="0" w:color="auto"/>
        <w:right w:val="none" w:sz="0" w:space="0" w:color="auto"/>
      </w:divBdr>
    </w:div>
    <w:div w:id="259334044">
      <w:marLeft w:val="0"/>
      <w:marRight w:val="0"/>
      <w:marTop w:val="0"/>
      <w:marBottom w:val="0"/>
      <w:divBdr>
        <w:top w:val="none" w:sz="0" w:space="0" w:color="auto"/>
        <w:left w:val="none" w:sz="0" w:space="0" w:color="auto"/>
        <w:bottom w:val="none" w:sz="0" w:space="0" w:color="auto"/>
        <w:right w:val="none" w:sz="0" w:space="0" w:color="auto"/>
      </w:divBdr>
    </w:div>
    <w:div w:id="259334046">
      <w:marLeft w:val="0"/>
      <w:marRight w:val="0"/>
      <w:marTop w:val="0"/>
      <w:marBottom w:val="0"/>
      <w:divBdr>
        <w:top w:val="none" w:sz="0" w:space="0" w:color="auto"/>
        <w:left w:val="none" w:sz="0" w:space="0" w:color="auto"/>
        <w:bottom w:val="none" w:sz="0" w:space="0" w:color="auto"/>
        <w:right w:val="none" w:sz="0" w:space="0" w:color="auto"/>
      </w:divBdr>
    </w:div>
    <w:div w:id="259334047">
      <w:marLeft w:val="0"/>
      <w:marRight w:val="0"/>
      <w:marTop w:val="0"/>
      <w:marBottom w:val="0"/>
      <w:divBdr>
        <w:top w:val="none" w:sz="0" w:space="0" w:color="auto"/>
        <w:left w:val="none" w:sz="0" w:space="0" w:color="auto"/>
        <w:bottom w:val="none" w:sz="0" w:space="0" w:color="auto"/>
        <w:right w:val="none" w:sz="0" w:space="0" w:color="auto"/>
      </w:divBdr>
    </w:div>
    <w:div w:id="259334049">
      <w:marLeft w:val="0"/>
      <w:marRight w:val="0"/>
      <w:marTop w:val="0"/>
      <w:marBottom w:val="0"/>
      <w:divBdr>
        <w:top w:val="none" w:sz="0" w:space="0" w:color="auto"/>
        <w:left w:val="none" w:sz="0" w:space="0" w:color="auto"/>
        <w:bottom w:val="none" w:sz="0" w:space="0" w:color="auto"/>
        <w:right w:val="none" w:sz="0" w:space="0" w:color="auto"/>
      </w:divBdr>
    </w:div>
    <w:div w:id="259334050">
      <w:marLeft w:val="0"/>
      <w:marRight w:val="0"/>
      <w:marTop w:val="0"/>
      <w:marBottom w:val="0"/>
      <w:divBdr>
        <w:top w:val="none" w:sz="0" w:space="0" w:color="auto"/>
        <w:left w:val="none" w:sz="0" w:space="0" w:color="auto"/>
        <w:bottom w:val="none" w:sz="0" w:space="0" w:color="auto"/>
        <w:right w:val="none" w:sz="0" w:space="0" w:color="auto"/>
      </w:divBdr>
    </w:div>
    <w:div w:id="259334051">
      <w:marLeft w:val="0"/>
      <w:marRight w:val="0"/>
      <w:marTop w:val="0"/>
      <w:marBottom w:val="0"/>
      <w:divBdr>
        <w:top w:val="none" w:sz="0" w:space="0" w:color="auto"/>
        <w:left w:val="none" w:sz="0" w:space="0" w:color="auto"/>
        <w:bottom w:val="none" w:sz="0" w:space="0" w:color="auto"/>
        <w:right w:val="none" w:sz="0" w:space="0" w:color="auto"/>
      </w:divBdr>
    </w:div>
    <w:div w:id="259334053">
      <w:marLeft w:val="0"/>
      <w:marRight w:val="0"/>
      <w:marTop w:val="0"/>
      <w:marBottom w:val="0"/>
      <w:divBdr>
        <w:top w:val="none" w:sz="0" w:space="0" w:color="auto"/>
        <w:left w:val="none" w:sz="0" w:space="0" w:color="auto"/>
        <w:bottom w:val="none" w:sz="0" w:space="0" w:color="auto"/>
        <w:right w:val="none" w:sz="0" w:space="0" w:color="auto"/>
      </w:divBdr>
    </w:div>
    <w:div w:id="259334054">
      <w:marLeft w:val="0"/>
      <w:marRight w:val="0"/>
      <w:marTop w:val="0"/>
      <w:marBottom w:val="0"/>
      <w:divBdr>
        <w:top w:val="none" w:sz="0" w:space="0" w:color="auto"/>
        <w:left w:val="none" w:sz="0" w:space="0" w:color="auto"/>
        <w:bottom w:val="none" w:sz="0" w:space="0" w:color="auto"/>
        <w:right w:val="none" w:sz="0" w:space="0" w:color="auto"/>
      </w:divBdr>
    </w:div>
    <w:div w:id="259334056">
      <w:marLeft w:val="0"/>
      <w:marRight w:val="0"/>
      <w:marTop w:val="0"/>
      <w:marBottom w:val="0"/>
      <w:divBdr>
        <w:top w:val="none" w:sz="0" w:space="0" w:color="auto"/>
        <w:left w:val="none" w:sz="0" w:space="0" w:color="auto"/>
        <w:bottom w:val="none" w:sz="0" w:space="0" w:color="auto"/>
        <w:right w:val="none" w:sz="0" w:space="0" w:color="auto"/>
      </w:divBdr>
    </w:div>
    <w:div w:id="259334057">
      <w:marLeft w:val="0"/>
      <w:marRight w:val="0"/>
      <w:marTop w:val="0"/>
      <w:marBottom w:val="0"/>
      <w:divBdr>
        <w:top w:val="none" w:sz="0" w:space="0" w:color="auto"/>
        <w:left w:val="none" w:sz="0" w:space="0" w:color="auto"/>
        <w:bottom w:val="none" w:sz="0" w:space="0" w:color="auto"/>
        <w:right w:val="none" w:sz="0" w:space="0" w:color="auto"/>
      </w:divBdr>
    </w:div>
    <w:div w:id="259334058">
      <w:marLeft w:val="0"/>
      <w:marRight w:val="0"/>
      <w:marTop w:val="0"/>
      <w:marBottom w:val="0"/>
      <w:divBdr>
        <w:top w:val="none" w:sz="0" w:space="0" w:color="auto"/>
        <w:left w:val="none" w:sz="0" w:space="0" w:color="auto"/>
        <w:bottom w:val="none" w:sz="0" w:space="0" w:color="auto"/>
        <w:right w:val="none" w:sz="0" w:space="0" w:color="auto"/>
      </w:divBdr>
    </w:div>
    <w:div w:id="259334059">
      <w:marLeft w:val="0"/>
      <w:marRight w:val="0"/>
      <w:marTop w:val="0"/>
      <w:marBottom w:val="0"/>
      <w:divBdr>
        <w:top w:val="none" w:sz="0" w:space="0" w:color="auto"/>
        <w:left w:val="none" w:sz="0" w:space="0" w:color="auto"/>
        <w:bottom w:val="none" w:sz="0" w:space="0" w:color="auto"/>
        <w:right w:val="none" w:sz="0" w:space="0" w:color="auto"/>
      </w:divBdr>
    </w:div>
    <w:div w:id="259334060">
      <w:marLeft w:val="0"/>
      <w:marRight w:val="0"/>
      <w:marTop w:val="0"/>
      <w:marBottom w:val="0"/>
      <w:divBdr>
        <w:top w:val="none" w:sz="0" w:space="0" w:color="auto"/>
        <w:left w:val="none" w:sz="0" w:space="0" w:color="auto"/>
        <w:bottom w:val="none" w:sz="0" w:space="0" w:color="auto"/>
        <w:right w:val="none" w:sz="0" w:space="0" w:color="auto"/>
      </w:divBdr>
    </w:div>
    <w:div w:id="259334061">
      <w:marLeft w:val="0"/>
      <w:marRight w:val="0"/>
      <w:marTop w:val="0"/>
      <w:marBottom w:val="0"/>
      <w:divBdr>
        <w:top w:val="none" w:sz="0" w:space="0" w:color="auto"/>
        <w:left w:val="none" w:sz="0" w:space="0" w:color="auto"/>
        <w:bottom w:val="none" w:sz="0" w:space="0" w:color="auto"/>
        <w:right w:val="none" w:sz="0" w:space="0" w:color="auto"/>
      </w:divBdr>
    </w:div>
    <w:div w:id="259334062">
      <w:marLeft w:val="0"/>
      <w:marRight w:val="0"/>
      <w:marTop w:val="0"/>
      <w:marBottom w:val="0"/>
      <w:divBdr>
        <w:top w:val="none" w:sz="0" w:space="0" w:color="auto"/>
        <w:left w:val="none" w:sz="0" w:space="0" w:color="auto"/>
        <w:bottom w:val="none" w:sz="0" w:space="0" w:color="auto"/>
        <w:right w:val="none" w:sz="0" w:space="0" w:color="auto"/>
      </w:divBdr>
    </w:div>
    <w:div w:id="259334066">
      <w:marLeft w:val="0"/>
      <w:marRight w:val="0"/>
      <w:marTop w:val="0"/>
      <w:marBottom w:val="0"/>
      <w:divBdr>
        <w:top w:val="none" w:sz="0" w:space="0" w:color="auto"/>
        <w:left w:val="none" w:sz="0" w:space="0" w:color="auto"/>
        <w:bottom w:val="none" w:sz="0" w:space="0" w:color="auto"/>
        <w:right w:val="none" w:sz="0" w:space="0" w:color="auto"/>
      </w:divBdr>
    </w:div>
    <w:div w:id="259334067">
      <w:marLeft w:val="0"/>
      <w:marRight w:val="0"/>
      <w:marTop w:val="0"/>
      <w:marBottom w:val="0"/>
      <w:divBdr>
        <w:top w:val="none" w:sz="0" w:space="0" w:color="auto"/>
        <w:left w:val="none" w:sz="0" w:space="0" w:color="auto"/>
        <w:bottom w:val="none" w:sz="0" w:space="0" w:color="auto"/>
        <w:right w:val="none" w:sz="0" w:space="0" w:color="auto"/>
      </w:divBdr>
    </w:div>
    <w:div w:id="259334068">
      <w:marLeft w:val="0"/>
      <w:marRight w:val="0"/>
      <w:marTop w:val="0"/>
      <w:marBottom w:val="0"/>
      <w:divBdr>
        <w:top w:val="none" w:sz="0" w:space="0" w:color="auto"/>
        <w:left w:val="none" w:sz="0" w:space="0" w:color="auto"/>
        <w:bottom w:val="none" w:sz="0" w:space="0" w:color="auto"/>
        <w:right w:val="none" w:sz="0" w:space="0" w:color="auto"/>
      </w:divBdr>
    </w:div>
    <w:div w:id="697925597">
      <w:bodyDiv w:val="1"/>
      <w:marLeft w:val="0"/>
      <w:marRight w:val="0"/>
      <w:marTop w:val="0"/>
      <w:marBottom w:val="0"/>
      <w:divBdr>
        <w:top w:val="none" w:sz="0" w:space="0" w:color="auto"/>
        <w:left w:val="none" w:sz="0" w:space="0" w:color="auto"/>
        <w:bottom w:val="none" w:sz="0" w:space="0" w:color="auto"/>
        <w:right w:val="none" w:sz="0" w:space="0" w:color="auto"/>
      </w:divBdr>
    </w:div>
    <w:div w:id="822308047">
      <w:bodyDiv w:val="1"/>
      <w:marLeft w:val="0"/>
      <w:marRight w:val="0"/>
      <w:marTop w:val="0"/>
      <w:marBottom w:val="0"/>
      <w:divBdr>
        <w:top w:val="none" w:sz="0" w:space="0" w:color="auto"/>
        <w:left w:val="none" w:sz="0" w:space="0" w:color="auto"/>
        <w:bottom w:val="none" w:sz="0" w:space="0" w:color="auto"/>
        <w:right w:val="none" w:sz="0" w:space="0" w:color="auto"/>
      </w:divBdr>
    </w:div>
    <w:div w:id="958072472">
      <w:bodyDiv w:val="1"/>
      <w:marLeft w:val="0"/>
      <w:marRight w:val="0"/>
      <w:marTop w:val="0"/>
      <w:marBottom w:val="0"/>
      <w:divBdr>
        <w:top w:val="none" w:sz="0" w:space="0" w:color="auto"/>
        <w:left w:val="none" w:sz="0" w:space="0" w:color="auto"/>
        <w:bottom w:val="none" w:sz="0" w:space="0" w:color="auto"/>
        <w:right w:val="none" w:sz="0" w:space="0" w:color="auto"/>
      </w:divBdr>
    </w:div>
    <w:div w:id="1431313876">
      <w:bodyDiv w:val="1"/>
      <w:marLeft w:val="0"/>
      <w:marRight w:val="0"/>
      <w:marTop w:val="0"/>
      <w:marBottom w:val="0"/>
      <w:divBdr>
        <w:top w:val="none" w:sz="0" w:space="0" w:color="auto"/>
        <w:left w:val="none" w:sz="0" w:space="0" w:color="auto"/>
        <w:bottom w:val="none" w:sz="0" w:space="0" w:color="auto"/>
        <w:right w:val="none" w:sz="0" w:space="0" w:color="auto"/>
      </w:divBdr>
      <w:divsChild>
        <w:div w:id="395669497">
          <w:marLeft w:val="0"/>
          <w:marRight w:val="0"/>
          <w:marTop w:val="0"/>
          <w:marBottom w:val="0"/>
          <w:divBdr>
            <w:top w:val="none" w:sz="0" w:space="0" w:color="auto"/>
            <w:left w:val="none" w:sz="0" w:space="0" w:color="auto"/>
            <w:bottom w:val="none" w:sz="0" w:space="0" w:color="auto"/>
            <w:right w:val="none" w:sz="0" w:space="0" w:color="auto"/>
          </w:divBdr>
          <w:divsChild>
            <w:div w:id="1457985218">
              <w:marLeft w:val="0"/>
              <w:marRight w:val="0"/>
              <w:marTop w:val="150"/>
              <w:marBottom w:val="0"/>
              <w:divBdr>
                <w:top w:val="none" w:sz="0" w:space="0" w:color="auto"/>
                <w:left w:val="none" w:sz="0" w:space="0" w:color="auto"/>
                <w:bottom w:val="none" w:sz="0" w:space="0" w:color="auto"/>
                <w:right w:val="none" w:sz="0" w:space="0" w:color="auto"/>
              </w:divBdr>
              <w:divsChild>
                <w:div w:id="1595089898">
                  <w:marLeft w:val="0"/>
                  <w:marRight w:val="0"/>
                  <w:marTop w:val="0"/>
                  <w:marBottom w:val="900"/>
                  <w:divBdr>
                    <w:top w:val="none" w:sz="0" w:space="0" w:color="auto"/>
                    <w:left w:val="none" w:sz="0" w:space="0" w:color="auto"/>
                    <w:bottom w:val="none" w:sz="0" w:space="0" w:color="auto"/>
                    <w:right w:val="none" w:sz="0" w:space="0" w:color="auto"/>
                  </w:divBdr>
                  <w:divsChild>
                    <w:div w:id="1373459571">
                      <w:marLeft w:val="0"/>
                      <w:marRight w:val="0"/>
                      <w:marTop w:val="0"/>
                      <w:marBottom w:val="0"/>
                      <w:divBdr>
                        <w:top w:val="none" w:sz="0" w:space="0" w:color="auto"/>
                        <w:left w:val="none" w:sz="0" w:space="0" w:color="auto"/>
                        <w:bottom w:val="none" w:sz="0" w:space="0" w:color="auto"/>
                        <w:right w:val="none" w:sz="0" w:space="0" w:color="auto"/>
                      </w:divBdr>
                      <w:divsChild>
                        <w:div w:id="1606234501">
                          <w:marLeft w:val="0"/>
                          <w:marRight w:val="0"/>
                          <w:marTop w:val="0"/>
                          <w:marBottom w:val="0"/>
                          <w:divBdr>
                            <w:top w:val="none" w:sz="0" w:space="0" w:color="auto"/>
                            <w:left w:val="none" w:sz="0" w:space="0" w:color="auto"/>
                            <w:bottom w:val="none" w:sz="0" w:space="0" w:color="auto"/>
                            <w:right w:val="none" w:sz="0" w:space="0" w:color="auto"/>
                          </w:divBdr>
                          <w:divsChild>
                            <w:div w:id="1582983491">
                              <w:marLeft w:val="0"/>
                              <w:marRight w:val="0"/>
                              <w:marTop w:val="0"/>
                              <w:marBottom w:val="0"/>
                              <w:divBdr>
                                <w:top w:val="none" w:sz="0" w:space="0" w:color="auto"/>
                                <w:left w:val="none" w:sz="0" w:space="0" w:color="auto"/>
                                <w:bottom w:val="none" w:sz="0" w:space="0" w:color="auto"/>
                                <w:right w:val="none" w:sz="0" w:space="0" w:color="auto"/>
                              </w:divBdr>
                              <w:divsChild>
                                <w:div w:id="1901093273">
                                  <w:marLeft w:val="0"/>
                                  <w:marRight w:val="0"/>
                                  <w:marTop w:val="0"/>
                                  <w:marBottom w:val="0"/>
                                  <w:divBdr>
                                    <w:top w:val="none" w:sz="0" w:space="0" w:color="auto"/>
                                    <w:left w:val="none" w:sz="0" w:space="0" w:color="auto"/>
                                    <w:bottom w:val="none" w:sz="0" w:space="0" w:color="auto"/>
                                    <w:right w:val="none" w:sz="0" w:space="0" w:color="auto"/>
                                  </w:divBdr>
                                  <w:divsChild>
                                    <w:div w:id="49808180">
                                      <w:marLeft w:val="0"/>
                                      <w:marRight w:val="0"/>
                                      <w:marTop w:val="0"/>
                                      <w:marBottom w:val="0"/>
                                      <w:divBdr>
                                        <w:top w:val="none" w:sz="0" w:space="0" w:color="auto"/>
                                        <w:left w:val="none" w:sz="0" w:space="0" w:color="auto"/>
                                        <w:bottom w:val="none" w:sz="0" w:space="0" w:color="auto"/>
                                        <w:right w:val="none" w:sz="0" w:space="0" w:color="auto"/>
                                      </w:divBdr>
                                      <w:divsChild>
                                        <w:div w:id="1270510433">
                                          <w:marLeft w:val="0"/>
                                          <w:marRight w:val="0"/>
                                          <w:marTop w:val="0"/>
                                          <w:marBottom w:val="0"/>
                                          <w:divBdr>
                                            <w:top w:val="none" w:sz="0" w:space="0" w:color="auto"/>
                                            <w:left w:val="none" w:sz="0" w:space="0" w:color="auto"/>
                                            <w:bottom w:val="none" w:sz="0" w:space="0" w:color="auto"/>
                                            <w:right w:val="none" w:sz="0" w:space="0" w:color="auto"/>
                                          </w:divBdr>
                                          <w:divsChild>
                                            <w:div w:id="1088037722">
                                              <w:marLeft w:val="0"/>
                                              <w:marRight w:val="0"/>
                                              <w:marTop w:val="0"/>
                                              <w:marBottom w:val="0"/>
                                              <w:divBdr>
                                                <w:top w:val="none" w:sz="0" w:space="0" w:color="auto"/>
                                                <w:left w:val="none" w:sz="0" w:space="0" w:color="auto"/>
                                                <w:bottom w:val="none" w:sz="0" w:space="0" w:color="auto"/>
                                                <w:right w:val="none" w:sz="0" w:space="0" w:color="auto"/>
                                              </w:divBdr>
                                              <w:divsChild>
                                                <w:div w:id="1202014892">
                                                  <w:marLeft w:val="0"/>
                                                  <w:marRight w:val="0"/>
                                                  <w:marTop w:val="0"/>
                                                  <w:marBottom w:val="0"/>
                                                  <w:divBdr>
                                                    <w:top w:val="none" w:sz="0" w:space="0" w:color="auto"/>
                                                    <w:left w:val="none" w:sz="0" w:space="0" w:color="auto"/>
                                                    <w:bottom w:val="none" w:sz="0" w:space="0" w:color="auto"/>
                                                    <w:right w:val="none" w:sz="0" w:space="0" w:color="auto"/>
                                                  </w:divBdr>
                                                  <w:divsChild>
                                                    <w:div w:id="1647129876">
                                                      <w:marLeft w:val="0"/>
                                                      <w:marRight w:val="0"/>
                                                      <w:marTop w:val="0"/>
                                                      <w:marBottom w:val="0"/>
                                                      <w:divBdr>
                                                        <w:top w:val="none" w:sz="0" w:space="0" w:color="auto"/>
                                                        <w:left w:val="none" w:sz="0" w:space="0" w:color="auto"/>
                                                        <w:bottom w:val="none" w:sz="0" w:space="0" w:color="auto"/>
                                                        <w:right w:val="none" w:sz="0" w:space="0" w:color="auto"/>
                                                      </w:divBdr>
                                                      <w:divsChild>
                                                        <w:div w:id="1045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950">
                                              <w:marLeft w:val="0"/>
                                              <w:marRight w:val="0"/>
                                              <w:marTop w:val="0"/>
                                              <w:marBottom w:val="0"/>
                                              <w:divBdr>
                                                <w:top w:val="none" w:sz="0" w:space="0" w:color="auto"/>
                                                <w:left w:val="none" w:sz="0" w:space="0" w:color="auto"/>
                                                <w:bottom w:val="none" w:sz="0" w:space="0" w:color="auto"/>
                                                <w:right w:val="none" w:sz="0" w:space="0" w:color="auto"/>
                                              </w:divBdr>
                                            </w:div>
                                            <w:div w:id="1959339736">
                                              <w:marLeft w:val="0"/>
                                              <w:marRight w:val="0"/>
                                              <w:marTop w:val="0"/>
                                              <w:marBottom w:val="0"/>
                                              <w:divBdr>
                                                <w:top w:val="none" w:sz="0" w:space="0" w:color="auto"/>
                                                <w:left w:val="none" w:sz="0" w:space="0" w:color="auto"/>
                                                <w:bottom w:val="none" w:sz="0" w:space="0" w:color="auto"/>
                                                <w:right w:val="none" w:sz="0" w:space="0" w:color="auto"/>
                                              </w:divBdr>
                                              <w:divsChild>
                                                <w:div w:id="875586610">
                                                  <w:marLeft w:val="0"/>
                                                  <w:marRight w:val="0"/>
                                                  <w:marTop w:val="0"/>
                                                  <w:marBottom w:val="0"/>
                                                  <w:divBdr>
                                                    <w:top w:val="none" w:sz="0" w:space="0" w:color="auto"/>
                                                    <w:left w:val="none" w:sz="0" w:space="0" w:color="auto"/>
                                                    <w:bottom w:val="none" w:sz="0" w:space="0" w:color="auto"/>
                                                    <w:right w:val="none" w:sz="0" w:space="0" w:color="auto"/>
                                                  </w:divBdr>
                                                  <w:divsChild>
                                                    <w:div w:id="47341045">
                                                      <w:marLeft w:val="0"/>
                                                      <w:marRight w:val="0"/>
                                                      <w:marTop w:val="0"/>
                                                      <w:marBottom w:val="0"/>
                                                      <w:divBdr>
                                                        <w:top w:val="none" w:sz="0" w:space="0" w:color="auto"/>
                                                        <w:left w:val="none" w:sz="0" w:space="0" w:color="auto"/>
                                                        <w:bottom w:val="none" w:sz="0" w:space="0" w:color="auto"/>
                                                        <w:right w:val="none" w:sz="0" w:space="0" w:color="auto"/>
                                                      </w:divBdr>
                                                      <w:divsChild>
                                                        <w:div w:id="92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324630">
      <w:bodyDiv w:val="1"/>
      <w:marLeft w:val="0"/>
      <w:marRight w:val="0"/>
      <w:marTop w:val="0"/>
      <w:marBottom w:val="0"/>
      <w:divBdr>
        <w:top w:val="none" w:sz="0" w:space="0" w:color="auto"/>
        <w:left w:val="none" w:sz="0" w:space="0" w:color="auto"/>
        <w:bottom w:val="none" w:sz="0" w:space="0" w:color="auto"/>
        <w:right w:val="none" w:sz="0" w:space="0" w:color="auto"/>
      </w:divBdr>
    </w:div>
    <w:div w:id="1667979898">
      <w:bodyDiv w:val="1"/>
      <w:marLeft w:val="0"/>
      <w:marRight w:val="0"/>
      <w:marTop w:val="0"/>
      <w:marBottom w:val="0"/>
      <w:divBdr>
        <w:top w:val="none" w:sz="0" w:space="0" w:color="auto"/>
        <w:left w:val="none" w:sz="0" w:space="0" w:color="auto"/>
        <w:bottom w:val="none" w:sz="0" w:space="0" w:color="auto"/>
        <w:right w:val="none" w:sz="0" w:space="0" w:color="auto"/>
      </w:divBdr>
    </w:div>
    <w:div w:id="21342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9898-C8E6-44DD-9F30-13959B2D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10599</Words>
  <Characters>54163</Characters>
  <Application>Microsoft Office Word</Application>
  <DocSecurity>0</DocSecurity>
  <Lines>2006</Lines>
  <Paragraphs>1377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2016-10-10T18:12:00Z</cp:lastPrinted>
  <dcterms:created xsi:type="dcterms:W3CDTF">2016-10-13T14:36:00Z</dcterms:created>
  <dcterms:modified xsi:type="dcterms:W3CDTF">2016-10-14T10:27:00Z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