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2A1D98224BA4F4094A43070511F92FE" style="width:450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Съдържание</w:t>
      </w:r>
    </w:p>
    <w:p>
      <w:pPr>
        <w:pStyle w:val="TOC1"/>
        <w:rPr>
          <w:rFonts w:ascii="Calibri" w:hAnsi="Calibr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61185276" w:history="1">
        <w:r>
          <w:rPr>
            <w:rStyle w:val="Hyperlink"/>
            <w:b/>
            <w:smallCaps/>
            <w:noProof/>
          </w:rPr>
          <w:t>1.</w:t>
        </w:r>
        <w:r>
          <w:rPr>
            <w:rFonts w:ascii="Calibri" w:hAnsi="Calibri"/>
            <w:noProof/>
            <w:sz w:val="22"/>
            <w:lang w:val="en-GB" w:eastAsia="en-GB" w:bidi="ar-SA"/>
          </w:rPr>
          <w:tab/>
        </w:r>
        <w:r>
          <w:rPr>
            <w:rStyle w:val="Hyperlink"/>
            <w:b/>
            <w:smallCaps/>
            <w:noProof/>
          </w:rPr>
          <w:t>Бюджетна процедура</w:t>
        </w:r>
        <w:r>
          <w:rPr>
            <w:noProof/>
            <w:webHidden/>
          </w:rPr>
          <w:tab/>
        </w:r>
        <w:r>
          <w:rPr>
            <w:noProof/>
            <w:webHidden/>
          </w:rPr>
          <w:fldChar w:fldCharType="begin"/>
        </w:r>
        <w:r>
          <w:rPr>
            <w:noProof/>
            <w:webHidden/>
          </w:rPr>
          <w:instrText xml:space="preserve"> PAGEREF _Toc461185276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lang w:val="en-GB" w:eastAsia="en-GB" w:bidi="ar-SA"/>
        </w:rPr>
      </w:pPr>
      <w:hyperlink w:anchor="_Toc461185277" w:history="1">
        <w:r>
          <w:rPr>
            <w:rStyle w:val="Hyperlink"/>
            <w:b/>
            <w:noProof/>
          </w:rPr>
          <w:t>1.1.</w:t>
        </w:r>
        <w:r>
          <w:rPr>
            <w:rFonts w:ascii="Calibri" w:hAnsi="Calibri"/>
            <w:noProof/>
            <w:sz w:val="22"/>
            <w:lang w:val="en-GB" w:eastAsia="en-GB" w:bidi="ar-SA"/>
          </w:rPr>
          <w:tab/>
        </w:r>
        <w:r>
          <w:rPr>
            <w:rStyle w:val="Hyperlink"/>
            <w:b/>
            <w:noProof/>
          </w:rPr>
          <w:t>Финансова рамка</w:t>
        </w:r>
        <w:r>
          <w:rPr>
            <w:noProof/>
            <w:webHidden/>
          </w:rPr>
          <w:tab/>
        </w:r>
        <w:r>
          <w:rPr>
            <w:noProof/>
            <w:webHidden/>
          </w:rPr>
          <w:fldChar w:fldCharType="begin"/>
        </w:r>
        <w:r>
          <w:rPr>
            <w:noProof/>
            <w:webHidden/>
          </w:rPr>
          <w:instrText xml:space="preserve"> PAGEREF _Toc461185277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lang w:val="en-GB" w:eastAsia="en-GB" w:bidi="ar-SA"/>
        </w:rPr>
      </w:pPr>
      <w:hyperlink w:anchor="_Toc461185278" w:history="1">
        <w:r>
          <w:rPr>
            <w:rStyle w:val="Hyperlink"/>
            <w:b/>
            <w:noProof/>
          </w:rPr>
          <w:t>1.2.</w:t>
        </w:r>
        <w:r>
          <w:rPr>
            <w:rFonts w:ascii="Calibri" w:hAnsi="Calibri"/>
            <w:noProof/>
            <w:sz w:val="22"/>
            <w:lang w:val="en-GB" w:eastAsia="en-GB" w:bidi="ar-SA"/>
          </w:rPr>
          <w:tab/>
        </w:r>
        <w:r>
          <w:rPr>
            <w:rStyle w:val="Hyperlink"/>
            <w:b/>
            <w:noProof/>
          </w:rPr>
          <w:t>Проектобюджет за 2015 г.</w:t>
        </w:r>
        <w:r>
          <w:rPr>
            <w:noProof/>
            <w:webHidden/>
          </w:rPr>
          <w:tab/>
        </w:r>
        <w:r>
          <w:rPr>
            <w:noProof/>
            <w:webHidden/>
          </w:rPr>
          <w:fldChar w:fldCharType="begin"/>
        </w:r>
        <w:r>
          <w:rPr>
            <w:noProof/>
            <w:webHidden/>
          </w:rPr>
          <w:instrText xml:space="preserve"> PAGEREF _Toc461185278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Calibri" w:hAnsi="Calibri"/>
          <w:noProof/>
          <w:sz w:val="22"/>
          <w:lang w:val="en-GB" w:eastAsia="en-GB" w:bidi="ar-SA"/>
        </w:rPr>
      </w:pPr>
      <w:hyperlink w:anchor="_Toc461185279" w:history="1">
        <w:r>
          <w:rPr>
            <w:rStyle w:val="Hyperlink"/>
            <w:b/>
            <w:noProof/>
          </w:rPr>
          <w:t>1.3.</w:t>
        </w:r>
        <w:r>
          <w:rPr>
            <w:rFonts w:ascii="Calibri" w:hAnsi="Calibri"/>
            <w:noProof/>
            <w:sz w:val="22"/>
            <w:lang w:val="en-GB" w:eastAsia="en-GB" w:bidi="ar-SA"/>
          </w:rPr>
          <w:tab/>
        </w:r>
        <w:r>
          <w:rPr>
            <w:rStyle w:val="Hyperlink"/>
            <w:b/>
            <w:noProof/>
          </w:rPr>
          <w:t>Приемане на бюджета за 2015 г.</w:t>
        </w:r>
        <w:r>
          <w:rPr>
            <w:noProof/>
            <w:webHidden/>
          </w:rPr>
          <w:tab/>
        </w:r>
        <w:r>
          <w:rPr>
            <w:noProof/>
            <w:webHidden/>
          </w:rPr>
          <w:fldChar w:fldCharType="begin"/>
        </w:r>
        <w:r>
          <w:rPr>
            <w:noProof/>
            <w:webHidden/>
          </w:rPr>
          <w:instrText xml:space="preserve"> PAGEREF _Toc461185279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hAnsi="Calibri"/>
          <w:noProof/>
          <w:sz w:val="22"/>
          <w:lang w:val="en-GB" w:eastAsia="en-GB" w:bidi="ar-SA"/>
        </w:rPr>
      </w:pPr>
      <w:hyperlink w:anchor="_Toc461185280" w:history="1">
        <w:r>
          <w:rPr>
            <w:rStyle w:val="Hyperlink"/>
            <w:b/>
            <w:noProof/>
          </w:rPr>
          <w:t>1.4.</w:t>
        </w:r>
        <w:r>
          <w:rPr>
            <w:rFonts w:ascii="Calibri" w:hAnsi="Calibri"/>
            <w:noProof/>
            <w:sz w:val="22"/>
            <w:lang w:val="en-GB" w:eastAsia="en-GB" w:bidi="ar-SA"/>
          </w:rPr>
          <w:tab/>
        </w:r>
        <w:r>
          <w:rPr>
            <w:rStyle w:val="Hyperlink"/>
            <w:b/>
            <w:noProof/>
          </w:rPr>
          <w:t>Приемане на коригиращите бюджети</w:t>
        </w:r>
        <w:r>
          <w:rPr>
            <w:noProof/>
            <w:webHidden/>
          </w:rPr>
          <w:tab/>
        </w:r>
        <w:r>
          <w:rPr>
            <w:noProof/>
            <w:webHidden/>
          </w:rPr>
          <w:fldChar w:fldCharType="begin"/>
        </w:r>
        <w:r>
          <w:rPr>
            <w:noProof/>
            <w:webHidden/>
          </w:rPr>
          <w:instrText xml:space="preserve"> PAGEREF _Toc461185280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noProof/>
          <w:sz w:val="22"/>
          <w:lang w:val="en-GB" w:eastAsia="en-GB" w:bidi="ar-SA"/>
        </w:rPr>
      </w:pPr>
      <w:hyperlink w:anchor="_Toc461185281" w:history="1">
        <w:r>
          <w:rPr>
            <w:rStyle w:val="Hyperlink"/>
            <w:b/>
            <w:smallCaps/>
            <w:noProof/>
          </w:rPr>
          <w:t>2.</w:t>
        </w:r>
        <w:r>
          <w:rPr>
            <w:rFonts w:ascii="Calibri" w:hAnsi="Calibri"/>
            <w:noProof/>
            <w:sz w:val="22"/>
            <w:lang w:val="en-GB" w:eastAsia="en-GB" w:bidi="ar-SA"/>
          </w:rPr>
          <w:tab/>
        </w:r>
        <w:r>
          <w:rPr>
            <w:rStyle w:val="Hyperlink"/>
            <w:b/>
            <w:smallCaps/>
            <w:noProof/>
          </w:rPr>
          <w:t>Управление на бюджетните кредити</w:t>
        </w:r>
        <w:r>
          <w:rPr>
            <w:noProof/>
            <w:webHidden/>
          </w:rPr>
          <w:tab/>
        </w:r>
        <w:r>
          <w:rPr>
            <w:noProof/>
            <w:webHidden/>
          </w:rPr>
          <w:fldChar w:fldCharType="begin"/>
        </w:r>
        <w:r>
          <w:rPr>
            <w:noProof/>
            <w:webHidden/>
          </w:rPr>
          <w:instrText xml:space="preserve"> PAGEREF _Toc461185281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hAnsi="Calibri"/>
          <w:noProof/>
          <w:sz w:val="22"/>
          <w:lang w:val="en-GB" w:eastAsia="en-GB" w:bidi="ar-SA"/>
        </w:rPr>
      </w:pPr>
      <w:hyperlink w:anchor="_Toc461185282" w:history="1">
        <w:r>
          <w:rPr>
            <w:rStyle w:val="Hyperlink"/>
            <w:b/>
            <w:noProof/>
          </w:rPr>
          <w:t>2.1.</w:t>
        </w:r>
        <w:r>
          <w:rPr>
            <w:rFonts w:ascii="Calibri" w:hAnsi="Calibri"/>
            <w:noProof/>
            <w:sz w:val="22"/>
            <w:lang w:val="en-GB" w:eastAsia="en-GB" w:bidi="ar-SA"/>
          </w:rPr>
          <w:tab/>
        </w:r>
        <w:r>
          <w:rPr>
            <w:rStyle w:val="Hyperlink"/>
            <w:b/>
            <w:noProof/>
          </w:rPr>
          <w:t>Управление на бюджетните кредити за поети задължения</w:t>
        </w:r>
        <w:r>
          <w:rPr>
            <w:noProof/>
            <w:webHidden/>
          </w:rPr>
          <w:tab/>
        </w:r>
        <w:r>
          <w:rPr>
            <w:noProof/>
            <w:webHidden/>
          </w:rPr>
          <w:fldChar w:fldCharType="begin"/>
        </w:r>
        <w:r>
          <w:rPr>
            <w:noProof/>
            <w:webHidden/>
          </w:rPr>
          <w:instrText xml:space="preserve"> PAGEREF _Toc461185282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Calibri" w:hAnsi="Calibri"/>
          <w:noProof/>
          <w:sz w:val="22"/>
          <w:lang w:val="en-GB" w:eastAsia="en-GB" w:bidi="ar-SA"/>
        </w:rPr>
      </w:pPr>
      <w:hyperlink w:anchor="_Toc461185283" w:history="1">
        <w:r>
          <w:rPr>
            <w:rStyle w:val="Hyperlink"/>
            <w:i/>
            <w:noProof/>
          </w:rPr>
          <w:t>2.1.1.</w:t>
        </w:r>
        <w:r>
          <w:rPr>
            <w:rFonts w:ascii="Calibri" w:hAnsi="Calibr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_Toc461185283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Calibri" w:hAnsi="Calibri"/>
          <w:noProof/>
          <w:sz w:val="22"/>
          <w:lang w:val="en-GB" w:eastAsia="en-GB" w:bidi="ar-SA"/>
        </w:rPr>
      </w:pPr>
      <w:hyperlink w:anchor="_Toc461185284" w:history="1">
        <w:r>
          <w:rPr>
            <w:rStyle w:val="Hyperlink"/>
            <w:i/>
            <w:noProof/>
          </w:rPr>
          <w:t>2.1.2.</w:t>
        </w:r>
        <w:r>
          <w:rPr>
            <w:rFonts w:ascii="Calibri" w:hAnsi="Calibr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_Toc461185284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hAnsi="Calibri"/>
          <w:noProof/>
          <w:sz w:val="22"/>
          <w:lang w:val="en-GB" w:eastAsia="en-GB" w:bidi="ar-SA"/>
        </w:rPr>
      </w:pPr>
      <w:hyperlink w:anchor="_Toc461185285" w:history="1">
        <w:r>
          <w:rPr>
            <w:rStyle w:val="Hyperlink"/>
            <w:b/>
            <w:noProof/>
          </w:rPr>
          <w:t>2.2.</w:t>
        </w:r>
        <w:r>
          <w:rPr>
            <w:rFonts w:ascii="Calibri" w:hAnsi="Calibri"/>
            <w:noProof/>
            <w:sz w:val="22"/>
            <w:lang w:val="en-GB" w:eastAsia="en-GB" w:bidi="ar-SA"/>
          </w:rPr>
          <w:tab/>
        </w:r>
        <w:r>
          <w:rPr>
            <w:rStyle w:val="Hyperlink"/>
            <w:b/>
            <w:noProof/>
          </w:rPr>
          <w:t>Управление на бюджетните кредити за плащания</w:t>
        </w:r>
        <w:r>
          <w:rPr>
            <w:noProof/>
            <w:webHidden/>
          </w:rPr>
          <w:tab/>
        </w:r>
        <w:r>
          <w:rPr>
            <w:noProof/>
            <w:webHidden/>
          </w:rPr>
          <w:fldChar w:fldCharType="begin"/>
        </w:r>
        <w:r>
          <w:rPr>
            <w:noProof/>
            <w:webHidden/>
          </w:rPr>
          <w:instrText xml:space="preserve"> PAGEREF _Toc461185285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Calibri" w:hAnsi="Calibri"/>
          <w:noProof/>
          <w:sz w:val="22"/>
          <w:lang w:val="en-GB" w:eastAsia="en-GB" w:bidi="ar-SA"/>
        </w:rPr>
      </w:pPr>
      <w:hyperlink w:anchor="_Toc461185286" w:history="1">
        <w:r>
          <w:rPr>
            <w:rStyle w:val="Hyperlink"/>
            <w:i/>
            <w:noProof/>
          </w:rPr>
          <w:t>2.2.1.</w:t>
        </w:r>
        <w:r>
          <w:rPr>
            <w:rFonts w:ascii="Calibri" w:hAnsi="Calibr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_Toc461185286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Calibri" w:hAnsi="Calibri"/>
          <w:noProof/>
          <w:sz w:val="22"/>
          <w:lang w:val="en-GB" w:eastAsia="en-GB" w:bidi="ar-SA"/>
        </w:rPr>
      </w:pPr>
      <w:hyperlink w:anchor="_Toc461185287" w:history="1">
        <w:r>
          <w:rPr>
            <w:rStyle w:val="Hyperlink"/>
            <w:i/>
            <w:noProof/>
          </w:rPr>
          <w:t>2.2.2.</w:t>
        </w:r>
        <w:r>
          <w:rPr>
            <w:rFonts w:ascii="Calibri" w:hAnsi="Calibr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_Toc461185287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Calibri" w:hAnsi="Calibri"/>
          <w:noProof/>
          <w:sz w:val="22"/>
          <w:lang w:val="en-GB" w:eastAsia="en-GB" w:bidi="ar-SA"/>
        </w:rPr>
      </w:pPr>
      <w:hyperlink w:anchor="_Toc461185288" w:history="1">
        <w:r>
          <w:rPr>
            <w:rStyle w:val="Hyperlink"/>
            <w:b/>
            <w:smallCaps/>
            <w:noProof/>
          </w:rPr>
          <w:t>3.</w:t>
        </w:r>
        <w:r>
          <w:rPr>
            <w:rFonts w:ascii="Calibri" w:hAnsi="Calibri"/>
            <w:noProof/>
            <w:sz w:val="22"/>
            <w:lang w:val="en-GB" w:eastAsia="en-GB" w:bidi="ar-SA"/>
          </w:rPr>
          <w:tab/>
        </w:r>
        <w:r>
          <w:rPr>
            <w:rStyle w:val="Hyperlink"/>
            <w:b/>
            <w:smallCaps/>
            <w:noProof/>
          </w:rPr>
          <w:t>Изпълнение на бюджета на ЕЗФРСР за 2015 г.</w:t>
        </w:r>
        <w:r>
          <w:rPr>
            <w:noProof/>
            <w:webHidden/>
          </w:rPr>
          <w:tab/>
        </w:r>
        <w:r>
          <w:rPr>
            <w:noProof/>
            <w:webHidden/>
          </w:rPr>
          <w:fldChar w:fldCharType="begin"/>
        </w:r>
        <w:r>
          <w:rPr>
            <w:noProof/>
            <w:webHidden/>
          </w:rPr>
          <w:instrText xml:space="preserve"> PAGEREF _Toc461185288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Calibri" w:hAnsi="Calibri"/>
          <w:noProof/>
          <w:sz w:val="22"/>
          <w:lang w:val="en-GB" w:eastAsia="en-GB" w:bidi="ar-SA"/>
        </w:rPr>
      </w:pPr>
      <w:hyperlink w:anchor="_Toc461185289" w:history="1">
        <w:r>
          <w:rPr>
            <w:rStyle w:val="Hyperlink"/>
            <w:b/>
            <w:noProof/>
          </w:rPr>
          <w:t>3.1.</w:t>
        </w:r>
        <w:r>
          <w:rPr>
            <w:rFonts w:ascii="Calibri" w:hAnsi="Calibri"/>
            <w:noProof/>
            <w:sz w:val="22"/>
            <w:lang w:val="en-GB" w:eastAsia="en-GB" w:bidi="ar-SA"/>
          </w:rPr>
          <w:tab/>
        </w:r>
        <w:r>
          <w:rPr>
            <w:rStyle w:val="Hyperlink"/>
            <w:b/>
            <w:noProof/>
          </w:rPr>
          <w:t>Усвояване на бюджетните кредити за поети задължения</w:t>
        </w:r>
        <w:r>
          <w:rPr>
            <w:noProof/>
            <w:webHidden/>
          </w:rPr>
          <w:tab/>
        </w:r>
        <w:r>
          <w:rPr>
            <w:noProof/>
            <w:webHidden/>
          </w:rPr>
          <w:fldChar w:fldCharType="begin"/>
        </w:r>
        <w:r>
          <w:rPr>
            <w:noProof/>
            <w:webHidden/>
          </w:rPr>
          <w:instrText xml:space="preserve"> PAGEREF _Toc461185289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Calibri" w:hAnsi="Calibri"/>
          <w:noProof/>
          <w:sz w:val="22"/>
          <w:lang w:val="en-GB" w:eastAsia="en-GB" w:bidi="ar-SA"/>
        </w:rPr>
      </w:pPr>
      <w:hyperlink w:anchor="_Toc461185290" w:history="1">
        <w:r>
          <w:rPr>
            <w:rStyle w:val="Hyperlink"/>
            <w:i/>
            <w:noProof/>
          </w:rPr>
          <w:t>3.1.1.</w:t>
        </w:r>
        <w:r>
          <w:rPr>
            <w:rFonts w:ascii="Calibri" w:hAnsi="Calibr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_Toc461185290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Calibri" w:hAnsi="Calibri"/>
          <w:noProof/>
          <w:sz w:val="22"/>
          <w:lang w:val="en-GB" w:eastAsia="en-GB" w:bidi="ar-SA"/>
        </w:rPr>
      </w:pPr>
      <w:hyperlink w:anchor="_Toc461185291" w:history="1">
        <w:r>
          <w:rPr>
            <w:rStyle w:val="Hyperlink"/>
            <w:i/>
            <w:noProof/>
          </w:rPr>
          <w:t>3.1.2.</w:t>
        </w:r>
        <w:r>
          <w:rPr>
            <w:rFonts w:ascii="Calibri" w:hAnsi="Calibr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_Toc461185291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Calibri" w:hAnsi="Calibri"/>
          <w:noProof/>
          <w:sz w:val="22"/>
          <w:lang w:val="en-GB" w:eastAsia="en-GB" w:bidi="ar-SA"/>
        </w:rPr>
      </w:pPr>
      <w:hyperlink w:anchor="_Toc461185292" w:history="1">
        <w:r>
          <w:rPr>
            <w:rStyle w:val="Hyperlink"/>
            <w:b/>
            <w:noProof/>
          </w:rPr>
          <w:t>3.2.</w:t>
        </w:r>
        <w:r>
          <w:rPr>
            <w:rFonts w:ascii="Calibri" w:hAnsi="Calibri"/>
            <w:noProof/>
            <w:sz w:val="22"/>
            <w:lang w:val="en-GB" w:eastAsia="en-GB" w:bidi="ar-SA"/>
          </w:rPr>
          <w:tab/>
        </w:r>
        <w:r>
          <w:rPr>
            <w:rStyle w:val="Hyperlink"/>
            <w:b/>
            <w:noProof/>
          </w:rPr>
          <w:t>Усвояване на бюджетните кредити за плащания</w:t>
        </w:r>
        <w:r>
          <w:rPr>
            <w:noProof/>
            <w:webHidden/>
          </w:rPr>
          <w:tab/>
        </w:r>
        <w:r>
          <w:rPr>
            <w:noProof/>
            <w:webHidden/>
          </w:rPr>
          <w:fldChar w:fldCharType="begin"/>
        </w:r>
        <w:r>
          <w:rPr>
            <w:noProof/>
            <w:webHidden/>
          </w:rPr>
          <w:instrText xml:space="preserve"> PAGEREF _Toc461185292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Calibri" w:hAnsi="Calibri"/>
          <w:noProof/>
          <w:sz w:val="22"/>
          <w:lang w:val="en-GB" w:eastAsia="en-GB" w:bidi="ar-SA"/>
        </w:rPr>
      </w:pPr>
      <w:hyperlink w:anchor="_Toc461185293" w:history="1">
        <w:r>
          <w:rPr>
            <w:rStyle w:val="Hyperlink"/>
            <w:i/>
            <w:noProof/>
          </w:rPr>
          <w:t>3.2.1.</w:t>
        </w:r>
        <w:r>
          <w:rPr>
            <w:rFonts w:ascii="Calibri" w:hAnsi="Calibri"/>
            <w:noProof/>
            <w:sz w:val="22"/>
            <w:lang w:val="en-GB" w:eastAsia="en-GB" w:bidi="ar-SA"/>
          </w:rPr>
          <w:tab/>
        </w:r>
        <w:r>
          <w:rPr>
            <w:rStyle w:val="Hyperlink"/>
            <w:i/>
            <w:noProof/>
          </w:rPr>
          <w:t>Програми за развитие на селските райони по ЕЗФРСР</w:t>
        </w:r>
        <w:r>
          <w:rPr>
            <w:noProof/>
            <w:webHidden/>
          </w:rPr>
          <w:tab/>
        </w:r>
        <w:r>
          <w:rPr>
            <w:noProof/>
            <w:webHidden/>
          </w:rPr>
          <w:fldChar w:fldCharType="begin"/>
        </w:r>
        <w:r>
          <w:rPr>
            <w:noProof/>
            <w:webHidden/>
          </w:rPr>
          <w:instrText xml:space="preserve"> PAGEREF _Toc461185293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Calibri" w:hAnsi="Calibri"/>
          <w:noProof/>
          <w:sz w:val="22"/>
          <w:lang w:val="en-GB" w:eastAsia="en-GB" w:bidi="ar-SA"/>
        </w:rPr>
      </w:pPr>
      <w:hyperlink w:anchor="_Toc461185294" w:history="1">
        <w:r>
          <w:rPr>
            <w:rStyle w:val="Hyperlink"/>
            <w:i/>
            <w:noProof/>
          </w:rPr>
          <w:t>3.2.2.</w:t>
        </w:r>
        <w:r>
          <w:rPr>
            <w:rFonts w:ascii="Calibri" w:hAnsi="Calibr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_Toc461185294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Calibri" w:hAnsi="Calibri"/>
          <w:noProof/>
          <w:sz w:val="22"/>
          <w:lang w:val="en-GB" w:eastAsia="en-GB" w:bidi="ar-SA"/>
        </w:rPr>
      </w:pPr>
      <w:hyperlink w:anchor="_Toc461185295" w:history="1">
        <w:r>
          <w:rPr>
            <w:rStyle w:val="Hyperlink"/>
            <w:b/>
            <w:noProof/>
          </w:rPr>
          <w:t>3.3.</w:t>
        </w:r>
        <w:r>
          <w:rPr>
            <w:rFonts w:ascii="Calibri" w:hAnsi="Calibri"/>
            <w:noProof/>
            <w:sz w:val="22"/>
            <w:lang w:val="en-GB" w:eastAsia="en-GB" w:bidi="ar-SA"/>
          </w:rPr>
          <w:tab/>
        </w:r>
        <w:r>
          <w:rPr>
            <w:rStyle w:val="Hyperlink"/>
            <w:b/>
            <w:noProof/>
          </w:rPr>
          <w:t>Анализ на декларираните разходи по оси и/или по мерки</w:t>
        </w:r>
        <w:r>
          <w:rPr>
            <w:noProof/>
            <w:webHidden/>
          </w:rPr>
          <w:tab/>
        </w:r>
        <w:r>
          <w:rPr>
            <w:noProof/>
            <w:webHidden/>
          </w:rPr>
          <w:fldChar w:fldCharType="begin"/>
        </w:r>
        <w:r>
          <w:rPr>
            <w:noProof/>
            <w:webHidden/>
          </w:rPr>
          <w:instrText xml:space="preserve"> PAGEREF _Toc461185295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Calibri" w:hAnsi="Calibri"/>
          <w:noProof/>
          <w:sz w:val="22"/>
          <w:lang w:val="en-GB" w:eastAsia="en-GB" w:bidi="ar-SA"/>
        </w:rPr>
      </w:pPr>
      <w:hyperlink w:anchor="_Toc461185296" w:history="1">
        <w:r>
          <w:rPr>
            <w:rStyle w:val="Hyperlink"/>
            <w:b/>
            <w:noProof/>
          </w:rPr>
          <w:t>3.4.</w:t>
        </w:r>
        <w:r>
          <w:rPr>
            <w:rFonts w:ascii="Calibri" w:hAnsi="Calibri"/>
            <w:noProof/>
            <w:sz w:val="22"/>
            <w:lang w:val="en-GB" w:eastAsia="en-GB" w:bidi="ar-SA"/>
          </w:rPr>
          <w:tab/>
        </w:r>
        <w:r>
          <w:rPr>
            <w:rStyle w:val="Hyperlink"/>
            <w:b/>
            <w:noProof/>
          </w:rPr>
          <w:t>Изпълнение на програмите по ЕЗФРСР — програмен период 2007—2013 г.</w:t>
        </w:r>
        <w:r>
          <w:rPr>
            <w:noProof/>
            <w:webHidden/>
          </w:rPr>
          <w:tab/>
        </w:r>
        <w:r>
          <w:rPr>
            <w:noProof/>
            <w:webHidden/>
          </w:rPr>
          <w:fldChar w:fldCharType="begin"/>
        </w:r>
        <w:r>
          <w:rPr>
            <w:noProof/>
            <w:webHidden/>
          </w:rPr>
          <w:instrText xml:space="preserve"> PAGEREF _Toc461185296 \h </w:instrText>
        </w:r>
        <w:r>
          <w:rPr>
            <w:noProof/>
            <w:webHidden/>
          </w:rPr>
        </w:r>
        <w:r>
          <w:rPr>
            <w:noProof/>
            <w:webHidden/>
          </w:rPr>
          <w:fldChar w:fldCharType="separate"/>
        </w:r>
        <w:r>
          <w:rPr>
            <w:noProof/>
            <w:webHidden/>
          </w:rPr>
          <w:t>24</w:t>
        </w:r>
        <w:r>
          <w:rPr>
            <w:noProof/>
            <w:webHidden/>
          </w:rPr>
          <w:fldChar w:fldCharType="end"/>
        </w:r>
      </w:hyperlink>
    </w:p>
    <w:p>
      <w:pPr>
        <w:rPr>
          <w:noProof/>
        </w:rPr>
      </w:pPr>
      <w:r>
        <w:rPr>
          <w:b/>
          <w:bCs/>
          <w:noProof/>
        </w:rPr>
        <w:fldChar w:fldCharType="end"/>
      </w:r>
    </w:p>
    <w:p>
      <w:pPr>
        <w:pStyle w:val="TOC1"/>
        <w:rPr>
          <w:rFonts w:ascii="Calibri" w:hAnsi="Calibri"/>
          <w:noProof/>
          <w:sz w:val="22"/>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2"/>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331167057"/>
      <w:bookmarkStart w:id="3" w:name="_Toc393127465"/>
      <w:bookmarkStart w:id="4" w:name="_Toc457569404"/>
      <w:bookmarkStart w:id="5" w:name="_Toc461185276"/>
      <w:r>
        <w:rPr>
          <w:rFonts w:ascii="Times New Roman" w:hAnsi="Times New Roman"/>
          <w:b/>
          <w:smallCaps/>
          <w:noProof/>
          <w:sz w:val="24"/>
        </w:rPr>
        <w:t>1.</w:t>
      </w:r>
      <w:r>
        <w:rPr>
          <w:noProof/>
        </w:rPr>
        <w:tab/>
      </w:r>
      <w:r>
        <w:rPr>
          <w:rFonts w:ascii="Times New Roman" w:hAnsi="Times New Roman"/>
          <w:b/>
          <w:smallCaps/>
          <w:noProof/>
          <w:sz w:val="24"/>
        </w:rPr>
        <w:t>Бюджетна процедура</w:t>
      </w:r>
      <w:bookmarkEnd w:id="2"/>
      <w:bookmarkEnd w:id="3"/>
      <w:bookmarkEnd w:id="4"/>
      <w:bookmarkEnd w:id="5"/>
    </w:p>
    <w:p>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6" w:name="_Toc331167058"/>
      <w:bookmarkStart w:id="7" w:name="_Toc393127466"/>
      <w:bookmarkStart w:id="8" w:name="_Toc457569405"/>
      <w:bookmarkStart w:id="9" w:name="_Toc461185277"/>
      <w:r>
        <w:rPr>
          <w:rFonts w:ascii="Times New Roman" w:hAnsi="Times New Roman"/>
          <w:b/>
          <w:noProof/>
          <w:sz w:val="24"/>
        </w:rPr>
        <w:t>1.1.</w:t>
      </w:r>
      <w:r>
        <w:rPr>
          <w:noProof/>
        </w:rPr>
        <w:tab/>
      </w:r>
      <w:r>
        <w:rPr>
          <w:rFonts w:ascii="Times New Roman" w:hAnsi="Times New Roman"/>
          <w:b/>
          <w:noProof/>
          <w:sz w:val="24"/>
        </w:rPr>
        <w:t>Финансова рамка</w:t>
      </w:r>
      <w:bookmarkEnd w:id="6"/>
      <w:bookmarkEnd w:id="7"/>
      <w:bookmarkEnd w:id="8"/>
      <w:bookmarkEnd w:id="9"/>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Разходите за развитие на селските райони през 2015 г. се финансират в рамките на две многогодишни финансови рамки (МФР): 2007—2013 г. и 2014—2020 г. Финансовата рамка за периода 2014—2020 г. е предвидена в Регламент (ЕС) № 1311/2013 на Съвета. Разпределените средства за развитие на селските райони и разпределените средства за разходи, свързани с пазара, и преки помощи след годишната техническа корекция на МФР са представени в таблица 1.</w:t>
      </w:r>
    </w:p>
    <w:p>
      <w:pPr>
        <w:tabs>
          <w:tab w:val="left" w:pos="0"/>
        </w:tabs>
        <w:spacing w:before="120" w:after="120" w:line="240" w:lineRule="auto"/>
        <w:jc w:val="both"/>
        <w:rPr>
          <w:rFonts w:ascii="Times New Roman" w:eastAsia="Times New Roman" w:hAnsi="Times New Roman"/>
          <w:noProof/>
          <w:sz w:val="24"/>
        </w:rPr>
      </w:pPr>
      <w:bookmarkStart w:id="10" w:name="_Toc331167059"/>
      <w:bookmarkStart w:id="11" w:name="_Toc393127467"/>
    </w:p>
    <w:p>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Таблица 1 — Финансова рамка за периода 2014—2020 г.</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ФУНКЦИЯ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rPr>
            </w:pPr>
            <w:r>
              <w:rPr>
                <w:rFonts w:ascii="Times New Roman" w:hAnsi="Times New Roman"/>
                <w:noProof/>
                <w:sz w:val="20"/>
              </w:rPr>
              <w:t>в млн. евро по текущи цени</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Устойчив растеж: природни ресурси</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 г.</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ОБЩО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от които:</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noProof/>
              </w:rPr>
              <w:t>— за развитие на селските райони</w:t>
            </w:r>
            <w:r>
              <w:rPr>
                <w:rFonts w:ascii="Times New Roman" w:hAnsi="Times New Roman"/>
                <w:noProof/>
                <w:vertAlign w:val="superscript"/>
              </w:rPr>
              <w:t>а), б), в), г), д)</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5 299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14 330</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14 333</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noProof/>
              </w:rPr>
              <w:t>— за разходи, свързани с пазара, и преки помощи</w:t>
            </w:r>
            <w:r>
              <w:rPr>
                <w:rFonts w:ascii="Times New Roman" w:hAnsi="Times New Roman"/>
                <w:noProof/>
                <w:vertAlign w:val="superscript"/>
              </w:rPr>
              <w:t>а), б), в), г)</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44  241</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44 263</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а) след нетен трансфер на 351,9 млн. евро между ЕФГЗ и ЕЗФРСР за финансовата 2014 година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б) след нетен трансфер на 51,6 млн. евро между ЕФГЗ и ЕЗФРСР за финансовата 2015 година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в) след нетен трансфер на 28 млн. евро между ЕФГЗ и ЕЗФРСР за финансовите 2014—2020 години (вж. бележка е) за подробности) </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г) след нетен трансфер на 3 577,2 млн. евро между ЕФГЗ и ЕЗФРСР за финансовите 2015—2020 години (вж. бележка е) за подробности)</w:t>
            </w:r>
          </w:p>
          <w:p>
            <w:pPr>
              <w:spacing w:after="0" w:line="240" w:lineRule="auto"/>
              <w:jc w:val="both"/>
              <w:rPr>
                <w:rFonts w:ascii="Times New Roman" w:eastAsia="Times New Roman" w:hAnsi="Times New Roman"/>
                <w:noProof/>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sz w:val="18"/>
                <w:szCs w:val="18"/>
              </w:rPr>
            </w:pPr>
            <w:r>
              <w:rPr>
                <w:rFonts w:ascii="Times New Roman" w:hAnsi="Times New Roman"/>
                <w:noProof/>
                <w:sz w:val="18"/>
              </w:rPr>
              <w:t xml:space="preserve">д) след препрограмирането на разпределените средства по линия на ЕЗФРСР за 2014 година след прилагането на член 19 от Регламент (ЕС) № 1311/2013 за МФР, обща сума в размер на 8 705 млн. евро — приспаднати поети задължения за 2014 г. — бе разпределена по равно към поетите задължения за 2015 и 2016 г. </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rPr>
            </w:pPr>
          </w:p>
          <w:p>
            <w:pPr>
              <w:spacing w:after="0" w:line="240" w:lineRule="auto"/>
              <w:jc w:val="both"/>
              <w:rPr>
                <w:rFonts w:ascii="Times New Roman" w:eastAsia="Times New Roman" w:hAnsi="Times New Roman"/>
                <w:noProof/>
                <w:sz w:val="18"/>
                <w:szCs w:val="18"/>
              </w:rPr>
            </w:pPr>
            <w:r>
              <w:rPr>
                <w:rFonts w:ascii="Times New Roman" w:hAnsi="Times New Roman"/>
                <w:noProof/>
                <w:sz w:val="18"/>
              </w:rPr>
              <w:t xml:space="preserve">е) трансферите за развитието на селските райони (към ЕЗФРСР), посочени в бележки от а) — г) по-горе, включват: </w:t>
            </w:r>
            <w:r>
              <w:rPr>
                <w:noProof/>
              </w:rPr>
              <w:t>4 млн. евро, прехвърляни годишно за целия период 2014—2020 г. от сектора на памука (EL) въз основа на член 66, параграф 1 от Регламент (ЕС) № 1307/2013, 296,3 млн. евро за доброволната корекция, прехвърлени за финансовата 2014 година (UK) въз основа на член 10б и член 10в, параграф 2 от Регламент (ЕО) № 73/2009, 51,6 млн. евро за неизползваните суми, прехвърляни всяка година за финансовите 2014 и 2015 години (SE и DE) въз основа на членове 136 и 136б от Регламент (ЕО) № 73/2009, и 3577,2 млн. евро за намаляването на плащанията и гъвкавостта между стълбовете, въз основа на член 7, параграф 2 и член 14, параграф 1 от Регламент (ЕС) № 1307/2013.</w:t>
            </w:r>
          </w:p>
          <w:p>
            <w:pPr>
              <w:spacing w:after="0" w:line="240" w:lineRule="auto"/>
              <w:jc w:val="both"/>
              <w:rPr>
                <w:rFonts w:ascii="Times New Roman" w:eastAsia="Times New Roman" w:hAnsi="Times New Roman"/>
                <w:noProof/>
                <w:sz w:val="18"/>
                <w:szCs w:val="18"/>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2" w:name="_Toc457569406"/>
      <w:bookmarkStart w:id="13" w:name="_Toc461185278"/>
      <w:r>
        <w:rPr>
          <w:rFonts w:ascii="Times New Roman" w:hAnsi="Times New Roman"/>
          <w:b/>
          <w:noProof/>
          <w:sz w:val="24"/>
        </w:rPr>
        <w:t>1.2.</w:t>
      </w:r>
      <w:r>
        <w:rPr>
          <w:noProof/>
        </w:rPr>
        <w:tab/>
      </w:r>
      <w:r>
        <w:rPr>
          <w:rFonts w:ascii="Times New Roman" w:hAnsi="Times New Roman"/>
          <w:b/>
          <w:noProof/>
          <w:sz w:val="24"/>
        </w:rPr>
        <w:t xml:space="preserve">Проектобюджет за </w:t>
      </w:r>
      <w:bookmarkEnd w:id="10"/>
      <w:r>
        <w:rPr>
          <w:rFonts w:ascii="Times New Roman" w:hAnsi="Times New Roman"/>
          <w:b/>
          <w:noProof/>
          <w:sz w:val="24"/>
        </w:rPr>
        <w:t>2015 г.</w:t>
      </w:r>
      <w:bookmarkEnd w:id="11"/>
      <w:bookmarkEnd w:id="12"/>
      <w:bookmarkEnd w:id="1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(ПБ) за 2015 г. бе приет от Комисията и предложен на бюджетния орган на 24 юни 2014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за Европейския земеделски фонд за развитие на селските райони (ЕЗФРСР) по функция 2 от Финансовата рамка за 2007—2013 г. възлизаше на 6 144 млн. евро бюджетни кредити за плащания.</w:t>
      </w:r>
      <w:bookmarkStart w:id="14" w:name="OLE_LINK6"/>
      <w:r>
        <w:rPr>
          <w:rFonts w:ascii="Times New Roman" w:hAnsi="Times New Roman"/>
          <w:noProof/>
          <w:sz w:val="24"/>
        </w:rPr>
        <w:t xml:space="preserve"> Не бяха поискани бюджетни кредити за поети задължения за 2015 г., тъй като старият програмен период приключи през 2013 г. За новия програмен период 2014—2020 г. ПБ за 2015 г. включваше 13 819 млн. евро бюджетни кредити за поети задължения и 5 499 млн. евро бюджетни кредити за плащания.</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2</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20"/>
        <w:gridCol w:w="1920"/>
      </w:tblGrid>
      <w:tr>
        <w:trPr>
          <w:trHeight w:val="464"/>
        </w:trPr>
        <w:tc>
          <w:tcPr>
            <w:tcW w:w="8160" w:type="dxa"/>
            <w:gridSpan w:val="3"/>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Проектобюджет за 2015 г.</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Бюджетна позиция</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поети задължения</w:t>
            </w:r>
            <w:r>
              <w:rPr>
                <w:rFonts w:ascii="Times New Roman" w:eastAsia="Times New Roman" w:hAnsi="Times New Roman"/>
                <w:b/>
                <w:noProof/>
              </w:rPr>
              <w:br/>
            </w:r>
            <w:r>
              <w:rPr>
                <w:rFonts w:ascii="Times New Roman" w:hAnsi="Times New Roman"/>
                <w:noProof/>
                <w:sz w:val="18"/>
              </w:rPr>
              <w:t>(в евро)</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плащания</w:t>
            </w:r>
            <w:r>
              <w:rPr>
                <w:rFonts w:ascii="Times New Roman" w:eastAsia="Times New Roman" w:hAnsi="Times New Roman"/>
                <w:b/>
                <w:noProof/>
              </w:rPr>
              <w:br/>
            </w:r>
            <w:r>
              <w:rPr>
                <w:rFonts w:ascii="Times New Roman" w:hAnsi="Times New Roman"/>
                <w:noProof/>
                <w:sz w:val="18"/>
              </w:rPr>
              <w:t>(в евро)</w:t>
            </w:r>
          </w:p>
        </w:tc>
      </w:tr>
      <w:tr>
        <w:trPr>
          <w:trHeight w:val="416"/>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6 143 583 000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rPr>
          <w:trHeight w:val="296"/>
        </w:trPr>
        <w:tc>
          <w:tcPr>
            <w:tcW w:w="8160" w:type="dxa"/>
            <w:gridSpan w:val="3"/>
            <w:shd w:val="clear" w:color="auto" w:fill="auto"/>
            <w:vAlign w:val="center"/>
          </w:tcPr>
          <w:p>
            <w:pPr>
              <w:autoSpaceDE w:val="0"/>
              <w:autoSpaceDN w:val="0"/>
              <w:adjustRightInd w:val="0"/>
              <w:spacing w:before="100" w:after="100" w:line="240" w:lineRule="auto"/>
              <w:jc w:val="center"/>
              <w:rPr>
                <w:noProof/>
              </w:rPr>
            </w:pPr>
            <w:r>
              <w:rPr>
                <w:rFonts w:ascii="Times New Roman" w:hAnsi="Times New Roman"/>
                <w:b/>
                <w:noProof/>
              </w:rPr>
              <w:t>2014—2020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13 796 873 677</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5 478 000 000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22 292 400</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20 621 000</w:t>
            </w:r>
          </w:p>
        </w:tc>
      </w:tr>
      <w:bookmarkEnd w:id="14"/>
    </w:tbl>
    <w:p>
      <w:pPr>
        <w:spacing w:before="120" w:after="120" w:line="240" w:lineRule="auto"/>
        <w:ind w:left="850" w:right="749"/>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Съветът прие своята позиция относно проектобюджета за 2015 г. на 2 септември 2014 г., а Европейският парламент прие позицията си на 22 октомври 2014 г. Наложи се да бъде свикан помирителния комитет, но въпреки това не беше възможно да се съгласуват позициите на Европейския парламент и на Съвета в рамките на предвидения срок. При липсата на споразумение в рамките на помирителния комитет, на 27 ноември 2014 г. Комисията представи нов проектобюджет за 2015 г.  В новия проектобюджет бе предвидено намаление от 262 млн. евро на бюджетните кредити за плащания за ЕЗФРСР, в сравнение с първоначалния проектобюджет. Това намаление се отнасяше и за двата програмни периода (138 млн. евро за стария период и 124 млн. евро за новия). Бюджетът за 2015 г. беше окончателно приет на 17 декември 2014 г. Той предвиждаше допълнително намаляване на бюджетните кредити за плащания за ЕЗФРСР с 218 млн. евро, от които 115 млн. евро за стария програмен период и 103 млн. евро за новия период.</w:t>
      </w:r>
    </w:p>
    <w:p>
      <w:pPr>
        <w:spacing w:before="120" w:after="120" w:line="240" w:lineRule="auto"/>
        <w:ind w:left="850" w:right="71"/>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5" w:name="_Toc331167061"/>
      <w:bookmarkStart w:id="16" w:name="_Toc393127468"/>
      <w:bookmarkStart w:id="17" w:name="_Toc457569407"/>
      <w:bookmarkStart w:id="18" w:name="_Toc461185279"/>
      <w:r>
        <w:rPr>
          <w:rFonts w:ascii="Times New Roman" w:hAnsi="Times New Roman"/>
          <w:b/>
          <w:noProof/>
          <w:sz w:val="24"/>
        </w:rPr>
        <w:t>1.3.</w:t>
      </w:r>
      <w:r>
        <w:rPr>
          <w:noProof/>
        </w:rPr>
        <w:tab/>
      </w:r>
      <w:r>
        <w:rPr>
          <w:rFonts w:ascii="Times New Roman" w:hAnsi="Times New Roman"/>
          <w:b/>
          <w:noProof/>
          <w:sz w:val="24"/>
        </w:rPr>
        <w:t>Приемане на бюджета за 2015 г.</w:t>
      </w:r>
      <w:bookmarkEnd w:id="15"/>
      <w:bookmarkEnd w:id="16"/>
      <w:bookmarkEnd w:id="17"/>
      <w:bookmarkEnd w:id="1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Одобреният на 17 декември 2014 г. бюджет за 2015 г. за ЕЗФРСР по глава 05 04 възлизаше на 5 890 млн. евро бюджетни кредити за плащания за програмния период 2007—2013 г. и на 13 819 млн. евро бюджетни кредити за поети задължения и 5 272 млн. евро бюджетни кредити за плащания за периода 2014—2020 г.</w:t>
      </w:r>
    </w:p>
    <w:p>
      <w:pPr>
        <w:spacing w:before="120" w:after="120" w:line="240" w:lineRule="auto"/>
        <w:ind w:left="850" w:right="71"/>
        <w:jc w:val="both"/>
        <w:rPr>
          <w:rFonts w:ascii="Times New Roman" w:eastAsia="Times New Roman" w:hAnsi="Times New Roman"/>
          <w:noProof/>
          <w:sz w:val="24"/>
        </w:rPr>
      </w:pPr>
      <w:r>
        <w:rPr>
          <w:noProof/>
        </w:rPr>
        <w:br w:type="page"/>
      </w:r>
      <w:bookmarkStart w:id="19" w:name="OLE_LINK7"/>
      <w:r>
        <w:rPr>
          <w:rFonts w:ascii="Times New Roman" w:hAnsi="Times New Roman"/>
          <w:noProof/>
          <w:sz w:val="24"/>
        </w:rPr>
        <w:t>Таблица 3</w:t>
      </w:r>
    </w:p>
    <w:tbl>
      <w:tblPr>
        <w:tblW w:w="81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1780"/>
        <w:gridCol w:w="20"/>
        <w:gridCol w:w="2020"/>
      </w:tblGrid>
      <w:tr>
        <w:trPr>
          <w:trHeight w:val="763"/>
        </w:trPr>
        <w:tc>
          <w:tcPr>
            <w:tcW w:w="8148" w:type="dxa"/>
            <w:gridSpan w:val="4"/>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Приет бюджет за 2015 г.</w:t>
            </w:r>
          </w:p>
        </w:tc>
      </w:tr>
      <w:tr>
        <w:trPr>
          <w:trHeight w:val="763"/>
        </w:trPr>
        <w:tc>
          <w:tcPr>
            <w:tcW w:w="4328"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Бюджетна позиция</w:t>
            </w:r>
          </w:p>
        </w:tc>
        <w:tc>
          <w:tcPr>
            <w:tcW w:w="1780" w:type="dxa"/>
            <w:tcBorders>
              <w:bottom w:val="single" w:sz="4" w:space="0" w:color="auto"/>
            </w:tcBorders>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поети задължения</w:t>
            </w:r>
            <w:r>
              <w:rPr>
                <w:rFonts w:ascii="Times New Roman" w:eastAsia="Times New Roman" w:hAnsi="Times New Roman"/>
                <w:b/>
                <w:noProof/>
              </w:rPr>
              <w:br/>
            </w:r>
            <w:r>
              <w:rPr>
                <w:rFonts w:ascii="Times New Roman" w:hAnsi="Times New Roman"/>
                <w:noProof/>
                <w:sz w:val="18"/>
              </w:rPr>
              <w:t>(в евро)</w:t>
            </w:r>
          </w:p>
        </w:tc>
        <w:tc>
          <w:tcPr>
            <w:tcW w:w="2040" w:type="dxa"/>
            <w:gridSpan w:val="2"/>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плащания</w:t>
            </w:r>
            <w:r>
              <w:rPr>
                <w:rFonts w:ascii="Times New Roman" w:eastAsia="Times New Roman" w:hAnsi="Times New Roman"/>
                <w:b/>
                <w:noProof/>
              </w:rPr>
              <w:br/>
            </w:r>
            <w:r>
              <w:rPr>
                <w:rFonts w:ascii="Times New Roman" w:hAnsi="Times New Roman"/>
                <w:noProof/>
                <w:sz w:val="18"/>
              </w:rPr>
              <w:t>(в евро)</w:t>
            </w:r>
          </w:p>
        </w:tc>
      </w:tr>
      <w:tr>
        <w:trPr>
          <w:trHeight w:val="452"/>
        </w:trPr>
        <w:tc>
          <w:tcPr>
            <w:tcW w:w="8148" w:type="dxa"/>
            <w:gridSpan w:val="4"/>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 г.</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5 890 339 551</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c>
          <w:tcPr>
            <w:tcW w:w="8148" w:type="dxa"/>
            <w:gridSpan w:val="4"/>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 г.</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13 796 873 677</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5 252 192 422</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22 292 400</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19 770 986</w:t>
            </w:r>
          </w:p>
        </w:tc>
      </w:tr>
    </w:tbl>
    <w:p>
      <w:pPr>
        <w:spacing w:before="120" w:after="120" w:line="240" w:lineRule="auto"/>
        <w:ind w:left="850"/>
        <w:jc w:val="both"/>
        <w:rPr>
          <w:rFonts w:ascii="Times New Roman" w:eastAsia="Times New Roman" w:hAnsi="Times New Roman"/>
          <w:noProof/>
          <w:sz w:val="24"/>
        </w:rPr>
      </w:pPr>
      <w:bookmarkStart w:id="20" w:name="_Toc331167062"/>
      <w:bookmarkEnd w:id="19"/>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393127469"/>
      <w:bookmarkStart w:id="22" w:name="_Toc457569408"/>
      <w:bookmarkStart w:id="23" w:name="_Toc461185280"/>
      <w:r>
        <w:rPr>
          <w:rFonts w:ascii="Times New Roman" w:hAnsi="Times New Roman"/>
          <w:b/>
          <w:noProof/>
          <w:sz w:val="24"/>
        </w:rPr>
        <w:t>1.4.</w:t>
      </w:r>
      <w:r>
        <w:rPr>
          <w:noProof/>
        </w:rPr>
        <w:tab/>
      </w:r>
      <w:r>
        <w:rPr>
          <w:rFonts w:ascii="Times New Roman" w:hAnsi="Times New Roman"/>
          <w:b/>
          <w:noProof/>
          <w:sz w:val="24"/>
        </w:rPr>
        <w:t>Приемане на коригиращите бюджети</w:t>
      </w:r>
      <w:bookmarkEnd w:id="21"/>
      <w:bookmarkEnd w:id="22"/>
      <w:bookmarkEnd w:id="2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Коригиращ бюджет № 1 беше приет на 28 април 2015 г. С него се увеличават бюджетните кредити за поети задължения за програмите за развитие на селските райони за периода 2014—2020 г. с 4,4 млрд. евро вследствие на препрограмирането на средствата по линия на ЕЗФРСР за 2014 година след прилагането на член 19 от Регламент (ЕС) № 1311/2013. С коригиращ бюджет № 7, приет на 14 октомври 2015 г., бюджетните кредити за поети задължения за бюджетния ред за техническа помощ по ЕЗФРСР за периода 2014—2020 г. се намаляват с 6,5 млн. евро.</w:t>
      </w: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4</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20"/>
        <w:gridCol w:w="1920"/>
      </w:tblGrid>
      <w:tr>
        <w:trPr>
          <w:trHeight w:val="536"/>
        </w:trPr>
        <w:tc>
          <w:tcPr>
            <w:tcW w:w="8160" w:type="dxa"/>
            <w:gridSpan w:val="3"/>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 за 2015 г. след изменения № 1 и № 7</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rPr>
            </w:pPr>
            <w:r>
              <w:rPr>
                <w:rFonts w:ascii="Times New Roman" w:hAnsi="Times New Roman"/>
                <w:b/>
                <w:noProof/>
              </w:rPr>
              <w:t>Бюджетна позиция</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поети задължения</w:t>
            </w:r>
            <w:r>
              <w:rPr>
                <w:rFonts w:ascii="Times New Roman" w:eastAsia="Times New Roman" w:hAnsi="Times New Roman"/>
                <w:b/>
                <w:noProof/>
              </w:rPr>
              <w:br/>
            </w:r>
            <w:r>
              <w:rPr>
                <w:rFonts w:ascii="Times New Roman" w:hAnsi="Times New Roman"/>
                <w:noProof/>
                <w:sz w:val="18"/>
              </w:rPr>
              <w:t>(в евро)</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Бюджетни кредити за плащания</w:t>
            </w:r>
            <w:r>
              <w:rPr>
                <w:rFonts w:ascii="Times New Roman" w:eastAsia="Times New Roman" w:hAnsi="Times New Roman"/>
                <w:b/>
                <w:noProof/>
              </w:rPr>
              <w:br/>
            </w:r>
            <w:r>
              <w:rPr>
                <w:rFonts w:ascii="Times New Roman" w:hAnsi="Times New Roman"/>
                <w:noProof/>
                <w:sz w:val="18"/>
              </w:rPr>
              <w:t>(в евро)</w:t>
            </w:r>
          </w:p>
        </w:tc>
      </w:tr>
      <w:tr>
        <w:trPr>
          <w:trHeight w:val="452"/>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2007—2013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5 890 339 551</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 xml:space="preserve">— </w:t>
            </w:r>
          </w:p>
        </w:tc>
        <w:tc>
          <w:tcPr>
            <w:tcW w:w="192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rPr>
            </w:pPr>
            <w:r>
              <w:rPr>
                <w:rFonts w:ascii="Times New Roman" w:hAnsi="Times New Roman"/>
                <w:noProof/>
              </w:rPr>
              <w:t>—</w:t>
            </w:r>
          </w:p>
        </w:tc>
      </w:tr>
      <w:tr>
        <w:tc>
          <w:tcPr>
            <w:tcW w:w="8160" w:type="dxa"/>
            <w:gridSpan w:val="3"/>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rPr>
            </w:pPr>
            <w:r>
              <w:rPr>
                <w:rFonts w:ascii="Times New Roman" w:hAnsi="Times New Roman"/>
                <w:b/>
                <w:noProof/>
              </w:rPr>
              <w:t>2014—2020 г.</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18 149 536 729</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5 252 192 422</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15 792 400</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rPr>
            </w:pPr>
            <w:r>
              <w:rPr>
                <w:rFonts w:ascii="Times New Roman" w:hAnsi="Times New Roman"/>
                <w:noProof/>
              </w:rPr>
              <w:t>19 770 986</w:t>
            </w:r>
          </w:p>
        </w:tc>
      </w:tr>
    </w:tbl>
    <w:p>
      <w:pPr>
        <w:spacing w:before="120" w:after="120" w:line="240" w:lineRule="auto"/>
        <w:ind w:left="850"/>
        <w:jc w:val="both"/>
        <w:rPr>
          <w:rFonts w:ascii="Times New Roman" w:eastAsia="Times New Roman" w:hAnsi="Times New Roman"/>
          <w:noProof/>
          <w:sz w:val="24"/>
          <w:highlight w:val="yellow"/>
        </w:rPr>
      </w:pP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24" w:name="_Toc393127470"/>
      <w:bookmarkStart w:id="25" w:name="_Toc457569409"/>
      <w:bookmarkStart w:id="26" w:name="_Toc461185281"/>
      <w:r>
        <w:rPr>
          <w:rFonts w:ascii="Times New Roman" w:hAnsi="Times New Roman"/>
          <w:b/>
          <w:smallCaps/>
          <w:noProof/>
          <w:sz w:val="24"/>
        </w:rPr>
        <w:t>2.</w:t>
      </w:r>
      <w:r>
        <w:rPr>
          <w:noProof/>
        </w:rPr>
        <w:tab/>
      </w:r>
      <w:r>
        <w:rPr>
          <w:rFonts w:ascii="Times New Roman" w:hAnsi="Times New Roman"/>
          <w:b/>
          <w:smallCaps/>
          <w:noProof/>
          <w:sz w:val="24"/>
        </w:rPr>
        <w:t>Управление на бюджетните кредити</w:t>
      </w:r>
      <w:bookmarkEnd w:id="20"/>
      <w:bookmarkEnd w:id="24"/>
      <w:bookmarkEnd w:id="25"/>
      <w:bookmarkEnd w:id="26"/>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7" w:name="_Toc331167063"/>
      <w:bookmarkStart w:id="28" w:name="_Toc393127471"/>
      <w:bookmarkStart w:id="29" w:name="_Toc457569410"/>
      <w:bookmarkStart w:id="30" w:name="_Toc461185282"/>
      <w:r>
        <w:rPr>
          <w:rFonts w:ascii="Times New Roman" w:hAnsi="Times New Roman"/>
          <w:b/>
          <w:noProof/>
          <w:sz w:val="24"/>
        </w:rPr>
        <w:t>2.1.</w:t>
      </w:r>
      <w:r>
        <w:rPr>
          <w:noProof/>
        </w:rPr>
        <w:tab/>
      </w:r>
      <w:r>
        <w:rPr>
          <w:rFonts w:ascii="Times New Roman" w:hAnsi="Times New Roman"/>
          <w:b/>
          <w:noProof/>
          <w:sz w:val="24"/>
        </w:rPr>
        <w:t>Управление на бюджетните кредити за поети задължения</w:t>
      </w:r>
      <w:bookmarkEnd w:id="27"/>
      <w:bookmarkEnd w:id="28"/>
      <w:bookmarkEnd w:id="29"/>
      <w:bookmarkEnd w:id="30"/>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1" w:name="_Toc331167064"/>
      <w:bookmarkStart w:id="32" w:name="_Toc393127472"/>
      <w:bookmarkStart w:id="33" w:name="_Toc457569411"/>
      <w:bookmarkStart w:id="34" w:name="_Toc461185283"/>
      <w:r>
        <w:rPr>
          <w:rFonts w:ascii="Times New Roman" w:hAnsi="Times New Roman"/>
          <w:i/>
          <w:noProof/>
          <w:sz w:val="24"/>
        </w:rPr>
        <w:t>2.1.1.</w:t>
      </w:r>
      <w:r>
        <w:rPr>
          <w:noProof/>
        </w:rPr>
        <w:tab/>
      </w:r>
      <w:r>
        <w:rPr>
          <w:rFonts w:ascii="Times New Roman" w:hAnsi="Times New Roman"/>
          <w:i/>
          <w:noProof/>
          <w:sz w:val="24"/>
        </w:rPr>
        <w:t>Програми за развитие на селските райони по ЕЗФРСР</w:t>
      </w:r>
      <w:bookmarkEnd w:id="31"/>
      <w:bookmarkEnd w:id="32"/>
      <w:bookmarkEnd w:id="33"/>
      <w:bookmarkEnd w:id="34"/>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Бюджетът за 2015 г. не включваше бюджетни кредити за поети задължения за програмите по ЕЗФРСР за периода 2007—2013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За програмите по ЕЗФРСР за периода 2014—2020 г. гласуваният бюджет за 2015 г. възлизаше на 13 797 млн. евро. С коригиращ бюджет № 1 бяха добавени 4 353 млн. евро. Освен това, поради късното приемане на програмите, се наложи сумата от 1970 млн. евро да бъде пренесена от 2014 г. към 2015 г. Общо наличните бюджетни кредити за поети задължения за 2015 г. възлизаха на 20 120 млн. евро.</w:t>
      </w:r>
    </w:p>
    <w:p>
      <w:pPr>
        <w:spacing w:before="120" w:after="120" w:line="240" w:lineRule="auto"/>
        <w:ind w:left="850"/>
        <w:jc w:val="both"/>
        <w:rPr>
          <w:rFonts w:ascii="Times New Roman" w:eastAsia="Times New Roman" w:hAnsi="Times New Roman"/>
          <w:b/>
          <w:noProof/>
          <w:sz w:val="24"/>
        </w:rPr>
      </w:pPr>
    </w:p>
    <w:p>
      <w:pPr>
        <w:keepNext/>
        <w:keepLines/>
        <w:spacing w:before="120" w:after="120" w:line="240" w:lineRule="auto"/>
        <w:ind w:left="850"/>
        <w:jc w:val="both"/>
        <w:rPr>
          <w:rFonts w:ascii="Times New Roman" w:eastAsia="Times New Roman" w:hAnsi="Times New Roman"/>
          <w:noProof/>
          <w:sz w:val="24"/>
        </w:rPr>
      </w:pPr>
      <w:bookmarkStart w:id="35" w:name="OLE_LINK8"/>
      <w:r>
        <w:rPr>
          <w:rFonts w:ascii="Times New Roman" w:hAnsi="Times New Roman"/>
          <w:noProof/>
          <w:sz w:val="24"/>
        </w:rPr>
        <w:t>Таблица 5</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Управление на бюджетните кредити за поети задължения през 2015 г. — ЕЗФРСР</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(суми в евро)</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sz w:val="20"/>
              </w:rPr>
              <w:t>(суми в евро)</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Бюджетни кредити в началото на 2015 г.</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13 796 873 677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Пренасяне от 2014 г.</w:t>
            </w:r>
          </w:p>
        </w:tc>
        <w:tc>
          <w:tcPr>
            <w:tcW w:w="1920" w:type="dxa"/>
            <w:shd w:val="clear" w:color="auto" w:fill="auto"/>
            <w:vAlign w:val="center"/>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1 970 095 304</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Коригиращ бюджет № 1</w:t>
            </w:r>
          </w:p>
        </w:tc>
        <w:tc>
          <w:tcPr>
            <w:tcW w:w="1920" w:type="dxa"/>
            <w:shd w:val="clear" w:color="auto" w:fill="auto"/>
            <w:vAlign w:val="center"/>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4 352 663 052</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Налични бюджетни кредити през 2015 г.</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20 119 632 033</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Усвоени бюджетни кредити през 2015 г.</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20 119 632 033</w:t>
            </w:r>
          </w:p>
        </w:tc>
      </w:tr>
    </w:tbl>
    <w:p>
      <w:pPr>
        <w:spacing w:before="120" w:after="120" w:line="240" w:lineRule="auto"/>
        <w:ind w:left="850"/>
        <w:jc w:val="both"/>
        <w:rPr>
          <w:rFonts w:ascii="Times New Roman" w:eastAsia="Times New Roman" w:hAnsi="Times New Roman"/>
          <w:noProof/>
          <w:sz w:val="24"/>
        </w:rPr>
      </w:pPr>
      <w:bookmarkStart w:id="36" w:name="_Toc331167065"/>
      <w:bookmarkStart w:id="37" w:name="_Toc393127473"/>
      <w:bookmarkEnd w:id="3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8" w:name="_Toc457569412"/>
      <w:bookmarkStart w:id="39" w:name="_Toc461185284"/>
      <w:r>
        <w:rPr>
          <w:rFonts w:ascii="Times New Roman" w:hAnsi="Times New Roman"/>
          <w:i/>
          <w:noProof/>
          <w:sz w:val="24"/>
        </w:rPr>
        <w:t>2.1.2.</w:t>
      </w:r>
      <w:r>
        <w:rPr>
          <w:noProof/>
        </w:rPr>
        <w:tab/>
      </w:r>
      <w:r>
        <w:rPr>
          <w:rFonts w:ascii="Times New Roman" w:hAnsi="Times New Roman"/>
          <w:i/>
          <w:noProof/>
          <w:sz w:val="24"/>
        </w:rPr>
        <w:t>Техническа помощ</w:t>
      </w:r>
      <w:bookmarkEnd w:id="36"/>
      <w:bookmarkEnd w:id="37"/>
      <w:bookmarkEnd w:id="38"/>
      <w:bookmarkEnd w:id="3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Съгласно член 51, параграф 1 от Регламент (ЕС) № 1305/2013 ЕЗФРСР може да използва до 0,25 % от годишните си средства за финансиране на действия за техническа помощ по инициатива на Комисията. В бюджета за 2015 г. първоначалната налична сума за тази цел беше 22,3 млн. евро. С коригиращ бюджет № 7 този размер бе намален с 6,5 млн. евро, вследствие на което в бюджета останаха 15,8 млн. евро. </w:t>
      </w:r>
    </w:p>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0" w:name="_Toc331167066"/>
      <w:bookmarkStart w:id="41" w:name="_Toc393127474"/>
      <w:bookmarkStart w:id="42" w:name="_Toc457569413"/>
      <w:bookmarkStart w:id="43" w:name="_Toc461185285"/>
      <w:r>
        <w:rPr>
          <w:rFonts w:ascii="Times New Roman" w:hAnsi="Times New Roman"/>
          <w:b/>
          <w:noProof/>
          <w:sz w:val="24"/>
        </w:rPr>
        <w:t>2.2.</w:t>
      </w:r>
      <w:r>
        <w:rPr>
          <w:noProof/>
        </w:rPr>
        <w:tab/>
      </w:r>
      <w:r>
        <w:rPr>
          <w:rFonts w:ascii="Times New Roman" w:hAnsi="Times New Roman"/>
          <w:b/>
          <w:noProof/>
          <w:sz w:val="24"/>
        </w:rPr>
        <w:t>Управление на бюджетните кредити за плащания</w:t>
      </w:r>
      <w:bookmarkEnd w:id="40"/>
      <w:bookmarkEnd w:id="41"/>
      <w:bookmarkEnd w:id="42"/>
      <w:bookmarkEnd w:id="43"/>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4" w:name="_Toc331167067"/>
      <w:bookmarkStart w:id="45" w:name="_Toc393127475"/>
      <w:bookmarkStart w:id="46" w:name="_Toc457569414"/>
      <w:bookmarkStart w:id="47" w:name="_Toc461185286"/>
      <w:r>
        <w:rPr>
          <w:rFonts w:ascii="Times New Roman" w:hAnsi="Times New Roman"/>
          <w:i/>
          <w:noProof/>
          <w:sz w:val="24"/>
        </w:rPr>
        <w:t>2.2.1.</w:t>
      </w:r>
      <w:r>
        <w:rPr>
          <w:noProof/>
        </w:rPr>
        <w:tab/>
      </w:r>
      <w:r>
        <w:rPr>
          <w:rFonts w:ascii="Times New Roman" w:hAnsi="Times New Roman"/>
          <w:i/>
          <w:noProof/>
          <w:sz w:val="24"/>
        </w:rPr>
        <w:t>Програми за развитие на селските райони по ЕЗФРСР</w:t>
      </w:r>
      <w:bookmarkEnd w:id="44"/>
      <w:bookmarkEnd w:id="45"/>
      <w:bookmarkEnd w:id="46"/>
      <w:bookmarkEnd w:id="47"/>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програмите за периода 2007—2013 г. бюджетните кредити за плащания в одобрения бюджет за 2015 г. възлязоха на 5 890 млн. евро. Освен това наличните целеви приходи, пренесени от 2014 г. или събрани през годината, възлязоха на 310,0 млн. евро. В началото на годината бюджетните кредити за плащания бяха намалени с 4 млн. евро, за да се покрият спешните нужди, свързани с координацията и стратегията за селското стопанство и развитието на селските райони. През годината, при мониторинга на изпълнението на бюджета и при анализа на прогнозите, представени от държавите членки, стана ясно, че са необходими допълнителни средства. Те бяха осигурени частично с трансфер от бюджетния ред за техническа помощ за периода 2014—2020 г. (2,1 млн. евро), използването на целевите приходи (287,3 млн. евро) и трансфера в края на годината (288,5 млн. евро). Общият размер на бюджетните кредити за плащания, налични през 2015 г., възлизаше на 6 487 млн. евро.  От общата сума бяха автоматично пренесени към 2016 г. целеви приходи в размер на 22,7 млн. евро. </w:t>
      </w:r>
    </w:p>
    <w:p>
      <w:pPr>
        <w:spacing w:before="120" w:after="120" w:line="240" w:lineRule="auto"/>
        <w:ind w:left="851" w:right="71"/>
        <w:jc w:val="both"/>
        <w:rPr>
          <w:rFonts w:ascii="Times New Roman" w:eastAsia="Times New Roman" w:hAnsi="Times New Roman"/>
          <w:noProof/>
          <w:sz w:val="24"/>
        </w:rPr>
      </w:pPr>
      <w:r>
        <w:rPr>
          <w:rFonts w:ascii="Times New Roman" w:hAnsi="Times New Roman"/>
          <w:noProof/>
          <w:sz w:val="24"/>
        </w:rPr>
        <w:t xml:space="preserve">За програмите за периода 2014—2020 г. бюджетните кредити за плащания в одобрения бюджет възлязоха на 5 252 млн. евро. </w:t>
      </w:r>
    </w:p>
    <w:p>
      <w:pPr>
        <w:keepNext/>
        <w:keepLines/>
        <w:spacing w:before="120" w:after="120" w:line="240" w:lineRule="auto"/>
        <w:ind w:left="850"/>
        <w:jc w:val="both"/>
        <w:rPr>
          <w:rFonts w:ascii="Times New Roman" w:eastAsia="Times New Roman" w:hAnsi="Times New Roman"/>
          <w:noProof/>
          <w:sz w:val="24"/>
        </w:rPr>
      </w:pPr>
      <w:bookmarkStart w:id="48" w:name="OLE_LINK9"/>
      <w:r>
        <w:rPr>
          <w:rFonts w:ascii="Times New Roman" w:hAnsi="Times New Roman"/>
          <w:noProof/>
          <w:sz w:val="24"/>
        </w:rPr>
        <w:t>Таблица 6</w:t>
      </w:r>
    </w:p>
    <w:tbl>
      <w:tblPr>
        <w:tblW w:w="8040" w:type="dxa"/>
        <w:tblInd w:w="948" w:type="dxa"/>
        <w:tblLook w:val="04A0" w:firstRow="1" w:lastRow="0" w:firstColumn="1" w:lastColumn="0" w:noHBand="0" w:noVBand="1"/>
      </w:tblPr>
      <w:tblGrid>
        <w:gridCol w:w="5640"/>
        <w:gridCol w:w="2400"/>
      </w:tblGrid>
      <w:tr>
        <w:trPr>
          <w:trHeight w:val="430"/>
        </w:trPr>
        <w:tc>
          <w:tcPr>
            <w:tcW w:w="8040"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pPr>
              <w:keepNext/>
              <w:keepLines/>
              <w:spacing w:before="120" w:after="0" w:line="240" w:lineRule="auto"/>
              <w:jc w:val="center"/>
              <w:rPr>
                <w:rFonts w:ascii="Times New Roman" w:eastAsia="Times New Roman" w:hAnsi="Times New Roman"/>
                <w:b/>
                <w:bCs/>
                <w:noProof/>
              </w:rPr>
            </w:pPr>
            <w:r>
              <w:rPr>
                <w:rFonts w:ascii="Times New Roman" w:hAnsi="Times New Roman"/>
                <w:b/>
                <w:noProof/>
              </w:rPr>
              <w:t>Управление на бюджетните кредити за плащания през 2015 г.</w:t>
            </w:r>
          </w:p>
          <w:p>
            <w:pPr>
              <w:keepNext/>
              <w:keepLines/>
              <w:spacing w:after="120" w:line="240" w:lineRule="auto"/>
              <w:jc w:val="center"/>
              <w:rPr>
                <w:rFonts w:ascii="Times New Roman" w:eastAsia="Times New Roman" w:hAnsi="Times New Roman"/>
                <w:b/>
                <w:bCs/>
                <w:noProof/>
              </w:rPr>
            </w:pPr>
            <w:r>
              <w:rPr>
                <w:rFonts w:ascii="Times New Roman" w:hAnsi="Times New Roman"/>
                <w:b/>
                <w:noProof/>
              </w:rPr>
              <w:t>(в евро)</w:t>
            </w:r>
          </w:p>
        </w:tc>
      </w:tr>
      <w:tr>
        <w:trPr>
          <w:trHeight w:val="176"/>
        </w:trPr>
        <w:tc>
          <w:tcPr>
            <w:tcW w:w="8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120" w:line="240" w:lineRule="auto"/>
              <w:jc w:val="center"/>
              <w:rPr>
                <w:rFonts w:ascii="Times New Roman" w:eastAsia="Times New Roman" w:hAnsi="Times New Roman"/>
                <w:noProof/>
              </w:rPr>
            </w:pPr>
          </w:p>
        </w:tc>
      </w:tr>
      <w:tr>
        <w:trPr>
          <w:trHeight w:val="706"/>
        </w:trPr>
        <w:tc>
          <w:tcPr>
            <w:tcW w:w="8040"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pPr>
              <w:keepNext/>
              <w:keepLines/>
              <w:spacing w:after="0" w:line="240" w:lineRule="auto"/>
              <w:jc w:val="center"/>
              <w:rPr>
                <w:rFonts w:ascii="Times New Roman" w:eastAsia="Times New Roman" w:hAnsi="Times New Roman"/>
                <w:b/>
                <w:bCs/>
                <w:noProof/>
              </w:rPr>
            </w:pPr>
            <w:r>
              <w:rPr>
                <w:rFonts w:ascii="Times New Roman" w:hAnsi="Times New Roman"/>
                <w:b/>
                <w:noProof/>
              </w:rPr>
              <w:t>ЕЗФРСР (2007—2013 г.)</w:t>
            </w:r>
          </w:p>
          <w:p>
            <w:pPr>
              <w:keepNext/>
              <w:keepLines/>
              <w:spacing w:after="0" w:line="240" w:lineRule="auto"/>
              <w:jc w:val="center"/>
              <w:rPr>
                <w:rFonts w:ascii="Times New Roman" w:eastAsia="Times New Roman" w:hAnsi="Times New Roman"/>
                <w:b/>
                <w:bCs/>
                <w:noProof/>
              </w:rPr>
            </w:pPr>
            <w:r>
              <w:rPr>
                <w:rFonts w:ascii="Times New Roman" w:hAnsi="Times New Roman"/>
                <w:b/>
                <w:noProof/>
              </w:rPr>
              <w:t>Бюджетна позиция — 05.040501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noProof/>
              </w:rPr>
            </w:pPr>
            <w:r>
              <w:rPr>
                <w:rFonts w:ascii="Times New Roman" w:hAnsi="Times New Roman"/>
                <w:noProof/>
              </w:rPr>
              <w:t>Бюджетни кредити в началото на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noProof/>
              </w:rPr>
            </w:pPr>
            <w:r>
              <w:rPr>
                <w:rFonts w:ascii="Times New Roman" w:hAnsi="Times New Roman"/>
                <w:noProof/>
              </w:rPr>
              <w:t>5 890 339 551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Трансфер за неотложни нужди</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-4 000 000</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Целеви приходи, пренесени от 2014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68 843 782</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noProof/>
              </w:rPr>
            </w:pPr>
            <w:r>
              <w:rPr>
                <w:rFonts w:ascii="Times New Roman" w:hAnsi="Times New Roman"/>
                <w:noProof/>
              </w:rPr>
              <w:t>Целеви приходи, събрани през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noProof/>
              </w:rPr>
            </w:pPr>
            <w:r>
              <w:rPr>
                <w:rFonts w:ascii="Times New Roman" w:hAnsi="Times New Roman"/>
                <w:noProof/>
              </w:rPr>
              <w:t>241 194 023</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Трансфери от бюджетния ред за техническа помощ по ЕЗФРСР за периода 2014—2020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2 134 784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Трансфер в края на годината</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288 483 924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b/>
                <w:noProof/>
              </w:rPr>
            </w:pPr>
            <w:r>
              <w:rPr>
                <w:rFonts w:ascii="Times New Roman" w:hAnsi="Times New Roman"/>
                <w:b/>
                <w:noProof/>
              </w:rPr>
              <w:t>Налични бюджетни кредити през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line="240" w:lineRule="auto"/>
              <w:jc w:val="right"/>
              <w:rPr>
                <w:rFonts w:ascii="Times New Roman" w:eastAsia="Times New Roman" w:hAnsi="Times New Roman"/>
                <w:b/>
                <w:noProof/>
              </w:rPr>
            </w:pPr>
            <w:r>
              <w:rPr>
                <w:rFonts w:ascii="Times New Roman" w:hAnsi="Times New Roman"/>
                <w:b/>
                <w:noProof/>
              </w:rPr>
              <w:t>6 486 996 064</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rPr>
                <w:rFonts w:ascii="Times New Roman" w:eastAsia="Times New Roman" w:hAnsi="Times New Roman"/>
                <w:noProof/>
              </w:rPr>
            </w:pPr>
            <w:r>
              <w:rPr>
                <w:rFonts w:ascii="Times New Roman" w:hAnsi="Times New Roman"/>
                <w:noProof/>
              </w:rPr>
              <w:t>Усвоени бюджетни кредити през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after="0" w:line="240" w:lineRule="auto"/>
              <w:jc w:val="right"/>
              <w:rPr>
                <w:rFonts w:ascii="Times New Roman" w:eastAsia="Times New Roman" w:hAnsi="Times New Roman"/>
                <w:noProof/>
              </w:rPr>
            </w:pPr>
            <w:r>
              <w:rPr>
                <w:rFonts w:ascii="Times New Roman" w:hAnsi="Times New Roman"/>
                <w:noProof/>
              </w:rPr>
              <w:t>6 464 298 560</w:t>
            </w:r>
          </w:p>
        </w:tc>
      </w:tr>
      <w:tr>
        <w:trPr>
          <w:trHeight w:val="315"/>
        </w:trPr>
        <w:tc>
          <w:tcPr>
            <w:tcW w:w="8040" w:type="dxa"/>
            <w:gridSpan w:val="2"/>
            <w:tcBorders>
              <w:top w:val="single" w:sz="4" w:space="0" w:color="auto"/>
              <w:left w:val="single" w:sz="4" w:space="0" w:color="auto"/>
              <w:bottom w:val="single" w:sz="4" w:space="0" w:color="auto"/>
              <w:right w:val="single" w:sz="4" w:space="0" w:color="auto"/>
            </w:tcBorders>
            <w:shd w:val="pct60" w:color="FFFF00" w:fill="auto"/>
            <w:vAlign w:val="center"/>
          </w:tcPr>
          <w:p>
            <w:pPr>
              <w:spacing w:before="120" w:after="0" w:line="240" w:lineRule="auto"/>
              <w:jc w:val="center"/>
              <w:rPr>
                <w:rFonts w:ascii="Times New Roman" w:eastAsia="Times New Roman" w:hAnsi="Times New Roman"/>
                <w:b/>
                <w:bCs/>
                <w:noProof/>
              </w:rPr>
            </w:pPr>
            <w:r>
              <w:rPr>
                <w:rFonts w:ascii="Times New Roman" w:hAnsi="Times New Roman"/>
                <w:b/>
                <w:noProof/>
              </w:rPr>
              <w:t>ЕЗФРСР (2014—2020 г.)</w:t>
            </w:r>
          </w:p>
          <w:p>
            <w:pPr>
              <w:spacing w:after="120" w:line="240" w:lineRule="auto"/>
              <w:jc w:val="center"/>
              <w:rPr>
                <w:rFonts w:ascii="Times New Roman" w:eastAsia="Times New Roman" w:hAnsi="Times New Roman"/>
                <w:b/>
                <w:bCs/>
                <w:noProof/>
              </w:rPr>
            </w:pPr>
            <w:r>
              <w:rPr>
                <w:rFonts w:ascii="Times New Roman" w:hAnsi="Times New Roman"/>
                <w:b/>
                <w:noProof/>
              </w:rPr>
              <w:t>Бюджетна позиция — 05.046001</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noProof/>
              </w:rPr>
            </w:pPr>
            <w:r>
              <w:rPr>
                <w:rFonts w:ascii="Times New Roman" w:hAnsi="Times New Roman"/>
                <w:b/>
                <w:noProof/>
              </w:rPr>
              <w:t>Налични бюджетни кредити през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b/>
                <w:noProof/>
              </w:rPr>
            </w:pPr>
            <w:r>
              <w:rPr>
                <w:rFonts w:ascii="Times New Roman" w:hAnsi="Times New Roman"/>
                <w:b/>
                <w:noProof/>
              </w:rPr>
              <w:t>5 252 192 422</w:t>
            </w:r>
          </w:p>
        </w:tc>
      </w:tr>
      <w:tr>
        <w:trPr>
          <w:trHeight w:val="315"/>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Усвоени бюджетни кредити през 2015 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5 252 192 422</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9" w:name="_Toc331167068"/>
      <w:bookmarkStart w:id="50" w:name="_Toc393127476"/>
      <w:bookmarkStart w:id="51" w:name="_Toc457569415"/>
      <w:bookmarkStart w:id="52" w:name="_Toc461185287"/>
      <w:bookmarkEnd w:id="48"/>
      <w:r>
        <w:rPr>
          <w:rFonts w:ascii="Times New Roman" w:hAnsi="Times New Roman"/>
          <w:i/>
          <w:noProof/>
          <w:sz w:val="24"/>
        </w:rPr>
        <w:t>2.2.2.</w:t>
      </w:r>
      <w:r>
        <w:rPr>
          <w:noProof/>
        </w:rPr>
        <w:tab/>
      </w:r>
      <w:r>
        <w:rPr>
          <w:rFonts w:ascii="Times New Roman" w:hAnsi="Times New Roman"/>
          <w:i/>
          <w:noProof/>
          <w:sz w:val="24"/>
        </w:rPr>
        <w:t>Техническа помощ</w:t>
      </w:r>
      <w:bookmarkEnd w:id="49"/>
      <w:bookmarkEnd w:id="50"/>
      <w:bookmarkEnd w:id="51"/>
      <w:bookmarkEnd w:id="52"/>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Общо бюджетните кредити за плащания в бюджета за 2015 г. възлязоха на 19,8 млн. евро. Освен това 0,2 млн. евро бяха пренесени от 2014 година за покриване на непокрити нужди по позиция  05.040502 за периода 2007—2013 г. Общият размер на плащанията достигна 8,9 млн. евро, като 8,8 млн. евро бяха пренасочени чрез вътрешни трансфери за укрепване на програмите за 2000—2006 г. и 2007—2013 г.</w:t>
      </w:r>
    </w:p>
    <w:p>
      <w:pPr>
        <w:spacing w:before="120" w:after="120" w:line="240" w:lineRule="auto"/>
        <w:ind w:left="850" w:right="71"/>
        <w:jc w:val="both"/>
        <w:rPr>
          <w:rFonts w:ascii="Times New Roman" w:eastAsia="Times New Roman" w:hAnsi="Times New Roman"/>
          <w:b/>
          <w:i/>
          <w:noProof/>
          <w:sz w:val="24"/>
        </w:rPr>
      </w:pP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53" w:name="_Toc331167069"/>
      <w:bookmarkStart w:id="54" w:name="_Toc393127477"/>
      <w:bookmarkStart w:id="55" w:name="_Toc457569416"/>
      <w:bookmarkStart w:id="56" w:name="_Toc461185288"/>
      <w:r>
        <w:rPr>
          <w:rFonts w:ascii="Times New Roman" w:hAnsi="Times New Roman"/>
          <w:b/>
          <w:smallCaps/>
          <w:noProof/>
          <w:sz w:val="24"/>
        </w:rPr>
        <w:t>3.</w:t>
      </w:r>
      <w:r>
        <w:rPr>
          <w:noProof/>
        </w:rPr>
        <w:tab/>
      </w:r>
      <w:r>
        <w:rPr>
          <w:rFonts w:ascii="Times New Roman" w:hAnsi="Times New Roman"/>
          <w:b/>
          <w:smallCaps/>
          <w:noProof/>
          <w:sz w:val="24"/>
        </w:rPr>
        <w:t>Изпълнение на бюджета на ЕЗФРСР за 2015 г.</w:t>
      </w:r>
      <w:bookmarkEnd w:id="53"/>
      <w:bookmarkEnd w:id="54"/>
      <w:bookmarkEnd w:id="55"/>
      <w:bookmarkEnd w:id="56"/>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57" w:name="_Toc331167071"/>
      <w:bookmarkStart w:id="58" w:name="_Toc393127479"/>
      <w:bookmarkStart w:id="59" w:name="_Toc457569417"/>
      <w:bookmarkStart w:id="60" w:name="_Toc461185289"/>
      <w:r>
        <w:rPr>
          <w:rFonts w:ascii="Times New Roman" w:hAnsi="Times New Roman"/>
          <w:b/>
          <w:noProof/>
          <w:sz w:val="24"/>
        </w:rPr>
        <w:t>3.1.</w:t>
      </w:r>
      <w:r>
        <w:rPr>
          <w:noProof/>
        </w:rPr>
        <w:tab/>
      </w:r>
      <w:r>
        <w:rPr>
          <w:rFonts w:ascii="Times New Roman" w:hAnsi="Times New Roman"/>
          <w:b/>
          <w:noProof/>
          <w:sz w:val="24"/>
        </w:rPr>
        <w:t>Усвояване на бюджетните кредити за поети задължения</w:t>
      </w:r>
      <w:bookmarkEnd w:id="57"/>
      <w:bookmarkEnd w:id="58"/>
      <w:bookmarkEnd w:id="59"/>
      <w:bookmarkEnd w:id="60"/>
    </w:p>
    <w:p>
      <w:pPr>
        <w:keepNext/>
        <w:tabs>
          <w:tab w:val="left" w:pos="850"/>
        </w:tabs>
        <w:spacing w:before="240" w:after="120" w:line="240" w:lineRule="auto"/>
        <w:ind w:left="850" w:right="749" w:hanging="850"/>
        <w:jc w:val="both"/>
        <w:outlineLvl w:val="2"/>
        <w:rPr>
          <w:rFonts w:ascii="Times New Roman" w:eastAsia="Times New Roman" w:hAnsi="Times New Roman"/>
          <w:i/>
          <w:noProof/>
          <w:sz w:val="24"/>
        </w:rPr>
      </w:pPr>
      <w:bookmarkStart w:id="61" w:name="_Toc331167072"/>
      <w:bookmarkStart w:id="62" w:name="_Toc393127480"/>
      <w:bookmarkStart w:id="63" w:name="_Toc457569418"/>
      <w:bookmarkStart w:id="64" w:name="_Toc461185290"/>
      <w:r>
        <w:rPr>
          <w:rFonts w:ascii="Times New Roman" w:hAnsi="Times New Roman"/>
          <w:i/>
          <w:noProof/>
          <w:sz w:val="24"/>
        </w:rPr>
        <w:t>3.1.1.</w:t>
      </w:r>
      <w:r>
        <w:rPr>
          <w:noProof/>
        </w:rPr>
        <w:tab/>
      </w:r>
      <w:r>
        <w:rPr>
          <w:rFonts w:ascii="Times New Roman" w:hAnsi="Times New Roman"/>
          <w:i/>
          <w:noProof/>
          <w:sz w:val="24"/>
        </w:rPr>
        <w:t>Програми за развитие на селските райони по ЕЗФРСР</w:t>
      </w:r>
      <w:bookmarkEnd w:id="61"/>
      <w:bookmarkEnd w:id="62"/>
      <w:bookmarkEnd w:id="63"/>
      <w:bookmarkEnd w:id="64"/>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 xml:space="preserve">През 2015 г. бюджетни кредити за поети задължения бяха налични единствено за програмите по ЕЗФРСР за периода 2014—2020 г. и възлизаха общо на 20 120 млн. евро. Бяха поети задължения за цялата сума. Таблица 7 показва (по държави членки) разпределението, установено с Регламент (ЕС) № 1305/2013 от 17.12.2013 г., изменен с Делегиран регламент (ЕС) 2015/791 на Комисията от 27.4.2015 г. (т.е. включително препрограмирането), сумите, пренесени от 2014 г. за 2015 г., и сумите, за които са поети задължения през 2015 г. </w:t>
      </w:r>
    </w:p>
    <w:p>
      <w:pPr>
        <w:spacing w:before="120" w:after="120" w:line="240" w:lineRule="auto"/>
        <w:ind w:left="850"/>
        <w:jc w:val="both"/>
        <w:rPr>
          <w:rFonts w:ascii="Times New Roman" w:eastAsia="Times New Roman" w:hAnsi="Times New Roman"/>
          <w:noProof/>
          <w:sz w:val="24"/>
        </w:rPr>
      </w:pPr>
      <w:bookmarkStart w:id="65" w:name="OLE_LINK10"/>
      <w:r>
        <w:rPr>
          <w:rFonts w:ascii="Times New Roman" w:hAnsi="Times New Roman"/>
          <w:noProof/>
          <w:sz w:val="24"/>
        </w:rPr>
        <w:t>Таблица 7</w:t>
      </w:r>
    </w:p>
    <w:tbl>
      <w:tblPr>
        <w:tblW w:w="7810" w:type="dxa"/>
        <w:tblInd w:w="642" w:type="dxa"/>
        <w:tblLook w:val="04A0" w:firstRow="1" w:lastRow="0" w:firstColumn="1" w:lastColumn="0" w:noHBand="0" w:noVBand="1"/>
      </w:tblPr>
      <w:tblGrid>
        <w:gridCol w:w="960"/>
        <w:gridCol w:w="2146"/>
        <w:gridCol w:w="2304"/>
        <w:gridCol w:w="2400"/>
      </w:tblGrid>
      <w:tr>
        <w:trPr>
          <w:trHeight w:val="562"/>
        </w:trPr>
        <w:tc>
          <w:tcPr>
            <w:tcW w:w="7810"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Регламент (ЕС) № 1305/2013 (с измененията) спрямо сумите, за които са поети задължения в края на 2015 г.</w:t>
            </w:r>
          </w:p>
        </w:tc>
      </w:tr>
      <w:tr>
        <w:trPr>
          <w:trHeight w:val="270"/>
        </w:trPr>
        <w:tc>
          <w:tcPr>
            <w:tcW w:w="3106" w:type="dxa"/>
            <w:gridSpan w:val="2"/>
            <w:tcBorders>
              <w:top w:val="single" w:sz="4"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05.046001</w:t>
            </w:r>
          </w:p>
        </w:tc>
        <w:tc>
          <w:tcPr>
            <w:tcW w:w="2304" w:type="dxa"/>
            <w:tcBorders>
              <w:top w:val="single" w:sz="4" w:space="0" w:color="auto"/>
              <w:left w:val="nil"/>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noProof/>
                <w:sz w:val="20"/>
                <w:szCs w:val="20"/>
              </w:rPr>
            </w:pPr>
          </w:p>
        </w:tc>
        <w:tc>
          <w:tcPr>
            <w:tcW w:w="240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i/>
                <w:iCs/>
                <w:noProof/>
                <w:sz w:val="20"/>
                <w:szCs w:val="20"/>
              </w:rPr>
            </w:pPr>
            <w:r>
              <w:rPr>
                <w:rFonts w:ascii="Times New Roman" w:hAnsi="Times New Roman"/>
                <w:i/>
                <w:noProof/>
                <w:sz w:val="20"/>
              </w:rPr>
              <w:t>(в евро)</w:t>
            </w:r>
          </w:p>
        </w:tc>
      </w:tr>
      <w:tr>
        <w:trPr>
          <w:trHeight w:val="778"/>
        </w:trPr>
        <w:tc>
          <w:tcPr>
            <w:tcW w:w="96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ДЧ</w:t>
            </w:r>
          </w:p>
        </w:tc>
        <w:tc>
          <w:tcPr>
            <w:tcW w:w="2146"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Регламент (ЕС) № 1305/2013</w:t>
            </w:r>
            <w:r>
              <w:rPr>
                <w:rFonts w:ascii="Times New Roman" w:eastAsia="Times New Roman" w:hAnsi="Times New Roman"/>
                <w:b/>
                <w:bCs/>
                <w:noProof/>
                <w:sz w:val="20"/>
                <w:szCs w:val="20"/>
              </w:rPr>
              <w:br/>
            </w:r>
            <w:r>
              <w:rPr>
                <w:rFonts w:ascii="Times New Roman" w:hAnsi="Times New Roman"/>
                <w:b/>
                <w:noProof/>
                <w:sz w:val="20"/>
              </w:rPr>
              <w:t xml:space="preserve"> Разпределение за 2015 г.</w:t>
            </w:r>
            <w:r>
              <w:rPr>
                <w:rFonts w:ascii="Times New Roman" w:eastAsia="Times New Roman" w:hAnsi="Times New Roman"/>
                <w:b/>
                <w:bCs/>
                <w:noProof/>
                <w:sz w:val="20"/>
                <w:szCs w:val="20"/>
              </w:rPr>
              <w:br/>
            </w:r>
          </w:p>
        </w:tc>
        <w:tc>
          <w:tcPr>
            <w:tcW w:w="2304"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Суми, пренесени за поети задължения през 2015 г.</w:t>
            </w:r>
          </w:p>
        </w:tc>
        <w:tc>
          <w:tcPr>
            <w:tcW w:w="240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Суми, за които са поети задължения през 2015 г.</w:t>
            </w:r>
          </w:p>
        </w:tc>
      </w:tr>
      <w:tr>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p>
        </w:tc>
        <w:tc>
          <w:tcPr>
            <w:tcW w:w="2146"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(а)</w:t>
            </w:r>
          </w:p>
        </w:tc>
        <w:tc>
          <w:tcPr>
            <w:tcW w:w="2304"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(б)</w:t>
            </w:r>
          </w:p>
        </w:tc>
        <w:tc>
          <w:tcPr>
            <w:tcW w:w="240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(в = а + б)</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559 329 914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559 329 914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97 243 257</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40 855 562</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138 098 819</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502 807 341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502 807 341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28 341 472</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28 341 472</w:t>
            </w:r>
          </w:p>
        </w:tc>
      </w:tr>
      <w:tr>
        <w:trPr>
          <w:trHeight w:val="20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470 143 771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470 143 771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1 498 240 410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429 631 210</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1 927 871 620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90 168 920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90 168 920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103 651 030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103 626 144</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207 277 174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1 780 169 908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1 780 169 908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336 933 734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2 918 336</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339 852 070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2 336 138 618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4 353 019</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2 340 491 637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907 059 608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907 059 608</w:t>
            </w:r>
          </w:p>
        </w:tc>
      </w:tr>
      <w:tr>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w:eastAsia="Times New Roman" w:hAnsi="Times" w:cs="Calibri"/>
                <w:noProof/>
              </w:rPr>
            </w:pPr>
            <w:r>
              <w:rPr>
                <w:rFonts w:ascii="Times" w:hAnsi="Times"/>
                <w:noProof/>
              </w:rPr>
              <w:t>448 426 250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448 426 250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742 851 235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742 851 235</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469 633 941</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469 633 941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2 223 480 180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2 223 480 180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230 412 316</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230 392 975</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460 805 291</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21 385 468</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21 385 468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150 968 424</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138 327 376</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289 295 800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20 905 107</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20 905 107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87 003 509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87 118 078</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174 121 587</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PL</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1 175 590 560</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1 175 590 560</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577 895 019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67 508 413</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645 403 432</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1 723 260 662</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1 723 260 662</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386 944 025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386 944 025</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119 006 876</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118 678 072</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237 684 948</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213 101 979</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271 154 575</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484 256 554</w:t>
            </w:r>
          </w:p>
        </w:tc>
      </w:tr>
      <w:tr>
        <w:trPr>
          <w:trHeight w:val="2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UK</w:t>
            </w:r>
          </w:p>
        </w:tc>
        <w:tc>
          <w:tcPr>
            <w:tcW w:w="21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848 443 195</w:t>
            </w:r>
          </w:p>
        </w:tc>
        <w:tc>
          <w:tcPr>
            <w:tcW w:w="2304"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475 531 544</w:t>
            </w:r>
          </w:p>
        </w:tc>
        <w:tc>
          <w:tcPr>
            <w:tcW w:w="240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1 323 974 739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Общо</w:t>
            </w:r>
          </w:p>
        </w:tc>
        <w:tc>
          <w:tcPr>
            <w:tcW w:w="21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18 149 536 729</w:t>
            </w:r>
          </w:p>
        </w:tc>
        <w:tc>
          <w:tcPr>
            <w:tcW w:w="2304" w:type="dxa"/>
            <w:tcBorders>
              <w:top w:val="nil"/>
              <w:left w:val="nil"/>
              <w:bottom w:val="single" w:sz="8" w:space="0" w:color="auto"/>
              <w:right w:val="single" w:sz="8" w:space="0" w:color="auto"/>
            </w:tcBorders>
            <w:shd w:val="clear" w:color="000000" w:fill="FFFF99"/>
            <w:noWrap/>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1 970 095 304</w:t>
            </w:r>
          </w:p>
        </w:tc>
        <w:tc>
          <w:tcPr>
            <w:tcW w:w="2400" w:type="dxa"/>
            <w:tcBorders>
              <w:top w:val="nil"/>
              <w:left w:val="nil"/>
              <w:bottom w:val="single" w:sz="8" w:space="0" w:color="auto"/>
              <w:right w:val="single" w:sz="8" w:space="0" w:color="auto"/>
            </w:tcBorders>
            <w:shd w:val="clear" w:color="000000" w:fill="FFFF99"/>
            <w:noWrap/>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20 119 632 033</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66" w:name="_Toc331167073"/>
      <w:bookmarkStart w:id="67" w:name="_Toc393127481"/>
      <w:bookmarkStart w:id="68" w:name="_Toc457569419"/>
      <w:bookmarkStart w:id="69" w:name="_Toc461185291"/>
      <w:bookmarkEnd w:id="65"/>
      <w:r>
        <w:rPr>
          <w:rFonts w:ascii="Times New Roman" w:hAnsi="Times New Roman"/>
          <w:i/>
          <w:noProof/>
          <w:sz w:val="24"/>
        </w:rPr>
        <w:t>3.1.2.</w:t>
      </w:r>
      <w:r>
        <w:rPr>
          <w:noProof/>
        </w:rPr>
        <w:tab/>
      </w:r>
      <w:r>
        <w:rPr>
          <w:rFonts w:ascii="Times New Roman" w:hAnsi="Times New Roman"/>
          <w:i/>
          <w:noProof/>
          <w:sz w:val="24"/>
        </w:rPr>
        <w:t>Техническа помощ</w:t>
      </w:r>
      <w:bookmarkEnd w:id="66"/>
      <w:bookmarkEnd w:id="67"/>
      <w:bookmarkEnd w:id="68"/>
      <w:bookmarkEnd w:id="69"/>
    </w:p>
    <w:p>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В таблица 8 е показано усвояването на бюджетните кредити за поети задължения, налични за техническа помощ през 2015 г. Най-голямата част се отнася до Европейската мрежа за развитие на селските райони.</w:t>
      </w:r>
    </w:p>
    <w:p>
      <w:pPr>
        <w:keepNext/>
        <w:keepLines/>
        <w:spacing w:before="120" w:after="120" w:line="240" w:lineRule="auto"/>
        <w:ind w:left="850"/>
        <w:jc w:val="both"/>
        <w:rPr>
          <w:rFonts w:ascii="Times New Roman" w:eastAsia="Times New Roman" w:hAnsi="Times New Roman"/>
          <w:noProof/>
          <w:sz w:val="24"/>
        </w:rPr>
      </w:pPr>
      <w:bookmarkStart w:id="70" w:name="OLE_LINK11"/>
      <w:r>
        <w:rPr>
          <w:noProof/>
        </w:rPr>
        <w:br w:type="page"/>
      </w:r>
      <w:r>
        <w:rPr>
          <w:rFonts w:ascii="Times New Roman" w:hAnsi="Times New Roman"/>
          <w:noProof/>
          <w:sz w:val="24"/>
        </w:rPr>
        <w:t>Таблица 8</w:t>
      </w:r>
    </w:p>
    <w:tbl>
      <w:tblPr>
        <w:tblW w:w="8160" w:type="dxa"/>
        <w:tblInd w:w="948" w:type="dxa"/>
        <w:tblLook w:val="04A0" w:firstRow="1" w:lastRow="0" w:firstColumn="1" w:lastColumn="0" w:noHBand="0" w:noVBand="1"/>
      </w:tblPr>
      <w:tblGrid>
        <w:gridCol w:w="5640"/>
        <w:gridCol w:w="2520"/>
      </w:tblGrid>
      <w:tr>
        <w:trPr>
          <w:trHeight w:val="570"/>
        </w:trPr>
        <w:tc>
          <w:tcPr>
            <w:tcW w:w="8160"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bookmarkEnd w:id="70"/>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поети задължения</w:t>
            </w:r>
          </w:p>
        </w:tc>
      </w:tr>
      <w:tr>
        <w:trPr>
          <w:trHeight w:val="270"/>
        </w:trPr>
        <w:tc>
          <w:tcPr>
            <w:tcW w:w="5640" w:type="dxa"/>
            <w:tcBorders>
              <w:top w:val="nil"/>
              <w:left w:val="single" w:sz="4" w:space="0" w:color="auto"/>
              <w:bottom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05.046002</w:t>
            </w:r>
          </w:p>
        </w:tc>
        <w:tc>
          <w:tcPr>
            <w:tcW w:w="25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(в евро) </w:t>
            </w:r>
          </w:p>
        </w:tc>
      </w:tr>
      <w:tr>
        <w:trPr>
          <w:trHeight w:val="525"/>
        </w:trPr>
        <w:tc>
          <w:tcPr>
            <w:tcW w:w="5640" w:type="dxa"/>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2520" w:type="dxa"/>
            <w:tcBorders>
              <w:top w:val="nil"/>
              <w:left w:val="nil"/>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Сума, за която са поети задължения </w:t>
            </w:r>
          </w:p>
        </w:tc>
      </w:tr>
      <w:tr>
        <w:trPr>
          <w:trHeight w:val="525"/>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развитие на селските райони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5 199 163</w:t>
            </w:r>
          </w:p>
        </w:tc>
      </w:tr>
      <w:tr>
        <w:trPr>
          <w:trHeight w:val="284"/>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Европейско партньорство за иновации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2 567 966</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2 381 032</w:t>
            </w:r>
          </w:p>
        </w:tc>
      </w:tr>
      <w:tr>
        <w:trPr>
          <w:trHeight w:val="525"/>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оценка </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1 845 650</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Мероприятия</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366 780</w:t>
            </w:r>
          </w:p>
        </w:tc>
      </w:tr>
      <w:tr>
        <w:trPr>
          <w:trHeight w:val="270"/>
        </w:trPr>
        <w:tc>
          <w:tcPr>
            <w:tcW w:w="56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Одит и контрол</w:t>
            </w:r>
          </w:p>
        </w:tc>
        <w:tc>
          <w:tcPr>
            <w:tcW w:w="252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159 900</w:t>
            </w:r>
          </w:p>
        </w:tc>
      </w:tr>
      <w:tr>
        <w:trPr>
          <w:trHeight w:val="525"/>
        </w:trPr>
        <w:tc>
          <w:tcPr>
            <w:tcW w:w="5640" w:type="dxa"/>
            <w:tcBorders>
              <w:top w:val="nil"/>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2520" w:type="dxa"/>
            <w:tcBorders>
              <w:top w:val="nil"/>
              <w:left w:val="nil"/>
              <w:bottom w:val="single" w:sz="4" w:space="0" w:color="auto"/>
              <w:right w:val="single" w:sz="4"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12 520 491</w:t>
            </w: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71" w:name="_Toc331167074"/>
      <w:bookmarkStart w:id="72" w:name="_Toc393127482"/>
      <w:bookmarkStart w:id="73" w:name="_Toc457569420"/>
      <w:bookmarkStart w:id="74" w:name="_Toc461185292"/>
      <w:r>
        <w:rPr>
          <w:rFonts w:ascii="Times New Roman" w:hAnsi="Times New Roman"/>
          <w:b/>
          <w:noProof/>
          <w:sz w:val="24"/>
        </w:rPr>
        <w:t>3.2.</w:t>
      </w:r>
      <w:r>
        <w:rPr>
          <w:noProof/>
        </w:rPr>
        <w:tab/>
      </w:r>
      <w:r>
        <w:rPr>
          <w:rFonts w:ascii="Times New Roman" w:hAnsi="Times New Roman"/>
          <w:b/>
          <w:noProof/>
          <w:sz w:val="24"/>
        </w:rPr>
        <w:t>Усвояване на бюджетните кредити за плащания</w:t>
      </w:r>
      <w:bookmarkEnd w:id="71"/>
      <w:bookmarkEnd w:id="72"/>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75" w:name="_Toc331167075"/>
      <w:bookmarkStart w:id="76" w:name="_Toc393127483"/>
      <w:bookmarkStart w:id="77" w:name="_Toc457569421"/>
      <w:bookmarkStart w:id="78" w:name="_Toc461185293"/>
      <w:r>
        <w:rPr>
          <w:rFonts w:ascii="Times New Roman" w:hAnsi="Times New Roman"/>
          <w:i/>
          <w:noProof/>
          <w:sz w:val="24"/>
        </w:rPr>
        <w:t>3.2.1.</w:t>
      </w:r>
      <w:r>
        <w:rPr>
          <w:noProof/>
        </w:rPr>
        <w:tab/>
      </w:r>
      <w:r>
        <w:rPr>
          <w:rFonts w:ascii="Times New Roman" w:hAnsi="Times New Roman"/>
          <w:i/>
          <w:noProof/>
          <w:sz w:val="24"/>
        </w:rPr>
        <w:t>Програми за развитие на селските райони по ЕЗФРСР</w:t>
      </w:r>
      <w:bookmarkEnd w:id="75"/>
      <w:bookmarkEnd w:id="76"/>
      <w:bookmarkEnd w:id="77"/>
      <w:bookmarkEnd w:id="7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2007—2013 г. всички бюджетни кредити за плащания, налични в бюджета (5 890 млн. евро) бяха усвоени, с изключение на 4 млн. евро, прехвърлени в началото на годината. Бяха извършени допълнителни плащания в размер на 577,9 млн. евро с бюджетни кредити за техническа помощ, целеви приходи и трансфера в края на годината. В края на 2015 г. общият размер на изплатените средства по програмите на ЕЗФРСР за периода 2007—2013 г. възлезе на 6 464 млн. евро. Въпреки това в края на 2015 г. имаше изоставане на плащанията в размер на 223 млн. евро, които трябваше да бъдат изплатени в началото на 2016 г. с бюджетни кредити за плащания за 2016 г. Значителна част от това изоставане беше предвидено в бюджета за 2016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За програмния период 2014—2020 г. бяха използвани всички бюджетни кредити за плащания (5 252 млн. евро), от които 1945 млн. евро — за предварително финансиране. В края на 2015 г. имаше изоставане на плащанията в размер на 462 млн. евро. Неплатените суми бяха преведени в началото на 2016 г. от бюджетните кредити за плащания за 2016 г. Значителна част от неплатените суми бяха предвидени в бюджета за 2016 г.</w:t>
      </w:r>
    </w:p>
    <w:p>
      <w:pPr>
        <w:spacing w:before="120" w:after="120" w:line="240" w:lineRule="auto"/>
        <w:ind w:left="851" w:right="71"/>
        <w:jc w:val="both"/>
        <w:rPr>
          <w:rFonts w:ascii="Times New Roman" w:eastAsia="Times New Roman" w:hAnsi="Times New Roman"/>
          <w:noProof/>
          <w:sz w:val="24"/>
        </w:rPr>
      </w:pPr>
      <w:r>
        <w:rPr>
          <w:noProof/>
        </w:rPr>
        <w:br w:type="page"/>
      </w:r>
      <w:r>
        <w:rPr>
          <w:rFonts w:ascii="Times New Roman" w:hAnsi="Times New Roman"/>
          <w:noProof/>
          <w:sz w:val="24"/>
        </w:rPr>
        <w:t>В таблица 9 по-долу е показана разбивката на плащанията, извършени през 2015 г., по периоди на деклариране:</w:t>
      </w:r>
    </w:p>
    <w:p>
      <w:pPr>
        <w:pStyle w:val="Text1"/>
        <w:ind w:right="749"/>
        <w:rPr>
          <w:noProof/>
        </w:rPr>
      </w:pPr>
      <w:bookmarkStart w:id="79" w:name="OLE_LINK12"/>
      <w:r>
        <w:rPr>
          <w:noProof/>
        </w:rPr>
        <w:t>Таблица 9</w:t>
      </w:r>
    </w:p>
    <w:tbl>
      <w:tblPr>
        <w:tblW w:w="8160" w:type="dxa"/>
        <w:tblInd w:w="948" w:type="dxa"/>
        <w:tblLayout w:type="fixed"/>
        <w:tblLook w:val="04A0" w:firstRow="1" w:lastRow="0" w:firstColumn="1" w:lastColumn="0" w:noHBand="0" w:noVBand="1"/>
      </w:tblPr>
      <w:tblGrid>
        <w:gridCol w:w="4680"/>
        <w:gridCol w:w="1680"/>
        <w:gridCol w:w="1800"/>
      </w:tblGrid>
      <w:tr>
        <w:trPr>
          <w:trHeight w:val="810"/>
        </w:trPr>
        <w:tc>
          <w:tcPr>
            <w:tcW w:w="468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Плащания за 2015 г. за програмите за развитие на селските райони по ЕЗФРСР (в млн. евро)</w:t>
            </w:r>
          </w:p>
        </w:tc>
        <w:tc>
          <w:tcPr>
            <w:tcW w:w="168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2007—2013 г.</w:t>
            </w:r>
          </w:p>
        </w:tc>
        <w:tc>
          <w:tcPr>
            <w:tcW w:w="180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2014—2020 г.</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05.040501</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05.046001</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преди четвъртото тримесечие на 2014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2,08</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четвъртото тримесечие на 2014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3 985,15</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818,18</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първото тримесечие на 2015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1 045,92</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810,43</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второто тримесечие на 2015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809,27</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1 280,04</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третото тримесечие на 2015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621,87</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398,30</w:t>
            </w:r>
          </w:p>
        </w:tc>
      </w:tr>
      <w:tr>
        <w:trPr>
          <w:trHeight w:val="270"/>
        </w:trPr>
        <w:tc>
          <w:tcPr>
            <w:tcW w:w="468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Предварително финансиране за периода 2014—2020 г.</w:t>
            </w:r>
          </w:p>
        </w:tc>
        <w:tc>
          <w:tcPr>
            <w:tcW w:w="168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18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1 945,25</w:t>
            </w:r>
          </w:p>
        </w:tc>
      </w:tr>
      <w:tr>
        <w:trPr>
          <w:trHeight w:val="270"/>
        </w:trPr>
        <w:tc>
          <w:tcPr>
            <w:tcW w:w="468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за 2015 г.</w:t>
            </w:r>
          </w:p>
        </w:tc>
        <w:tc>
          <w:tcPr>
            <w:tcW w:w="16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6 464,30</w:t>
            </w:r>
          </w:p>
        </w:tc>
        <w:tc>
          <w:tcPr>
            <w:tcW w:w="18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5 252,19</w:t>
            </w:r>
          </w:p>
        </w:tc>
      </w:tr>
    </w:tbl>
    <w:bookmarkEnd w:id="79"/>
    <w:p>
      <w:pPr>
        <w:spacing w:before="120" w:after="120" w:line="240" w:lineRule="auto"/>
        <w:ind w:left="850" w:right="71"/>
        <w:jc w:val="both"/>
        <w:rPr>
          <w:rFonts w:ascii="Times New Roman" w:eastAsia="Times New Roman" w:hAnsi="Times New Roman"/>
          <w:noProof/>
          <w:color w:val="000000"/>
          <w:sz w:val="24"/>
        </w:rPr>
      </w:pPr>
      <w:r>
        <w:rPr>
          <w:rFonts w:ascii="Times New Roman" w:hAnsi="Times New Roman"/>
          <w:noProof/>
          <w:color w:val="000000"/>
          <w:sz w:val="24"/>
        </w:rPr>
        <w:t xml:space="preserve">Месечното усвояване на бюджетните кредити за плащания през годината (от януари до декември 2015 г.) е показано в графиката по-долу. </w:t>
      </w:r>
    </w:p>
    <w:p>
      <w:pPr>
        <w:spacing w:before="120" w:after="120" w:line="240" w:lineRule="auto"/>
        <w:ind w:left="840"/>
        <w:jc w:val="both"/>
        <w:rPr>
          <w:rFonts w:ascii="Times New Roman" w:eastAsia="Times New Roman" w:hAnsi="Times New Roman"/>
          <w:noProof/>
          <w:color w:val="000000"/>
          <w:sz w:val="24"/>
        </w:rPr>
      </w:pPr>
    </w:p>
    <w:p>
      <w:pPr>
        <w:spacing w:before="120" w:after="120" w:line="240" w:lineRule="auto"/>
        <w:ind w:left="840" w:right="749"/>
        <w:jc w:val="both"/>
        <w:rPr>
          <w:rFonts w:ascii="Times New Roman" w:eastAsia="Times New Roman" w:hAnsi="Times New Roman"/>
          <w:noProof/>
          <w:color w:val="000000"/>
          <w:sz w:val="24"/>
        </w:rPr>
      </w:pPr>
      <w:r>
        <w:rPr>
          <w:rFonts w:ascii="Times New Roman" w:hAnsi="Times New Roman"/>
          <w:noProof/>
          <w:color w:val="000000"/>
          <w:sz w:val="24"/>
        </w:rPr>
        <w:t>Графика 1</w:t>
      </w:r>
    </w:p>
    <w:p>
      <w:pPr>
        <w:spacing w:before="120" w:after="120" w:line="240" w:lineRule="auto"/>
        <w:ind w:left="-480"/>
        <w:jc w:val="both"/>
        <w:rPr>
          <w:noProof/>
        </w:rPr>
      </w:pPr>
      <w:r>
        <w:rPr>
          <w:noProof/>
          <w:lang w:val="en-GB" w:eastAsia="en-GB" w:bidi="ar-SA"/>
        </w:rPr>
        <w:pict>
          <v:shape id="_x0000_s1033" type="#_x0000_t75" style="position:absolute;left:0;text-align:left;margin-left:20.95pt;margin-top:4.75pt;width:451.05pt;height:325.2pt;z-index:-251658752" wrapcoords="-38 0 -38 21548 21600 21548 21600 0 -38 0">
            <v:imagedata r:id="rId22" o:title="" croptop="781f" cropbottom="8857f" cropleft="4989f" cropright="8681f"/>
            <w10:wrap type="tight"/>
          </v:shape>
        </w:pict>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В таблици 10а и 10б е показана разбивката по държави членки и по периоди на деклариране на сумите, изплатени от Комисията през бюджетната 2015 година. </w:t>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bookmarkStart w:id="80" w:name="OLE_LINK14"/>
      <w:r>
        <w:rPr>
          <w:rFonts w:ascii="Times New Roman" w:hAnsi="Times New Roman"/>
          <w:noProof/>
          <w:sz w:val="24"/>
        </w:rPr>
        <w:t>Таблица 10a</w:t>
      </w:r>
    </w:p>
    <w:tbl>
      <w:tblPr>
        <w:tblW w:w="8760" w:type="dxa"/>
        <w:tblInd w:w="108" w:type="dxa"/>
        <w:tblLook w:val="04A0" w:firstRow="1" w:lastRow="0" w:firstColumn="1" w:lastColumn="0" w:noHBand="0" w:noVBand="1"/>
      </w:tblPr>
      <w:tblGrid>
        <w:gridCol w:w="960"/>
        <w:gridCol w:w="1200"/>
        <w:gridCol w:w="1320"/>
        <w:gridCol w:w="1320"/>
        <w:gridCol w:w="1200"/>
        <w:gridCol w:w="1320"/>
        <w:gridCol w:w="1440"/>
      </w:tblGrid>
      <w:tr>
        <w:trPr>
          <w:trHeight w:val="270"/>
        </w:trPr>
        <w:tc>
          <w:tcPr>
            <w:tcW w:w="8760" w:type="dxa"/>
            <w:gridSpan w:val="7"/>
            <w:tcBorders>
              <w:top w:val="single" w:sz="4" w:space="0" w:color="auto"/>
              <w:left w:val="single" w:sz="8" w:space="0" w:color="auto"/>
              <w:bottom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color w:val="000000"/>
                <w:sz w:val="18"/>
                <w:szCs w:val="18"/>
              </w:rPr>
            </w:pPr>
            <w:r>
              <w:rPr>
                <w:rFonts w:ascii="Times New Roman" w:hAnsi="Times New Roman"/>
                <w:b/>
                <w:noProof/>
                <w:sz w:val="20"/>
              </w:rPr>
              <w:t>Реално извършени плащания между 1.1.2015 г. и 31.12.2015 г.</w:t>
            </w:r>
          </w:p>
        </w:tc>
      </w:tr>
      <w:tr>
        <w:trPr>
          <w:trHeight w:val="270"/>
        </w:trPr>
        <w:tc>
          <w:tcPr>
            <w:tcW w:w="8760" w:type="dxa"/>
            <w:gridSpan w:val="7"/>
            <w:tcBorders>
              <w:top w:val="nil"/>
              <w:left w:val="single" w:sz="8" w:space="0" w:color="auto"/>
              <w:bottom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ЕЗФРСР 2007—2013 г. — бюджетна позиция 05.040501                                                                              (</w:t>
            </w:r>
            <w:r>
              <w:rPr>
                <w:rFonts w:ascii="Times New Roman" w:hAnsi="Times New Roman"/>
                <w:b/>
                <w:i/>
                <w:noProof/>
                <w:sz w:val="20"/>
              </w:rPr>
              <w:t>в евро</w:t>
            </w:r>
            <w:r>
              <w:rPr>
                <w:rFonts w:ascii="Times New Roman" w:hAnsi="Times New Roman"/>
                <w:b/>
                <w:noProof/>
                <w:sz w:val="20"/>
              </w:rPr>
              <w:t>)</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ДЧ</w:t>
            </w:r>
          </w:p>
        </w:tc>
        <w:tc>
          <w:tcPr>
            <w:tcW w:w="120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Преди четвъртото тримесечие на 2014 г.</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Т4 2014 г.</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Т1 2015 г.</w:t>
            </w:r>
          </w:p>
        </w:tc>
        <w:tc>
          <w:tcPr>
            <w:tcW w:w="120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Т2 2015 г.</w:t>
            </w:r>
          </w:p>
        </w:tc>
        <w:tc>
          <w:tcPr>
            <w:tcW w:w="132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Т3 2015 г.</w:t>
            </w:r>
          </w:p>
        </w:tc>
        <w:tc>
          <w:tcPr>
            <w:tcW w:w="1440" w:type="dxa"/>
            <w:tcBorders>
              <w:top w:val="nil"/>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Общо</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1 694 050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1 056 900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2 609 070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5 360 020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294 046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236 318 435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25 736 473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42 602 808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99 558 664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404 510 426</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9 530 654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5 208 307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2 067 221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1 474 246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18 280 429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235 588 057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25 872 235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20 096 549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6 330 891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287 887 731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26 046 915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18 590 881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11 905 900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4 183 878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60 727 573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18 561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582 164 052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94 073 366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139 691 713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137 387 200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953 334 892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136 557 869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59 554 263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29 641 236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14 112 065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239 865 433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405 763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269 682 804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48 819 773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27 215 212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32 985 751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379 109 303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234 090 677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148 002 282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382 092 959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1 364 264 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765 795 904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104 439 114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200 203 209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71 544 857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1 143 347 348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18 276 608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17 935 424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1 903 952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38 115 984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4 505 949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786 777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2 541 006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756 998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8 590 730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10 583 063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10 583 063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597 590 917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385 580 897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187 427 206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1 170 599 020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18 342 924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5 553 460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4 365 266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2 777 867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31 039 518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798 629 707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79 633 176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132 032 601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247 328 834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1 257 624 319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21 761 919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8 198 579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29 960 498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17 991 974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16 881 228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6 872 407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1 523 703</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43 269 312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Общо</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2 082 633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3 985 152 478</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1 045 923 138</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809 271 405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621 868 906</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6 464 298 560</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t>Таблица 10б</w:t>
      </w:r>
    </w:p>
    <w:tbl>
      <w:tblPr>
        <w:tblW w:w="8760" w:type="dxa"/>
        <w:tblInd w:w="162" w:type="dxa"/>
        <w:tblLook w:val="04A0" w:firstRow="1" w:lastRow="0" w:firstColumn="1" w:lastColumn="0" w:noHBand="0" w:noVBand="1"/>
      </w:tblPr>
      <w:tblGrid>
        <w:gridCol w:w="960"/>
        <w:gridCol w:w="1200"/>
        <w:gridCol w:w="1320"/>
        <w:gridCol w:w="1320"/>
        <w:gridCol w:w="1200"/>
        <w:gridCol w:w="1482"/>
        <w:gridCol w:w="1441"/>
      </w:tblGrid>
      <w:tr>
        <w:trPr>
          <w:trHeight w:val="270"/>
        </w:trPr>
        <w:tc>
          <w:tcPr>
            <w:tcW w:w="8760"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bookmarkEnd w:id="80"/>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Реално извършени плащания между 1.1.2015 г. и 31.12.2015 г. </w:t>
            </w:r>
          </w:p>
        </w:tc>
      </w:tr>
      <w:tr>
        <w:trPr>
          <w:trHeight w:val="285"/>
        </w:trPr>
        <w:tc>
          <w:tcPr>
            <w:tcW w:w="6000" w:type="dxa"/>
            <w:gridSpan w:val="5"/>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ЕЗФРСР 2014—2020 г. — бюджетна позиция 05.046001</w:t>
            </w:r>
          </w:p>
        </w:tc>
        <w:tc>
          <w:tcPr>
            <w:tcW w:w="1320" w:type="dxa"/>
            <w:tcBorders>
              <w:top w:val="nil"/>
              <w:left w:val="nil"/>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(в евро)</w:t>
            </w:r>
          </w:p>
        </w:tc>
      </w:tr>
      <w:tr>
        <w:trPr>
          <w:trHeight w:val="495"/>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ДЧ</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Т4 2014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Т1 2015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Т2 2015 г.</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 xml:space="preserve"> Т3 2015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Предварително финансиране</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Общо</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284 992 317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96 213 465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156 122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39 375 520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420 737 424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12 409 662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45 217 237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3 328 948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12 955 955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73 911 803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47 334 339</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47 334 339</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3 967 331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3 967 331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184 302 819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3 319 045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46 113 480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233 735 344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13 236 207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144 343 005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100 854 171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12 087 339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171 219 696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441 740 417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1 025 347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678 813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6 294 007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7 998 168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27 613 880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596 956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2 832 080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16 466 831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47 509 747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3 134 546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9 616 116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207 434 721</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220 185 382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310 320 627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2 514 375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36 814 213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32 869 513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24 011 173</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406 529 902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129 178 250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216 183 789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227 696 885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573 058 924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141 548 754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141 548 754</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54 069 633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265 601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40 524 450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94 859 683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68 613 290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68 613 290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292 954 816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34 180 723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54 764 804</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381 900 343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7 578 868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208 887 615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216 466 483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28 493 708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9 135 426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785 089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32 261 765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70 675 988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12 200 302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9 338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2 011 492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14 221 132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49 756 283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1 853 434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1 729 447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21 512 076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74 851 240</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1 946 538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1 946 538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25 547 376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1 428 281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645 996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12 146 107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39 767 761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100 405 931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73 954 934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85 982 808</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260 343 673</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109 223 113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13 813 538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60 197 270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43 362 393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47 698 857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274 295 171</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243 839 892</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243 839 892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140 428 835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294 808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34 911 305</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175 634 948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29 137 393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796 103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16 756 996</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46 690 492</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56 705 005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4 501 672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460 674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30 905 457</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92 572 808</w:t>
            </w:r>
          </w:p>
        </w:tc>
      </w:tr>
      <w:tr>
        <w:trPr>
          <w:trHeight w:val="270"/>
        </w:trPr>
        <w:tc>
          <w:tcPr>
            <w:tcW w:w="96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279 060 319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172 856 524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27 271 274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98 067 330</w:t>
            </w:r>
          </w:p>
        </w:tc>
        <w:tc>
          <w:tcPr>
            <w:tcW w:w="14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577 255 447</w:t>
            </w:r>
          </w:p>
        </w:tc>
      </w:tr>
      <w:tr>
        <w:trPr>
          <w:trHeight w:val="270"/>
        </w:trPr>
        <w:tc>
          <w:tcPr>
            <w:tcW w:w="96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Общо</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818 178 194</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810 425 550</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1 280 043 247</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398 295 956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1 945 249 474</w:t>
            </w:r>
          </w:p>
        </w:tc>
        <w:tc>
          <w:tcPr>
            <w:tcW w:w="14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b/>
                <w:noProof/>
                <w:color w:val="000000"/>
                <w:sz w:val="18"/>
              </w:rPr>
              <w:t>5 252 192 422</w:t>
            </w:r>
          </w:p>
        </w:tc>
      </w:tr>
    </w:tbl>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таблици 11a и 11б  плащанията, извършени през 2015 г. по ЕЗФРСР, са сравнени с плащанията, извършени през 2014 г., за всяка държава членка. Общият размер на плащанията по ЕЗФРСР за периода 2007—2013 г. е намалял с 41 % (6,5 млрд. евро спрямо 10,9 млрд. евро). Същевременно плащанията по ЕЗФРСР за периода 2014—2020 г. са нараснали значително в сравнение с 2014 г. (5,3 млрд. евро спрямо 0,2 млрд. евро), което се дължи на факта, че през 2014 г. са приети само 9 програми за развитие на селските райони.</w:t>
      </w:r>
    </w:p>
    <w:p>
      <w:pPr>
        <w:spacing w:before="120" w:after="120" w:line="240" w:lineRule="auto"/>
        <w:ind w:left="850"/>
        <w:jc w:val="both"/>
        <w:rPr>
          <w:rFonts w:ascii="Times New Roman" w:eastAsia="Times New Roman" w:hAnsi="Times New Roman"/>
          <w:noProof/>
          <w:sz w:val="24"/>
        </w:rPr>
      </w:pPr>
      <w:bookmarkStart w:id="81" w:name="OLE_LINK15"/>
    </w:p>
    <w:p>
      <w:pPr>
        <w:spacing w:before="120" w:after="120" w:line="240" w:lineRule="auto"/>
        <w:ind w:left="850"/>
        <w:jc w:val="both"/>
        <w:rPr>
          <w:rFonts w:ascii="Times New Roman" w:eastAsia="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p>
      <w:pPr>
        <w:spacing w:after="0" w:line="240" w:lineRule="auto"/>
        <w:ind w:left="850"/>
        <w:jc w:val="both"/>
        <w:rPr>
          <w:rFonts w:ascii="Times New Roman" w:eastAsia="Times New Roman" w:hAnsi="Times New Roman"/>
          <w:noProof/>
          <w:sz w:val="24"/>
        </w:rPr>
      </w:pPr>
      <w:r>
        <w:rPr>
          <w:rFonts w:ascii="Times New Roman" w:hAnsi="Times New Roman"/>
          <w:noProof/>
          <w:sz w:val="24"/>
        </w:rPr>
        <w:t>Таблица 11a</w:t>
      </w:r>
    </w:p>
    <w:tbl>
      <w:tblPr>
        <w:tblW w:w="13407" w:type="dxa"/>
        <w:tblInd w:w="741" w:type="dxa"/>
        <w:tblLook w:val="04A0" w:firstRow="1" w:lastRow="0" w:firstColumn="1" w:lastColumn="0" w:noHBand="0" w:noVBand="1"/>
      </w:tblPr>
      <w:tblGrid>
        <w:gridCol w:w="688"/>
        <w:gridCol w:w="1860"/>
        <w:gridCol w:w="1482"/>
        <w:gridCol w:w="1680"/>
        <w:gridCol w:w="1800"/>
        <w:gridCol w:w="1482"/>
        <w:gridCol w:w="1440"/>
        <w:gridCol w:w="1680"/>
        <w:gridCol w:w="116"/>
        <w:gridCol w:w="1324"/>
      </w:tblGrid>
      <w:tr>
        <w:trPr>
          <w:trHeight w:val="207"/>
        </w:trPr>
        <w:tc>
          <w:tcPr>
            <w:tcW w:w="10287"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bookmarkEnd w:id="81"/>
          <w:p>
            <w:pPr>
              <w:spacing w:after="0" w:line="240" w:lineRule="auto"/>
              <w:rPr>
                <w:rFonts w:ascii="Times New Roman" w:eastAsia="Times New Roman" w:hAnsi="Times New Roman"/>
                <w:b/>
                <w:bCs/>
                <w:noProof/>
                <w:sz w:val="18"/>
                <w:szCs w:val="18"/>
              </w:rPr>
            </w:pPr>
            <w:r>
              <w:rPr>
                <w:rFonts w:ascii="Times New Roman" w:hAnsi="Times New Roman"/>
                <w:b/>
                <w:noProof/>
                <w:sz w:val="18"/>
              </w:rPr>
              <w:t>Плащания, извършени към държавите членки — сравнение между 2015 г. и 2014 г. — по ЕЗФРСР за периода 2007—2013 г.</w:t>
            </w:r>
          </w:p>
        </w:tc>
        <w:tc>
          <w:tcPr>
            <w:tcW w:w="1796" w:type="dxa"/>
            <w:gridSpan w:val="2"/>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(в евро)</w:t>
            </w:r>
          </w:p>
        </w:tc>
        <w:tc>
          <w:tcPr>
            <w:tcW w:w="1324"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07"/>
        </w:trPr>
        <w:tc>
          <w:tcPr>
            <w:tcW w:w="10287"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796" w:type="dxa"/>
            <w:gridSpan w:val="2"/>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324"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62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498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2014 г.</w:t>
            </w:r>
          </w:p>
        </w:tc>
        <w:tc>
          <w:tcPr>
            <w:tcW w:w="468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 г.</w:t>
            </w:r>
          </w:p>
        </w:tc>
        <w:tc>
          <w:tcPr>
            <w:tcW w:w="312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Разлика между 2015 г. и 2014 г.</w:t>
            </w:r>
          </w:p>
        </w:tc>
      </w:tr>
      <w:tr>
        <w:trPr>
          <w:trHeight w:val="270"/>
        </w:trPr>
        <w:tc>
          <w:tcPr>
            <w:tcW w:w="627"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86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80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44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евро)</w:t>
            </w:r>
          </w:p>
        </w:tc>
        <w:tc>
          <w:tcPr>
            <w:tcW w:w="144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-244 873 999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16 628 109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16 628 109</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5 360 020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5 360 020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-11 268 088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-67,77 %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393 750 627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393 750 627</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404 510 426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404 510 426</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10 759 799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2,73 %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22 898 351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22 898 351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18 280 429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18 280 429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-4 617 922</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-20,17 %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-283 248 060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917 307 316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917 307 316</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287 887 731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287 887 731</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-629 419 585</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-68,62 %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83 307 265</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83 307 265</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60 727 573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60 727 573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-22 579 691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-27,10 %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-62 135 652</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964 188 641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964 188 641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953 334 892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953 334 892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-10 853 749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-56 934 909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798 152 731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798 152 731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239 865 433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239 865 433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-558 287 298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-69,95 %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549 164 613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549 164 613</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379 109 303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379 109 303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-170 055 310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-30,97 %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550 351 068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550 351 068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382 092 959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382 092 959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-168 258 109</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-30,57 %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1 204 033 199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1 204 033 199</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1 143 347 348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1 143 347 348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-60 685 850</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232 381 211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232 381 211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38 115 984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38 115 984</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-194 265 227</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-83,60 %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-1 287 916</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-58 786 443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11 410 988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11 410 988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8 590 730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8 590 730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-2 820 258</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-24,72 %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111 016 078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111 016 078</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10 583 063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10 583 063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-100 433 015</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-90,47 %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1 700 773 103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1 700 773 103</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1 170 599 020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1 170 599 020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-530 174 083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-31,17 %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683 122 011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683 122 011</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31 039 518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31 039 518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-652 082 493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-95,46 %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822 842 472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822 842 472</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1 257 624 319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1 257 624 319</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434 781 847</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52,84 %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-221 274 236</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-118 091 451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-100,00 %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148 345 380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148 345 380</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29 960 498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29 960 498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-118 384 881</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-79,80 %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8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691 044 486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691 044 486</w:t>
            </w:r>
          </w:p>
        </w:tc>
        <w:tc>
          <w:tcPr>
            <w:tcW w:w="18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rPr>
              <w:t>43 269 312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43 269 312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-647 775 173</w:t>
            </w:r>
          </w:p>
        </w:tc>
        <w:tc>
          <w:tcPr>
            <w:tcW w:w="1440"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-93,74 %</w:t>
            </w:r>
          </w:p>
        </w:tc>
      </w:tr>
      <w:tr>
        <w:trPr>
          <w:trHeight w:val="270"/>
        </w:trPr>
        <w:tc>
          <w:tcPr>
            <w:tcW w:w="627"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8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10 947 350 314</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10 947 350 314</w:t>
            </w:r>
          </w:p>
        </w:tc>
        <w:tc>
          <w:tcPr>
            <w:tcW w:w="18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6 464 298 560</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-4 483 051 754</w:t>
            </w:r>
          </w:p>
        </w:tc>
        <w:tc>
          <w:tcPr>
            <w:tcW w:w="1440"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-40,95 %</w:t>
            </w:r>
          </w:p>
        </w:tc>
      </w:tr>
    </w:tbl>
    <w:p>
      <w:pPr>
        <w:spacing w:after="0" w:line="240" w:lineRule="auto"/>
        <w:ind w:left="850"/>
        <w:jc w:val="both"/>
        <w:rPr>
          <w:rFonts w:ascii="Times New Roman" w:eastAsia="Times New Roman" w:hAnsi="Times New Roman"/>
          <w:noProof/>
          <w:sz w:val="24"/>
        </w:rPr>
      </w:pPr>
      <w:r>
        <w:rPr>
          <w:rFonts w:ascii="Times New Roman" w:hAnsi="Times New Roman"/>
          <w:noProof/>
          <w:sz w:val="24"/>
        </w:rPr>
        <w:t>Таблица 11б</w:t>
      </w:r>
    </w:p>
    <w:tbl>
      <w:tblPr>
        <w:tblW w:w="13413" w:type="dxa"/>
        <w:tblInd w:w="741" w:type="dxa"/>
        <w:tblLook w:val="04A0" w:firstRow="1" w:lastRow="0" w:firstColumn="1" w:lastColumn="0" w:noHBand="0" w:noVBand="1"/>
      </w:tblPr>
      <w:tblGrid>
        <w:gridCol w:w="730"/>
        <w:gridCol w:w="1757"/>
        <w:gridCol w:w="1482"/>
        <w:gridCol w:w="1680"/>
        <w:gridCol w:w="1800"/>
        <w:gridCol w:w="1482"/>
        <w:gridCol w:w="1446"/>
        <w:gridCol w:w="1529"/>
        <w:gridCol w:w="145"/>
        <w:gridCol w:w="1446"/>
      </w:tblGrid>
      <w:tr>
        <w:trPr>
          <w:trHeight w:val="207"/>
        </w:trPr>
        <w:tc>
          <w:tcPr>
            <w:tcW w:w="10293"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Плащания, извършени към държавите членки — сравнение между 2015 г. и 2014 г. — по ЕЗФРСР за периода 2014—2020 г.</w:t>
            </w:r>
          </w:p>
        </w:tc>
        <w:tc>
          <w:tcPr>
            <w:tcW w:w="1529"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(в евро)</w:t>
            </w:r>
          </w:p>
        </w:tc>
        <w:tc>
          <w:tcPr>
            <w:tcW w:w="1591" w:type="dxa"/>
            <w:gridSpan w:val="2"/>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70"/>
        </w:trPr>
        <w:tc>
          <w:tcPr>
            <w:tcW w:w="10293"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529"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591" w:type="dxa"/>
            <w:gridSpan w:val="2"/>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730"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4877"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2014 г.</w:t>
            </w:r>
          </w:p>
        </w:tc>
        <w:tc>
          <w:tcPr>
            <w:tcW w:w="4686"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2015 г.</w:t>
            </w:r>
          </w:p>
        </w:tc>
        <w:tc>
          <w:tcPr>
            <w:tcW w:w="3120" w:type="dxa"/>
            <w:gridSpan w:val="3"/>
            <w:tcBorders>
              <w:top w:val="single" w:sz="8" w:space="0" w:color="auto"/>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Разлика между 2015 г. и 2014 г.</w:t>
            </w:r>
          </w:p>
        </w:tc>
      </w:tr>
      <w:tr>
        <w:trPr>
          <w:trHeight w:val="270"/>
        </w:trPr>
        <w:tc>
          <w:tcPr>
            <w:tcW w:w="73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75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800"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44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446"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74" w:type="dxa"/>
            <w:gridSpan w:val="2"/>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евро)</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420 737 424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381 361 904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968,53 %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60 955 847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12 955 955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73 911 803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47 334 339</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3 967 331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187 621 864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46 113 480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233 735 344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15 994 705</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15 994 705</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270 520 722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171 219 696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441 740 417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425 745 712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2661,79 %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6 294 007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7 998 168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1 704 161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27,08 %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31 042 916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16 466 831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47 509 747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N/A</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12 750 662</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207 434 721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220 185 382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23 596 993</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23 596 993</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382 518 728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24 011 173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406 529 902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382 932 908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1622,80 %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345 362 039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227 696 885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573 058 924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141 548 754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54 335 233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40 524 450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94 859 683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68 613 290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327 135 539</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54 764 804</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381 900 343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7 578 868</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208 887 615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216 466 483</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38 414 223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32 261 765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70 675 988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12 209 640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2 011 492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14 221 132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53 339 164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21 512 076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74 851 240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1 946 538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27 621 653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12 146 107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39 767 761</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85 982 808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260 343 673</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174 360 865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202,79 %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53 745 852</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53 745 852</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226 596 314</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47 698 857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274 295 171</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220 549 318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410,36 %</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243 839 892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140 723 643</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34 911 305</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175 634 948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29 933 496</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16 756 996</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46 690 492</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61 667 351</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30 905 457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92 572 808</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7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6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8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479 188 117</w:t>
            </w:r>
          </w:p>
        </w:tc>
        <w:tc>
          <w:tcPr>
            <w:tcW w:w="14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98 067 330</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674" w:type="dxa"/>
            <w:gridSpan w:val="2"/>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577 255 447</w:t>
            </w:r>
          </w:p>
        </w:tc>
        <w:tc>
          <w:tcPr>
            <w:tcW w:w="144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Не е приложимо</w:t>
            </w:r>
          </w:p>
        </w:tc>
      </w:tr>
      <w:tr>
        <w:trPr>
          <w:trHeight w:val="270"/>
        </w:trPr>
        <w:tc>
          <w:tcPr>
            <w:tcW w:w="73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75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224 989 886</w:t>
            </w:r>
          </w:p>
        </w:tc>
        <w:tc>
          <w:tcPr>
            <w:tcW w:w="16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224 989 886</w:t>
            </w:r>
          </w:p>
        </w:tc>
        <w:tc>
          <w:tcPr>
            <w:tcW w:w="18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3 306 942 948</w:t>
            </w:r>
          </w:p>
        </w:tc>
        <w:tc>
          <w:tcPr>
            <w:tcW w:w="14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1 945 249 474</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5 252 192 422</w:t>
            </w:r>
          </w:p>
        </w:tc>
        <w:tc>
          <w:tcPr>
            <w:tcW w:w="1674" w:type="dxa"/>
            <w:gridSpan w:val="2"/>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5 027 202 536</w:t>
            </w:r>
          </w:p>
        </w:tc>
        <w:tc>
          <w:tcPr>
            <w:tcW w:w="1446"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2234,41 %</w:t>
            </w:r>
          </w:p>
        </w:tc>
      </w:tr>
    </w:tbl>
    <w:p>
      <w:pPr>
        <w:spacing w:before="120" w:after="120" w:line="240" w:lineRule="auto"/>
        <w:jc w:val="both"/>
        <w:rPr>
          <w:rFonts w:ascii="Times New Roman" w:eastAsia="Times New Roman" w:hAnsi="Times New Roman"/>
          <w:noProof/>
          <w:sz w:val="24"/>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600" w:right="1134" w:bottom="1418"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82" w:name="_Toc331167076"/>
      <w:bookmarkStart w:id="83" w:name="_Toc393127484"/>
      <w:bookmarkStart w:id="84" w:name="_Toc457569422"/>
      <w:bookmarkStart w:id="85" w:name="_Toc461185294"/>
      <w:r>
        <w:rPr>
          <w:rFonts w:ascii="Times New Roman" w:hAnsi="Times New Roman"/>
          <w:i/>
          <w:noProof/>
          <w:sz w:val="24"/>
        </w:rPr>
        <w:t>3.2.2.</w:t>
      </w:r>
      <w:r>
        <w:rPr>
          <w:noProof/>
        </w:rPr>
        <w:tab/>
      </w:r>
      <w:r>
        <w:rPr>
          <w:rFonts w:ascii="Times New Roman" w:hAnsi="Times New Roman"/>
          <w:i/>
          <w:noProof/>
          <w:sz w:val="24"/>
        </w:rPr>
        <w:t>Техническа помощ</w:t>
      </w:r>
      <w:bookmarkEnd w:id="82"/>
      <w:bookmarkEnd w:id="83"/>
      <w:bookmarkEnd w:id="84"/>
      <w:bookmarkEnd w:id="85"/>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бюджета за 2015 г. вече нямаше бюджетни кредити за плащания за техническата помощ, свързана с програмния период 2007—2013 г. Въпреки това сумата от 0,2 млн. евро беше пренесена от 2014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2014—2020 г. размерът на бюджетните кредити за плащания за техническа помощ беше 19,8 млн. евро. Част от тези бюджетни кредити (8,8 млн. евро) бяха прехвърлени за покриване на нуждите от плащания във връзка с програмите за развитие на селските райони по цел 1 и по ЕЗФРСР за периода 2007—2013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таблица 12 по-долу са представени плащанията, групирани по основни дейности. Най-голямата част се отнася до Европейската мрежа за развитие на селските райони.</w:t>
      </w:r>
    </w:p>
    <w:p>
      <w:pPr>
        <w:spacing w:before="120" w:after="120" w:line="240" w:lineRule="auto"/>
        <w:ind w:left="850"/>
        <w:jc w:val="both"/>
        <w:rPr>
          <w:rFonts w:ascii="Times New Roman" w:eastAsia="Times New Roman" w:hAnsi="Times New Roman"/>
          <w:noProof/>
          <w:sz w:val="24"/>
        </w:rPr>
      </w:pPr>
      <w:bookmarkStart w:id="86" w:name="OLE_LINK17"/>
      <w:r>
        <w:rPr>
          <w:rFonts w:ascii="Times New Roman" w:hAnsi="Times New Roman"/>
          <w:noProof/>
          <w:sz w:val="24"/>
        </w:rPr>
        <w:t>Таблица 12</w:t>
      </w:r>
    </w:p>
    <w:tbl>
      <w:tblPr>
        <w:tblW w:w="0" w:type="auto"/>
        <w:tblInd w:w="922" w:type="dxa"/>
        <w:tblLook w:val="04A0" w:firstRow="1" w:lastRow="0" w:firstColumn="1" w:lastColumn="0" w:noHBand="0" w:noVBand="1"/>
      </w:tblPr>
      <w:tblGrid>
        <w:gridCol w:w="5311"/>
        <w:gridCol w:w="1945"/>
      </w:tblGrid>
      <w:tr>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плащания</w:t>
            </w:r>
          </w:p>
        </w:tc>
      </w:tr>
      <w:tr>
        <w:trPr>
          <w:trHeight w:val="270"/>
        </w:trPr>
        <w:tc>
          <w:tcPr>
            <w:tcW w:w="0" w:type="auto"/>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p>
        </w:tc>
      </w:tr>
      <w:tr>
        <w:trPr>
          <w:trHeight w:val="270"/>
        </w:trPr>
        <w:tc>
          <w:tcPr>
            <w:tcW w:w="0" w:type="auto"/>
            <w:tcBorders>
              <w:top w:val="nil"/>
              <w:left w:val="single" w:sz="4" w:space="0" w:color="auto"/>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0" w:type="auto"/>
            <w:tcBorders>
              <w:top w:val="nil"/>
              <w:left w:val="nil"/>
              <w:bottom w:val="single" w:sz="4" w:space="0" w:color="auto"/>
              <w:right w:val="single" w:sz="4"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Изплатена сума </w:t>
            </w: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4"/>
                <w:szCs w:val="24"/>
              </w:rPr>
            </w:pPr>
            <w:r>
              <w:rPr>
                <w:rFonts w:ascii="Times New Roman" w:hAnsi="Times New Roman"/>
                <w:b/>
                <w:noProof/>
                <w:sz w:val="24"/>
              </w:rPr>
              <w:t>Бюджетна позиция: 05.040502</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(в евро) </w:t>
            </w: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154 655</w:t>
            </w: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05.040502</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154 655</w:t>
            </w:r>
          </w:p>
        </w:tc>
      </w:tr>
      <w:tr>
        <w:trPr>
          <w:trHeight w:val="270"/>
        </w:trPr>
        <w:tc>
          <w:tcPr>
            <w:tcW w:w="0" w:type="auto"/>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p>
        </w:tc>
      </w:tr>
      <w:tr>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sz w:val="24"/>
                <w:szCs w:val="24"/>
              </w:rPr>
            </w:pPr>
            <w:r>
              <w:rPr>
                <w:rFonts w:ascii="Times New Roman" w:hAnsi="Times New Roman"/>
                <w:b/>
                <w:noProof/>
                <w:sz w:val="24"/>
              </w:rPr>
              <w:t>Бюджетна позиция: 05.046002</w:t>
            </w:r>
          </w:p>
        </w:tc>
        <w:tc>
          <w:tcPr>
            <w:tcW w:w="0" w:type="auto"/>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(в евро) </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развитие на селските райони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3 379 803</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Европейско партньорство за иновации</w:t>
            </w:r>
            <w:r>
              <w:rPr>
                <w:rFonts w:ascii="Times New Roman" w:hAnsi="Times New Roman"/>
                <w:noProof/>
              </w:rPr>
              <w:t xml:space="preserve">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2 102 856</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1 701 673</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оценка </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1 156 864</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Мероприятия</w:t>
            </w:r>
          </w:p>
        </w:tc>
        <w:tc>
          <w:tcPr>
            <w:tcW w:w="0" w:type="auto"/>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295 482</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Защита на символите на ЕС</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150 000</w:t>
            </w:r>
          </w:p>
        </w:tc>
      </w:tr>
      <w:tr>
        <w:trPr>
          <w:trHeight w:val="294"/>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05.0406002</w:t>
            </w:r>
          </w:p>
        </w:tc>
        <w:tc>
          <w:tcPr>
            <w:tcW w:w="0" w:type="auto"/>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8 786 679</w:t>
            </w:r>
          </w:p>
        </w:tc>
      </w:tr>
      <w:tr>
        <w:trPr>
          <w:trHeight w:val="294"/>
        </w:trPr>
        <w:tc>
          <w:tcPr>
            <w:tcW w:w="0" w:type="auto"/>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p>
        </w:tc>
      </w:tr>
      <w:tr>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за техническа помощ</w:t>
            </w:r>
          </w:p>
        </w:tc>
        <w:tc>
          <w:tcPr>
            <w:tcW w:w="0" w:type="auto"/>
            <w:tcBorders>
              <w:top w:val="single" w:sz="4" w:space="0" w:color="auto"/>
              <w:left w:val="nil"/>
              <w:bottom w:val="single" w:sz="4" w:space="0" w:color="auto"/>
              <w:right w:val="single" w:sz="4"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8 941 334</w:t>
            </w:r>
          </w:p>
        </w:tc>
      </w:tr>
      <w:bookmarkEnd w:id="86"/>
    </w:tbl>
    <w:p>
      <w:pPr>
        <w:spacing w:before="120" w:after="120" w:line="240" w:lineRule="auto"/>
        <w:ind w:left="850"/>
        <w:jc w:val="both"/>
        <w:rPr>
          <w:rFonts w:ascii="Times New Roman" w:eastAsia="Times New Roman" w:hAnsi="Times New Roman"/>
          <w:noProof/>
          <w:color w:val="000000"/>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7" w:name="_Toc331167077"/>
      <w:bookmarkStart w:id="88" w:name="_Toc393127485"/>
      <w:bookmarkStart w:id="89" w:name="_Toc457569423"/>
      <w:bookmarkStart w:id="90" w:name="_Toc461185295"/>
      <w:r>
        <w:rPr>
          <w:rFonts w:ascii="Times New Roman" w:hAnsi="Times New Roman"/>
          <w:b/>
          <w:noProof/>
          <w:sz w:val="24"/>
        </w:rPr>
        <w:t>3.3.</w:t>
      </w:r>
      <w:r>
        <w:rPr>
          <w:noProof/>
        </w:rPr>
        <w:tab/>
      </w:r>
      <w:r>
        <w:rPr>
          <w:rFonts w:ascii="Times New Roman" w:hAnsi="Times New Roman"/>
          <w:b/>
          <w:noProof/>
          <w:sz w:val="24"/>
        </w:rPr>
        <w:t>Анализ на декларираните разходи по оси и/или по мерки</w:t>
      </w:r>
      <w:bookmarkEnd w:id="87"/>
      <w:bookmarkEnd w:id="88"/>
      <w:bookmarkEnd w:id="89"/>
      <w:bookmarkEnd w:id="90"/>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Таблици 13а и 13б показват исканията за плащане, декларирани от държавите членки и по оси/мерки за развитието на селските райони през 2015 г. (от четвъртото тримесечие на 2014 г. до третото тримесечие на 2015 г.), декларираните кумулативни разходи от началото на програмите, както и финансовите планове за програмите по ЕЗФРСР.</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През 2015 г. разходите по ЕЗФРСР за периода 2007—2013 г. бяха съсредоточени по ос 1 (37,1 %), следвана от ос 2 с 31,4 %, ос 3 с 16,5 % и ос 4 с 12,8 %. В сравнение с предходната година има забележим спад в дела на ос 2 в полза на оси 1, 3 и 4. Това потвърждава тенденцията към очакваното постигане на съответствие между действителното изпълнение и програмирането по оси, въпреки че до третото тримесечие на 2015 г. разпределението на разходите все още се отклонява от разпределението според финансовите планове (31,6 %, 46,7 %, 12,6 % и 5,9 % съответно за оси от 1 до 4).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Мерките по ос 2 включват главно годишни плащания (напр. агроекологични мерки), докато оси 1, 3 и в по-малка степен ос 4 са свързани предимно с многогодишни мерки, които изискват по-продължителна процедура за тяхното одобрение и прилагане (напр. инвестиционни проекти).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Разходите през 2015 г. по ЕЗФРСР за периода 2014—2020 г. бяха насочени основно по мярка 13 (Плащания за райони, изправени пред природни или други специфични ограничения) и мярка 10 (Агроекология и климат).</w:t>
      </w:r>
    </w:p>
    <w:p>
      <w:pPr>
        <w:spacing w:before="120" w:after="0" w:line="240" w:lineRule="auto"/>
        <w:jc w:val="both"/>
        <w:rPr>
          <w:rFonts w:ascii="Times New Roman" w:eastAsia="Times New Roman" w:hAnsi="Times New Roman"/>
          <w:noProof/>
          <w:sz w:val="24"/>
        </w:rPr>
      </w:pPr>
      <w:r>
        <w:rPr>
          <w:noProof/>
        </w:rPr>
        <w:br w:type="page"/>
      </w:r>
      <w:bookmarkStart w:id="91" w:name="OLE_LINK18"/>
      <w:r>
        <w:rPr>
          <w:rFonts w:ascii="Times New Roman" w:hAnsi="Times New Roman"/>
          <w:noProof/>
          <w:sz w:val="24"/>
        </w:rPr>
        <w:t>Таблица 13a</w:t>
      </w:r>
    </w:p>
    <w:tbl>
      <w:tblPr>
        <w:tblW w:w="9370" w:type="dxa"/>
        <w:tblInd w:w="98" w:type="dxa"/>
        <w:tblLayout w:type="fixed"/>
        <w:tblLook w:val="04A0" w:firstRow="1" w:lastRow="0" w:firstColumn="1" w:lastColumn="0" w:noHBand="0" w:noVBand="1"/>
      </w:tblPr>
      <w:tblGrid>
        <w:gridCol w:w="3490"/>
        <w:gridCol w:w="1080"/>
        <w:gridCol w:w="840"/>
        <w:gridCol w:w="1080"/>
        <w:gridCol w:w="840"/>
        <w:gridCol w:w="1200"/>
        <w:gridCol w:w="840"/>
      </w:tblGrid>
      <w:tr>
        <w:trPr>
          <w:trHeight w:val="255"/>
        </w:trPr>
        <w:tc>
          <w:tcPr>
            <w:tcW w:w="9370" w:type="dxa"/>
            <w:gridSpan w:val="7"/>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bookmarkStart w:id="92" w:name="_Toc331167078"/>
            <w:bookmarkEnd w:id="91"/>
            <w:r>
              <w:rPr>
                <w:rFonts w:ascii="Times New Roman" w:hAnsi="Times New Roman"/>
                <w:b/>
                <w:noProof/>
                <w:sz w:val="18"/>
              </w:rPr>
              <w:t xml:space="preserve">Декларирани разходи за ЕЗФРСР за 2015 г. (от четвъртото тримесечие на 2014 г. до третото тримесечие на 2015 г.) и общи кумулативни разходи (от четвъртото тримесечие на 2006 г. до третото тримесечие на 2015 г.) </w:t>
            </w:r>
          </w:p>
        </w:tc>
      </w:tr>
      <w:tr>
        <w:trPr>
          <w:trHeight w:val="270"/>
        </w:trPr>
        <w:tc>
          <w:tcPr>
            <w:tcW w:w="9370" w:type="dxa"/>
            <w:gridSpan w:val="7"/>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в сравнение с финансовите планове — </w:t>
            </w:r>
            <w:r>
              <w:rPr>
                <w:rFonts w:ascii="Times New Roman" w:hAnsi="Times New Roman"/>
                <w:b/>
                <w:noProof/>
                <w:sz w:val="18"/>
                <w:u w:val="single"/>
              </w:rPr>
              <w:t>ЕЗФРСР 2007—2013 г.</w:t>
            </w:r>
          </w:p>
        </w:tc>
      </w:tr>
      <w:tr>
        <w:trPr>
          <w:trHeight w:val="63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разходи за 2015 г. (от четвъртото тримесечие на 2014 г. до третото тримесечие на 2015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кумулативни разходи (от четвъртото тримесечие на 2006 г. до третото тримесечие на 2015 г.)</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Финансови планове за 2007—2013 г.</w:t>
            </w:r>
          </w:p>
        </w:tc>
      </w:tr>
      <w:tr>
        <w:trPr>
          <w:trHeight w:val="435"/>
        </w:trPr>
        <w:tc>
          <w:tcPr>
            <w:tcW w:w="349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Ос/мярка по ЕЗФРСР</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111 Професионално обучение и информационни дейности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787,1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112 Създаване на стопанства на млади земеделски стопани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5,0 %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2 922,5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3 310,8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113 Ранно пенсиониране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2 587,4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2 593,8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114 Използване на консултантски услуги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129,6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115 Създаване на служби за управление, подпомагане 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121 Модернизация на земеделските стопанства</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1 447,5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11 037,0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12,4 %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11 828.7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122 Подобряване на икономическата стойност на горите</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123 Повишаване стойността на селскостопанските и горските продукти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5,4 %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4 094,6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4 643,0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4,8 %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124 Сътрудничество за разработване на нови продукти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205,6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125 Инфраструктура, свързана с развитието…</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722,3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6,7 %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3 840,2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4 366,9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4,5 %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126 Възстановяване на селскостопанския производствен потенциал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135,0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612,1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652,9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131 Спазване на стандартите, основани на законодателството на Общността…</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132 Участие на земеделските стопани в системи за качество на храните</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133 Информационни и рекламни дейности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131,3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141 Полупазарни стопанства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142 Групи на производители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224,4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143 Директни плащания (BG + RO)</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144 Стопанства в процес на преструктуриране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3 999,3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37,1 %</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27 974,1</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31,5 %</w:t>
            </w:r>
          </w:p>
        </w:tc>
        <w:tc>
          <w:tcPr>
            <w:tcW w:w="120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30 591,8</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211 Плащания за неблагоприятни природни условия на земеделски стопани в...</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7 210,0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7 128,0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212 Плащания на земеделски стопани в области с неблагоприятни природни условия...</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462,3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7 593,5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8 062,5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8,3 %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213 Плащания в рамките на „Натура 2000“ и плащания, свързани с..</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44,0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272,6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214 Плащания за агроекологични мерки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1 618,9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23 155,2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26,1 %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23 845,5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24,6 %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215 Плащания за осигуряване на хуманно отношение към животните</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258,1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2,4 %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899,9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1 040,6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216 Инвестиции в непроизводствени дейности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580,8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221 Първоначално залесяване на земеделски земи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1 543,7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1 584,4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222 Първоначално установяване на агро-лесовъдни системи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223 Първоначално залесяване на неземеделски земи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224 Плащания по програма „Натура 2000“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225 Плащания за опазване на околната среда в горите</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226 Възстановяване на потенциала на горското стопанство и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248,0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1 393,3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1 603,3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1,7 %</w:t>
            </w:r>
          </w:p>
        </w:tc>
      </w:tr>
      <w:tr>
        <w:trPr>
          <w:trHeight w:val="270"/>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227 Инвестиции в непроизводствени дейности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623,5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0,7 %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0,8 %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2</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3 379,04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31,4 %</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43 540,65</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49,1 %</w:t>
            </w:r>
          </w:p>
        </w:tc>
        <w:tc>
          <w:tcPr>
            <w:tcW w:w="120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45 259,23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46,7 %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311 Разнообразяване с неселскостопански дейности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137,3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1 004,1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1 110,5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312 Създаване и развитие на бизнес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224,9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1 318,9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1 570,0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313 Насърчаване на туристическите дейности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168,5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791,9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1 112,0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1,1 %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321 Основни услуги за икономиката и населението в селските райони...</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673,8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6,3 %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3 160,9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3,6 %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3 745,6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3,9 %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322 Обновяване и развитие на селата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332,9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3,1 %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3 035,2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3 327,0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3,4 %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323 Съхраняване и възобновяване на селското наследство...</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206,3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1,9 %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1 069,1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1 194,2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3490"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331 Обучение и информация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490"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341 Придобиване на умения, мероприятия за насърчаване и прилагане на…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12,6</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96,1</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101,0</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3490" w:type="dxa"/>
            <w:tcBorders>
              <w:top w:val="single" w:sz="4" w:space="0" w:color="auto"/>
              <w:left w:val="single" w:sz="8" w:space="0" w:color="auto"/>
              <w:bottom w:val="single" w:sz="4" w:space="0" w:color="auto"/>
              <w:right w:val="single" w:sz="8" w:space="0" w:color="auto"/>
            </w:tcBorders>
            <w:shd w:val="clear" w:color="auto" w:fill="FFFF99"/>
            <w:noWrap/>
            <w:vAlign w:val="center"/>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3</w:t>
            </w:r>
          </w:p>
        </w:tc>
        <w:tc>
          <w:tcPr>
            <w:tcW w:w="108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1 773,85</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16,5 %</w:t>
            </w:r>
          </w:p>
        </w:tc>
        <w:tc>
          <w:tcPr>
            <w:tcW w:w="108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10 565,8</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11,9 %</w:t>
            </w:r>
          </w:p>
        </w:tc>
        <w:tc>
          <w:tcPr>
            <w:tcW w:w="120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12 256,8</w:t>
            </w:r>
          </w:p>
        </w:tc>
        <w:tc>
          <w:tcPr>
            <w:tcW w:w="840" w:type="dxa"/>
            <w:tcBorders>
              <w:top w:val="single" w:sz="4" w:space="0" w:color="auto"/>
              <w:left w:val="nil"/>
              <w:bottom w:val="single" w:sz="4" w:space="0" w:color="auto"/>
              <w:right w:val="single" w:sz="8" w:space="0" w:color="auto"/>
            </w:tcBorders>
            <w:shd w:val="clear" w:color="auto" w:fill="FFFF99"/>
            <w:noWrap/>
            <w:vAlign w:val="center"/>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12,6 %</w:t>
            </w:r>
          </w:p>
        </w:tc>
      </w:tr>
      <w:tr>
        <w:trPr>
          <w:trHeight w:val="270"/>
        </w:trPr>
        <w:tc>
          <w:tcPr>
            <w:tcW w:w="3490" w:type="dxa"/>
            <w:tcBorders>
              <w:top w:val="single" w:sz="4" w:space="0" w:color="auto"/>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411 Прилагане на стратегии за местно развитие…</w:t>
            </w:r>
          </w:p>
        </w:tc>
        <w:tc>
          <w:tcPr>
            <w:tcW w:w="108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140,0</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1,3 %</w:t>
            </w:r>
          </w:p>
        </w:tc>
        <w:tc>
          <w:tcPr>
            <w:tcW w:w="108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391,3</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0,4 %</w:t>
            </w:r>
          </w:p>
        </w:tc>
        <w:tc>
          <w:tcPr>
            <w:tcW w:w="120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505,2</w:t>
            </w:r>
          </w:p>
        </w:tc>
        <w:tc>
          <w:tcPr>
            <w:tcW w:w="840" w:type="dxa"/>
            <w:tcBorders>
              <w:top w:val="single" w:sz="4" w:space="0" w:color="auto"/>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412 Прилагане на стратегии за местно развитие…</w:t>
            </w:r>
          </w:p>
        </w:tc>
        <w:tc>
          <w:tcPr>
            <w:tcW w:w="108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c>
          <w:tcPr>
            <w:tcW w:w="108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single" w:sz="8" w:space="0" w:color="000000"/>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73,8</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r>
      <w:tr>
        <w:trPr>
          <w:trHeight w:val="270"/>
        </w:trPr>
        <w:tc>
          <w:tcPr>
            <w:tcW w:w="3490"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413 Прилагане на стратегии за местно развитие…</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1 034,3</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9,6 %</w:t>
            </w:r>
          </w:p>
        </w:tc>
        <w:tc>
          <w:tcPr>
            <w:tcW w:w="108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3 520,6</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4,0 %</w:t>
            </w:r>
          </w:p>
        </w:tc>
        <w:tc>
          <w:tcPr>
            <w:tcW w:w="120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4 059,9</w:t>
            </w:r>
          </w:p>
        </w:tc>
        <w:tc>
          <w:tcPr>
            <w:tcW w:w="840"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4,2 %</w:t>
            </w:r>
          </w:p>
        </w:tc>
      </w:tr>
      <w:tr>
        <w:trPr>
          <w:trHeight w:val="270"/>
        </w:trPr>
        <w:tc>
          <w:tcPr>
            <w:tcW w:w="34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421 Изпълнение на проекти за сътрудничество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57,9</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131,7</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0,1 %</w:t>
            </w:r>
          </w:p>
        </w:tc>
        <w:tc>
          <w:tcPr>
            <w:tcW w:w="120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189,9</w:t>
            </w:r>
          </w:p>
        </w:tc>
        <w:tc>
          <w:tcPr>
            <w:tcW w:w="840" w:type="dxa"/>
            <w:tcBorders>
              <w:top w:val="single" w:sz="4"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0,2 %</w:t>
            </w:r>
          </w:p>
        </w:tc>
      </w:tr>
      <w:tr>
        <w:trPr>
          <w:trHeight w:val="270"/>
        </w:trPr>
        <w:tc>
          <w:tcPr>
            <w:tcW w:w="3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431 Ръководство на местната група за действие, придобиване...</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126,6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1,2 %</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826,8</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0,9 %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928,6</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1,0 %</w:t>
            </w:r>
          </w:p>
        </w:tc>
      </w:tr>
      <w:tr>
        <w:trPr>
          <w:trHeight w:val="270"/>
        </w:trPr>
        <w:tc>
          <w:tcPr>
            <w:tcW w:w="3490" w:type="dxa"/>
            <w:tcBorders>
              <w:top w:val="nil"/>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Ос 4</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1 375,3</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12,8 %</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4 921,8</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5,5 %</w:t>
            </w:r>
          </w:p>
        </w:tc>
        <w:tc>
          <w:tcPr>
            <w:tcW w:w="120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5 757,4</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5,9 %</w:t>
            </w:r>
          </w:p>
        </w:tc>
      </w:tr>
      <w:tr>
        <w:trPr>
          <w:trHeight w:val="27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511 Техническа помощ</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247,4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2,3 %</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1 301,1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1,5 %</w:t>
            </w:r>
          </w:p>
        </w:tc>
        <w:tc>
          <w:tcPr>
            <w:tcW w:w="12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1 531,1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70"/>
        </w:trPr>
        <w:tc>
          <w:tcPr>
            <w:tcW w:w="349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611 Директни плащания (BG и RO)</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-0,2</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0,0 %</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436,4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0,5 %</w:t>
            </w:r>
          </w:p>
        </w:tc>
        <w:tc>
          <w:tcPr>
            <w:tcW w:w="12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bCs/>
                <w:noProof/>
                <w:sz w:val="16"/>
                <w:szCs w:val="16"/>
              </w:rPr>
            </w:pPr>
            <w:r>
              <w:rPr>
                <w:rFonts w:ascii="Times New Roman" w:hAnsi="Times New Roman"/>
                <w:noProof/>
                <w:sz w:val="16"/>
              </w:rPr>
              <w:t>1 531,1</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rPr>
            </w:pPr>
            <w:r>
              <w:rPr>
                <w:rFonts w:ascii="Times New Roman" w:hAnsi="Times New Roman"/>
                <w:noProof/>
                <w:sz w:val="16"/>
              </w:rPr>
              <w:t>1,6 %</w:t>
            </w:r>
          </w:p>
        </w:tc>
      </w:tr>
      <w:tr>
        <w:trPr>
          <w:trHeight w:val="270"/>
        </w:trPr>
        <w:tc>
          <w:tcPr>
            <w:tcW w:w="3490" w:type="dxa"/>
            <w:tcBorders>
              <w:top w:val="nil"/>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Всичко общо</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10 774,6</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108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88 739,9</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c>
          <w:tcPr>
            <w:tcW w:w="1200" w:type="dxa"/>
            <w:tcBorders>
              <w:top w:val="nil"/>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95 833,8</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120" w:line="240" w:lineRule="auto"/>
        <w:ind w:left="850"/>
        <w:jc w:val="both"/>
        <w:rPr>
          <w:rFonts w:ascii="Times New Roman" w:eastAsia="Times New Roman" w:hAnsi="Times New Roman"/>
          <w:noProof/>
          <w:sz w:val="20"/>
          <w:szCs w:val="20"/>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Таблица 13б</w:t>
      </w:r>
    </w:p>
    <w:tbl>
      <w:tblPr>
        <w:tblW w:w="9370" w:type="dxa"/>
        <w:tblInd w:w="98" w:type="dxa"/>
        <w:tblLayout w:type="fixed"/>
        <w:tblLook w:val="04A0" w:firstRow="1" w:lastRow="0" w:firstColumn="1" w:lastColumn="0" w:noHBand="0" w:noVBand="1"/>
      </w:tblPr>
      <w:tblGrid>
        <w:gridCol w:w="1090"/>
        <w:gridCol w:w="2760"/>
        <w:gridCol w:w="840"/>
        <w:gridCol w:w="840"/>
        <w:gridCol w:w="960"/>
        <w:gridCol w:w="1080"/>
        <w:gridCol w:w="960"/>
        <w:gridCol w:w="840"/>
      </w:tblGrid>
      <w:tr>
        <w:trPr>
          <w:trHeight w:val="255"/>
        </w:trPr>
        <w:tc>
          <w:tcPr>
            <w:tcW w:w="9370"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Декларирани разходи за ЕЗФРСР за 2015 г. (от четвъртото тримесечие на 2014 г. до третото тримесечие на 2015 г.) и общи кумулативни разходи (от четвъртото тримесечие на 2014 г. до третото тримесечие на 2015 г.) </w:t>
            </w:r>
          </w:p>
        </w:tc>
      </w:tr>
      <w:tr>
        <w:trPr>
          <w:trHeight w:val="270"/>
        </w:trPr>
        <w:tc>
          <w:tcPr>
            <w:tcW w:w="9370"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в сравнение с финансовите планове — </w:t>
            </w:r>
            <w:r>
              <w:rPr>
                <w:rFonts w:ascii="Times New Roman" w:hAnsi="Times New Roman"/>
                <w:b/>
                <w:noProof/>
                <w:sz w:val="18"/>
                <w:u w:val="single"/>
              </w:rPr>
              <w:t>ЕЗФРСР 2014—2020 г.</w:t>
            </w:r>
          </w:p>
        </w:tc>
      </w:tr>
      <w:tr>
        <w:trPr>
          <w:trHeight w:val="660"/>
        </w:trPr>
        <w:tc>
          <w:tcPr>
            <w:tcW w:w="3850" w:type="dxa"/>
            <w:gridSpan w:val="2"/>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Arial" w:eastAsia="Times New Roman" w:hAnsi="Arial" w:cs="Arial"/>
                <w:noProof/>
                <w:sz w:val="20"/>
                <w:szCs w:val="20"/>
              </w:rPr>
            </w:pPr>
            <w:r>
              <w:rPr>
                <w:rFonts w:ascii="Times New Roman" w:hAnsi="Times New Roman"/>
                <w:b/>
                <w:noProof/>
                <w:sz w:val="16"/>
              </w:rPr>
              <w:t> </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разходи за 2015 г. (от четвъртото тримесечие на 2014 г. до третото тримесечие на 2015 г.)</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кумулативни разходи (от четвъртото тримесечие на 2014 г. до третото тримесечие на 2015 г.)</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Финансови планове за 2014—2020 г.</w:t>
            </w:r>
          </w:p>
        </w:tc>
      </w:tr>
      <w:tr>
        <w:trPr>
          <w:trHeight w:val="270"/>
        </w:trPr>
        <w:tc>
          <w:tcPr>
            <w:tcW w:w="3850"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Мерки по ЕЗФРСР</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Трансфер на знания и действия за осведомяване</w:t>
            </w:r>
          </w:p>
        </w:tc>
        <w:tc>
          <w:tcPr>
            <w:tcW w:w="84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w:t>
            </w:r>
          </w:p>
        </w:tc>
        <w:tc>
          <w:tcPr>
            <w:tcW w:w="840" w:type="dxa"/>
            <w:tcBorders>
              <w:top w:val="single" w:sz="8" w:space="0" w:color="auto"/>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w:t>
            </w:r>
          </w:p>
        </w:tc>
        <w:tc>
          <w:tcPr>
            <w:tcW w:w="1080" w:type="dxa"/>
            <w:tcBorders>
              <w:top w:val="single" w:sz="8" w:space="0" w:color="auto"/>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single" w:sz="8" w:space="0" w:color="auto"/>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1 158</w:t>
            </w:r>
          </w:p>
        </w:tc>
        <w:tc>
          <w:tcPr>
            <w:tcW w:w="840" w:type="dxa"/>
            <w:tcBorders>
              <w:top w:val="single" w:sz="8" w:space="0" w:color="auto"/>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02</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Консултантски услуги, услуги по управление на стопанства и услуги по заместване в стопанствата</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885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Схеми за качество на селскостопанските продукти и храните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381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04</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във физически активи</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219,7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22 483</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05</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Възстановяване на  селскостопанския производствен потенциал, претърпял щети в резултат на природни бедствия и катастрофични събития, и въвеждане на подходящи превантивни мерки</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15,1</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15,1</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956</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06</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Развитие на стопанствата и предприятията</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71,4</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71,4</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7 315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07</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Основни услуги и обновяване на селата в селските райони</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6 652</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08</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 развитие на горските райони и подобряване жизнеспособността на горите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4 610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09</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Учредяване на групи и организации на производителите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477</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10</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Агроекология и климат</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1 364,3</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1 364,3</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36,2 %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16 335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16,5 %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Биологично земеделие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216,0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216,0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6 290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12</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Плащания по „Натура 2000“ и Рамковата директива за водите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Плащания за райони, изправени пред природни или други специфични ограничения </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1 540,0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40,9 %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16 149</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16,3 %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14</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Хуманно отношение към животните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49,0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49,0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1 401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15</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Екологични услуги и услуги във връзка с климата в горското стопанство и опазване на горите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281</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16</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Сътрудничество</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1 708</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17</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Управление на риска</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1 706</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18</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Финансиране на допълнителни национални директни плащания за Хърватия</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54,6</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54,6</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112</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19</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Подпомагане на местното развитие в рамките на LEADER – водено от общностите местно развитие (ВОМР)</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6 878</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20</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Техническа помощ на държавите членки</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1 990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113</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Ранно пенсиониране</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80,7</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80,7</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615</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090" w:type="dxa"/>
            <w:tcBorders>
              <w:top w:val="nil"/>
              <w:left w:val="single" w:sz="8" w:space="0" w:color="auto"/>
              <w:bottom w:val="nil"/>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131</w:t>
            </w:r>
          </w:p>
        </w:tc>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Спазване на стандартите, основани на законодателството на Общността</w:t>
            </w:r>
          </w:p>
        </w:tc>
        <w:tc>
          <w:tcPr>
            <w:tcW w:w="84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w:t>
            </w:r>
          </w:p>
        </w:tc>
        <w:tc>
          <w:tcPr>
            <w:tcW w:w="840" w:type="dxa"/>
            <w:tcBorders>
              <w:top w:val="nil"/>
              <w:left w:val="nil"/>
              <w:bottom w:val="nil"/>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341</w:t>
            </w:r>
          </w:p>
        </w:tc>
        <w:tc>
          <w:tcPr>
            <w:tcW w:w="2760" w:type="dxa"/>
            <w:tcBorders>
              <w:top w:val="nil"/>
              <w:left w:val="nil"/>
              <w:bottom w:val="single" w:sz="8" w:space="0" w:color="auto"/>
              <w:right w:val="nil"/>
            </w:tcBorders>
            <w:shd w:val="clear" w:color="auto" w:fill="auto"/>
            <w:noWrap/>
            <w:hideMark/>
          </w:tcPr>
          <w:p>
            <w:pPr>
              <w:spacing w:after="0" w:line="240" w:lineRule="auto"/>
              <w:rPr>
                <w:rFonts w:ascii="Times New Roman" w:eastAsia="Times New Roman" w:hAnsi="Times New Roman"/>
                <w:noProof/>
                <w:sz w:val="16"/>
                <w:szCs w:val="16"/>
              </w:rPr>
            </w:pPr>
            <w:r>
              <w:rPr>
                <w:rFonts w:ascii="Times New Roman" w:hAnsi="Times New Roman"/>
                <w:noProof/>
                <w:sz w:val="16"/>
              </w:rPr>
              <w:t>Придобиване на умения и прилагането им на практика</w:t>
            </w:r>
          </w:p>
        </w:tc>
        <w:tc>
          <w:tcPr>
            <w:tcW w:w="84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single" w:sz="8" w:space="0" w:color="auto"/>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single" w:sz="8" w:space="0" w:color="auto"/>
              <w:right w:val="nil"/>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w:t>
            </w:r>
          </w:p>
        </w:tc>
        <w:tc>
          <w:tcPr>
            <w:tcW w:w="840" w:type="dxa"/>
            <w:tcBorders>
              <w:top w:val="nil"/>
              <w:left w:val="nil"/>
              <w:bottom w:val="single" w:sz="8" w:space="0" w:color="auto"/>
              <w:right w:val="single" w:sz="8" w:space="0" w:color="auto"/>
            </w:tcBorders>
            <w:shd w:val="clear" w:color="auto" w:fill="auto"/>
            <w:noWrap/>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090"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Всичко общо</w:t>
            </w:r>
          </w:p>
        </w:tc>
        <w:tc>
          <w:tcPr>
            <w:tcW w:w="2760" w:type="dxa"/>
            <w:tcBorders>
              <w:top w:val="single" w:sz="8" w:space="0" w:color="auto"/>
              <w:left w:val="nil"/>
              <w:bottom w:val="single" w:sz="8" w:space="0" w:color="auto"/>
              <w:right w:val="single" w:sz="8" w:space="0" w:color="auto"/>
            </w:tcBorders>
            <w:shd w:val="clear" w:color="auto" w:fill="FFFF99"/>
            <w:noWrap/>
            <w:vAlign w:val="bottom"/>
            <w:hideMark/>
          </w:tcPr>
          <w:p>
            <w:pPr>
              <w:spacing w:after="0" w:line="240" w:lineRule="auto"/>
              <w:rPr>
                <w:rFonts w:ascii="Arial" w:eastAsia="Times New Roman" w:hAnsi="Arial" w:cs="Arial"/>
                <w:noProof/>
                <w:sz w:val="20"/>
                <w:szCs w:val="20"/>
              </w:rPr>
            </w:pPr>
            <w:r>
              <w:rPr>
                <w:rFonts w:ascii="Arial" w:hAnsi="Arial"/>
                <w:noProof/>
                <w:sz w:val="20"/>
              </w:rPr>
              <w:t> </w:t>
            </w:r>
          </w:p>
        </w:tc>
        <w:tc>
          <w:tcPr>
            <w:tcW w:w="840" w:type="dxa"/>
            <w:tcBorders>
              <w:top w:val="single" w:sz="8" w:space="0" w:color="auto"/>
              <w:left w:val="nil"/>
              <w:bottom w:val="single" w:sz="8" w:space="0" w:color="auto"/>
              <w:right w:val="single" w:sz="8" w:space="0" w:color="auto"/>
            </w:tcBorders>
            <w:shd w:val="clear" w:color="auto"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3 769</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3 769</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98 958</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*Държавите членки декларират разходите си на тримесечие. Декларациите за четвъртото тримесечие на година n обаче се подават през януари на година n+1. Следователно съответните възстановявания от Комисията към държавите членки в година n покриват периода от четвъртото тримесечие на година n-1 до третото тримесечие на година n.</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93" w:name="_Toc393127486"/>
      <w:bookmarkStart w:id="94" w:name="_Toc457569424"/>
      <w:bookmarkStart w:id="95" w:name="_Toc461185296"/>
      <w:r>
        <w:rPr>
          <w:rFonts w:ascii="Times New Roman" w:hAnsi="Times New Roman"/>
          <w:b/>
          <w:noProof/>
          <w:sz w:val="24"/>
        </w:rPr>
        <w:t>3.4.</w:t>
      </w:r>
      <w:r>
        <w:rPr>
          <w:noProof/>
        </w:rPr>
        <w:tab/>
      </w:r>
      <w:r>
        <w:rPr>
          <w:rFonts w:ascii="Times New Roman" w:hAnsi="Times New Roman"/>
          <w:b/>
          <w:noProof/>
          <w:sz w:val="24"/>
        </w:rPr>
        <w:t>Изпълнение на програмите по ЕЗФРСР</w:t>
      </w:r>
      <w:bookmarkEnd w:id="93"/>
      <w:r>
        <w:rPr>
          <w:rFonts w:ascii="Times New Roman" w:hAnsi="Times New Roman"/>
          <w:b/>
          <w:noProof/>
          <w:sz w:val="24"/>
        </w:rPr>
        <w:t xml:space="preserve"> — програмен период 2007—2013 г.</w:t>
      </w:r>
      <w:bookmarkEnd w:id="94"/>
      <w:bookmarkEnd w:id="95"/>
    </w:p>
    <w:bookmarkEnd w:id="92"/>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Графика 2 показва равнището на финансовото изпълнение на програмите за развитие на селските райони за периода 2007—2013 г. в отделните държави членки: плащания от началото на програмния период до 2015 г., включително четвъртото тримесечие на 2015 г., за което разходите се възстановяват през 2016 бюджетна година, в сравнение с бюджетните задължения за периода 2007—2013 г. съгласно финансовия план. Тъй като 2013 г. е последната година, през която са поети задължения, равнището на изпълнение се равнява на равнището на усвояване (плащанията, извършени от началото на програмния период, в сравнение с общото разпределение за периода 2007—2013 г.). Средното равнище на финансовото изпълнение за всички програми по ЕЗФРСР е 95 %.</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На графика 2 се вижда, че почти всички държави членки са усвоили 95 % от бюджетните кредити за 2007—2013 г.</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До края на 2015 г. прилагането на правилото N+2 е довело до отменени бюджетни кредити за поети задължения, които възлизат на 410,4 млн. евро. Тази сума се отнася за годините 2008, 2009, 2010, 2011 и 2012.</w:t>
      </w:r>
    </w:p>
    <w:p>
      <w:pPr>
        <w:spacing w:before="120" w:after="120" w:line="240" w:lineRule="auto"/>
        <w:ind w:left="850"/>
        <w:jc w:val="both"/>
        <w:rPr>
          <w:rFonts w:ascii="Times New Roman" w:eastAsia="Times New Roman" w:hAnsi="Times New Roman"/>
          <w:noProof/>
          <w:sz w:val="24"/>
        </w:rPr>
      </w:pPr>
    </w:p>
    <w:p>
      <w:pPr>
        <w:spacing w:before="120" w:after="120" w:line="240" w:lineRule="auto"/>
        <w:jc w:val="both"/>
        <w:rPr>
          <w:rFonts w:ascii="Times New Roman" w:eastAsia="Times New Roman" w:hAnsi="Times New Roman"/>
          <w:noProof/>
          <w:sz w:val="24"/>
        </w:rPr>
      </w:pPr>
    </w:p>
    <w:p>
      <w:pPr>
        <w:spacing w:before="120" w:after="120" w:line="240" w:lineRule="auto"/>
        <w:rPr>
          <w:rFonts w:ascii="Times New Roman" w:eastAsia="Times New Roman" w:hAnsi="Times New Roman"/>
          <w:noProof/>
          <w:sz w:val="24"/>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p>
    <w:p>
      <w:pPr>
        <w:spacing w:before="120" w:after="120" w:line="240" w:lineRule="auto"/>
        <w:jc w:val="both"/>
        <w:rPr>
          <w:noProof/>
        </w:rPr>
      </w:pPr>
      <w:r>
        <w:rPr>
          <w:noProof/>
        </w:rPr>
        <w:pict>
          <v:shape id="_x0000_i1026" type="#_x0000_t75" style="width:704pt;height:431pt;mso-left-percent:-10001;mso-top-percent:-10001;mso-position-horizontal:absolute;mso-position-horizontal-relative:char;mso-position-vertical:absolute;mso-position-vertical-relative:line;mso-left-percent:-10001;mso-top-percent:-10001">
            <v:imagedata r:id="rId41" o:title=""/>
          </v:shape>
        </w:pict>
      </w:r>
    </w:p>
    <w:sectPr>
      <w:headerReference w:type="even" r:id="rId42"/>
      <w:headerReference w:type="default" r:id="rId43"/>
      <w:footerReference w:type="even" r:id="rId44"/>
      <w:footerReference w:type="default" r:id="rId45"/>
      <w:headerReference w:type="first" r:id="rId46"/>
      <w:footerReference w:type="first" r:id="rId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22</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23</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oNotTrackMoves/>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2A1D98224BA4F4094A43070511F92FE"/>
    <w:docVar w:name="LW_CROSSREFERENCE" w:val="&lt;UNUSED&gt;"/>
    <w:docVar w:name="LW_DocType" w:val="NORMAL"/>
    <w:docVar w:name="LW_EMISSION" w:val="30.9.2016"/>
    <w:docVar w:name="LW_EMISSION_ISODATE" w:val="2016-09-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32"/>
    <w:docVar w:name="LW_REF.INTERNE" w:val="&lt;UNUSED&gt;"/>
    <w:docVar w:name="LW_SOUS.TITRE.OBJ.CP" w:val="&lt;UNUSED&gt;"/>
    <w:docVar w:name="LW_SUPERTITRE" w:val="&lt;UNUSED&gt;"/>
    <w:docVar w:name="LW_TITRE.OBJ.CP" w:val="\u1044?\u1045?\u1042?\u1045?\u1058?\u1048? \u1060?\u1048?\u1053?\u1040?\u1053?\u1057?\u1054?\u1042? \u1044?\u1054?\u1050?\u1051?\u1040?\u1044? \u1053?\u1040? \u1050?\u1054?\u1052?\u1048?\u1057?\u1048?\u1071?\u1058?\u1040? \u1044?\u1054? \u1045?\u1042?\u1056?\u1054?\u1055?\u1045?\u1049?\u1057?\u1050?\u1048?\u1071? \u1055?\u1040?\u1056?\u1051?\u1040?\u1052?\u1045?\u1053?\u1058? \u1048? \u1044?\u1054? \u1057?\u1066?\u1042?\u1045?\u1058?\u1040? \u1086?\u1090?\u1085?\u1086?\u1089?\u1085?\u1086? \u1045?\u1042?\u1056?\u1054?\u1055?\u1045?\u1049?\u1057?\u1050?\u1048?\u1071? \u1047?\u1045?\u1052?\u1045?\u1044?\u1045?\u1051?\u1057?\u1050?\u1048? \u1060?\u1054?\u1053?\u1044? \u1047?\u1040? \u1056?\u1040?\u1047?\u1042?\u1048?\u1058?\u1048?\u1045? \u1053?\u1040? \u1057?\u1045?\u1051?\u1057?\u1050?\u1048?\u1058?\u1045? \u1056?\u1040?\u1049?\u1054?\u1053?\u1048? (\u1045?\u1047?\u1060?\u1056?\u1057?\u1056?) \u1060?\u1048?\u1053?\u1040?\u1053?\u1057?\u1054?\u1042?\u1040? 2015 \u1043?\u1054?\u1044?\u1048?\u1053?\u104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lang w:val="bg-BG" w:eastAsia="bg-BG" w:bidi="bg-BG"/>
    </w:rPr>
  </w:style>
  <w:style w:type="character" w:customStyle="1" w:styleId="Heading2Char">
    <w:name w:val="Heading 2 Char"/>
    <w:link w:val="Heading2"/>
    <w:uiPriority w:val="9"/>
    <w:rPr>
      <w:rFonts w:ascii="Times New Roman" w:eastAsia="Times New Roman" w:hAnsi="Times New Roman"/>
      <w:b/>
      <w:bCs/>
      <w:sz w:val="24"/>
      <w:szCs w:val="26"/>
      <w:lang w:val="bg-BG" w:eastAsia="bg-BG" w:bidi="bg-BG"/>
    </w:rPr>
  </w:style>
  <w:style w:type="character" w:customStyle="1" w:styleId="Heading3Char">
    <w:name w:val="Heading 3 Char"/>
    <w:link w:val="Heading3"/>
    <w:uiPriority w:val="9"/>
    <w:rPr>
      <w:rFonts w:ascii="Times New Roman" w:eastAsia="Times New Roman" w:hAnsi="Times New Roman"/>
      <w:bCs/>
      <w:i/>
      <w:sz w:val="24"/>
      <w:szCs w:val="22"/>
      <w:lang w:val="bg-BG" w:eastAsia="bg-BG" w:bidi="bg-BG"/>
    </w:rPr>
  </w:style>
  <w:style w:type="character" w:customStyle="1" w:styleId="Heading4Char">
    <w:name w:val="Heading 4 Char"/>
    <w:link w:val="Heading4"/>
    <w:uiPriority w:val="9"/>
    <w:rPr>
      <w:rFonts w:ascii="Times New Roman" w:eastAsia="Times New Roman" w:hAnsi="Times New Roman"/>
      <w:bCs/>
      <w:iCs/>
      <w:sz w:val="24"/>
      <w:szCs w:val="22"/>
      <w:lang w:val="bg-BG" w:eastAsia="bg-BG" w:bidi="bg-BG"/>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en-GB" w:eastAsia="en-GB" w:bidi="ar-SA"/>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en-GB" w:eastAsia="en-GB" w:bidi="ar-SA"/>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lang w:val="bg-BG" w:eastAsia="bg-BG" w:bidi="bg-BG"/>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lang w:val="bg-BG" w:eastAsia="bg-BG" w:bidi="bg-BG"/>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182F-4E5D-4595-BF5E-81748B66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23</Pages>
  <Words>7423</Words>
  <Characters>30512</Characters>
  <Application>Microsoft Office Word</Application>
  <DocSecurity>0</DocSecurity>
  <Lines>2542</Lines>
  <Paragraphs>2231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35704</CharactersWithSpaces>
  <SharedDoc>false</SharedDoc>
  <HLinks>
    <vt:vector size="126" baseType="variant">
      <vt:variant>
        <vt:i4>1835057</vt:i4>
      </vt:variant>
      <vt:variant>
        <vt:i4>122</vt:i4>
      </vt:variant>
      <vt:variant>
        <vt:i4>0</vt:i4>
      </vt:variant>
      <vt:variant>
        <vt:i4>5</vt:i4>
      </vt:variant>
      <vt:variant>
        <vt:lpwstr/>
      </vt:variant>
      <vt:variant>
        <vt:lpwstr>_Toc457569424</vt:lpwstr>
      </vt:variant>
      <vt:variant>
        <vt:i4>1835057</vt:i4>
      </vt:variant>
      <vt:variant>
        <vt:i4>116</vt:i4>
      </vt:variant>
      <vt:variant>
        <vt:i4>0</vt:i4>
      </vt:variant>
      <vt:variant>
        <vt:i4>5</vt:i4>
      </vt:variant>
      <vt:variant>
        <vt:lpwstr/>
      </vt:variant>
      <vt:variant>
        <vt:lpwstr>_Toc457569423</vt:lpwstr>
      </vt:variant>
      <vt:variant>
        <vt:i4>1835057</vt:i4>
      </vt:variant>
      <vt:variant>
        <vt:i4>110</vt:i4>
      </vt:variant>
      <vt:variant>
        <vt:i4>0</vt:i4>
      </vt:variant>
      <vt:variant>
        <vt:i4>5</vt:i4>
      </vt:variant>
      <vt:variant>
        <vt:lpwstr/>
      </vt:variant>
      <vt:variant>
        <vt:lpwstr>_Toc457569422</vt:lpwstr>
      </vt:variant>
      <vt:variant>
        <vt:i4>1835057</vt:i4>
      </vt:variant>
      <vt:variant>
        <vt:i4>104</vt:i4>
      </vt:variant>
      <vt:variant>
        <vt:i4>0</vt:i4>
      </vt:variant>
      <vt:variant>
        <vt:i4>5</vt:i4>
      </vt:variant>
      <vt:variant>
        <vt:lpwstr/>
      </vt:variant>
      <vt:variant>
        <vt:lpwstr>_Toc457569421</vt:lpwstr>
      </vt:variant>
      <vt:variant>
        <vt:i4>1835057</vt:i4>
      </vt:variant>
      <vt:variant>
        <vt:i4>98</vt:i4>
      </vt:variant>
      <vt:variant>
        <vt:i4>0</vt:i4>
      </vt:variant>
      <vt:variant>
        <vt:i4>5</vt:i4>
      </vt:variant>
      <vt:variant>
        <vt:lpwstr/>
      </vt:variant>
      <vt:variant>
        <vt:lpwstr>_Toc457569420</vt:lpwstr>
      </vt:variant>
      <vt:variant>
        <vt:i4>2031665</vt:i4>
      </vt:variant>
      <vt:variant>
        <vt:i4>92</vt:i4>
      </vt:variant>
      <vt:variant>
        <vt:i4>0</vt:i4>
      </vt:variant>
      <vt:variant>
        <vt:i4>5</vt:i4>
      </vt:variant>
      <vt:variant>
        <vt:lpwstr/>
      </vt:variant>
      <vt:variant>
        <vt:lpwstr>_Toc457569419</vt:lpwstr>
      </vt:variant>
      <vt:variant>
        <vt:i4>2031665</vt:i4>
      </vt:variant>
      <vt:variant>
        <vt:i4>86</vt:i4>
      </vt:variant>
      <vt:variant>
        <vt:i4>0</vt:i4>
      </vt:variant>
      <vt:variant>
        <vt:i4>5</vt:i4>
      </vt:variant>
      <vt:variant>
        <vt:lpwstr/>
      </vt:variant>
      <vt:variant>
        <vt:lpwstr>_Toc457569418</vt:lpwstr>
      </vt:variant>
      <vt:variant>
        <vt:i4>2031665</vt:i4>
      </vt:variant>
      <vt:variant>
        <vt:i4>80</vt:i4>
      </vt:variant>
      <vt:variant>
        <vt:i4>0</vt:i4>
      </vt:variant>
      <vt:variant>
        <vt:i4>5</vt:i4>
      </vt:variant>
      <vt:variant>
        <vt:lpwstr/>
      </vt:variant>
      <vt:variant>
        <vt:lpwstr>_Toc457569417</vt:lpwstr>
      </vt:variant>
      <vt:variant>
        <vt:i4>2031665</vt:i4>
      </vt:variant>
      <vt:variant>
        <vt:i4>74</vt:i4>
      </vt:variant>
      <vt:variant>
        <vt:i4>0</vt:i4>
      </vt:variant>
      <vt:variant>
        <vt:i4>5</vt:i4>
      </vt:variant>
      <vt:variant>
        <vt:lpwstr/>
      </vt:variant>
      <vt:variant>
        <vt:lpwstr>_Toc457569416</vt:lpwstr>
      </vt:variant>
      <vt:variant>
        <vt:i4>2031665</vt:i4>
      </vt:variant>
      <vt:variant>
        <vt:i4>68</vt:i4>
      </vt:variant>
      <vt:variant>
        <vt:i4>0</vt:i4>
      </vt:variant>
      <vt:variant>
        <vt:i4>5</vt:i4>
      </vt:variant>
      <vt:variant>
        <vt:lpwstr/>
      </vt:variant>
      <vt:variant>
        <vt:lpwstr>_Toc457569415</vt:lpwstr>
      </vt:variant>
      <vt:variant>
        <vt:i4>2031665</vt:i4>
      </vt:variant>
      <vt:variant>
        <vt:i4>62</vt:i4>
      </vt:variant>
      <vt:variant>
        <vt:i4>0</vt:i4>
      </vt:variant>
      <vt:variant>
        <vt:i4>5</vt:i4>
      </vt:variant>
      <vt:variant>
        <vt:lpwstr/>
      </vt:variant>
      <vt:variant>
        <vt:lpwstr>_Toc457569414</vt:lpwstr>
      </vt:variant>
      <vt:variant>
        <vt:i4>2031665</vt:i4>
      </vt:variant>
      <vt:variant>
        <vt:i4>56</vt:i4>
      </vt:variant>
      <vt:variant>
        <vt:i4>0</vt:i4>
      </vt:variant>
      <vt:variant>
        <vt:i4>5</vt:i4>
      </vt:variant>
      <vt:variant>
        <vt:lpwstr/>
      </vt:variant>
      <vt:variant>
        <vt:lpwstr>_Toc457569413</vt:lpwstr>
      </vt:variant>
      <vt:variant>
        <vt:i4>2031665</vt:i4>
      </vt:variant>
      <vt:variant>
        <vt:i4>50</vt:i4>
      </vt:variant>
      <vt:variant>
        <vt:i4>0</vt:i4>
      </vt:variant>
      <vt:variant>
        <vt:i4>5</vt:i4>
      </vt:variant>
      <vt:variant>
        <vt:lpwstr/>
      </vt:variant>
      <vt:variant>
        <vt:lpwstr>_Toc457569412</vt:lpwstr>
      </vt:variant>
      <vt:variant>
        <vt:i4>2031665</vt:i4>
      </vt:variant>
      <vt:variant>
        <vt:i4>44</vt:i4>
      </vt:variant>
      <vt:variant>
        <vt:i4>0</vt:i4>
      </vt:variant>
      <vt:variant>
        <vt:i4>5</vt:i4>
      </vt:variant>
      <vt:variant>
        <vt:lpwstr/>
      </vt:variant>
      <vt:variant>
        <vt:lpwstr>_Toc457569411</vt:lpwstr>
      </vt:variant>
      <vt:variant>
        <vt:i4>2031665</vt:i4>
      </vt:variant>
      <vt:variant>
        <vt:i4>38</vt:i4>
      </vt:variant>
      <vt:variant>
        <vt:i4>0</vt:i4>
      </vt:variant>
      <vt:variant>
        <vt:i4>5</vt:i4>
      </vt:variant>
      <vt:variant>
        <vt:lpwstr/>
      </vt:variant>
      <vt:variant>
        <vt:lpwstr>_Toc457569410</vt:lpwstr>
      </vt:variant>
      <vt:variant>
        <vt:i4>1966129</vt:i4>
      </vt:variant>
      <vt:variant>
        <vt:i4>32</vt:i4>
      </vt:variant>
      <vt:variant>
        <vt:i4>0</vt:i4>
      </vt:variant>
      <vt:variant>
        <vt:i4>5</vt:i4>
      </vt:variant>
      <vt:variant>
        <vt:lpwstr/>
      </vt:variant>
      <vt:variant>
        <vt:lpwstr>_Toc457569409</vt:lpwstr>
      </vt:variant>
      <vt:variant>
        <vt:i4>1966129</vt:i4>
      </vt:variant>
      <vt:variant>
        <vt:i4>26</vt:i4>
      </vt:variant>
      <vt:variant>
        <vt:i4>0</vt:i4>
      </vt:variant>
      <vt:variant>
        <vt:i4>5</vt:i4>
      </vt:variant>
      <vt:variant>
        <vt:lpwstr/>
      </vt:variant>
      <vt:variant>
        <vt:lpwstr>_Toc457569408</vt:lpwstr>
      </vt:variant>
      <vt:variant>
        <vt:i4>1966129</vt:i4>
      </vt:variant>
      <vt:variant>
        <vt:i4>20</vt:i4>
      </vt:variant>
      <vt:variant>
        <vt:i4>0</vt:i4>
      </vt:variant>
      <vt:variant>
        <vt:i4>5</vt:i4>
      </vt:variant>
      <vt:variant>
        <vt:lpwstr/>
      </vt:variant>
      <vt:variant>
        <vt:lpwstr>_Toc457569407</vt:lpwstr>
      </vt:variant>
      <vt:variant>
        <vt:i4>1966129</vt:i4>
      </vt:variant>
      <vt:variant>
        <vt:i4>14</vt:i4>
      </vt:variant>
      <vt:variant>
        <vt:i4>0</vt:i4>
      </vt:variant>
      <vt:variant>
        <vt:i4>5</vt:i4>
      </vt:variant>
      <vt:variant>
        <vt:lpwstr/>
      </vt:variant>
      <vt:variant>
        <vt:lpwstr>_Toc457569406</vt:lpwstr>
      </vt:variant>
      <vt:variant>
        <vt:i4>1966129</vt:i4>
      </vt:variant>
      <vt:variant>
        <vt:i4>8</vt:i4>
      </vt:variant>
      <vt:variant>
        <vt:i4>0</vt:i4>
      </vt:variant>
      <vt:variant>
        <vt:i4>5</vt:i4>
      </vt:variant>
      <vt:variant>
        <vt:lpwstr/>
      </vt:variant>
      <vt:variant>
        <vt:lpwstr>_Toc457569405</vt:lpwstr>
      </vt:variant>
      <vt:variant>
        <vt:i4>1966129</vt:i4>
      </vt:variant>
      <vt:variant>
        <vt:i4>2</vt:i4>
      </vt:variant>
      <vt:variant>
        <vt:i4>0</vt:i4>
      </vt:variant>
      <vt:variant>
        <vt:i4>5</vt:i4>
      </vt:variant>
      <vt:variant>
        <vt:lpwstr/>
      </vt:variant>
      <vt:variant>
        <vt:lpwstr>_Toc457569404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2016-07-29T13:23:00Z</cp:lastPrinted>
  <dcterms:created xsi:type="dcterms:W3CDTF">2016-08-04T11:40:00Z</dcterms:created>
  <dcterms:modified xsi:type="dcterms:W3CDTF">2016-09-23T07:57:00Z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DocStatus">
    <vt:lpwstr>Green</vt:lpwstr>
  </property>
</Properties>
</file>