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81B275C3F5A4F7BB3876C63B1366951" style="width:450.75pt;height:321pt">
            <v:imagedata r:id="rId15" o:title=""/>
          </v:shape>
        </w:pict>
      </w:r>
    </w:p>
    <w:bookmarkEnd w:id="0"/>
    <w:p>
      <w:pPr>
        <w:rPr>
          <w:noProof/>
          <w:lang w:eastAsia="en-GB"/>
        </w:rPr>
        <w:sectPr>
          <w:headerReference w:type="even" r:id="rId16"/>
          <w:headerReference w:type="default" r:id="rId17"/>
          <w:footerReference w:type="even" r:id="rId18"/>
          <w:footerReference w:type="default" r:id="rId19"/>
          <w:headerReference w:type="first" r:id="rId20"/>
          <w:footerReference w:type="first" r:id="rId21"/>
          <w:footnotePr>
            <w:numFmt w:val="chicago"/>
          </w:footnotePr>
          <w:pgSz w:w="11906" w:h="16838"/>
          <w:pgMar w:top="1134" w:right="1417" w:bottom="1134" w:left="1417" w:header="709" w:footer="709" w:gutter="0"/>
          <w:pgNumType w:fmt="lowerRoman" w:start="1"/>
          <w:cols w:space="720"/>
          <w:docGrid w:linePitch="326"/>
        </w:sectPr>
      </w:pPr>
    </w:p>
    <w:bookmarkStart w:id="1" w:name="_GoBack"/>
    <w:bookmarkEnd w:id="1"/>
    <w:p>
      <w:pPr>
        <w:pStyle w:val="TOC1"/>
        <w:tabs>
          <w:tab w:val="left" w:pos="480"/>
          <w:tab w:val="right" w:leader="dot" w:pos="8608"/>
        </w:tabs>
        <w:rPr>
          <w:rFonts w:asciiTheme="minorHAnsi" w:eastAsiaTheme="minorEastAsia" w:hAnsiTheme="minorHAnsi" w:cstheme="minorBidi"/>
          <w:b w:val="0"/>
          <w:bCs w:val="0"/>
          <w:i w:val="0"/>
          <w:iCs w:val="0"/>
          <w:noProof/>
          <w:sz w:val="22"/>
          <w:szCs w:val="22"/>
          <w:lang w:eastAsia="en-GB"/>
        </w:rPr>
      </w:pPr>
      <w:r>
        <w:rPr>
          <w:b w:val="0"/>
          <w:bCs w:val="0"/>
          <w:i w:val="0"/>
          <w:iCs w:val="0"/>
          <w:noProof/>
        </w:rPr>
        <w:lastRenderedPageBreak/>
        <w:fldChar w:fldCharType="begin"/>
      </w:r>
      <w:r>
        <w:rPr>
          <w:b w:val="0"/>
          <w:bCs w:val="0"/>
          <w:i w:val="0"/>
          <w:iCs w:val="0"/>
          <w:noProof/>
        </w:rPr>
        <w:instrText xml:space="preserve"> TOC \o "1-3" \h \z \u </w:instrText>
      </w:r>
      <w:r>
        <w:rPr>
          <w:b w:val="0"/>
          <w:bCs w:val="0"/>
          <w:i w:val="0"/>
          <w:iCs w:val="0"/>
          <w:noProof/>
        </w:rPr>
        <w:fldChar w:fldCharType="separate"/>
      </w:r>
      <w:hyperlink w:anchor="_Toc460576836" w:history="1">
        <w:r>
          <w:rPr>
            <w:rStyle w:val="Hyperlink"/>
            <w:noProof/>
          </w:rPr>
          <w:t>1.</w:t>
        </w:r>
        <w:r>
          <w:rPr>
            <w:rFonts w:asciiTheme="minorHAnsi" w:eastAsiaTheme="minorEastAsia" w:hAnsiTheme="minorHAnsi" w:cstheme="minorBidi"/>
            <w:b w:val="0"/>
            <w:bCs w:val="0"/>
            <w:i w:val="0"/>
            <w:iCs w:val="0"/>
            <w:noProof/>
            <w:sz w:val="22"/>
            <w:szCs w:val="22"/>
            <w:lang w:eastAsia="en-GB"/>
          </w:rPr>
          <w:tab/>
        </w:r>
        <w:r>
          <w:rPr>
            <w:rStyle w:val="Hyperlink"/>
            <w:noProof/>
          </w:rPr>
          <w:t>Въведение</w:t>
        </w:r>
        <w:r>
          <w:rPr>
            <w:noProof/>
            <w:webHidden/>
          </w:rPr>
          <w:tab/>
        </w:r>
        <w:r>
          <w:rPr>
            <w:noProof/>
            <w:webHidden/>
          </w:rPr>
          <w:fldChar w:fldCharType="begin"/>
        </w:r>
        <w:r>
          <w:rPr>
            <w:noProof/>
            <w:webHidden/>
          </w:rPr>
          <w:instrText xml:space="preserve"> PAGEREF _Toc460576836 \h </w:instrText>
        </w:r>
        <w:r>
          <w:rPr>
            <w:noProof/>
            <w:webHidden/>
          </w:rPr>
        </w:r>
        <w:r>
          <w:rPr>
            <w:noProof/>
            <w:webHidden/>
          </w:rPr>
          <w:fldChar w:fldCharType="separate"/>
        </w:r>
        <w:r>
          <w:rPr>
            <w:noProof/>
            <w:webHidden/>
          </w:rPr>
          <w:t>3</w:t>
        </w:r>
        <w:r>
          <w:rPr>
            <w:noProof/>
            <w:webHidden/>
          </w:rPr>
          <w:fldChar w:fldCharType="end"/>
        </w:r>
      </w:hyperlink>
    </w:p>
    <w:p>
      <w:pPr>
        <w:pStyle w:val="TOC1"/>
        <w:tabs>
          <w:tab w:val="left" w:pos="480"/>
          <w:tab w:val="right" w:leader="dot" w:pos="8608"/>
        </w:tabs>
        <w:rPr>
          <w:rFonts w:asciiTheme="minorHAnsi" w:eastAsiaTheme="minorEastAsia" w:hAnsiTheme="minorHAnsi" w:cstheme="minorBidi"/>
          <w:b w:val="0"/>
          <w:bCs w:val="0"/>
          <w:i w:val="0"/>
          <w:iCs w:val="0"/>
          <w:noProof/>
          <w:sz w:val="22"/>
          <w:szCs w:val="22"/>
          <w:lang w:eastAsia="en-GB"/>
        </w:rPr>
      </w:pPr>
      <w:hyperlink w:anchor="_Toc460576837" w:history="1">
        <w:r>
          <w:rPr>
            <w:rStyle w:val="Hyperlink"/>
            <w:noProof/>
            <w:lang w:val="bg-BG"/>
          </w:rPr>
          <w:t>2.</w:t>
        </w:r>
        <w:r>
          <w:rPr>
            <w:rFonts w:asciiTheme="minorHAnsi" w:eastAsiaTheme="minorEastAsia" w:hAnsiTheme="minorHAnsi" w:cstheme="minorBidi"/>
            <w:b w:val="0"/>
            <w:bCs w:val="0"/>
            <w:i w:val="0"/>
            <w:iCs w:val="0"/>
            <w:noProof/>
            <w:sz w:val="22"/>
            <w:szCs w:val="22"/>
            <w:lang w:eastAsia="en-GB"/>
          </w:rPr>
          <w:tab/>
        </w:r>
        <w:r>
          <w:rPr>
            <w:rStyle w:val="Hyperlink"/>
            <w:noProof/>
            <w:lang w:val="bg-BG"/>
          </w:rPr>
          <w:t xml:space="preserve">Мисия на </w:t>
        </w:r>
        <w:r>
          <w:rPr>
            <w:rStyle w:val="Hyperlink"/>
            <w:noProof/>
          </w:rPr>
          <w:t>IAS</w:t>
        </w:r>
        <w:r>
          <w:rPr>
            <w:rStyle w:val="Hyperlink"/>
            <w:noProof/>
            <w:lang w:val="bg-BG"/>
          </w:rPr>
          <w:t>: независимост, обективност и отчетност Цели и обхват на Доклада</w:t>
        </w:r>
        <w:r>
          <w:rPr>
            <w:noProof/>
            <w:webHidden/>
          </w:rPr>
          <w:tab/>
        </w:r>
        <w:r>
          <w:rPr>
            <w:noProof/>
            <w:webHidden/>
          </w:rPr>
          <w:fldChar w:fldCharType="begin"/>
        </w:r>
        <w:r>
          <w:rPr>
            <w:noProof/>
            <w:webHidden/>
          </w:rPr>
          <w:instrText xml:space="preserve"> PAGEREF _Toc460576837 \h </w:instrText>
        </w:r>
        <w:r>
          <w:rPr>
            <w:noProof/>
            <w:webHidden/>
          </w:rPr>
        </w:r>
        <w:r>
          <w:rPr>
            <w:noProof/>
            <w:webHidden/>
          </w:rPr>
          <w:fldChar w:fldCharType="separate"/>
        </w:r>
        <w:r>
          <w:rPr>
            <w:noProof/>
            <w:webHidden/>
          </w:rPr>
          <w:t>3</w:t>
        </w:r>
        <w:r>
          <w:rPr>
            <w:noProof/>
            <w:webHidden/>
          </w:rPr>
          <w:fldChar w:fldCharType="end"/>
        </w:r>
      </w:hyperlink>
    </w:p>
    <w:p>
      <w:pPr>
        <w:pStyle w:val="TOC1"/>
        <w:tabs>
          <w:tab w:val="left" w:pos="480"/>
          <w:tab w:val="right" w:leader="dot" w:pos="8608"/>
        </w:tabs>
        <w:rPr>
          <w:rFonts w:asciiTheme="minorHAnsi" w:eastAsiaTheme="minorEastAsia" w:hAnsiTheme="minorHAnsi" w:cstheme="minorBidi"/>
          <w:b w:val="0"/>
          <w:bCs w:val="0"/>
          <w:i w:val="0"/>
          <w:iCs w:val="0"/>
          <w:noProof/>
          <w:sz w:val="22"/>
          <w:szCs w:val="22"/>
          <w:lang w:eastAsia="en-GB"/>
        </w:rPr>
      </w:pPr>
      <w:hyperlink w:anchor="_Toc460576838" w:history="1">
        <w:r>
          <w:rPr>
            <w:rStyle w:val="Hyperlink"/>
            <w:noProof/>
          </w:rPr>
          <w:t>3.</w:t>
        </w:r>
        <w:r>
          <w:rPr>
            <w:rFonts w:asciiTheme="minorHAnsi" w:eastAsiaTheme="minorEastAsia" w:hAnsiTheme="minorHAnsi" w:cstheme="minorBidi"/>
            <w:b w:val="0"/>
            <w:bCs w:val="0"/>
            <w:i w:val="0"/>
            <w:iCs w:val="0"/>
            <w:noProof/>
            <w:sz w:val="22"/>
            <w:szCs w:val="22"/>
            <w:lang w:eastAsia="en-GB"/>
          </w:rPr>
          <w:tab/>
        </w:r>
        <w:r>
          <w:rPr>
            <w:rStyle w:val="Hyperlink"/>
            <w:noProof/>
          </w:rPr>
          <w:t>Преглед на извършените одити</w:t>
        </w:r>
        <w:r>
          <w:rPr>
            <w:noProof/>
            <w:webHidden/>
          </w:rPr>
          <w:tab/>
        </w:r>
        <w:r>
          <w:rPr>
            <w:noProof/>
            <w:webHidden/>
          </w:rPr>
          <w:fldChar w:fldCharType="begin"/>
        </w:r>
        <w:r>
          <w:rPr>
            <w:noProof/>
            <w:webHidden/>
          </w:rPr>
          <w:instrText xml:space="preserve"> PAGEREF _Toc460576838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960"/>
          <w:tab w:val="right" w:leader="dot" w:pos="8608"/>
        </w:tabs>
        <w:rPr>
          <w:rFonts w:asciiTheme="minorHAnsi" w:eastAsiaTheme="minorEastAsia" w:hAnsiTheme="minorHAnsi" w:cstheme="minorBidi"/>
          <w:b w:val="0"/>
          <w:bCs w:val="0"/>
          <w:noProof/>
          <w:lang w:eastAsia="en-GB"/>
        </w:rPr>
      </w:pPr>
      <w:hyperlink w:anchor="_Toc460576839" w:history="1">
        <w:r>
          <w:rPr>
            <w:rStyle w:val="Hyperlink"/>
            <w:noProof/>
          </w:rPr>
          <w:t>3.1.</w:t>
        </w:r>
        <w:r>
          <w:rPr>
            <w:rFonts w:asciiTheme="minorHAnsi" w:eastAsiaTheme="minorEastAsia" w:hAnsiTheme="minorHAnsi" w:cstheme="minorBidi"/>
            <w:b w:val="0"/>
            <w:bCs w:val="0"/>
            <w:noProof/>
            <w:lang w:eastAsia="en-GB"/>
          </w:rPr>
          <w:tab/>
        </w:r>
        <w:r>
          <w:rPr>
            <w:rStyle w:val="Hyperlink"/>
            <w:noProof/>
          </w:rPr>
          <w:t>Изпълнение на плана за одит за 2015 г.</w:t>
        </w:r>
        <w:r>
          <w:rPr>
            <w:noProof/>
            <w:webHidden/>
          </w:rPr>
          <w:tab/>
        </w:r>
        <w:r>
          <w:rPr>
            <w:noProof/>
            <w:webHidden/>
          </w:rPr>
          <w:fldChar w:fldCharType="begin"/>
        </w:r>
        <w:r>
          <w:rPr>
            <w:noProof/>
            <w:webHidden/>
          </w:rPr>
          <w:instrText xml:space="preserve"> PAGEREF _Toc460576839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960"/>
          <w:tab w:val="right" w:leader="dot" w:pos="8608"/>
        </w:tabs>
        <w:rPr>
          <w:rFonts w:asciiTheme="minorHAnsi" w:eastAsiaTheme="minorEastAsia" w:hAnsiTheme="minorHAnsi" w:cstheme="minorBidi"/>
          <w:b w:val="0"/>
          <w:bCs w:val="0"/>
          <w:noProof/>
          <w:lang w:eastAsia="en-GB"/>
        </w:rPr>
      </w:pPr>
      <w:hyperlink w:anchor="_Toc460576840" w:history="1">
        <w:r>
          <w:rPr>
            <w:rStyle w:val="Hyperlink"/>
            <w:noProof/>
          </w:rPr>
          <w:t>3.2.</w:t>
        </w:r>
        <w:r>
          <w:rPr>
            <w:rFonts w:asciiTheme="minorHAnsi" w:eastAsiaTheme="minorEastAsia" w:hAnsiTheme="minorHAnsi" w:cstheme="minorBidi"/>
            <w:b w:val="0"/>
            <w:bCs w:val="0"/>
            <w:noProof/>
            <w:lang w:eastAsia="en-GB"/>
          </w:rPr>
          <w:tab/>
        </w:r>
        <w:r>
          <w:rPr>
            <w:rStyle w:val="Hyperlink"/>
            <w:noProof/>
          </w:rPr>
          <w:t>Статистически данни относно препоръките на ІAS</w:t>
        </w:r>
        <w:r>
          <w:rPr>
            <w:noProof/>
            <w:webHidden/>
          </w:rPr>
          <w:tab/>
        </w:r>
        <w:r>
          <w:rPr>
            <w:noProof/>
            <w:webHidden/>
          </w:rPr>
          <w:fldChar w:fldCharType="begin"/>
        </w:r>
        <w:r>
          <w:rPr>
            <w:noProof/>
            <w:webHidden/>
          </w:rPr>
          <w:instrText xml:space="preserve"> PAGEREF _Toc460576840 \h </w:instrText>
        </w:r>
        <w:r>
          <w:rPr>
            <w:noProof/>
            <w:webHidden/>
          </w:rPr>
        </w:r>
        <w:r>
          <w:rPr>
            <w:noProof/>
            <w:webHidden/>
          </w:rPr>
          <w:fldChar w:fldCharType="separate"/>
        </w:r>
        <w:r>
          <w:rPr>
            <w:noProof/>
            <w:webHidden/>
          </w:rPr>
          <w:t>6</w:t>
        </w:r>
        <w:r>
          <w:rPr>
            <w:noProof/>
            <w:webHidden/>
          </w:rPr>
          <w:fldChar w:fldCharType="end"/>
        </w:r>
      </w:hyperlink>
    </w:p>
    <w:p>
      <w:pPr>
        <w:pStyle w:val="TOC1"/>
        <w:tabs>
          <w:tab w:val="left" w:pos="480"/>
          <w:tab w:val="right" w:leader="dot" w:pos="8608"/>
        </w:tabs>
        <w:rPr>
          <w:rFonts w:asciiTheme="minorHAnsi" w:eastAsiaTheme="minorEastAsia" w:hAnsiTheme="minorHAnsi" w:cstheme="minorBidi"/>
          <w:b w:val="0"/>
          <w:bCs w:val="0"/>
          <w:i w:val="0"/>
          <w:iCs w:val="0"/>
          <w:noProof/>
          <w:sz w:val="22"/>
          <w:szCs w:val="22"/>
          <w:lang w:eastAsia="en-GB"/>
        </w:rPr>
      </w:pPr>
      <w:hyperlink w:anchor="_Toc460576841" w:history="1">
        <w:r>
          <w:rPr>
            <w:rStyle w:val="Hyperlink"/>
            <w:noProof/>
          </w:rPr>
          <w:t>4.</w:t>
        </w:r>
        <w:r>
          <w:rPr>
            <w:rFonts w:asciiTheme="minorHAnsi" w:eastAsiaTheme="minorEastAsia" w:hAnsiTheme="minorHAnsi" w:cstheme="minorBidi"/>
            <w:b w:val="0"/>
            <w:bCs w:val="0"/>
            <w:i w:val="0"/>
            <w:iCs w:val="0"/>
            <w:noProof/>
            <w:sz w:val="22"/>
            <w:szCs w:val="22"/>
            <w:lang w:eastAsia="en-GB"/>
          </w:rPr>
          <w:tab/>
        </w:r>
        <w:r>
          <w:rPr>
            <w:rStyle w:val="Hyperlink"/>
            <w:noProof/>
          </w:rPr>
          <w:t>Обобщение на одитната дейност</w:t>
        </w:r>
        <w:r>
          <w:rPr>
            <w:noProof/>
            <w:webHidden/>
          </w:rPr>
          <w:tab/>
        </w:r>
        <w:r>
          <w:rPr>
            <w:noProof/>
            <w:webHidden/>
          </w:rPr>
          <w:fldChar w:fldCharType="begin"/>
        </w:r>
        <w:r>
          <w:rPr>
            <w:noProof/>
            <w:webHidden/>
          </w:rPr>
          <w:instrText xml:space="preserve"> PAGEREF _Toc460576841 \h </w:instrText>
        </w:r>
        <w:r>
          <w:rPr>
            <w:noProof/>
            <w:webHidden/>
          </w:rPr>
        </w:r>
        <w:r>
          <w:rPr>
            <w:noProof/>
            <w:webHidden/>
          </w:rPr>
          <w:fldChar w:fldCharType="separate"/>
        </w:r>
        <w:r>
          <w:rPr>
            <w:noProof/>
            <w:webHidden/>
          </w:rPr>
          <w:t>8</w:t>
        </w:r>
        <w:r>
          <w:rPr>
            <w:noProof/>
            <w:webHidden/>
          </w:rPr>
          <w:fldChar w:fldCharType="end"/>
        </w:r>
      </w:hyperlink>
    </w:p>
    <w:p>
      <w:pPr>
        <w:pStyle w:val="TOC2"/>
        <w:tabs>
          <w:tab w:val="left" w:pos="960"/>
          <w:tab w:val="right" w:leader="dot" w:pos="8608"/>
        </w:tabs>
        <w:rPr>
          <w:rFonts w:asciiTheme="minorHAnsi" w:eastAsiaTheme="minorEastAsia" w:hAnsiTheme="minorHAnsi" w:cstheme="minorBidi"/>
          <w:b w:val="0"/>
          <w:bCs w:val="0"/>
          <w:noProof/>
          <w:lang w:eastAsia="en-GB"/>
        </w:rPr>
      </w:pPr>
      <w:hyperlink w:anchor="_Toc460576842" w:history="1">
        <w:r>
          <w:rPr>
            <w:rStyle w:val="Hyperlink"/>
            <w:noProof/>
          </w:rPr>
          <w:t>4.1.</w:t>
        </w:r>
        <w:r>
          <w:rPr>
            <w:rFonts w:asciiTheme="minorHAnsi" w:eastAsiaTheme="minorEastAsia" w:hAnsiTheme="minorHAnsi" w:cstheme="minorBidi"/>
            <w:b w:val="0"/>
            <w:bCs w:val="0"/>
            <w:noProof/>
            <w:lang w:eastAsia="en-GB"/>
          </w:rPr>
          <w:tab/>
        </w:r>
        <w:r>
          <w:rPr>
            <w:rStyle w:val="Hyperlink"/>
            <w:noProof/>
          </w:rPr>
          <w:t>Заключения относно одитите на изпълнението</w:t>
        </w:r>
        <w:r>
          <w:rPr>
            <w:noProof/>
            <w:webHidden/>
          </w:rPr>
          <w:tab/>
        </w:r>
        <w:r>
          <w:rPr>
            <w:noProof/>
            <w:webHidden/>
          </w:rPr>
          <w:fldChar w:fldCharType="begin"/>
        </w:r>
        <w:r>
          <w:rPr>
            <w:noProof/>
            <w:webHidden/>
          </w:rPr>
          <w:instrText xml:space="preserve"> PAGEREF _Toc460576842 \h </w:instrText>
        </w:r>
        <w:r>
          <w:rPr>
            <w:noProof/>
            <w:webHidden/>
          </w:rPr>
        </w:r>
        <w:r>
          <w:rPr>
            <w:noProof/>
            <w:webHidden/>
          </w:rPr>
          <w:fldChar w:fldCharType="separate"/>
        </w:r>
        <w:r>
          <w:rPr>
            <w:noProof/>
            <w:webHidden/>
          </w:rPr>
          <w:t>8</w:t>
        </w:r>
        <w:r>
          <w:rPr>
            <w:noProof/>
            <w:webHidden/>
          </w:rPr>
          <w:fldChar w:fldCharType="end"/>
        </w:r>
      </w:hyperlink>
    </w:p>
    <w:p>
      <w:pPr>
        <w:pStyle w:val="TOC3"/>
        <w:tabs>
          <w:tab w:val="left" w:pos="1200"/>
          <w:tab w:val="right" w:leader="dot" w:pos="8608"/>
        </w:tabs>
        <w:rPr>
          <w:rFonts w:asciiTheme="minorHAnsi" w:eastAsiaTheme="minorEastAsia" w:hAnsiTheme="minorHAnsi" w:cstheme="minorBidi"/>
          <w:noProof/>
          <w:sz w:val="22"/>
          <w:szCs w:val="22"/>
          <w:lang w:eastAsia="en-GB"/>
        </w:rPr>
      </w:pPr>
      <w:hyperlink w:anchor="_Toc460576843" w:history="1">
        <w:r>
          <w:rPr>
            <w:rStyle w:val="Hyperlink"/>
            <w:noProof/>
          </w:rPr>
          <w:t>4.1.1.</w:t>
        </w:r>
        <w:r>
          <w:rPr>
            <w:rFonts w:asciiTheme="minorHAnsi" w:eastAsiaTheme="minorEastAsia" w:hAnsiTheme="minorHAnsi" w:cstheme="minorBidi"/>
            <w:noProof/>
            <w:sz w:val="22"/>
            <w:szCs w:val="22"/>
            <w:lang w:eastAsia="en-GB"/>
          </w:rPr>
          <w:tab/>
        </w:r>
        <w:r>
          <w:rPr>
            <w:rStyle w:val="Hyperlink"/>
            <w:i/>
            <w:noProof/>
          </w:rPr>
          <w:t>Изпълнение от страна на генералните дирекции на Комисията, службите и изпълнителните агенции: хоризонтални процеси (човешки ресурси, информационни технологии, борба с измамите и т.н.)</w:t>
        </w:r>
        <w:r>
          <w:rPr>
            <w:noProof/>
            <w:webHidden/>
          </w:rPr>
          <w:tab/>
        </w:r>
        <w:r>
          <w:rPr>
            <w:noProof/>
            <w:webHidden/>
          </w:rPr>
          <w:fldChar w:fldCharType="begin"/>
        </w:r>
        <w:r>
          <w:rPr>
            <w:noProof/>
            <w:webHidden/>
          </w:rPr>
          <w:instrText xml:space="preserve"> PAGEREF _Toc460576843 \h </w:instrText>
        </w:r>
        <w:r>
          <w:rPr>
            <w:noProof/>
            <w:webHidden/>
          </w:rPr>
        </w:r>
        <w:r>
          <w:rPr>
            <w:noProof/>
            <w:webHidden/>
          </w:rPr>
          <w:fldChar w:fldCharType="separate"/>
        </w:r>
        <w:r>
          <w:rPr>
            <w:noProof/>
            <w:webHidden/>
          </w:rPr>
          <w:t>10</w:t>
        </w:r>
        <w:r>
          <w:rPr>
            <w:noProof/>
            <w:webHidden/>
          </w:rPr>
          <w:fldChar w:fldCharType="end"/>
        </w:r>
      </w:hyperlink>
    </w:p>
    <w:p>
      <w:pPr>
        <w:pStyle w:val="TOC3"/>
        <w:tabs>
          <w:tab w:val="left" w:pos="1200"/>
          <w:tab w:val="right" w:leader="dot" w:pos="8608"/>
        </w:tabs>
        <w:rPr>
          <w:rFonts w:asciiTheme="minorHAnsi" w:eastAsiaTheme="minorEastAsia" w:hAnsiTheme="minorHAnsi" w:cstheme="minorBidi"/>
          <w:noProof/>
          <w:sz w:val="22"/>
          <w:szCs w:val="22"/>
          <w:lang w:eastAsia="en-GB"/>
        </w:rPr>
      </w:pPr>
      <w:hyperlink w:anchor="_Toc460576844" w:history="1">
        <w:r>
          <w:rPr>
            <w:rStyle w:val="Hyperlink"/>
            <w:noProof/>
          </w:rPr>
          <w:t>4.1.2.</w:t>
        </w:r>
        <w:r>
          <w:rPr>
            <w:rFonts w:asciiTheme="minorHAnsi" w:eastAsiaTheme="minorEastAsia" w:hAnsiTheme="minorHAnsi" w:cstheme="minorBidi"/>
            <w:noProof/>
            <w:sz w:val="22"/>
            <w:szCs w:val="22"/>
            <w:lang w:eastAsia="en-GB"/>
          </w:rPr>
          <w:tab/>
        </w:r>
        <w:r>
          <w:rPr>
            <w:rStyle w:val="Hyperlink"/>
            <w:i/>
            <w:noProof/>
          </w:rPr>
          <w:t>Резултати от изпълнението на оперативните бюджетни кредити</w:t>
        </w:r>
        <w:r>
          <w:rPr>
            <w:noProof/>
            <w:webHidden/>
          </w:rPr>
          <w:tab/>
        </w:r>
        <w:r>
          <w:rPr>
            <w:noProof/>
            <w:webHidden/>
          </w:rPr>
          <w:fldChar w:fldCharType="begin"/>
        </w:r>
        <w:r>
          <w:rPr>
            <w:noProof/>
            <w:webHidden/>
          </w:rPr>
          <w:instrText xml:space="preserve"> PAGEREF _Toc460576844 \h </w:instrText>
        </w:r>
        <w:r>
          <w:rPr>
            <w:noProof/>
            <w:webHidden/>
          </w:rPr>
        </w:r>
        <w:r>
          <w:rPr>
            <w:noProof/>
            <w:webHidden/>
          </w:rPr>
          <w:fldChar w:fldCharType="separate"/>
        </w:r>
        <w:r>
          <w:rPr>
            <w:noProof/>
            <w:webHidden/>
          </w:rPr>
          <w:t>12</w:t>
        </w:r>
        <w:r>
          <w:rPr>
            <w:noProof/>
            <w:webHidden/>
          </w:rPr>
          <w:fldChar w:fldCharType="end"/>
        </w:r>
      </w:hyperlink>
    </w:p>
    <w:p>
      <w:pPr>
        <w:pStyle w:val="TOC3"/>
        <w:tabs>
          <w:tab w:val="left" w:pos="1200"/>
          <w:tab w:val="right" w:leader="dot" w:pos="8608"/>
        </w:tabs>
        <w:rPr>
          <w:rFonts w:asciiTheme="minorHAnsi" w:eastAsiaTheme="minorEastAsia" w:hAnsiTheme="minorHAnsi" w:cstheme="minorBidi"/>
          <w:noProof/>
          <w:sz w:val="22"/>
          <w:szCs w:val="22"/>
          <w:lang w:eastAsia="en-GB"/>
        </w:rPr>
      </w:pPr>
      <w:hyperlink w:anchor="_Toc460576845" w:history="1">
        <w:r>
          <w:rPr>
            <w:rStyle w:val="Hyperlink"/>
            <w:noProof/>
          </w:rPr>
          <w:t>4.1.3.</w:t>
        </w:r>
        <w:r>
          <w:rPr>
            <w:rFonts w:asciiTheme="minorHAnsi" w:eastAsiaTheme="minorEastAsia" w:hAnsiTheme="minorHAnsi" w:cstheme="minorBidi"/>
            <w:noProof/>
            <w:sz w:val="22"/>
            <w:szCs w:val="22"/>
            <w:lang w:eastAsia="en-GB"/>
          </w:rPr>
          <w:tab/>
        </w:r>
        <w:r>
          <w:rPr>
            <w:rStyle w:val="Hyperlink"/>
            <w:i/>
            <w:noProof/>
          </w:rPr>
          <w:t>Резултати в неразходните области на политиката</w:t>
        </w:r>
        <w:r>
          <w:rPr>
            <w:noProof/>
            <w:webHidden/>
          </w:rPr>
          <w:tab/>
        </w:r>
        <w:r>
          <w:rPr>
            <w:noProof/>
            <w:webHidden/>
          </w:rPr>
          <w:fldChar w:fldCharType="begin"/>
        </w:r>
        <w:r>
          <w:rPr>
            <w:noProof/>
            <w:webHidden/>
          </w:rPr>
          <w:instrText xml:space="preserve"> PAGEREF _Toc460576845 \h </w:instrText>
        </w:r>
        <w:r>
          <w:rPr>
            <w:noProof/>
            <w:webHidden/>
          </w:rPr>
        </w:r>
        <w:r>
          <w:rPr>
            <w:noProof/>
            <w:webHidden/>
          </w:rPr>
          <w:fldChar w:fldCharType="separate"/>
        </w:r>
        <w:r>
          <w:rPr>
            <w:noProof/>
            <w:webHidden/>
          </w:rPr>
          <w:t>15</w:t>
        </w:r>
        <w:r>
          <w:rPr>
            <w:noProof/>
            <w:webHidden/>
          </w:rPr>
          <w:fldChar w:fldCharType="end"/>
        </w:r>
      </w:hyperlink>
    </w:p>
    <w:p>
      <w:pPr>
        <w:pStyle w:val="TOC2"/>
        <w:tabs>
          <w:tab w:val="left" w:pos="960"/>
          <w:tab w:val="right" w:leader="dot" w:pos="8608"/>
        </w:tabs>
        <w:rPr>
          <w:rFonts w:asciiTheme="minorHAnsi" w:eastAsiaTheme="minorEastAsia" w:hAnsiTheme="minorHAnsi" w:cstheme="minorBidi"/>
          <w:b w:val="0"/>
          <w:bCs w:val="0"/>
          <w:noProof/>
          <w:lang w:eastAsia="en-GB"/>
        </w:rPr>
      </w:pPr>
      <w:hyperlink w:anchor="_Toc460576846" w:history="1">
        <w:r>
          <w:rPr>
            <w:rStyle w:val="Hyperlink"/>
            <w:noProof/>
          </w:rPr>
          <w:t>4.2.</w:t>
        </w:r>
        <w:r>
          <w:rPr>
            <w:rFonts w:asciiTheme="minorHAnsi" w:eastAsiaTheme="minorEastAsia" w:hAnsiTheme="minorHAnsi" w:cstheme="minorBidi"/>
            <w:b w:val="0"/>
            <w:bCs w:val="0"/>
            <w:noProof/>
            <w:lang w:eastAsia="en-GB"/>
          </w:rPr>
          <w:tab/>
        </w:r>
        <w:r>
          <w:rPr>
            <w:rStyle w:val="Hyperlink"/>
            <w:noProof/>
          </w:rPr>
          <w:t>Ограничени заключения на IAS относно състоянието на вътрешния контрол във всяка генерална дирекция</w:t>
        </w:r>
        <w:r>
          <w:rPr>
            <w:noProof/>
            <w:webHidden/>
          </w:rPr>
          <w:tab/>
        </w:r>
        <w:r>
          <w:rPr>
            <w:noProof/>
            <w:webHidden/>
          </w:rPr>
          <w:fldChar w:fldCharType="begin"/>
        </w:r>
        <w:r>
          <w:rPr>
            <w:noProof/>
            <w:webHidden/>
          </w:rPr>
          <w:instrText xml:space="preserve"> PAGEREF _Toc460576846 \h </w:instrText>
        </w:r>
        <w:r>
          <w:rPr>
            <w:noProof/>
            <w:webHidden/>
          </w:rPr>
        </w:r>
        <w:r>
          <w:rPr>
            <w:noProof/>
            <w:webHidden/>
          </w:rPr>
          <w:fldChar w:fldCharType="separate"/>
        </w:r>
        <w:r>
          <w:rPr>
            <w:noProof/>
            <w:webHidden/>
          </w:rPr>
          <w:t>15</w:t>
        </w:r>
        <w:r>
          <w:rPr>
            <w:noProof/>
            <w:webHidden/>
          </w:rPr>
          <w:fldChar w:fldCharType="end"/>
        </w:r>
      </w:hyperlink>
    </w:p>
    <w:p>
      <w:pPr>
        <w:pStyle w:val="TOC2"/>
        <w:tabs>
          <w:tab w:val="left" w:pos="960"/>
          <w:tab w:val="right" w:leader="dot" w:pos="8608"/>
        </w:tabs>
        <w:rPr>
          <w:rFonts w:asciiTheme="minorHAnsi" w:eastAsiaTheme="minorEastAsia" w:hAnsiTheme="minorHAnsi" w:cstheme="minorBidi"/>
          <w:b w:val="0"/>
          <w:bCs w:val="0"/>
          <w:noProof/>
          <w:lang w:eastAsia="en-GB"/>
        </w:rPr>
      </w:pPr>
      <w:hyperlink w:anchor="_Toc460576847" w:history="1">
        <w:r>
          <w:rPr>
            <w:rStyle w:val="Hyperlink"/>
            <w:noProof/>
          </w:rPr>
          <w:t>4.3.</w:t>
        </w:r>
        <w:r>
          <w:rPr>
            <w:rFonts w:asciiTheme="minorHAnsi" w:eastAsiaTheme="minorEastAsia" w:hAnsiTheme="minorHAnsi" w:cstheme="minorBidi"/>
            <w:b w:val="0"/>
            <w:bCs w:val="0"/>
            <w:noProof/>
            <w:lang w:eastAsia="en-GB"/>
          </w:rPr>
          <w:tab/>
        </w:r>
        <w:r>
          <w:rPr>
            <w:rStyle w:val="Hyperlink"/>
            <w:noProof/>
          </w:rPr>
          <w:t>Общо становище относно финансовото управление на Комисията</w:t>
        </w:r>
        <w:r>
          <w:rPr>
            <w:noProof/>
            <w:webHidden/>
          </w:rPr>
          <w:tab/>
        </w:r>
        <w:r>
          <w:rPr>
            <w:noProof/>
            <w:webHidden/>
          </w:rPr>
          <w:fldChar w:fldCharType="begin"/>
        </w:r>
        <w:r>
          <w:rPr>
            <w:noProof/>
            <w:webHidden/>
          </w:rPr>
          <w:instrText xml:space="preserve"> PAGEREF _Toc460576847 \h </w:instrText>
        </w:r>
        <w:r>
          <w:rPr>
            <w:noProof/>
            <w:webHidden/>
          </w:rPr>
        </w:r>
        <w:r>
          <w:rPr>
            <w:noProof/>
            <w:webHidden/>
          </w:rPr>
          <w:fldChar w:fldCharType="separate"/>
        </w:r>
        <w:r>
          <w:rPr>
            <w:noProof/>
            <w:webHidden/>
          </w:rPr>
          <w:t>16</w:t>
        </w:r>
        <w:r>
          <w:rPr>
            <w:noProof/>
            <w:webHidden/>
          </w:rPr>
          <w:fldChar w:fldCharType="end"/>
        </w:r>
      </w:hyperlink>
    </w:p>
    <w:p>
      <w:pPr>
        <w:pStyle w:val="TOC1"/>
        <w:tabs>
          <w:tab w:val="left" w:pos="480"/>
          <w:tab w:val="right" w:leader="dot" w:pos="8608"/>
        </w:tabs>
        <w:rPr>
          <w:rFonts w:asciiTheme="minorHAnsi" w:eastAsiaTheme="minorEastAsia" w:hAnsiTheme="minorHAnsi" w:cstheme="minorBidi"/>
          <w:b w:val="0"/>
          <w:bCs w:val="0"/>
          <w:i w:val="0"/>
          <w:iCs w:val="0"/>
          <w:noProof/>
          <w:sz w:val="22"/>
          <w:szCs w:val="22"/>
          <w:lang w:eastAsia="en-GB"/>
        </w:rPr>
      </w:pPr>
      <w:hyperlink w:anchor="_Toc460576848" w:history="1">
        <w:r>
          <w:rPr>
            <w:rStyle w:val="Hyperlink"/>
            <w:noProof/>
          </w:rPr>
          <w:t>5.</w:t>
        </w:r>
        <w:r>
          <w:rPr>
            <w:rFonts w:asciiTheme="minorHAnsi" w:eastAsiaTheme="minorEastAsia" w:hAnsiTheme="minorHAnsi" w:cstheme="minorBidi"/>
            <w:b w:val="0"/>
            <w:bCs w:val="0"/>
            <w:i w:val="0"/>
            <w:iCs w:val="0"/>
            <w:noProof/>
            <w:sz w:val="22"/>
            <w:szCs w:val="22"/>
            <w:lang w:eastAsia="en-GB"/>
          </w:rPr>
          <w:tab/>
        </w:r>
        <w:r>
          <w:rPr>
            <w:rStyle w:val="Hyperlink"/>
            <w:noProof/>
          </w:rPr>
          <w:t>Консултации с органа на Комисията за разглеждане на финансови нередности</w:t>
        </w:r>
        <w:r>
          <w:rPr>
            <w:noProof/>
            <w:webHidden/>
          </w:rPr>
          <w:tab/>
        </w:r>
        <w:r>
          <w:rPr>
            <w:noProof/>
            <w:webHidden/>
          </w:rPr>
          <w:fldChar w:fldCharType="begin"/>
        </w:r>
        <w:r>
          <w:rPr>
            <w:noProof/>
            <w:webHidden/>
          </w:rPr>
          <w:instrText xml:space="preserve"> PAGEREF _Toc460576848 \h </w:instrText>
        </w:r>
        <w:r>
          <w:rPr>
            <w:noProof/>
            <w:webHidden/>
          </w:rPr>
        </w:r>
        <w:r>
          <w:rPr>
            <w:noProof/>
            <w:webHidden/>
          </w:rPr>
          <w:fldChar w:fldCharType="separate"/>
        </w:r>
        <w:r>
          <w:rPr>
            <w:noProof/>
            <w:webHidden/>
          </w:rPr>
          <w:t>17</w:t>
        </w:r>
        <w:r>
          <w:rPr>
            <w:noProof/>
            <w:webHidden/>
          </w:rPr>
          <w:fldChar w:fldCharType="end"/>
        </w:r>
      </w:hyperlink>
    </w:p>
    <w:p>
      <w:pPr>
        <w:pStyle w:val="TOC1"/>
        <w:tabs>
          <w:tab w:val="left" w:pos="480"/>
          <w:tab w:val="right" w:leader="dot" w:pos="8608"/>
        </w:tabs>
        <w:rPr>
          <w:rFonts w:asciiTheme="minorHAnsi" w:eastAsiaTheme="minorEastAsia" w:hAnsiTheme="minorHAnsi" w:cstheme="minorBidi"/>
          <w:b w:val="0"/>
          <w:bCs w:val="0"/>
          <w:i w:val="0"/>
          <w:iCs w:val="0"/>
          <w:noProof/>
          <w:sz w:val="22"/>
          <w:szCs w:val="22"/>
          <w:lang w:eastAsia="en-GB"/>
        </w:rPr>
      </w:pPr>
      <w:hyperlink w:anchor="_Toc460576849" w:history="1">
        <w:r>
          <w:rPr>
            <w:rStyle w:val="Hyperlink"/>
            <w:noProof/>
          </w:rPr>
          <w:t>6.</w:t>
        </w:r>
        <w:r>
          <w:rPr>
            <w:rFonts w:asciiTheme="minorHAnsi" w:eastAsiaTheme="minorEastAsia" w:hAnsiTheme="minorHAnsi" w:cstheme="minorBidi"/>
            <w:b w:val="0"/>
            <w:bCs w:val="0"/>
            <w:i w:val="0"/>
            <w:iCs w:val="0"/>
            <w:noProof/>
            <w:sz w:val="22"/>
            <w:szCs w:val="22"/>
            <w:lang w:eastAsia="en-GB"/>
          </w:rPr>
          <w:tab/>
        </w:r>
        <w:r>
          <w:rPr>
            <w:rStyle w:val="Hyperlink"/>
            <w:noProof/>
          </w:rPr>
          <w:t>Заключения</w:t>
        </w:r>
        <w:r>
          <w:rPr>
            <w:noProof/>
            <w:webHidden/>
          </w:rPr>
          <w:tab/>
        </w:r>
        <w:r>
          <w:rPr>
            <w:noProof/>
            <w:webHidden/>
          </w:rPr>
          <w:fldChar w:fldCharType="begin"/>
        </w:r>
        <w:r>
          <w:rPr>
            <w:noProof/>
            <w:webHidden/>
          </w:rPr>
          <w:instrText xml:space="preserve"> PAGEREF _Toc460576849 \h </w:instrText>
        </w:r>
        <w:r>
          <w:rPr>
            <w:noProof/>
            <w:webHidden/>
          </w:rPr>
        </w:r>
        <w:r>
          <w:rPr>
            <w:noProof/>
            <w:webHidden/>
          </w:rPr>
          <w:fldChar w:fldCharType="separate"/>
        </w:r>
        <w:r>
          <w:rPr>
            <w:noProof/>
            <w:webHidden/>
          </w:rPr>
          <w:t>17</w:t>
        </w:r>
        <w:r>
          <w:rPr>
            <w:noProof/>
            <w:webHidden/>
          </w:rPr>
          <w:fldChar w:fldCharType="end"/>
        </w:r>
      </w:hyperlink>
    </w:p>
    <w:p>
      <w:pPr>
        <w:pStyle w:val="TOC1"/>
        <w:tabs>
          <w:tab w:val="left" w:pos="480"/>
          <w:tab w:val="right" w:leader="dot" w:pos="8608"/>
        </w:tabs>
        <w:rPr>
          <w:rFonts w:asciiTheme="minorHAnsi" w:eastAsiaTheme="minorEastAsia" w:hAnsiTheme="minorHAnsi" w:cstheme="minorBidi"/>
          <w:b w:val="0"/>
          <w:bCs w:val="0"/>
          <w:i w:val="0"/>
          <w:iCs w:val="0"/>
          <w:noProof/>
          <w:sz w:val="22"/>
          <w:szCs w:val="22"/>
          <w:lang w:eastAsia="en-GB"/>
        </w:rPr>
      </w:pPr>
      <w:hyperlink w:anchor="_Toc460576850" w:history="1">
        <w:r>
          <w:rPr>
            <w:rStyle w:val="Hyperlink"/>
            <w:noProof/>
          </w:rPr>
          <w:t>7.</w:t>
        </w:r>
        <w:r>
          <w:rPr>
            <w:rFonts w:asciiTheme="minorHAnsi" w:eastAsiaTheme="minorEastAsia" w:hAnsiTheme="minorHAnsi" w:cstheme="minorBidi"/>
            <w:b w:val="0"/>
            <w:bCs w:val="0"/>
            <w:i w:val="0"/>
            <w:iCs w:val="0"/>
            <w:noProof/>
            <w:sz w:val="22"/>
            <w:szCs w:val="22"/>
            <w:lang w:eastAsia="en-GB"/>
          </w:rPr>
          <w:tab/>
        </w:r>
        <w:r>
          <w:rPr>
            <w:rStyle w:val="Hyperlink"/>
            <w:noProof/>
          </w:rPr>
          <w:t>Списък на съкращенията</w:t>
        </w:r>
        <w:r>
          <w:rPr>
            <w:noProof/>
            <w:webHidden/>
          </w:rPr>
          <w:tab/>
        </w:r>
        <w:r>
          <w:rPr>
            <w:noProof/>
            <w:webHidden/>
          </w:rPr>
          <w:fldChar w:fldCharType="begin"/>
        </w:r>
        <w:r>
          <w:rPr>
            <w:noProof/>
            <w:webHidden/>
          </w:rPr>
          <w:instrText xml:space="preserve"> PAGEREF _Toc460576850 \h </w:instrText>
        </w:r>
        <w:r>
          <w:rPr>
            <w:noProof/>
            <w:webHidden/>
          </w:rPr>
        </w:r>
        <w:r>
          <w:rPr>
            <w:noProof/>
            <w:webHidden/>
          </w:rPr>
          <w:fldChar w:fldCharType="separate"/>
        </w:r>
        <w:r>
          <w:rPr>
            <w:noProof/>
            <w:webHidden/>
          </w:rPr>
          <w:t>18</w:t>
        </w:r>
        <w:r>
          <w:rPr>
            <w:noProof/>
            <w:webHidden/>
          </w:rPr>
          <w:fldChar w:fldCharType="end"/>
        </w:r>
      </w:hyperlink>
    </w:p>
    <w:p>
      <w:pPr>
        <w:outlineLvl w:val="0"/>
        <w:rPr>
          <w:noProof/>
        </w:rPr>
      </w:pPr>
      <w:r>
        <w:rPr>
          <w:b/>
          <w:bCs/>
          <w:i/>
          <w:iCs/>
          <w:noProof/>
          <w:szCs w:val="24"/>
        </w:rPr>
        <w:fldChar w:fldCharType="end"/>
      </w:r>
    </w:p>
    <w:p>
      <w:pPr>
        <w:rPr>
          <w:noProof/>
        </w:rPr>
      </w:pPr>
      <w:r>
        <w:rPr>
          <w:noProof/>
        </w:rPr>
        <w:br w:type="page"/>
      </w:r>
    </w:p>
    <w:p>
      <w:pPr>
        <w:pStyle w:val="Heading1"/>
        <w:ind w:left="482"/>
        <w:rPr>
          <w:noProof/>
        </w:rPr>
      </w:pPr>
      <w:bookmarkStart w:id="2" w:name="_Toc459182006"/>
      <w:bookmarkStart w:id="3" w:name="_Toc460576836"/>
      <w:bookmarkStart w:id="4" w:name="_Toc351391759"/>
      <w:bookmarkStart w:id="5" w:name="_Toc351391854"/>
      <w:bookmarkStart w:id="6" w:name="_Toc351391961"/>
      <w:bookmarkStart w:id="7" w:name="_Toc351392027"/>
      <w:bookmarkStart w:id="8" w:name="_Toc351392070"/>
      <w:bookmarkStart w:id="9" w:name="_Toc255288538"/>
      <w:r>
        <w:rPr>
          <w:noProof/>
        </w:rPr>
        <w:t>Въведение</w:t>
      </w:r>
      <w:bookmarkEnd w:id="2"/>
      <w:bookmarkEnd w:id="3"/>
    </w:p>
    <w:p>
      <w:pPr>
        <w:ind w:left="480"/>
        <w:rPr>
          <w:noProof/>
          <w:lang w:val="bg-BG"/>
        </w:rPr>
      </w:pPr>
      <w:r>
        <w:rPr>
          <w:noProof/>
        </w:rPr>
        <w:t>Съгласно изискването в член</w:t>
      </w:r>
      <w:r>
        <w:rPr>
          <w:noProof/>
          <w:lang w:val="en-US"/>
        </w:rPr>
        <w:t> </w:t>
      </w:r>
      <w:r>
        <w:rPr>
          <w:noProof/>
        </w:rPr>
        <w:t>99, параграф</w:t>
      </w:r>
      <w:r>
        <w:rPr>
          <w:noProof/>
          <w:lang w:val="en-US"/>
        </w:rPr>
        <w:t> </w:t>
      </w:r>
      <w:r>
        <w:rPr>
          <w:noProof/>
        </w:rPr>
        <w:t>5 от Финансовия регламент настоящият доклад има за цел да информира Европейския парламент и Съвета във връзка с изпълнението на бюджета за работата на Службата за вътрешен одит на Комисията (IAS). Той се основава на доклада, изготвен от вътрешния одитор на Комисията съгласно</w:t>
      </w:r>
      <w:r>
        <w:rPr>
          <w:noProof/>
          <w:lang w:val="en-US"/>
        </w:rPr>
        <w:t> </w:t>
      </w:r>
      <w:r>
        <w:rPr>
          <w:noProof/>
        </w:rPr>
        <w:t>член 99, параграф</w:t>
      </w:r>
      <w:r>
        <w:rPr>
          <w:noProof/>
          <w:lang w:val="en-US"/>
        </w:rPr>
        <w:t> </w:t>
      </w:r>
      <w:r>
        <w:rPr>
          <w:noProof/>
        </w:rPr>
        <w:t>3 от Регламента, относно изготвените през 2015 г. доклади за одит и консултации на IAS за генералните дирекции, службите и изпълнителните агенции на Комисията</w:t>
      </w:r>
      <w:r>
        <w:rPr>
          <w:noProof/>
          <w:vertAlign w:val="superscript"/>
        </w:rPr>
        <w:footnoteReference w:id="2"/>
      </w:r>
      <w:r>
        <w:rPr>
          <w:i/>
          <w:noProof/>
        </w:rPr>
        <w:t xml:space="preserve">. </w:t>
      </w:r>
      <w:r>
        <w:rPr>
          <w:noProof/>
        </w:rPr>
        <w:t>В съответствие с правното си основание настоящият доклад съдържа обобщение на броя и вида на извършените вътрешни одити, отправените препоръки и действията, предприети по тях</w:t>
      </w:r>
      <w:r>
        <w:rPr>
          <w:rStyle w:val="FootnoteReference"/>
          <w:noProof/>
        </w:rPr>
        <w:footnoteReference w:id="3"/>
      </w:r>
      <w:r>
        <w:rPr>
          <w:noProof/>
        </w:rPr>
        <w:t>.</w:t>
      </w:r>
      <w:r>
        <w:rPr>
          <w:noProof/>
          <w:lang w:val="bg-BG"/>
        </w:rPr>
        <w:t xml:space="preserve"> Докладите за одит, завършени през периода 1 февруари 2015 г. — 31 януари 2016 г., са включени в настоящия доклад. Препоръките, които са изпълнени след крайната дата 31</w:t>
      </w:r>
      <w:r>
        <w:rPr>
          <w:noProof/>
        </w:rPr>
        <w:t> </w:t>
      </w:r>
      <w:r>
        <w:rPr>
          <w:noProof/>
          <w:lang w:val="bg-BG"/>
        </w:rPr>
        <w:t>януари</w:t>
      </w:r>
      <w:r>
        <w:rPr>
          <w:noProof/>
        </w:rPr>
        <w:t> </w:t>
      </w:r>
      <w:r>
        <w:rPr>
          <w:noProof/>
          <w:lang w:val="bg-BG"/>
        </w:rPr>
        <w:t>2016</w:t>
      </w:r>
      <w:r>
        <w:rPr>
          <w:noProof/>
        </w:rPr>
        <w:t> </w:t>
      </w:r>
      <w:r>
        <w:rPr>
          <w:noProof/>
          <w:lang w:val="bg-BG"/>
        </w:rPr>
        <w:t>г., не са взети предвид.</w:t>
      </w:r>
    </w:p>
    <w:p>
      <w:pPr>
        <w:pStyle w:val="Heading1"/>
        <w:ind w:left="482" w:hanging="482"/>
        <w:rPr>
          <w:noProof/>
          <w:lang w:val="bg-BG"/>
        </w:rPr>
      </w:pPr>
      <w:bookmarkStart w:id="10" w:name="_Toc457473123"/>
      <w:bookmarkStart w:id="11" w:name="_Toc457473493"/>
      <w:bookmarkStart w:id="12" w:name="_Toc457473525"/>
      <w:bookmarkStart w:id="13" w:name="_Toc457473124"/>
      <w:bookmarkStart w:id="14" w:name="_Toc457473494"/>
      <w:bookmarkStart w:id="15" w:name="_Toc457473526"/>
      <w:bookmarkStart w:id="16" w:name="_Toc460576837"/>
      <w:bookmarkStart w:id="17" w:name="_Toc459182007"/>
      <w:bookmarkEnd w:id="10"/>
      <w:bookmarkEnd w:id="11"/>
      <w:bookmarkEnd w:id="12"/>
      <w:bookmarkEnd w:id="13"/>
      <w:bookmarkEnd w:id="14"/>
      <w:bookmarkEnd w:id="15"/>
      <w:r>
        <w:rPr>
          <w:noProof/>
          <w:lang w:val="bg-BG"/>
        </w:rPr>
        <w:t xml:space="preserve">Мисия на </w:t>
      </w:r>
      <w:r>
        <w:rPr>
          <w:noProof/>
        </w:rPr>
        <w:t>IAS</w:t>
      </w:r>
      <w:r>
        <w:rPr>
          <w:noProof/>
          <w:lang w:val="bg-BG"/>
        </w:rPr>
        <w:t>: независимост, обективност и отчетност</w:t>
      </w:r>
      <w:r>
        <w:rPr>
          <w:noProof/>
          <w:lang w:val="bg-BG"/>
        </w:rPr>
        <w:br/>
        <w:t>Цели и обхват на Доклада</w:t>
      </w:r>
      <w:bookmarkEnd w:id="16"/>
    </w:p>
    <w:bookmarkEnd w:id="4"/>
    <w:bookmarkEnd w:id="5"/>
    <w:bookmarkEnd w:id="6"/>
    <w:bookmarkEnd w:id="7"/>
    <w:bookmarkEnd w:id="8"/>
    <w:bookmarkEnd w:id="17"/>
    <w:p>
      <w:pPr>
        <w:autoSpaceDE w:val="0"/>
        <w:ind w:left="480"/>
        <w:rPr>
          <w:noProof/>
          <w:sz w:val="16"/>
          <w:szCs w:val="16"/>
          <w:lang w:val="bg-BG"/>
        </w:rPr>
      </w:pPr>
      <w:r>
        <w:rPr>
          <w:noProof/>
          <w:lang w:val="bg-BG"/>
        </w:rPr>
        <w:t>Мисията на Службата за вътрешен одит (</w:t>
      </w:r>
      <w:r>
        <w:rPr>
          <w:noProof/>
        </w:rPr>
        <w:t>IAS</w:t>
      </w:r>
      <w:r>
        <w:rPr>
          <w:noProof/>
          <w:lang w:val="bg-BG"/>
        </w:rPr>
        <w:t xml:space="preserve">) е да се предоставят на Комисията независими и обективни услуги, свързани с достоверността, и консултации, чието предназначение е да се добави стойност и да се подобри работата на Комисията. </w:t>
      </w:r>
      <w:r>
        <w:rPr>
          <w:noProof/>
        </w:rPr>
        <w:t>IAS</w:t>
      </w:r>
      <w:r>
        <w:rPr>
          <w:noProof/>
          <w:lang w:val="bg-BG"/>
        </w:rPr>
        <w:t xml:space="preserve"> помага на Комисията да постигне целите си чрез внасяне на систематичен и дисциплиниран подход, за да се извърши оценка и да се отправят препоръки за подобряване на ефективността на управлението на риска, контрола и процесите на управление. Задачите на </w:t>
      </w:r>
      <w:r>
        <w:rPr>
          <w:noProof/>
        </w:rPr>
        <w:t>IAS</w:t>
      </w:r>
      <w:r>
        <w:rPr>
          <w:noProof/>
          <w:lang w:val="bg-BG"/>
        </w:rPr>
        <w:t xml:space="preserve"> включват извършване на оценка и отправяне на подходящи препоръки за подобряване на процеса на управление за постигането на следните цели: насърчаване на изграждането на подходящо етично поведение и ценностна система в рамките на организацията, гарантиране на ефективно управление на изпълнението на организационно ниво и отчетност и осъществяване на ефективен обмен на информация със съответните звена в организацията относно риска и контрола. По този начин </w:t>
      </w:r>
      <w:r>
        <w:rPr>
          <w:noProof/>
        </w:rPr>
        <w:t>IAS</w:t>
      </w:r>
      <w:r>
        <w:rPr>
          <w:noProof/>
          <w:lang w:val="bg-BG"/>
        </w:rPr>
        <w:t xml:space="preserve"> насърчава култура на ефективно и ефикасно управление в рамките на Комисията и нейните служби. Независимостта на </w:t>
      </w:r>
      <w:r>
        <w:rPr>
          <w:noProof/>
        </w:rPr>
        <w:t>IAS</w:t>
      </w:r>
      <w:r>
        <w:rPr>
          <w:noProof/>
          <w:lang w:val="bg-BG"/>
        </w:rPr>
        <w:t xml:space="preserve"> е залегнала във Финансовия регламент</w:t>
      </w:r>
      <w:r>
        <w:rPr>
          <w:rStyle w:val="FootnoteReference"/>
          <w:noProof/>
        </w:rPr>
        <w:footnoteReference w:id="4"/>
      </w:r>
      <w:r>
        <w:rPr>
          <w:noProof/>
          <w:lang w:val="bg-BG"/>
        </w:rPr>
        <w:t xml:space="preserve"> и в приетия от Комисията устав за мисията на </w:t>
      </w:r>
      <w:r>
        <w:rPr>
          <w:noProof/>
        </w:rPr>
        <w:t>IAS</w:t>
      </w:r>
      <w:r>
        <w:rPr>
          <w:rStyle w:val="FootnoteReference"/>
          <w:noProof/>
        </w:rPr>
        <w:footnoteReference w:id="5"/>
      </w:r>
      <w:r>
        <w:rPr>
          <w:noProof/>
          <w:lang w:val="bg-BG"/>
        </w:rPr>
        <w:t xml:space="preserve">. </w:t>
      </w:r>
      <w:r>
        <w:rPr>
          <w:noProof/>
        </w:rPr>
        <w:t>IAS</w:t>
      </w:r>
      <w:r>
        <w:rPr>
          <w:noProof/>
          <w:lang w:val="bg-BG"/>
        </w:rPr>
        <w:t xml:space="preserve"> се отчита за всички свои одити пред Комитета за контрол на одитите (ККО). Комитетът за контрол на одитите подпомага работата на колегиума на членовете на Комисията, като гарантира, че дейността на І</w:t>
      </w:r>
      <w:r>
        <w:rPr>
          <w:noProof/>
        </w:rPr>
        <w:t>AS</w:t>
      </w:r>
      <w:r>
        <w:rPr>
          <w:noProof/>
          <w:lang w:val="bg-BG"/>
        </w:rPr>
        <w:t xml:space="preserve">, бившите структури за вътрешен одит и Европейската сметна палата (ЕСП) се взема надлежно предвид от службите на Комисията и води до съответните последващи действия. </w:t>
      </w:r>
    </w:p>
    <w:p>
      <w:pPr>
        <w:ind w:left="480"/>
        <w:rPr>
          <w:noProof/>
          <w:lang w:val="bg-BG"/>
        </w:rPr>
      </w:pPr>
      <w:r>
        <w:rPr>
          <w:noProof/>
        </w:rPr>
        <w:t>IAS</w:t>
      </w:r>
      <w:r>
        <w:rPr>
          <w:noProof/>
          <w:lang w:val="bg-BG"/>
        </w:rPr>
        <w:t xml:space="preserve"> осъществява дейността си в съответствие с разпоредбите на Финансовия регламент, Международните стандарти за професионалната практика по вътрешен одит и Етичния кодекс на Института на вътрешните одитори.</w:t>
      </w:r>
    </w:p>
    <w:p>
      <w:pPr>
        <w:pStyle w:val="Text1"/>
        <w:rPr>
          <w:noProof/>
          <w:lang w:val="bg-BG"/>
        </w:rPr>
      </w:pPr>
      <w:r>
        <w:rPr>
          <w:noProof/>
        </w:rPr>
        <w:t>IAS</w:t>
      </w:r>
      <w:r>
        <w:rPr>
          <w:noProof/>
          <w:lang w:val="bg-BG"/>
        </w:rPr>
        <w:t xml:space="preserve"> не одитира системите на държавите членки за контрол на средствата на Комисията. Такива одити, които достигат до равнището на отделните бенефициери, се извършват от вътрешните одитори на държавите членки, от националните органи за одит, от други генерални дирекции на Комисията и от Европейската сметна палата (ЕСП). </w:t>
      </w:r>
      <w:r>
        <w:rPr>
          <w:noProof/>
        </w:rPr>
        <w:t>IAS</w:t>
      </w:r>
      <w:r>
        <w:rPr>
          <w:noProof/>
          <w:lang w:val="bg-BG"/>
        </w:rPr>
        <w:t xml:space="preserve"> одитира обаче предприетите от службите на Комисията одитни мерки за надзор и одитиране на органите в държавите членки и на други органи, които отговарят за разпределянето на средства от ЕС, като например Организацията на обединените нации. Съгласно предвиденото във Финансовия регламент </w:t>
      </w:r>
      <w:r>
        <w:rPr>
          <w:noProof/>
        </w:rPr>
        <w:t>IAS</w:t>
      </w:r>
      <w:r>
        <w:rPr>
          <w:noProof/>
          <w:lang w:val="bg-BG"/>
        </w:rPr>
        <w:t xml:space="preserve"> може да извършва тези дейности на място, включително в държавите членки.</w:t>
      </w:r>
    </w:p>
    <w:p>
      <w:pPr>
        <w:pStyle w:val="Heading1"/>
        <w:rPr>
          <w:noProof/>
        </w:rPr>
      </w:pPr>
      <w:bookmarkStart w:id="18" w:name="_Toc457473496"/>
      <w:bookmarkStart w:id="19" w:name="_Toc457473528"/>
      <w:bookmarkStart w:id="20" w:name="_Toc457473497"/>
      <w:bookmarkStart w:id="21" w:name="_Toc457473529"/>
      <w:bookmarkStart w:id="22" w:name="_Toc459182008"/>
      <w:bookmarkStart w:id="23" w:name="_Toc460576838"/>
      <w:bookmarkEnd w:id="18"/>
      <w:bookmarkEnd w:id="19"/>
      <w:bookmarkEnd w:id="20"/>
      <w:bookmarkEnd w:id="21"/>
      <w:r>
        <w:rPr>
          <w:noProof/>
        </w:rPr>
        <w:t>Преглед на извършените одити</w:t>
      </w:r>
      <w:bookmarkEnd w:id="22"/>
      <w:bookmarkEnd w:id="23"/>
      <w:r>
        <w:rPr>
          <w:noProof/>
        </w:rPr>
        <w:t xml:space="preserve"> </w:t>
      </w:r>
    </w:p>
    <w:p>
      <w:pPr>
        <w:pStyle w:val="Heading2"/>
        <w:autoSpaceDE w:val="0"/>
        <w:autoSpaceDN w:val="0"/>
        <w:adjustRightInd w:val="0"/>
        <w:spacing w:before="100" w:beforeAutospacing="1" w:after="100" w:afterAutospacing="1"/>
        <w:jc w:val="left"/>
        <w:rPr>
          <w:noProof/>
          <w:szCs w:val="24"/>
        </w:rPr>
      </w:pPr>
      <w:bookmarkStart w:id="24" w:name="_Toc459182009"/>
      <w:bookmarkStart w:id="25" w:name="_Toc460576839"/>
      <w:r>
        <w:rPr>
          <w:noProof/>
        </w:rPr>
        <w:t>Изпълнение на плана за одит за 2015 г.</w:t>
      </w:r>
      <w:bookmarkEnd w:id="24"/>
      <w:bookmarkEnd w:id="25"/>
    </w:p>
    <w:p>
      <w:pPr>
        <w:pStyle w:val="Text1"/>
        <w:rPr>
          <w:noProof/>
        </w:rPr>
      </w:pPr>
      <w:r>
        <w:rPr>
          <w:noProof/>
        </w:rPr>
        <w:t>До крайната дата 31 януари 2016 г. изпълнението на плана за одит за 2015 г. постигна своята цел от 100 % от планираните ангажименти за одити в Комисията, службите и изпълнителните агенции</w:t>
      </w:r>
      <w:r>
        <w:rPr>
          <w:rStyle w:val="FootnoteReference"/>
          <w:noProof/>
          <w:lang w:val="bg-BG" w:eastAsia="bg-BG"/>
        </w:rPr>
        <w:footnoteReference w:id="6"/>
      </w:r>
      <w:r>
        <w:rPr>
          <w:noProof/>
          <w:lang w:val="bg-BG" w:eastAsia="bg-BG"/>
        </w:rPr>
        <w:t>.</w:t>
      </w:r>
    </w:p>
    <w:p>
      <w:pPr>
        <w:pStyle w:val="Text1"/>
        <w:rPr>
          <w:noProof/>
        </w:rPr>
      </w:pPr>
      <w:r>
        <w:rPr>
          <w:noProof/>
        </w:rPr>
        <w:t>Приключени бяха 139 ангажимента (включително одити, последващи одити, ограничени прегледи, оценки на риска и едно писмо до ръководството), с разбивка, както е посочено в таблицата по-долу.</w:t>
      </w:r>
    </w:p>
    <w:p>
      <w:pPr>
        <w:pStyle w:val="Text2"/>
        <w:ind w:left="567"/>
        <w:rPr>
          <w:noProof/>
        </w:rPr>
      </w:pPr>
      <w:r>
        <w:rPr>
          <w:noProof/>
        </w:rPr>
        <w:br w:type="page"/>
      </w:r>
    </w:p>
    <w:tbl>
      <w:tblPr>
        <w:tblW w:w="8585" w:type="dxa"/>
        <w:tblInd w:w="675" w:type="dxa"/>
        <w:tblLayout w:type="fixed"/>
        <w:tblLook w:val="04A0" w:firstRow="1" w:lastRow="0" w:firstColumn="1" w:lastColumn="0" w:noHBand="0" w:noVBand="1"/>
      </w:tblPr>
      <w:tblGrid>
        <w:gridCol w:w="1985"/>
        <w:gridCol w:w="1276"/>
        <w:gridCol w:w="992"/>
        <w:gridCol w:w="1276"/>
        <w:gridCol w:w="850"/>
        <w:gridCol w:w="1276"/>
        <w:gridCol w:w="930"/>
      </w:tblGrid>
      <w:tr>
        <w:trPr>
          <w:trHeight w:val="305"/>
          <w:tblHeader/>
        </w:trPr>
        <w:tc>
          <w:tcPr>
            <w:tcW w:w="1985" w:type="dxa"/>
            <w:tcBorders>
              <w:top w:val="nil"/>
              <w:left w:val="nil"/>
              <w:bottom w:val="nil"/>
              <w:right w:val="nil"/>
            </w:tcBorders>
            <w:shd w:val="clear" w:color="auto" w:fill="auto"/>
            <w:vAlign w:val="center"/>
          </w:tcPr>
          <w:p>
            <w:pPr>
              <w:spacing w:after="0"/>
              <w:jc w:val="left"/>
              <w:rPr>
                <w:noProof/>
                <w:color w:val="000000"/>
                <w:sz w:val="20"/>
              </w:rPr>
            </w:pPr>
          </w:p>
        </w:tc>
        <w:tc>
          <w:tcPr>
            <w:tcW w:w="2268" w:type="dxa"/>
            <w:gridSpan w:val="2"/>
            <w:tcBorders>
              <w:top w:val="single" w:sz="8" w:space="0" w:color="auto"/>
              <w:left w:val="single" w:sz="8" w:space="0" w:color="auto"/>
              <w:bottom w:val="single" w:sz="8" w:space="0" w:color="auto"/>
              <w:right w:val="single" w:sz="8" w:space="0" w:color="000000"/>
            </w:tcBorders>
            <w:shd w:val="clear" w:color="auto" w:fill="A6A6A6"/>
            <w:vAlign w:val="center"/>
          </w:tcPr>
          <w:p>
            <w:pPr>
              <w:spacing w:after="0"/>
              <w:jc w:val="center"/>
              <w:rPr>
                <w:noProof/>
                <w:color w:val="000000"/>
                <w:sz w:val="18"/>
                <w:szCs w:val="18"/>
              </w:rPr>
            </w:pPr>
            <w:r>
              <w:rPr>
                <w:noProof/>
                <w:color w:val="000000"/>
                <w:sz w:val="18"/>
              </w:rPr>
              <w:t>2015 г.</w:t>
            </w:r>
          </w:p>
        </w:tc>
        <w:tc>
          <w:tcPr>
            <w:tcW w:w="2126" w:type="dxa"/>
            <w:gridSpan w:val="2"/>
            <w:tcBorders>
              <w:top w:val="single" w:sz="8" w:space="0" w:color="auto"/>
              <w:left w:val="nil"/>
              <w:bottom w:val="single" w:sz="8" w:space="0" w:color="auto"/>
              <w:right w:val="single" w:sz="8" w:space="0" w:color="000000"/>
            </w:tcBorders>
            <w:shd w:val="clear" w:color="000000" w:fill="FFFFFF"/>
            <w:vAlign w:val="center"/>
          </w:tcPr>
          <w:p>
            <w:pPr>
              <w:spacing w:after="0"/>
              <w:jc w:val="center"/>
              <w:rPr>
                <w:noProof/>
                <w:color w:val="000000"/>
                <w:sz w:val="18"/>
                <w:szCs w:val="18"/>
              </w:rPr>
            </w:pPr>
            <w:r>
              <w:rPr>
                <w:noProof/>
                <w:color w:val="000000"/>
                <w:sz w:val="18"/>
              </w:rPr>
              <w:t>2014 г. </w:t>
            </w:r>
          </w:p>
        </w:tc>
        <w:tc>
          <w:tcPr>
            <w:tcW w:w="2206" w:type="dxa"/>
            <w:gridSpan w:val="2"/>
            <w:tcBorders>
              <w:top w:val="single" w:sz="8" w:space="0" w:color="auto"/>
              <w:left w:val="nil"/>
              <w:bottom w:val="single" w:sz="8" w:space="0" w:color="auto"/>
              <w:right w:val="single" w:sz="8" w:space="0" w:color="000000"/>
            </w:tcBorders>
            <w:shd w:val="clear" w:color="auto" w:fill="auto"/>
            <w:vAlign w:val="center"/>
          </w:tcPr>
          <w:p>
            <w:pPr>
              <w:spacing w:after="0"/>
              <w:jc w:val="center"/>
              <w:rPr>
                <w:noProof/>
                <w:color w:val="000000"/>
                <w:sz w:val="18"/>
                <w:szCs w:val="18"/>
              </w:rPr>
            </w:pPr>
            <w:r>
              <w:rPr>
                <w:noProof/>
                <w:color w:val="000000"/>
                <w:sz w:val="18"/>
              </w:rPr>
              <w:t>2013 г.</w:t>
            </w:r>
          </w:p>
        </w:tc>
      </w:tr>
      <w:tr>
        <w:trPr>
          <w:trHeight w:val="480"/>
          <w:tblHeader/>
        </w:trPr>
        <w:tc>
          <w:tcPr>
            <w:tcW w:w="1985" w:type="dxa"/>
            <w:tcBorders>
              <w:top w:val="nil"/>
              <w:left w:val="nil"/>
              <w:bottom w:val="single" w:sz="8" w:space="0" w:color="auto"/>
              <w:right w:val="nil"/>
            </w:tcBorders>
            <w:shd w:val="clear" w:color="auto" w:fill="auto"/>
            <w:vAlign w:val="center"/>
          </w:tcPr>
          <w:p>
            <w:pPr>
              <w:spacing w:after="0"/>
              <w:rPr>
                <w:noProof/>
                <w:color w:val="000000"/>
                <w:sz w:val="18"/>
                <w:szCs w:val="18"/>
              </w:rPr>
            </w:pPr>
            <w:r>
              <w:rPr>
                <w:noProof/>
                <w:color w:val="000000"/>
                <w:sz w:val="18"/>
              </w:rPr>
              <w:t> </w:t>
            </w:r>
          </w:p>
        </w:tc>
        <w:tc>
          <w:tcPr>
            <w:tcW w:w="1276" w:type="dxa"/>
            <w:tcBorders>
              <w:top w:val="nil"/>
              <w:left w:val="single" w:sz="8" w:space="0" w:color="auto"/>
              <w:bottom w:val="single" w:sz="8" w:space="0" w:color="auto"/>
              <w:right w:val="single" w:sz="8" w:space="0" w:color="auto"/>
            </w:tcBorders>
            <w:shd w:val="clear" w:color="auto" w:fill="A6A6A6"/>
            <w:vAlign w:val="center"/>
          </w:tcPr>
          <w:p>
            <w:pPr>
              <w:spacing w:after="0"/>
              <w:jc w:val="center"/>
              <w:rPr>
                <w:noProof/>
                <w:color w:val="000000"/>
                <w:sz w:val="18"/>
                <w:szCs w:val="18"/>
              </w:rPr>
            </w:pPr>
            <w:r>
              <w:rPr>
                <w:noProof/>
                <w:color w:val="000000"/>
                <w:sz w:val="16"/>
              </w:rPr>
              <w:t>Ангажименти</w:t>
            </w:r>
          </w:p>
        </w:tc>
        <w:tc>
          <w:tcPr>
            <w:tcW w:w="992" w:type="dxa"/>
            <w:tcBorders>
              <w:top w:val="nil"/>
              <w:left w:val="nil"/>
              <w:bottom w:val="single" w:sz="8" w:space="0" w:color="auto"/>
              <w:right w:val="single" w:sz="8" w:space="0" w:color="auto"/>
            </w:tcBorders>
            <w:shd w:val="clear" w:color="auto" w:fill="A6A6A6"/>
            <w:vAlign w:val="center"/>
          </w:tcPr>
          <w:p>
            <w:pPr>
              <w:spacing w:after="0"/>
              <w:jc w:val="center"/>
              <w:rPr>
                <w:noProof/>
                <w:color w:val="000000"/>
                <w:sz w:val="18"/>
                <w:szCs w:val="18"/>
              </w:rPr>
            </w:pPr>
            <w:r>
              <w:rPr>
                <w:noProof/>
                <w:color w:val="000000"/>
                <w:sz w:val="16"/>
              </w:rPr>
              <w:t>Доклади</w:t>
            </w:r>
          </w:p>
        </w:tc>
        <w:tc>
          <w:tcPr>
            <w:tcW w:w="1276" w:type="dxa"/>
            <w:tcBorders>
              <w:top w:val="nil"/>
              <w:left w:val="nil"/>
              <w:bottom w:val="single" w:sz="8" w:space="0" w:color="auto"/>
              <w:right w:val="single" w:sz="8" w:space="0" w:color="auto"/>
            </w:tcBorders>
            <w:shd w:val="clear" w:color="000000" w:fill="FFFFFF"/>
            <w:vAlign w:val="center"/>
          </w:tcPr>
          <w:p>
            <w:pPr>
              <w:spacing w:after="0"/>
              <w:jc w:val="center"/>
              <w:rPr>
                <w:noProof/>
                <w:color w:val="000000"/>
                <w:sz w:val="18"/>
                <w:szCs w:val="18"/>
              </w:rPr>
            </w:pPr>
            <w:r>
              <w:rPr>
                <w:noProof/>
                <w:color w:val="000000"/>
                <w:sz w:val="16"/>
              </w:rPr>
              <w:t>Ангажименти</w:t>
            </w:r>
          </w:p>
        </w:tc>
        <w:tc>
          <w:tcPr>
            <w:tcW w:w="850" w:type="dxa"/>
            <w:tcBorders>
              <w:top w:val="nil"/>
              <w:left w:val="nil"/>
              <w:bottom w:val="single" w:sz="8" w:space="0" w:color="auto"/>
              <w:right w:val="single" w:sz="8" w:space="0" w:color="auto"/>
            </w:tcBorders>
            <w:shd w:val="clear" w:color="000000" w:fill="FFFFFF"/>
            <w:vAlign w:val="center"/>
          </w:tcPr>
          <w:p>
            <w:pPr>
              <w:spacing w:after="0"/>
              <w:jc w:val="center"/>
              <w:rPr>
                <w:noProof/>
                <w:color w:val="000000"/>
                <w:sz w:val="18"/>
                <w:szCs w:val="18"/>
              </w:rPr>
            </w:pPr>
            <w:r>
              <w:rPr>
                <w:noProof/>
                <w:color w:val="000000"/>
                <w:sz w:val="16"/>
              </w:rPr>
              <w:t>Доклади</w:t>
            </w:r>
          </w:p>
        </w:tc>
        <w:tc>
          <w:tcPr>
            <w:tcW w:w="1276" w:type="dxa"/>
            <w:tcBorders>
              <w:top w:val="nil"/>
              <w:left w:val="nil"/>
              <w:bottom w:val="single" w:sz="8" w:space="0" w:color="auto"/>
              <w:right w:val="single" w:sz="8" w:space="0" w:color="auto"/>
            </w:tcBorders>
            <w:shd w:val="clear" w:color="auto" w:fill="auto"/>
            <w:vAlign w:val="center"/>
          </w:tcPr>
          <w:p>
            <w:pPr>
              <w:spacing w:after="0"/>
              <w:jc w:val="center"/>
              <w:rPr>
                <w:noProof/>
                <w:color w:val="000000"/>
                <w:sz w:val="18"/>
                <w:szCs w:val="18"/>
              </w:rPr>
            </w:pPr>
            <w:r>
              <w:rPr>
                <w:noProof/>
                <w:color w:val="000000"/>
                <w:sz w:val="16"/>
              </w:rPr>
              <w:t>Ангажименти</w:t>
            </w:r>
          </w:p>
        </w:tc>
        <w:tc>
          <w:tcPr>
            <w:tcW w:w="930" w:type="dxa"/>
            <w:tcBorders>
              <w:top w:val="nil"/>
              <w:left w:val="nil"/>
              <w:bottom w:val="single" w:sz="8" w:space="0" w:color="auto"/>
              <w:right w:val="single" w:sz="8" w:space="0" w:color="auto"/>
            </w:tcBorders>
            <w:shd w:val="clear" w:color="auto" w:fill="auto"/>
            <w:vAlign w:val="center"/>
          </w:tcPr>
          <w:p>
            <w:pPr>
              <w:spacing w:after="0"/>
              <w:jc w:val="center"/>
              <w:rPr>
                <w:noProof/>
                <w:color w:val="000000"/>
                <w:sz w:val="18"/>
                <w:szCs w:val="18"/>
              </w:rPr>
            </w:pPr>
            <w:r>
              <w:rPr>
                <w:noProof/>
                <w:color w:val="000000"/>
                <w:sz w:val="16"/>
              </w:rPr>
              <w:t>Доклади</w:t>
            </w:r>
          </w:p>
        </w:tc>
      </w:tr>
      <w:tr>
        <w:trPr>
          <w:trHeight w:val="415"/>
        </w:trPr>
        <w:tc>
          <w:tcPr>
            <w:tcW w:w="1985" w:type="dxa"/>
            <w:tcBorders>
              <w:top w:val="nil"/>
              <w:left w:val="single" w:sz="8" w:space="0" w:color="auto"/>
              <w:bottom w:val="single" w:sz="8" w:space="0" w:color="auto"/>
              <w:right w:val="nil"/>
            </w:tcBorders>
            <w:shd w:val="clear" w:color="auto" w:fill="auto"/>
            <w:vAlign w:val="center"/>
          </w:tcPr>
          <w:p>
            <w:pPr>
              <w:spacing w:after="0"/>
              <w:rPr>
                <w:noProof/>
                <w:color w:val="000000"/>
                <w:sz w:val="18"/>
                <w:szCs w:val="18"/>
              </w:rPr>
            </w:pPr>
            <w:r>
              <w:rPr>
                <w:noProof/>
                <w:color w:val="000000"/>
                <w:sz w:val="18"/>
                <w:lang w:val="en-US"/>
              </w:rPr>
              <w:t>O</w:t>
            </w:r>
            <w:r>
              <w:rPr>
                <w:noProof/>
                <w:color w:val="000000"/>
                <w:sz w:val="18"/>
              </w:rPr>
              <w:t>дит</w:t>
            </w:r>
          </w:p>
        </w:tc>
        <w:tc>
          <w:tcPr>
            <w:tcW w:w="1276" w:type="dxa"/>
            <w:tcBorders>
              <w:top w:val="nil"/>
              <w:left w:val="single" w:sz="8" w:space="0" w:color="auto"/>
              <w:bottom w:val="single" w:sz="8" w:space="0" w:color="auto"/>
              <w:right w:val="nil"/>
            </w:tcBorders>
            <w:shd w:val="clear" w:color="auto" w:fill="A6A6A6"/>
            <w:vAlign w:val="center"/>
          </w:tcPr>
          <w:p>
            <w:pPr>
              <w:spacing w:after="0"/>
              <w:jc w:val="center"/>
              <w:rPr>
                <w:noProof/>
                <w:color w:val="000000"/>
                <w:sz w:val="18"/>
                <w:szCs w:val="18"/>
              </w:rPr>
            </w:pPr>
            <w:r>
              <w:rPr>
                <w:noProof/>
                <w:color w:val="000000"/>
                <w:sz w:val="18"/>
              </w:rPr>
              <w:t>38</w:t>
            </w:r>
          </w:p>
        </w:tc>
        <w:tc>
          <w:tcPr>
            <w:tcW w:w="992" w:type="dxa"/>
            <w:tcBorders>
              <w:top w:val="nil"/>
              <w:left w:val="single" w:sz="8" w:space="0" w:color="auto"/>
              <w:bottom w:val="single" w:sz="8" w:space="0" w:color="auto"/>
              <w:right w:val="nil"/>
            </w:tcBorders>
            <w:shd w:val="clear" w:color="auto" w:fill="A6A6A6"/>
            <w:vAlign w:val="center"/>
          </w:tcPr>
          <w:p>
            <w:pPr>
              <w:spacing w:after="0"/>
              <w:jc w:val="center"/>
              <w:rPr>
                <w:noProof/>
                <w:color w:val="000000"/>
                <w:sz w:val="18"/>
                <w:szCs w:val="18"/>
              </w:rPr>
            </w:pPr>
            <w:r>
              <w:rPr>
                <w:noProof/>
                <w:color w:val="000000"/>
                <w:sz w:val="18"/>
              </w:rPr>
              <w:t>52</w:t>
            </w:r>
            <w:r>
              <w:rPr>
                <w:rStyle w:val="FootnoteReference"/>
                <w:noProof/>
                <w:color w:val="000000"/>
                <w:sz w:val="18"/>
              </w:rPr>
              <w:footnoteReference w:id="7"/>
            </w:r>
          </w:p>
        </w:tc>
        <w:tc>
          <w:tcPr>
            <w:tcW w:w="1276" w:type="dxa"/>
            <w:tcBorders>
              <w:top w:val="nil"/>
              <w:left w:val="single" w:sz="8" w:space="0" w:color="auto"/>
              <w:bottom w:val="single" w:sz="8" w:space="0" w:color="auto"/>
              <w:right w:val="single" w:sz="8" w:space="0" w:color="auto"/>
            </w:tcBorders>
            <w:shd w:val="clear" w:color="000000" w:fill="FFFFFF"/>
            <w:vAlign w:val="center"/>
          </w:tcPr>
          <w:p>
            <w:pPr>
              <w:spacing w:after="0"/>
              <w:jc w:val="center"/>
              <w:rPr>
                <w:noProof/>
                <w:color w:val="000000"/>
                <w:sz w:val="18"/>
                <w:szCs w:val="18"/>
              </w:rPr>
            </w:pPr>
            <w:r>
              <w:rPr>
                <w:noProof/>
                <w:color w:val="000000"/>
                <w:sz w:val="18"/>
              </w:rPr>
              <w:t>25</w:t>
            </w:r>
            <w:r>
              <w:rPr>
                <w:rStyle w:val="FootnoteReference"/>
                <w:noProof/>
                <w:color w:val="000000"/>
                <w:sz w:val="18"/>
              </w:rPr>
              <w:footnoteReference w:id="8"/>
            </w:r>
          </w:p>
        </w:tc>
        <w:tc>
          <w:tcPr>
            <w:tcW w:w="850" w:type="dxa"/>
            <w:tcBorders>
              <w:top w:val="nil"/>
              <w:left w:val="nil"/>
              <w:bottom w:val="single" w:sz="8" w:space="0" w:color="auto"/>
              <w:right w:val="single" w:sz="8" w:space="0" w:color="auto"/>
            </w:tcBorders>
            <w:shd w:val="clear" w:color="000000" w:fill="FFFFFF"/>
            <w:vAlign w:val="center"/>
          </w:tcPr>
          <w:p>
            <w:pPr>
              <w:spacing w:after="0"/>
              <w:jc w:val="center"/>
              <w:rPr>
                <w:noProof/>
                <w:color w:val="000000"/>
                <w:sz w:val="18"/>
                <w:szCs w:val="18"/>
              </w:rPr>
            </w:pPr>
            <w:r>
              <w:rPr>
                <w:noProof/>
                <w:color w:val="000000"/>
                <w:sz w:val="18"/>
              </w:rPr>
              <w:t>31</w:t>
            </w:r>
          </w:p>
        </w:tc>
        <w:tc>
          <w:tcPr>
            <w:tcW w:w="1276" w:type="dxa"/>
            <w:tcBorders>
              <w:top w:val="nil"/>
              <w:left w:val="nil"/>
              <w:bottom w:val="single" w:sz="8" w:space="0" w:color="auto"/>
              <w:right w:val="single" w:sz="8" w:space="0" w:color="auto"/>
            </w:tcBorders>
            <w:shd w:val="clear" w:color="auto" w:fill="auto"/>
            <w:vAlign w:val="center"/>
          </w:tcPr>
          <w:p>
            <w:pPr>
              <w:spacing w:after="0"/>
              <w:jc w:val="center"/>
              <w:rPr>
                <w:noProof/>
                <w:color w:val="000000"/>
                <w:sz w:val="18"/>
                <w:szCs w:val="18"/>
              </w:rPr>
            </w:pPr>
            <w:r>
              <w:rPr>
                <w:noProof/>
                <w:color w:val="000000"/>
                <w:sz w:val="18"/>
              </w:rPr>
              <w:t>22</w:t>
            </w:r>
            <w:r>
              <w:rPr>
                <w:rStyle w:val="FootnoteReference"/>
                <w:noProof/>
                <w:color w:val="000000"/>
                <w:sz w:val="18"/>
              </w:rPr>
              <w:footnoteReference w:id="9"/>
            </w:r>
          </w:p>
        </w:tc>
        <w:tc>
          <w:tcPr>
            <w:tcW w:w="930" w:type="dxa"/>
            <w:tcBorders>
              <w:top w:val="nil"/>
              <w:left w:val="nil"/>
              <w:bottom w:val="single" w:sz="8" w:space="0" w:color="auto"/>
              <w:right w:val="single" w:sz="8" w:space="0" w:color="auto"/>
            </w:tcBorders>
            <w:shd w:val="clear" w:color="auto" w:fill="auto"/>
            <w:vAlign w:val="center"/>
          </w:tcPr>
          <w:p>
            <w:pPr>
              <w:spacing w:after="0"/>
              <w:jc w:val="center"/>
              <w:rPr>
                <w:noProof/>
                <w:color w:val="000000"/>
                <w:sz w:val="18"/>
                <w:szCs w:val="18"/>
              </w:rPr>
            </w:pPr>
            <w:r>
              <w:rPr>
                <w:noProof/>
                <w:color w:val="000000"/>
                <w:sz w:val="18"/>
              </w:rPr>
              <w:t>23</w:t>
            </w:r>
          </w:p>
        </w:tc>
      </w:tr>
      <w:tr>
        <w:trPr>
          <w:trHeight w:val="415"/>
        </w:trPr>
        <w:tc>
          <w:tcPr>
            <w:tcW w:w="1985" w:type="dxa"/>
            <w:tcBorders>
              <w:top w:val="nil"/>
              <w:left w:val="single" w:sz="8" w:space="0" w:color="auto"/>
              <w:bottom w:val="single" w:sz="8" w:space="0" w:color="auto"/>
              <w:right w:val="nil"/>
            </w:tcBorders>
            <w:shd w:val="clear" w:color="auto" w:fill="auto"/>
            <w:vAlign w:val="center"/>
          </w:tcPr>
          <w:p>
            <w:pPr>
              <w:spacing w:after="0"/>
              <w:jc w:val="left"/>
              <w:rPr>
                <w:noProof/>
                <w:color w:val="000000"/>
                <w:sz w:val="18"/>
                <w:szCs w:val="18"/>
              </w:rPr>
            </w:pPr>
            <w:r>
              <w:rPr>
                <w:noProof/>
                <w:color w:val="000000"/>
                <w:sz w:val="18"/>
              </w:rPr>
              <w:t>Последващи действия</w:t>
            </w:r>
          </w:p>
        </w:tc>
        <w:tc>
          <w:tcPr>
            <w:tcW w:w="1276" w:type="dxa"/>
            <w:tcBorders>
              <w:top w:val="nil"/>
              <w:left w:val="single" w:sz="8" w:space="0" w:color="auto"/>
              <w:bottom w:val="single" w:sz="8" w:space="0" w:color="auto"/>
              <w:right w:val="nil"/>
            </w:tcBorders>
            <w:shd w:val="clear" w:color="auto" w:fill="A6A6A6"/>
            <w:vAlign w:val="center"/>
          </w:tcPr>
          <w:p>
            <w:pPr>
              <w:spacing w:after="0"/>
              <w:jc w:val="center"/>
              <w:rPr>
                <w:noProof/>
                <w:color w:val="000000"/>
                <w:sz w:val="18"/>
                <w:szCs w:val="18"/>
              </w:rPr>
            </w:pPr>
            <w:r>
              <w:rPr>
                <w:noProof/>
                <w:color w:val="000000"/>
                <w:sz w:val="18"/>
              </w:rPr>
              <w:t>96</w:t>
            </w:r>
          </w:p>
        </w:tc>
        <w:tc>
          <w:tcPr>
            <w:tcW w:w="992" w:type="dxa"/>
            <w:tcBorders>
              <w:top w:val="nil"/>
              <w:left w:val="single" w:sz="8" w:space="0" w:color="auto"/>
              <w:bottom w:val="single" w:sz="8" w:space="0" w:color="auto"/>
              <w:right w:val="nil"/>
            </w:tcBorders>
            <w:shd w:val="clear" w:color="auto" w:fill="A6A6A6"/>
            <w:vAlign w:val="center"/>
          </w:tcPr>
          <w:p>
            <w:pPr>
              <w:spacing w:after="0"/>
              <w:jc w:val="center"/>
              <w:rPr>
                <w:noProof/>
                <w:color w:val="000000"/>
                <w:sz w:val="18"/>
                <w:szCs w:val="18"/>
              </w:rPr>
            </w:pPr>
            <w:r>
              <w:rPr>
                <w:noProof/>
                <w:color w:val="000000"/>
                <w:sz w:val="18"/>
              </w:rPr>
              <w:t>-</w:t>
            </w:r>
            <w:r>
              <w:rPr>
                <w:rStyle w:val="FootnoteReference"/>
                <w:noProof/>
                <w:color w:val="000000"/>
                <w:sz w:val="18"/>
              </w:rPr>
              <w:footnoteReference w:id="10"/>
            </w:r>
          </w:p>
        </w:tc>
        <w:tc>
          <w:tcPr>
            <w:tcW w:w="1276" w:type="dxa"/>
            <w:tcBorders>
              <w:top w:val="nil"/>
              <w:left w:val="single" w:sz="8" w:space="0" w:color="auto"/>
              <w:bottom w:val="single" w:sz="8" w:space="0" w:color="auto"/>
              <w:right w:val="single" w:sz="8" w:space="0" w:color="auto"/>
            </w:tcBorders>
            <w:shd w:val="clear" w:color="000000" w:fill="FFFFFF"/>
            <w:vAlign w:val="center"/>
          </w:tcPr>
          <w:p>
            <w:pPr>
              <w:spacing w:after="0"/>
              <w:jc w:val="center"/>
              <w:rPr>
                <w:noProof/>
                <w:color w:val="000000"/>
                <w:sz w:val="18"/>
                <w:szCs w:val="18"/>
              </w:rPr>
            </w:pPr>
            <w:r>
              <w:rPr>
                <w:noProof/>
                <w:color w:val="000000"/>
                <w:sz w:val="18"/>
              </w:rPr>
              <w:t>53</w:t>
            </w:r>
          </w:p>
        </w:tc>
        <w:tc>
          <w:tcPr>
            <w:tcW w:w="850" w:type="dxa"/>
            <w:tcBorders>
              <w:top w:val="nil"/>
              <w:left w:val="nil"/>
              <w:bottom w:val="single" w:sz="8" w:space="0" w:color="auto"/>
              <w:right w:val="single" w:sz="8" w:space="0" w:color="auto"/>
            </w:tcBorders>
            <w:shd w:val="clear" w:color="000000" w:fill="FFFFFF"/>
            <w:vAlign w:val="center"/>
          </w:tcPr>
          <w:p>
            <w:pPr>
              <w:spacing w:after="0"/>
              <w:jc w:val="center"/>
              <w:rPr>
                <w:noProof/>
                <w:color w:val="000000"/>
                <w:sz w:val="18"/>
                <w:szCs w:val="18"/>
              </w:rPr>
            </w:pPr>
            <w:r>
              <w:rPr>
                <w:noProof/>
                <w:color w:val="000000"/>
                <w:sz w:val="18"/>
              </w:rPr>
              <w:t>-</w:t>
            </w:r>
          </w:p>
        </w:tc>
        <w:tc>
          <w:tcPr>
            <w:tcW w:w="1276" w:type="dxa"/>
            <w:tcBorders>
              <w:top w:val="nil"/>
              <w:left w:val="nil"/>
              <w:bottom w:val="single" w:sz="8" w:space="0" w:color="auto"/>
              <w:right w:val="single" w:sz="8" w:space="0" w:color="auto"/>
            </w:tcBorders>
            <w:shd w:val="clear" w:color="auto" w:fill="auto"/>
            <w:vAlign w:val="center"/>
          </w:tcPr>
          <w:p>
            <w:pPr>
              <w:spacing w:after="0"/>
              <w:jc w:val="center"/>
              <w:rPr>
                <w:noProof/>
                <w:color w:val="000000"/>
                <w:sz w:val="18"/>
                <w:szCs w:val="18"/>
              </w:rPr>
            </w:pPr>
            <w:r>
              <w:rPr>
                <w:noProof/>
                <w:color w:val="000000"/>
                <w:sz w:val="18"/>
              </w:rPr>
              <w:t>48</w:t>
            </w:r>
          </w:p>
        </w:tc>
        <w:tc>
          <w:tcPr>
            <w:tcW w:w="930" w:type="dxa"/>
            <w:tcBorders>
              <w:top w:val="nil"/>
              <w:left w:val="nil"/>
              <w:bottom w:val="single" w:sz="8" w:space="0" w:color="auto"/>
              <w:right w:val="single" w:sz="8" w:space="0" w:color="auto"/>
            </w:tcBorders>
            <w:shd w:val="clear" w:color="auto" w:fill="auto"/>
            <w:vAlign w:val="center"/>
          </w:tcPr>
          <w:p>
            <w:pPr>
              <w:spacing w:after="0"/>
              <w:jc w:val="center"/>
              <w:rPr>
                <w:noProof/>
                <w:color w:val="000000"/>
                <w:sz w:val="18"/>
                <w:szCs w:val="18"/>
              </w:rPr>
            </w:pPr>
            <w:r>
              <w:rPr>
                <w:noProof/>
                <w:color w:val="000000"/>
                <w:sz w:val="18"/>
              </w:rPr>
              <w:t>-</w:t>
            </w:r>
          </w:p>
        </w:tc>
      </w:tr>
      <w:tr>
        <w:trPr>
          <w:trHeight w:val="415"/>
        </w:trPr>
        <w:tc>
          <w:tcPr>
            <w:tcW w:w="1985" w:type="dxa"/>
            <w:tcBorders>
              <w:top w:val="nil"/>
              <w:left w:val="single" w:sz="8" w:space="0" w:color="auto"/>
              <w:bottom w:val="single" w:sz="8" w:space="0" w:color="auto"/>
              <w:right w:val="nil"/>
            </w:tcBorders>
            <w:shd w:val="clear" w:color="auto" w:fill="auto"/>
            <w:vAlign w:val="center"/>
          </w:tcPr>
          <w:p>
            <w:pPr>
              <w:spacing w:after="0"/>
              <w:jc w:val="left"/>
              <w:rPr>
                <w:noProof/>
                <w:color w:val="000000"/>
                <w:sz w:val="18"/>
                <w:szCs w:val="18"/>
              </w:rPr>
            </w:pPr>
            <w:r>
              <w:rPr>
                <w:noProof/>
                <w:color w:val="000000"/>
                <w:sz w:val="18"/>
              </w:rPr>
              <w:t>(Ограничен) преглед</w:t>
            </w:r>
          </w:p>
        </w:tc>
        <w:tc>
          <w:tcPr>
            <w:tcW w:w="1276" w:type="dxa"/>
            <w:tcBorders>
              <w:top w:val="nil"/>
              <w:left w:val="single" w:sz="8" w:space="0" w:color="auto"/>
              <w:bottom w:val="single" w:sz="8" w:space="0" w:color="auto"/>
              <w:right w:val="nil"/>
            </w:tcBorders>
            <w:shd w:val="clear" w:color="auto" w:fill="A6A6A6"/>
            <w:vAlign w:val="center"/>
          </w:tcPr>
          <w:p>
            <w:pPr>
              <w:spacing w:after="0"/>
              <w:jc w:val="center"/>
              <w:rPr>
                <w:noProof/>
                <w:color w:val="000000"/>
                <w:sz w:val="18"/>
                <w:szCs w:val="18"/>
              </w:rPr>
            </w:pPr>
            <w:r>
              <w:rPr>
                <w:noProof/>
                <w:color w:val="000000"/>
                <w:sz w:val="18"/>
              </w:rPr>
              <w:t>2</w:t>
            </w:r>
          </w:p>
        </w:tc>
        <w:tc>
          <w:tcPr>
            <w:tcW w:w="992" w:type="dxa"/>
            <w:tcBorders>
              <w:top w:val="nil"/>
              <w:left w:val="single" w:sz="8" w:space="0" w:color="auto"/>
              <w:bottom w:val="single" w:sz="8" w:space="0" w:color="auto"/>
              <w:right w:val="nil"/>
            </w:tcBorders>
            <w:shd w:val="clear" w:color="auto" w:fill="A6A6A6"/>
            <w:vAlign w:val="center"/>
          </w:tcPr>
          <w:p>
            <w:pPr>
              <w:spacing w:after="0"/>
              <w:jc w:val="center"/>
              <w:rPr>
                <w:noProof/>
                <w:color w:val="000000"/>
                <w:sz w:val="18"/>
                <w:szCs w:val="18"/>
              </w:rPr>
            </w:pPr>
            <w:r>
              <w:rPr>
                <w:noProof/>
                <w:color w:val="000000"/>
                <w:sz w:val="18"/>
              </w:rPr>
              <w:t>2</w:t>
            </w:r>
          </w:p>
        </w:tc>
        <w:tc>
          <w:tcPr>
            <w:tcW w:w="1276" w:type="dxa"/>
            <w:tcBorders>
              <w:top w:val="nil"/>
              <w:left w:val="single" w:sz="8" w:space="0" w:color="auto"/>
              <w:bottom w:val="single" w:sz="8" w:space="0" w:color="auto"/>
              <w:right w:val="single" w:sz="8" w:space="0" w:color="auto"/>
            </w:tcBorders>
            <w:shd w:val="clear" w:color="000000" w:fill="FFFFFF"/>
            <w:vAlign w:val="center"/>
          </w:tcPr>
          <w:p>
            <w:pPr>
              <w:spacing w:after="0"/>
              <w:jc w:val="center"/>
              <w:rPr>
                <w:noProof/>
                <w:color w:val="000000"/>
                <w:sz w:val="18"/>
                <w:szCs w:val="18"/>
              </w:rPr>
            </w:pPr>
            <w:r>
              <w:rPr>
                <w:noProof/>
                <w:color w:val="000000"/>
                <w:sz w:val="18"/>
              </w:rPr>
              <w:t>5</w:t>
            </w:r>
          </w:p>
        </w:tc>
        <w:tc>
          <w:tcPr>
            <w:tcW w:w="850" w:type="dxa"/>
            <w:tcBorders>
              <w:top w:val="nil"/>
              <w:left w:val="nil"/>
              <w:bottom w:val="single" w:sz="8" w:space="0" w:color="auto"/>
              <w:right w:val="single" w:sz="8" w:space="0" w:color="auto"/>
            </w:tcBorders>
            <w:shd w:val="clear" w:color="000000" w:fill="FFFFFF"/>
            <w:vAlign w:val="center"/>
          </w:tcPr>
          <w:p>
            <w:pPr>
              <w:spacing w:after="0"/>
              <w:jc w:val="center"/>
              <w:rPr>
                <w:noProof/>
                <w:color w:val="000000"/>
                <w:sz w:val="18"/>
                <w:szCs w:val="18"/>
              </w:rPr>
            </w:pPr>
            <w:r>
              <w:rPr>
                <w:noProof/>
                <w:color w:val="000000"/>
                <w:sz w:val="18"/>
              </w:rPr>
              <w:t>5</w:t>
            </w:r>
          </w:p>
        </w:tc>
        <w:tc>
          <w:tcPr>
            <w:tcW w:w="1276" w:type="dxa"/>
            <w:tcBorders>
              <w:top w:val="nil"/>
              <w:left w:val="nil"/>
              <w:bottom w:val="single" w:sz="8" w:space="0" w:color="auto"/>
              <w:right w:val="single" w:sz="8" w:space="0" w:color="auto"/>
            </w:tcBorders>
            <w:shd w:val="clear" w:color="auto" w:fill="auto"/>
            <w:vAlign w:val="center"/>
          </w:tcPr>
          <w:p>
            <w:pPr>
              <w:spacing w:after="0"/>
              <w:jc w:val="center"/>
              <w:rPr>
                <w:noProof/>
                <w:color w:val="000000"/>
                <w:sz w:val="18"/>
                <w:szCs w:val="18"/>
              </w:rPr>
            </w:pPr>
            <w:r>
              <w:rPr>
                <w:noProof/>
                <w:color w:val="000000"/>
                <w:sz w:val="18"/>
              </w:rPr>
              <w:t>4</w:t>
            </w:r>
          </w:p>
        </w:tc>
        <w:tc>
          <w:tcPr>
            <w:tcW w:w="930" w:type="dxa"/>
            <w:tcBorders>
              <w:top w:val="nil"/>
              <w:left w:val="nil"/>
              <w:bottom w:val="single" w:sz="8" w:space="0" w:color="auto"/>
              <w:right w:val="single" w:sz="8" w:space="0" w:color="auto"/>
            </w:tcBorders>
            <w:shd w:val="clear" w:color="auto" w:fill="auto"/>
            <w:vAlign w:val="center"/>
          </w:tcPr>
          <w:p>
            <w:pPr>
              <w:spacing w:after="0"/>
              <w:jc w:val="center"/>
              <w:rPr>
                <w:noProof/>
                <w:color w:val="000000"/>
                <w:sz w:val="18"/>
                <w:szCs w:val="18"/>
              </w:rPr>
            </w:pPr>
            <w:r>
              <w:rPr>
                <w:noProof/>
                <w:color w:val="000000"/>
                <w:sz w:val="18"/>
              </w:rPr>
              <w:t>4</w:t>
            </w:r>
          </w:p>
        </w:tc>
      </w:tr>
      <w:tr>
        <w:trPr>
          <w:trHeight w:val="416"/>
        </w:trPr>
        <w:tc>
          <w:tcPr>
            <w:tcW w:w="1985" w:type="dxa"/>
            <w:tcBorders>
              <w:top w:val="nil"/>
              <w:left w:val="single" w:sz="8" w:space="0" w:color="auto"/>
              <w:bottom w:val="single" w:sz="8" w:space="0" w:color="auto"/>
              <w:right w:val="nil"/>
            </w:tcBorders>
            <w:shd w:val="clear" w:color="auto" w:fill="auto"/>
            <w:vAlign w:val="center"/>
          </w:tcPr>
          <w:p>
            <w:pPr>
              <w:spacing w:after="0"/>
              <w:jc w:val="left"/>
              <w:rPr>
                <w:noProof/>
                <w:color w:val="000000"/>
                <w:sz w:val="17"/>
                <w:szCs w:val="17"/>
              </w:rPr>
            </w:pPr>
            <w:r>
              <w:rPr>
                <w:noProof/>
                <w:color w:val="000000"/>
                <w:sz w:val="17"/>
              </w:rPr>
              <w:t>Писмо до ръководството</w:t>
            </w:r>
          </w:p>
        </w:tc>
        <w:tc>
          <w:tcPr>
            <w:tcW w:w="1276" w:type="dxa"/>
            <w:tcBorders>
              <w:top w:val="nil"/>
              <w:left w:val="single" w:sz="8" w:space="0" w:color="auto"/>
              <w:bottom w:val="single" w:sz="8" w:space="0" w:color="auto"/>
              <w:right w:val="nil"/>
            </w:tcBorders>
            <w:shd w:val="clear" w:color="auto" w:fill="A6A6A6"/>
            <w:vAlign w:val="center"/>
          </w:tcPr>
          <w:p>
            <w:pPr>
              <w:spacing w:after="0"/>
              <w:jc w:val="center"/>
              <w:rPr>
                <w:noProof/>
                <w:color w:val="000000"/>
                <w:sz w:val="17"/>
                <w:szCs w:val="17"/>
              </w:rPr>
            </w:pPr>
            <w:r>
              <w:rPr>
                <w:noProof/>
                <w:color w:val="000000"/>
                <w:sz w:val="17"/>
              </w:rPr>
              <w:t>1</w:t>
            </w:r>
          </w:p>
        </w:tc>
        <w:tc>
          <w:tcPr>
            <w:tcW w:w="992" w:type="dxa"/>
            <w:tcBorders>
              <w:top w:val="nil"/>
              <w:left w:val="single" w:sz="8" w:space="0" w:color="auto"/>
              <w:bottom w:val="single" w:sz="8" w:space="0" w:color="auto"/>
              <w:right w:val="nil"/>
            </w:tcBorders>
            <w:shd w:val="clear" w:color="auto" w:fill="A6A6A6"/>
            <w:vAlign w:val="center"/>
          </w:tcPr>
          <w:p>
            <w:pPr>
              <w:spacing w:after="0"/>
              <w:jc w:val="center"/>
              <w:rPr>
                <w:noProof/>
                <w:color w:val="000000"/>
                <w:sz w:val="17"/>
                <w:szCs w:val="17"/>
              </w:rPr>
            </w:pPr>
            <w:r>
              <w:rPr>
                <w:noProof/>
                <w:color w:val="000000"/>
                <w:sz w:val="17"/>
              </w:rPr>
              <w:t>1</w:t>
            </w:r>
          </w:p>
        </w:tc>
        <w:tc>
          <w:tcPr>
            <w:tcW w:w="1276" w:type="dxa"/>
            <w:tcBorders>
              <w:top w:val="nil"/>
              <w:left w:val="single" w:sz="8" w:space="0" w:color="auto"/>
              <w:bottom w:val="single" w:sz="8" w:space="0" w:color="auto"/>
              <w:right w:val="single" w:sz="8" w:space="0" w:color="auto"/>
            </w:tcBorders>
            <w:shd w:val="clear" w:color="000000" w:fill="FFFFFF"/>
            <w:vAlign w:val="center"/>
          </w:tcPr>
          <w:p>
            <w:pPr>
              <w:spacing w:after="0"/>
              <w:jc w:val="center"/>
              <w:rPr>
                <w:noProof/>
                <w:color w:val="000000"/>
                <w:sz w:val="18"/>
                <w:szCs w:val="18"/>
              </w:rPr>
            </w:pPr>
            <w:r>
              <w:rPr>
                <w:noProof/>
                <w:color w:val="000000"/>
                <w:sz w:val="18"/>
              </w:rPr>
              <w:t>1</w:t>
            </w:r>
          </w:p>
        </w:tc>
        <w:tc>
          <w:tcPr>
            <w:tcW w:w="850" w:type="dxa"/>
            <w:tcBorders>
              <w:top w:val="nil"/>
              <w:left w:val="nil"/>
              <w:bottom w:val="single" w:sz="8" w:space="0" w:color="auto"/>
              <w:right w:val="single" w:sz="8" w:space="0" w:color="auto"/>
            </w:tcBorders>
            <w:shd w:val="clear" w:color="000000" w:fill="FFFFFF"/>
            <w:vAlign w:val="center"/>
          </w:tcPr>
          <w:p>
            <w:pPr>
              <w:spacing w:after="0"/>
              <w:jc w:val="center"/>
              <w:rPr>
                <w:noProof/>
                <w:color w:val="000000"/>
                <w:sz w:val="18"/>
                <w:szCs w:val="18"/>
              </w:rPr>
            </w:pPr>
            <w:r>
              <w:rPr>
                <w:noProof/>
                <w:color w:val="000000"/>
                <w:sz w:val="18"/>
              </w:rPr>
              <w:t>1</w:t>
            </w:r>
          </w:p>
        </w:tc>
        <w:tc>
          <w:tcPr>
            <w:tcW w:w="1276" w:type="dxa"/>
            <w:tcBorders>
              <w:top w:val="nil"/>
              <w:left w:val="nil"/>
              <w:bottom w:val="single" w:sz="8" w:space="0" w:color="auto"/>
              <w:right w:val="single" w:sz="8" w:space="0" w:color="auto"/>
            </w:tcBorders>
            <w:shd w:val="clear" w:color="auto" w:fill="auto"/>
            <w:vAlign w:val="center"/>
          </w:tcPr>
          <w:p>
            <w:pPr>
              <w:spacing w:after="0"/>
              <w:jc w:val="center"/>
              <w:rPr>
                <w:noProof/>
                <w:color w:val="000000"/>
                <w:sz w:val="18"/>
                <w:szCs w:val="18"/>
              </w:rPr>
            </w:pPr>
            <w:r>
              <w:rPr>
                <w:noProof/>
                <w:color w:val="000000"/>
                <w:sz w:val="18"/>
              </w:rPr>
              <w:t>1</w:t>
            </w:r>
          </w:p>
        </w:tc>
        <w:tc>
          <w:tcPr>
            <w:tcW w:w="930" w:type="dxa"/>
            <w:tcBorders>
              <w:top w:val="nil"/>
              <w:left w:val="nil"/>
              <w:bottom w:val="single" w:sz="8" w:space="0" w:color="auto"/>
              <w:right w:val="single" w:sz="8" w:space="0" w:color="auto"/>
            </w:tcBorders>
            <w:shd w:val="clear" w:color="auto" w:fill="auto"/>
            <w:vAlign w:val="center"/>
          </w:tcPr>
          <w:p>
            <w:pPr>
              <w:spacing w:after="0"/>
              <w:jc w:val="center"/>
              <w:rPr>
                <w:noProof/>
                <w:color w:val="000000"/>
                <w:sz w:val="18"/>
                <w:szCs w:val="18"/>
              </w:rPr>
            </w:pPr>
            <w:r>
              <w:rPr>
                <w:noProof/>
                <w:color w:val="000000"/>
                <w:sz w:val="18"/>
              </w:rPr>
              <w:t>1</w:t>
            </w:r>
          </w:p>
        </w:tc>
      </w:tr>
      <w:tr>
        <w:trPr>
          <w:trHeight w:val="415"/>
        </w:trPr>
        <w:tc>
          <w:tcPr>
            <w:tcW w:w="1985" w:type="dxa"/>
            <w:tcBorders>
              <w:top w:val="nil"/>
              <w:left w:val="single" w:sz="8" w:space="0" w:color="auto"/>
              <w:bottom w:val="single" w:sz="8" w:space="0" w:color="auto"/>
              <w:right w:val="nil"/>
            </w:tcBorders>
            <w:shd w:val="clear" w:color="auto" w:fill="auto"/>
            <w:vAlign w:val="center"/>
          </w:tcPr>
          <w:p>
            <w:pPr>
              <w:spacing w:after="0"/>
              <w:jc w:val="left"/>
              <w:rPr>
                <w:noProof/>
                <w:color w:val="000000"/>
                <w:sz w:val="18"/>
                <w:szCs w:val="18"/>
              </w:rPr>
            </w:pPr>
            <w:r>
              <w:rPr>
                <w:noProof/>
                <w:color w:val="000000"/>
                <w:sz w:val="18"/>
              </w:rPr>
              <w:t>Оценка на риска в областта на ИТ</w:t>
            </w:r>
          </w:p>
        </w:tc>
        <w:tc>
          <w:tcPr>
            <w:tcW w:w="1276" w:type="dxa"/>
            <w:tcBorders>
              <w:top w:val="nil"/>
              <w:left w:val="single" w:sz="8" w:space="0" w:color="auto"/>
              <w:bottom w:val="single" w:sz="8" w:space="0" w:color="auto"/>
              <w:right w:val="nil"/>
            </w:tcBorders>
            <w:shd w:val="clear" w:color="auto" w:fill="A6A6A6"/>
            <w:vAlign w:val="center"/>
          </w:tcPr>
          <w:p>
            <w:pPr>
              <w:spacing w:after="0"/>
              <w:jc w:val="center"/>
              <w:rPr>
                <w:noProof/>
                <w:color w:val="000000"/>
                <w:sz w:val="18"/>
                <w:szCs w:val="18"/>
              </w:rPr>
            </w:pPr>
            <w:r>
              <w:rPr>
                <w:noProof/>
                <w:color w:val="000000"/>
                <w:sz w:val="18"/>
              </w:rPr>
              <w:t>0</w:t>
            </w:r>
          </w:p>
        </w:tc>
        <w:tc>
          <w:tcPr>
            <w:tcW w:w="992" w:type="dxa"/>
            <w:tcBorders>
              <w:top w:val="nil"/>
              <w:left w:val="single" w:sz="8" w:space="0" w:color="auto"/>
              <w:bottom w:val="single" w:sz="8" w:space="0" w:color="auto"/>
              <w:right w:val="nil"/>
            </w:tcBorders>
            <w:shd w:val="clear" w:color="auto" w:fill="A6A6A6"/>
            <w:vAlign w:val="center"/>
          </w:tcPr>
          <w:p>
            <w:pPr>
              <w:spacing w:after="0"/>
              <w:jc w:val="center"/>
              <w:rPr>
                <w:noProof/>
                <w:color w:val="000000"/>
                <w:sz w:val="18"/>
                <w:szCs w:val="18"/>
              </w:rPr>
            </w:pPr>
            <w:r>
              <w:rPr>
                <w:noProof/>
                <w:color w:val="000000"/>
                <w:sz w:val="18"/>
              </w:rPr>
              <w:t>0</w:t>
            </w:r>
          </w:p>
        </w:tc>
        <w:tc>
          <w:tcPr>
            <w:tcW w:w="1276" w:type="dxa"/>
            <w:tcBorders>
              <w:top w:val="nil"/>
              <w:left w:val="single" w:sz="8" w:space="0" w:color="auto"/>
              <w:bottom w:val="single" w:sz="8" w:space="0" w:color="auto"/>
              <w:right w:val="single" w:sz="8" w:space="0" w:color="auto"/>
            </w:tcBorders>
            <w:shd w:val="clear" w:color="000000" w:fill="FFFFFF"/>
            <w:vAlign w:val="center"/>
          </w:tcPr>
          <w:p>
            <w:pPr>
              <w:spacing w:after="0"/>
              <w:jc w:val="center"/>
              <w:rPr>
                <w:noProof/>
                <w:color w:val="000000"/>
                <w:sz w:val="18"/>
                <w:szCs w:val="18"/>
              </w:rPr>
            </w:pPr>
            <w:r>
              <w:rPr>
                <w:noProof/>
                <w:color w:val="000000"/>
                <w:sz w:val="18"/>
              </w:rPr>
              <w:t>1</w:t>
            </w:r>
          </w:p>
        </w:tc>
        <w:tc>
          <w:tcPr>
            <w:tcW w:w="850" w:type="dxa"/>
            <w:tcBorders>
              <w:top w:val="nil"/>
              <w:left w:val="nil"/>
              <w:bottom w:val="single" w:sz="8" w:space="0" w:color="auto"/>
              <w:right w:val="single" w:sz="8" w:space="0" w:color="auto"/>
            </w:tcBorders>
            <w:shd w:val="clear" w:color="000000" w:fill="FFFFFF"/>
            <w:vAlign w:val="center"/>
          </w:tcPr>
          <w:p>
            <w:pPr>
              <w:spacing w:after="0"/>
              <w:jc w:val="center"/>
              <w:rPr>
                <w:noProof/>
                <w:color w:val="000000"/>
                <w:sz w:val="18"/>
                <w:szCs w:val="18"/>
              </w:rPr>
            </w:pPr>
            <w:r>
              <w:rPr>
                <w:noProof/>
                <w:color w:val="000000"/>
                <w:sz w:val="18"/>
              </w:rPr>
              <w:t>1</w:t>
            </w:r>
          </w:p>
        </w:tc>
        <w:tc>
          <w:tcPr>
            <w:tcW w:w="1276" w:type="dxa"/>
            <w:tcBorders>
              <w:top w:val="nil"/>
              <w:left w:val="nil"/>
              <w:bottom w:val="single" w:sz="8" w:space="0" w:color="auto"/>
              <w:right w:val="single" w:sz="8" w:space="0" w:color="auto"/>
            </w:tcBorders>
            <w:shd w:val="clear" w:color="auto" w:fill="auto"/>
            <w:vAlign w:val="center"/>
          </w:tcPr>
          <w:p>
            <w:pPr>
              <w:spacing w:after="0"/>
              <w:jc w:val="center"/>
              <w:rPr>
                <w:noProof/>
                <w:color w:val="000000"/>
                <w:sz w:val="18"/>
                <w:szCs w:val="18"/>
              </w:rPr>
            </w:pPr>
            <w:r>
              <w:rPr>
                <w:noProof/>
                <w:color w:val="000000"/>
                <w:sz w:val="18"/>
              </w:rPr>
              <w:t>0</w:t>
            </w:r>
          </w:p>
        </w:tc>
        <w:tc>
          <w:tcPr>
            <w:tcW w:w="930" w:type="dxa"/>
            <w:tcBorders>
              <w:top w:val="nil"/>
              <w:left w:val="nil"/>
              <w:bottom w:val="single" w:sz="8" w:space="0" w:color="auto"/>
              <w:right w:val="single" w:sz="8" w:space="0" w:color="auto"/>
            </w:tcBorders>
            <w:shd w:val="clear" w:color="auto" w:fill="auto"/>
            <w:vAlign w:val="center"/>
          </w:tcPr>
          <w:p>
            <w:pPr>
              <w:spacing w:after="0"/>
              <w:jc w:val="center"/>
              <w:rPr>
                <w:noProof/>
                <w:color w:val="000000"/>
                <w:sz w:val="18"/>
                <w:szCs w:val="18"/>
              </w:rPr>
            </w:pPr>
            <w:r>
              <w:rPr>
                <w:noProof/>
                <w:color w:val="000000"/>
                <w:sz w:val="18"/>
              </w:rPr>
              <w:t>0</w:t>
            </w:r>
          </w:p>
        </w:tc>
      </w:tr>
      <w:tr>
        <w:trPr>
          <w:trHeight w:val="415"/>
        </w:trPr>
        <w:tc>
          <w:tcPr>
            <w:tcW w:w="1985" w:type="dxa"/>
            <w:tcBorders>
              <w:top w:val="nil"/>
              <w:left w:val="single" w:sz="8" w:space="0" w:color="auto"/>
              <w:bottom w:val="single" w:sz="8" w:space="0" w:color="auto"/>
              <w:right w:val="nil"/>
            </w:tcBorders>
            <w:shd w:val="clear" w:color="auto" w:fill="auto"/>
            <w:vAlign w:val="center"/>
          </w:tcPr>
          <w:p>
            <w:pPr>
              <w:spacing w:after="0"/>
              <w:jc w:val="left"/>
              <w:rPr>
                <w:noProof/>
                <w:color w:val="000000"/>
                <w:sz w:val="18"/>
                <w:szCs w:val="18"/>
              </w:rPr>
            </w:pPr>
            <w:r>
              <w:rPr>
                <w:noProof/>
                <w:color w:val="000000"/>
                <w:sz w:val="18"/>
              </w:rPr>
              <w:t>Оценка на риска на ОЗОС</w:t>
            </w:r>
            <w:r>
              <w:rPr>
                <w:rStyle w:val="FootnoteReference"/>
                <w:noProof/>
                <w:color w:val="000000"/>
                <w:sz w:val="18"/>
              </w:rPr>
              <w:footnoteReference w:id="11"/>
            </w:r>
          </w:p>
        </w:tc>
        <w:tc>
          <w:tcPr>
            <w:tcW w:w="1276" w:type="dxa"/>
            <w:tcBorders>
              <w:top w:val="nil"/>
              <w:left w:val="single" w:sz="8" w:space="0" w:color="auto"/>
              <w:bottom w:val="single" w:sz="8" w:space="0" w:color="auto"/>
              <w:right w:val="nil"/>
            </w:tcBorders>
            <w:shd w:val="clear" w:color="auto" w:fill="A6A6A6"/>
            <w:vAlign w:val="center"/>
          </w:tcPr>
          <w:p>
            <w:pPr>
              <w:spacing w:after="0"/>
              <w:jc w:val="center"/>
              <w:rPr>
                <w:noProof/>
                <w:color w:val="000000"/>
                <w:sz w:val="18"/>
                <w:szCs w:val="18"/>
              </w:rPr>
            </w:pPr>
            <w:r>
              <w:rPr>
                <w:noProof/>
                <w:color w:val="000000"/>
                <w:sz w:val="18"/>
              </w:rPr>
              <w:t>1</w:t>
            </w:r>
          </w:p>
        </w:tc>
        <w:tc>
          <w:tcPr>
            <w:tcW w:w="992" w:type="dxa"/>
            <w:tcBorders>
              <w:top w:val="nil"/>
              <w:left w:val="single" w:sz="8" w:space="0" w:color="auto"/>
              <w:bottom w:val="single" w:sz="8" w:space="0" w:color="auto"/>
              <w:right w:val="nil"/>
            </w:tcBorders>
            <w:shd w:val="clear" w:color="auto" w:fill="A6A6A6"/>
            <w:vAlign w:val="center"/>
          </w:tcPr>
          <w:p>
            <w:pPr>
              <w:spacing w:after="0"/>
              <w:jc w:val="center"/>
              <w:rPr>
                <w:noProof/>
                <w:color w:val="000000"/>
                <w:sz w:val="18"/>
                <w:szCs w:val="18"/>
              </w:rPr>
            </w:pPr>
            <w:r>
              <w:rPr>
                <w:noProof/>
                <w:color w:val="000000"/>
                <w:sz w:val="18"/>
              </w:rPr>
              <w:t>1</w:t>
            </w:r>
          </w:p>
        </w:tc>
        <w:tc>
          <w:tcPr>
            <w:tcW w:w="1276" w:type="dxa"/>
            <w:tcBorders>
              <w:top w:val="nil"/>
              <w:left w:val="single" w:sz="8" w:space="0" w:color="auto"/>
              <w:bottom w:val="single" w:sz="8" w:space="0" w:color="auto"/>
              <w:right w:val="single" w:sz="8" w:space="0" w:color="auto"/>
            </w:tcBorders>
            <w:shd w:val="clear" w:color="000000" w:fill="FFFFFF"/>
            <w:vAlign w:val="center"/>
          </w:tcPr>
          <w:p>
            <w:pPr>
              <w:spacing w:after="0"/>
              <w:jc w:val="center"/>
              <w:rPr>
                <w:noProof/>
                <w:color w:val="000000"/>
                <w:sz w:val="18"/>
                <w:szCs w:val="18"/>
              </w:rPr>
            </w:pPr>
            <w:r>
              <w:rPr>
                <w:noProof/>
                <w:color w:val="000000"/>
                <w:sz w:val="18"/>
              </w:rPr>
              <w:t>0</w:t>
            </w:r>
          </w:p>
        </w:tc>
        <w:tc>
          <w:tcPr>
            <w:tcW w:w="850" w:type="dxa"/>
            <w:tcBorders>
              <w:top w:val="nil"/>
              <w:left w:val="nil"/>
              <w:bottom w:val="single" w:sz="8" w:space="0" w:color="auto"/>
              <w:right w:val="single" w:sz="8" w:space="0" w:color="auto"/>
            </w:tcBorders>
            <w:shd w:val="clear" w:color="000000" w:fill="FFFFFF"/>
            <w:vAlign w:val="center"/>
          </w:tcPr>
          <w:p>
            <w:pPr>
              <w:spacing w:after="0"/>
              <w:jc w:val="center"/>
              <w:rPr>
                <w:noProof/>
                <w:color w:val="000000"/>
                <w:sz w:val="18"/>
                <w:szCs w:val="18"/>
              </w:rPr>
            </w:pPr>
            <w:r>
              <w:rPr>
                <w:noProof/>
                <w:color w:val="000000"/>
                <w:sz w:val="18"/>
              </w:rPr>
              <w:t>0</w:t>
            </w:r>
          </w:p>
        </w:tc>
        <w:tc>
          <w:tcPr>
            <w:tcW w:w="1276" w:type="dxa"/>
            <w:tcBorders>
              <w:top w:val="nil"/>
              <w:left w:val="nil"/>
              <w:bottom w:val="single" w:sz="8" w:space="0" w:color="auto"/>
              <w:right w:val="single" w:sz="8" w:space="0" w:color="auto"/>
            </w:tcBorders>
            <w:shd w:val="clear" w:color="auto" w:fill="auto"/>
            <w:vAlign w:val="center"/>
          </w:tcPr>
          <w:p>
            <w:pPr>
              <w:spacing w:after="0"/>
              <w:jc w:val="center"/>
              <w:rPr>
                <w:noProof/>
                <w:color w:val="000000"/>
                <w:sz w:val="18"/>
                <w:szCs w:val="18"/>
              </w:rPr>
            </w:pPr>
            <w:r>
              <w:rPr>
                <w:noProof/>
                <w:color w:val="000000"/>
                <w:sz w:val="18"/>
              </w:rPr>
              <w:t>0</w:t>
            </w:r>
          </w:p>
        </w:tc>
        <w:tc>
          <w:tcPr>
            <w:tcW w:w="930" w:type="dxa"/>
            <w:tcBorders>
              <w:top w:val="nil"/>
              <w:left w:val="nil"/>
              <w:bottom w:val="single" w:sz="8" w:space="0" w:color="auto"/>
              <w:right w:val="single" w:sz="8" w:space="0" w:color="auto"/>
            </w:tcBorders>
            <w:shd w:val="clear" w:color="auto" w:fill="auto"/>
            <w:vAlign w:val="center"/>
          </w:tcPr>
          <w:p>
            <w:pPr>
              <w:spacing w:after="0"/>
              <w:jc w:val="center"/>
              <w:rPr>
                <w:noProof/>
                <w:color w:val="000000"/>
                <w:sz w:val="18"/>
                <w:szCs w:val="18"/>
              </w:rPr>
            </w:pPr>
            <w:r>
              <w:rPr>
                <w:noProof/>
                <w:color w:val="000000"/>
                <w:sz w:val="18"/>
              </w:rPr>
              <w:t>0</w:t>
            </w:r>
          </w:p>
        </w:tc>
      </w:tr>
      <w:tr>
        <w:trPr>
          <w:trHeight w:val="415"/>
        </w:trPr>
        <w:tc>
          <w:tcPr>
            <w:tcW w:w="1985" w:type="dxa"/>
            <w:tcBorders>
              <w:top w:val="nil"/>
              <w:left w:val="single" w:sz="8" w:space="0" w:color="auto"/>
              <w:bottom w:val="single" w:sz="8" w:space="0" w:color="auto"/>
              <w:right w:val="nil"/>
            </w:tcBorders>
            <w:shd w:val="clear" w:color="auto" w:fill="auto"/>
            <w:vAlign w:val="center"/>
          </w:tcPr>
          <w:p>
            <w:pPr>
              <w:spacing w:after="0"/>
              <w:jc w:val="left"/>
              <w:rPr>
                <w:noProof/>
                <w:color w:val="000000"/>
                <w:sz w:val="18"/>
                <w:szCs w:val="18"/>
              </w:rPr>
            </w:pPr>
            <w:r>
              <w:rPr>
                <w:noProof/>
                <w:color w:val="000000"/>
                <w:sz w:val="18"/>
              </w:rPr>
              <w:t>Консултации</w:t>
            </w:r>
          </w:p>
        </w:tc>
        <w:tc>
          <w:tcPr>
            <w:tcW w:w="1276" w:type="dxa"/>
            <w:tcBorders>
              <w:top w:val="nil"/>
              <w:left w:val="single" w:sz="8" w:space="0" w:color="auto"/>
              <w:bottom w:val="single" w:sz="8" w:space="0" w:color="auto"/>
              <w:right w:val="nil"/>
            </w:tcBorders>
            <w:shd w:val="clear" w:color="auto" w:fill="A6A6A6"/>
            <w:vAlign w:val="center"/>
          </w:tcPr>
          <w:p>
            <w:pPr>
              <w:spacing w:after="0"/>
              <w:jc w:val="center"/>
              <w:rPr>
                <w:noProof/>
                <w:color w:val="000000"/>
                <w:sz w:val="18"/>
                <w:szCs w:val="18"/>
              </w:rPr>
            </w:pPr>
            <w:r>
              <w:rPr>
                <w:noProof/>
                <w:color w:val="000000"/>
                <w:sz w:val="18"/>
              </w:rPr>
              <w:t>1</w:t>
            </w:r>
          </w:p>
        </w:tc>
        <w:tc>
          <w:tcPr>
            <w:tcW w:w="992" w:type="dxa"/>
            <w:tcBorders>
              <w:top w:val="nil"/>
              <w:left w:val="single" w:sz="8" w:space="0" w:color="auto"/>
              <w:bottom w:val="single" w:sz="8" w:space="0" w:color="auto"/>
              <w:right w:val="nil"/>
            </w:tcBorders>
            <w:shd w:val="clear" w:color="auto" w:fill="A6A6A6"/>
            <w:vAlign w:val="center"/>
          </w:tcPr>
          <w:p>
            <w:pPr>
              <w:spacing w:after="0"/>
              <w:jc w:val="center"/>
              <w:rPr>
                <w:noProof/>
                <w:color w:val="000000"/>
                <w:sz w:val="18"/>
                <w:szCs w:val="18"/>
              </w:rPr>
            </w:pPr>
            <w:r>
              <w:rPr>
                <w:noProof/>
                <w:color w:val="000000"/>
                <w:sz w:val="18"/>
              </w:rPr>
              <w:t>1</w:t>
            </w:r>
          </w:p>
        </w:tc>
        <w:tc>
          <w:tcPr>
            <w:tcW w:w="1276" w:type="dxa"/>
            <w:tcBorders>
              <w:top w:val="nil"/>
              <w:left w:val="single" w:sz="8" w:space="0" w:color="auto"/>
              <w:bottom w:val="single" w:sz="8" w:space="0" w:color="auto"/>
              <w:right w:val="single" w:sz="8" w:space="0" w:color="auto"/>
            </w:tcBorders>
            <w:shd w:val="clear" w:color="000000" w:fill="FFFFFF"/>
            <w:vAlign w:val="center"/>
          </w:tcPr>
          <w:p>
            <w:pPr>
              <w:spacing w:after="0"/>
              <w:jc w:val="center"/>
              <w:rPr>
                <w:noProof/>
                <w:color w:val="000000"/>
                <w:sz w:val="18"/>
                <w:szCs w:val="18"/>
              </w:rPr>
            </w:pPr>
            <w:r>
              <w:rPr>
                <w:noProof/>
                <w:color w:val="000000"/>
                <w:sz w:val="18"/>
              </w:rPr>
              <w:t>0</w:t>
            </w:r>
          </w:p>
        </w:tc>
        <w:tc>
          <w:tcPr>
            <w:tcW w:w="850" w:type="dxa"/>
            <w:tcBorders>
              <w:top w:val="nil"/>
              <w:left w:val="nil"/>
              <w:bottom w:val="single" w:sz="8" w:space="0" w:color="auto"/>
              <w:right w:val="single" w:sz="8" w:space="0" w:color="auto"/>
            </w:tcBorders>
            <w:shd w:val="clear" w:color="000000" w:fill="FFFFFF"/>
            <w:vAlign w:val="center"/>
          </w:tcPr>
          <w:p>
            <w:pPr>
              <w:spacing w:after="0"/>
              <w:jc w:val="center"/>
              <w:rPr>
                <w:noProof/>
                <w:color w:val="000000"/>
                <w:sz w:val="18"/>
                <w:szCs w:val="18"/>
              </w:rPr>
            </w:pPr>
            <w:r>
              <w:rPr>
                <w:noProof/>
                <w:color w:val="000000"/>
                <w:sz w:val="18"/>
              </w:rPr>
              <w:t>0</w:t>
            </w:r>
          </w:p>
        </w:tc>
        <w:tc>
          <w:tcPr>
            <w:tcW w:w="1276" w:type="dxa"/>
            <w:tcBorders>
              <w:top w:val="nil"/>
              <w:left w:val="nil"/>
              <w:bottom w:val="single" w:sz="8" w:space="0" w:color="auto"/>
              <w:right w:val="single" w:sz="8" w:space="0" w:color="auto"/>
            </w:tcBorders>
            <w:shd w:val="clear" w:color="auto" w:fill="auto"/>
            <w:vAlign w:val="center"/>
          </w:tcPr>
          <w:p>
            <w:pPr>
              <w:spacing w:after="0"/>
              <w:jc w:val="center"/>
              <w:rPr>
                <w:noProof/>
                <w:color w:val="000000"/>
                <w:sz w:val="18"/>
                <w:szCs w:val="18"/>
              </w:rPr>
            </w:pPr>
            <w:r>
              <w:rPr>
                <w:noProof/>
                <w:color w:val="000000"/>
                <w:sz w:val="18"/>
              </w:rPr>
              <w:t>0</w:t>
            </w:r>
          </w:p>
        </w:tc>
        <w:tc>
          <w:tcPr>
            <w:tcW w:w="930" w:type="dxa"/>
            <w:tcBorders>
              <w:top w:val="nil"/>
              <w:left w:val="nil"/>
              <w:bottom w:val="single" w:sz="8" w:space="0" w:color="auto"/>
              <w:right w:val="single" w:sz="8" w:space="0" w:color="auto"/>
            </w:tcBorders>
            <w:shd w:val="clear" w:color="auto" w:fill="auto"/>
            <w:vAlign w:val="center"/>
          </w:tcPr>
          <w:p>
            <w:pPr>
              <w:spacing w:after="0"/>
              <w:jc w:val="center"/>
              <w:rPr>
                <w:noProof/>
                <w:color w:val="000000"/>
                <w:sz w:val="18"/>
                <w:szCs w:val="18"/>
              </w:rPr>
            </w:pPr>
            <w:r>
              <w:rPr>
                <w:noProof/>
                <w:color w:val="000000"/>
                <w:sz w:val="18"/>
              </w:rPr>
              <w:t>0</w:t>
            </w:r>
          </w:p>
        </w:tc>
      </w:tr>
      <w:tr>
        <w:trPr>
          <w:trHeight w:val="416"/>
        </w:trPr>
        <w:tc>
          <w:tcPr>
            <w:tcW w:w="1985" w:type="dxa"/>
            <w:tcBorders>
              <w:top w:val="nil"/>
              <w:left w:val="single" w:sz="8" w:space="0" w:color="auto"/>
              <w:bottom w:val="single" w:sz="8" w:space="0" w:color="auto"/>
              <w:right w:val="nil"/>
            </w:tcBorders>
            <w:shd w:val="clear" w:color="auto" w:fill="auto"/>
            <w:vAlign w:val="center"/>
          </w:tcPr>
          <w:p>
            <w:pPr>
              <w:spacing w:after="0"/>
              <w:rPr>
                <w:b/>
                <w:noProof/>
                <w:color w:val="000000"/>
                <w:sz w:val="18"/>
                <w:szCs w:val="18"/>
              </w:rPr>
            </w:pPr>
            <w:r>
              <w:rPr>
                <w:b/>
                <w:noProof/>
                <w:color w:val="000000"/>
                <w:sz w:val="18"/>
              </w:rPr>
              <w:t>Общо</w:t>
            </w:r>
          </w:p>
        </w:tc>
        <w:tc>
          <w:tcPr>
            <w:tcW w:w="1276" w:type="dxa"/>
            <w:tcBorders>
              <w:top w:val="nil"/>
              <w:left w:val="single" w:sz="8" w:space="0" w:color="auto"/>
              <w:bottom w:val="single" w:sz="8" w:space="0" w:color="auto"/>
              <w:right w:val="nil"/>
            </w:tcBorders>
            <w:shd w:val="clear" w:color="auto" w:fill="A6A6A6"/>
            <w:vAlign w:val="center"/>
          </w:tcPr>
          <w:p>
            <w:pPr>
              <w:spacing w:after="0"/>
              <w:jc w:val="center"/>
              <w:rPr>
                <w:b/>
                <w:bCs/>
                <w:noProof/>
                <w:color w:val="000000"/>
                <w:sz w:val="18"/>
                <w:szCs w:val="18"/>
              </w:rPr>
            </w:pPr>
            <w:r>
              <w:rPr>
                <w:b/>
                <w:noProof/>
                <w:color w:val="000000"/>
                <w:sz w:val="18"/>
              </w:rPr>
              <w:t>139</w:t>
            </w:r>
          </w:p>
        </w:tc>
        <w:tc>
          <w:tcPr>
            <w:tcW w:w="992" w:type="dxa"/>
            <w:tcBorders>
              <w:top w:val="nil"/>
              <w:left w:val="single" w:sz="8" w:space="0" w:color="auto"/>
              <w:bottom w:val="single" w:sz="8" w:space="0" w:color="auto"/>
              <w:right w:val="nil"/>
            </w:tcBorders>
            <w:shd w:val="clear" w:color="auto" w:fill="A6A6A6"/>
            <w:vAlign w:val="center"/>
          </w:tcPr>
          <w:p>
            <w:pPr>
              <w:spacing w:after="0"/>
              <w:jc w:val="center"/>
              <w:rPr>
                <w:b/>
                <w:bCs/>
                <w:noProof/>
                <w:color w:val="000000"/>
                <w:sz w:val="18"/>
                <w:szCs w:val="18"/>
              </w:rPr>
            </w:pPr>
            <w:r>
              <w:rPr>
                <w:b/>
                <w:noProof/>
                <w:color w:val="000000"/>
                <w:sz w:val="18"/>
              </w:rPr>
              <w:t>57</w:t>
            </w:r>
          </w:p>
        </w:tc>
        <w:tc>
          <w:tcPr>
            <w:tcW w:w="1276" w:type="dxa"/>
            <w:tcBorders>
              <w:top w:val="nil"/>
              <w:left w:val="single" w:sz="8" w:space="0" w:color="auto"/>
              <w:bottom w:val="single" w:sz="8" w:space="0" w:color="auto"/>
              <w:right w:val="single" w:sz="8" w:space="0" w:color="auto"/>
            </w:tcBorders>
            <w:shd w:val="clear" w:color="000000" w:fill="FFFFFF"/>
            <w:vAlign w:val="center"/>
          </w:tcPr>
          <w:p>
            <w:pPr>
              <w:spacing w:after="0"/>
              <w:jc w:val="center"/>
              <w:rPr>
                <w:b/>
                <w:bCs/>
                <w:noProof/>
                <w:color w:val="000000"/>
                <w:sz w:val="18"/>
                <w:szCs w:val="18"/>
              </w:rPr>
            </w:pPr>
            <w:r>
              <w:rPr>
                <w:b/>
                <w:noProof/>
                <w:color w:val="000000"/>
                <w:sz w:val="18"/>
              </w:rPr>
              <w:t>85</w:t>
            </w:r>
          </w:p>
        </w:tc>
        <w:tc>
          <w:tcPr>
            <w:tcW w:w="850" w:type="dxa"/>
            <w:tcBorders>
              <w:top w:val="nil"/>
              <w:left w:val="nil"/>
              <w:bottom w:val="single" w:sz="8" w:space="0" w:color="auto"/>
              <w:right w:val="single" w:sz="8" w:space="0" w:color="auto"/>
            </w:tcBorders>
            <w:shd w:val="clear" w:color="000000" w:fill="FFFFFF"/>
            <w:vAlign w:val="center"/>
          </w:tcPr>
          <w:p>
            <w:pPr>
              <w:spacing w:after="0"/>
              <w:jc w:val="center"/>
              <w:rPr>
                <w:b/>
                <w:bCs/>
                <w:noProof/>
                <w:color w:val="000000"/>
                <w:sz w:val="18"/>
                <w:szCs w:val="18"/>
              </w:rPr>
            </w:pPr>
            <w:r>
              <w:rPr>
                <w:b/>
                <w:noProof/>
                <w:color w:val="000000"/>
                <w:sz w:val="18"/>
              </w:rPr>
              <w:t>38</w:t>
            </w:r>
          </w:p>
        </w:tc>
        <w:tc>
          <w:tcPr>
            <w:tcW w:w="1276" w:type="dxa"/>
            <w:tcBorders>
              <w:top w:val="nil"/>
              <w:left w:val="nil"/>
              <w:bottom w:val="single" w:sz="8" w:space="0" w:color="auto"/>
              <w:right w:val="single" w:sz="8" w:space="0" w:color="auto"/>
            </w:tcBorders>
            <w:shd w:val="clear" w:color="auto" w:fill="auto"/>
            <w:vAlign w:val="center"/>
          </w:tcPr>
          <w:p>
            <w:pPr>
              <w:spacing w:after="0"/>
              <w:jc w:val="center"/>
              <w:rPr>
                <w:b/>
                <w:bCs/>
                <w:noProof/>
                <w:color w:val="000000"/>
                <w:sz w:val="18"/>
                <w:szCs w:val="18"/>
              </w:rPr>
            </w:pPr>
            <w:r>
              <w:rPr>
                <w:b/>
                <w:noProof/>
                <w:color w:val="000000"/>
                <w:sz w:val="18"/>
              </w:rPr>
              <w:t>75</w:t>
            </w:r>
          </w:p>
        </w:tc>
        <w:tc>
          <w:tcPr>
            <w:tcW w:w="930" w:type="dxa"/>
            <w:tcBorders>
              <w:top w:val="nil"/>
              <w:left w:val="nil"/>
              <w:bottom w:val="single" w:sz="8" w:space="0" w:color="auto"/>
              <w:right w:val="single" w:sz="8" w:space="0" w:color="auto"/>
            </w:tcBorders>
            <w:shd w:val="clear" w:color="auto" w:fill="auto"/>
            <w:vAlign w:val="center"/>
          </w:tcPr>
          <w:p>
            <w:pPr>
              <w:spacing w:after="0"/>
              <w:jc w:val="center"/>
              <w:rPr>
                <w:b/>
                <w:bCs/>
                <w:noProof/>
                <w:color w:val="000000"/>
                <w:sz w:val="18"/>
                <w:szCs w:val="18"/>
              </w:rPr>
            </w:pPr>
            <w:r>
              <w:rPr>
                <w:b/>
                <w:noProof/>
                <w:color w:val="000000"/>
                <w:sz w:val="18"/>
              </w:rPr>
              <w:t>28</w:t>
            </w:r>
          </w:p>
        </w:tc>
      </w:tr>
    </w:tbl>
    <w:p>
      <w:pPr>
        <w:pStyle w:val="Text2"/>
        <w:ind w:left="568"/>
        <w:rPr>
          <w:noProof/>
        </w:rPr>
      </w:pPr>
    </w:p>
    <w:p>
      <w:pPr>
        <w:ind w:left="567"/>
        <w:rPr>
          <w:noProof/>
        </w:rPr>
      </w:pPr>
      <w:r>
        <w:rPr>
          <w:noProof/>
        </w:rPr>
        <w:t xml:space="preserve">Увеличеният брой на завършените от IAS ангажименти през 2015 г. в сравнение с предходните години се дължи предимно на централизирането на функцията за вътрешен одит. През 2015 г. IAS получи 60 нови поста, които постепенно се заемат. В резултат на това в плана за одит бяха включени нови ангажименти в съответствие с наличието на повече възможности. Окончателният план за одит за 2016 г. съдържа 101 ангажимента за одит (с изключение на последващите ангажименти), от които по план 67 трябва да бъдат завършени през 2016 г. </w:t>
      </w:r>
    </w:p>
    <w:p>
      <w:pPr>
        <w:pStyle w:val="Text2"/>
        <w:ind w:left="567"/>
        <w:rPr>
          <w:noProof/>
        </w:rPr>
      </w:pPr>
      <w:r>
        <w:rPr>
          <w:noProof/>
        </w:rPr>
        <w:t>В съответствие със своя устав и с международните стандарти и за да осигури ефикасно и ефективно изпълнение на плана за одит, IAS планира одитната си дейност въз основа на оценка на риска и анализ на възможностите. След това изпълнението редовно се наблюдава и при необходимост се правят корекции.</w:t>
      </w:r>
    </w:p>
    <w:p>
      <w:pPr>
        <w:pStyle w:val="Heading2"/>
        <w:autoSpaceDE w:val="0"/>
        <w:autoSpaceDN w:val="0"/>
        <w:adjustRightInd w:val="0"/>
        <w:spacing w:before="100" w:beforeAutospacing="1" w:after="100" w:afterAutospacing="1"/>
        <w:jc w:val="left"/>
        <w:rPr>
          <w:noProof/>
          <w:szCs w:val="24"/>
        </w:rPr>
      </w:pPr>
      <w:bookmarkStart w:id="26" w:name="_Toc459182010"/>
      <w:bookmarkStart w:id="27" w:name="_Toc460576840"/>
      <w:r>
        <w:rPr>
          <w:noProof/>
        </w:rPr>
        <w:t>Статистически данни относно препоръките на ІAS</w:t>
      </w:r>
      <w:bookmarkEnd w:id="26"/>
      <w:bookmarkEnd w:id="27"/>
      <w:r>
        <w:rPr>
          <w:noProof/>
        </w:rPr>
        <w:t xml:space="preserve"> </w:t>
      </w:r>
    </w:p>
    <w:p>
      <w:pPr>
        <w:pStyle w:val="Text2"/>
        <w:ind w:left="568"/>
        <w:rPr>
          <w:noProof/>
        </w:rPr>
      </w:pPr>
      <w:r>
        <w:rPr>
          <w:noProof/>
        </w:rPr>
        <w:t>През 2015 г. броят на отправените от IAS препоръки (вкл. процента на приемането им) беше, както следва:</w:t>
      </w:r>
    </w:p>
    <w:tbl>
      <w:tblPr>
        <w:tblW w:w="8364" w:type="dxa"/>
        <w:tblInd w:w="675" w:type="dxa"/>
        <w:tblLayout w:type="fixed"/>
        <w:tblLook w:val="04A0" w:firstRow="1" w:lastRow="0" w:firstColumn="1" w:lastColumn="0" w:noHBand="0" w:noVBand="1"/>
      </w:tblPr>
      <w:tblGrid>
        <w:gridCol w:w="2410"/>
        <w:gridCol w:w="1721"/>
        <w:gridCol w:w="992"/>
        <w:gridCol w:w="992"/>
        <w:gridCol w:w="831"/>
        <w:gridCol w:w="1418"/>
      </w:tblGrid>
      <w:tr>
        <w:trPr>
          <w:cantSplit/>
        </w:trPr>
        <w:tc>
          <w:tcPr>
            <w:tcW w:w="2410" w:type="dxa"/>
            <w:tcBorders>
              <w:top w:val="single" w:sz="8" w:space="0" w:color="auto"/>
              <w:left w:val="single" w:sz="8" w:space="0" w:color="auto"/>
              <w:bottom w:val="single" w:sz="8" w:space="0" w:color="auto"/>
              <w:right w:val="single" w:sz="8" w:space="0" w:color="auto"/>
            </w:tcBorders>
            <w:shd w:val="clear" w:color="auto" w:fill="auto"/>
            <w:noWrap/>
            <w:vAlign w:val="center"/>
          </w:tcPr>
          <w:p>
            <w:pPr>
              <w:spacing w:before="40" w:after="40"/>
              <w:jc w:val="left"/>
              <w:rPr>
                <w:noProof/>
                <w:color w:val="000000"/>
                <w:sz w:val="18"/>
                <w:szCs w:val="18"/>
              </w:rPr>
            </w:pPr>
            <w:r>
              <w:rPr>
                <w:noProof/>
                <w:color w:val="000000"/>
                <w:sz w:val="18"/>
              </w:rPr>
              <w:t> </w:t>
            </w:r>
          </w:p>
        </w:tc>
        <w:tc>
          <w:tcPr>
            <w:tcW w:w="1721" w:type="dxa"/>
            <w:tcBorders>
              <w:top w:val="single" w:sz="8" w:space="0" w:color="auto"/>
              <w:left w:val="nil"/>
              <w:bottom w:val="single" w:sz="8" w:space="0" w:color="auto"/>
              <w:right w:val="single" w:sz="8" w:space="0" w:color="auto"/>
            </w:tcBorders>
            <w:shd w:val="clear" w:color="auto" w:fill="auto"/>
            <w:vAlign w:val="center"/>
          </w:tcPr>
          <w:p>
            <w:pPr>
              <w:spacing w:before="40" w:after="40"/>
              <w:jc w:val="center"/>
              <w:rPr>
                <w:b/>
                <w:bCs/>
                <w:noProof/>
                <w:color w:val="000000"/>
                <w:sz w:val="18"/>
                <w:szCs w:val="18"/>
              </w:rPr>
            </w:pPr>
            <w:r>
              <w:rPr>
                <w:b/>
                <w:noProof/>
                <w:color w:val="000000"/>
                <w:sz w:val="18"/>
              </w:rPr>
              <w:t>Нови препоръки</w:t>
            </w:r>
          </w:p>
        </w:tc>
        <w:tc>
          <w:tcPr>
            <w:tcW w:w="1984" w:type="dxa"/>
            <w:gridSpan w:val="2"/>
            <w:tcBorders>
              <w:top w:val="single" w:sz="8" w:space="0" w:color="auto"/>
              <w:left w:val="nil"/>
              <w:bottom w:val="single" w:sz="8" w:space="0" w:color="auto"/>
              <w:right w:val="single" w:sz="8" w:space="0" w:color="auto"/>
            </w:tcBorders>
            <w:shd w:val="clear" w:color="000000" w:fill="BFBFBF"/>
            <w:vAlign w:val="center"/>
          </w:tcPr>
          <w:p>
            <w:pPr>
              <w:spacing w:before="40" w:after="40"/>
              <w:jc w:val="center"/>
              <w:rPr>
                <w:b/>
                <w:bCs/>
                <w:noProof/>
                <w:color w:val="000000"/>
                <w:sz w:val="18"/>
                <w:szCs w:val="18"/>
              </w:rPr>
            </w:pPr>
            <w:r>
              <w:rPr>
                <w:b/>
                <w:noProof/>
                <w:color w:val="000000"/>
                <w:sz w:val="18"/>
              </w:rPr>
              <w:t>Приети препоръки</w:t>
            </w:r>
          </w:p>
        </w:tc>
        <w:tc>
          <w:tcPr>
            <w:tcW w:w="2249" w:type="dxa"/>
            <w:gridSpan w:val="2"/>
            <w:tcBorders>
              <w:top w:val="single" w:sz="8" w:space="0" w:color="auto"/>
              <w:left w:val="nil"/>
              <w:bottom w:val="single" w:sz="8" w:space="0" w:color="auto"/>
              <w:right w:val="single" w:sz="8" w:space="0" w:color="auto"/>
            </w:tcBorders>
            <w:shd w:val="clear" w:color="000000" w:fill="BFBFBF"/>
            <w:vAlign w:val="center"/>
          </w:tcPr>
          <w:p>
            <w:pPr>
              <w:spacing w:before="40" w:after="40"/>
              <w:jc w:val="center"/>
              <w:rPr>
                <w:b/>
                <w:bCs/>
                <w:noProof/>
                <w:color w:val="000000"/>
                <w:sz w:val="18"/>
                <w:szCs w:val="18"/>
              </w:rPr>
            </w:pPr>
            <w:r>
              <w:rPr>
                <w:b/>
                <w:noProof/>
                <w:color w:val="000000"/>
                <w:sz w:val="18"/>
              </w:rPr>
              <w:t>Неприети препоръки</w:t>
            </w:r>
          </w:p>
        </w:tc>
      </w:tr>
      <w:tr>
        <w:trPr>
          <w:cantSplit/>
        </w:trPr>
        <w:tc>
          <w:tcPr>
            <w:tcW w:w="2410" w:type="dxa"/>
            <w:tcBorders>
              <w:top w:val="nil"/>
              <w:left w:val="single" w:sz="8" w:space="0" w:color="auto"/>
              <w:bottom w:val="single" w:sz="8" w:space="0" w:color="auto"/>
              <w:right w:val="single" w:sz="8" w:space="0" w:color="auto"/>
            </w:tcBorders>
            <w:shd w:val="clear" w:color="auto" w:fill="auto"/>
            <w:noWrap/>
            <w:vAlign w:val="center"/>
          </w:tcPr>
          <w:p>
            <w:pPr>
              <w:spacing w:before="40" w:after="40"/>
              <w:jc w:val="center"/>
              <w:rPr>
                <w:i/>
                <w:iCs/>
                <w:noProof/>
                <w:color w:val="000000"/>
                <w:sz w:val="18"/>
                <w:szCs w:val="18"/>
              </w:rPr>
            </w:pPr>
            <w:r>
              <w:rPr>
                <w:i/>
                <w:noProof/>
                <w:color w:val="000000"/>
                <w:sz w:val="18"/>
              </w:rPr>
              <w:t>Приоритет</w:t>
            </w:r>
          </w:p>
        </w:tc>
        <w:tc>
          <w:tcPr>
            <w:tcW w:w="1721" w:type="dxa"/>
            <w:tcBorders>
              <w:top w:val="nil"/>
              <w:left w:val="nil"/>
              <w:bottom w:val="single" w:sz="8" w:space="0" w:color="auto"/>
              <w:right w:val="single" w:sz="8" w:space="0" w:color="auto"/>
            </w:tcBorders>
            <w:shd w:val="clear" w:color="auto" w:fill="auto"/>
            <w:noWrap/>
            <w:vAlign w:val="center"/>
          </w:tcPr>
          <w:p>
            <w:pPr>
              <w:spacing w:before="40" w:after="40"/>
              <w:jc w:val="center"/>
              <w:rPr>
                <w:noProof/>
                <w:color w:val="000000"/>
                <w:sz w:val="18"/>
                <w:szCs w:val="18"/>
              </w:rPr>
            </w:pPr>
            <w:r>
              <w:rPr>
                <w:noProof/>
                <w:color w:val="000000"/>
                <w:sz w:val="18"/>
              </w:rPr>
              <w:t> </w:t>
            </w:r>
          </w:p>
        </w:tc>
        <w:tc>
          <w:tcPr>
            <w:tcW w:w="992" w:type="dxa"/>
            <w:tcBorders>
              <w:top w:val="nil"/>
              <w:left w:val="nil"/>
              <w:bottom w:val="single" w:sz="8" w:space="0" w:color="auto"/>
              <w:right w:val="single" w:sz="8" w:space="0" w:color="auto"/>
            </w:tcBorders>
            <w:shd w:val="clear" w:color="000000" w:fill="BFBFBF"/>
            <w:noWrap/>
            <w:vAlign w:val="center"/>
          </w:tcPr>
          <w:p>
            <w:pPr>
              <w:spacing w:before="40" w:after="40"/>
              <w:jc w:val="center"/>
              <w:rPr>
                <w:noProof/>
                <w:color w:val="000000"/>
                <w:sz w:val="18"/>
                <w:szCs w:val="18"/>
              </w:rPr>
            </w:pPr>
            <w:r>
              <w:rPr>
                <w:noProof/>
                <w:color w:val="000000"/>
                <w:sz w:val="18"/>
              </w:rPr>
              <w:t> </w:t>
            </w:r>
          </w:p>
        </w:tc>
        <w:tc>
          <w:tcPr>
            <w:tcW w:w="992" w:type="dxa"/>
            <w:tcBorders>
              <w:top w:val="nil"/>
              <w:left w:val="nil"/>
              <w:bottom w:val="single" w:sz="8" w:space="0" w:color="auto"/>
              <w:right w:val="single" w:sz="8" w:space="0" w:color="auto"/>
            </w:tcBorders>
            <w:shd w:val="clear" w:color="auto" w:fill="auto"/>
            <w:noWrap/>
            <w:vAlign w:val="center"/>
          </w:tcPr>
          <w:p>
            <w:pPr>
              <w:spacing w:before="40" w:after="40"/>
              <w:jc w:val="center"/>
              <w:rPr>
                <w:b/>
                <w:bCs/>
                <w:noProof/>
                <w:color w:val="000000"/>
                <w:sz w:val="18"/>
                <w:szCs w:val="18"/>
              </w:rPr>
            </w:pPr>
            <w:r>
              <w:rPr>
                <w:b/>
                <w:noProof/>
                <w:color w:val="000000"/>
                <w:sz w:val="18"/>
              </w:rPr>
              <w:t>%</w:t>
            </w:r>
          </w:p>
        </w:tc>
        <w:tc>
          <w:tcPr>
            <w:tcW w:w="831" w:type="dxa"/>
            <w:tcBorders>
              <w:top w:val="nil"/>
              <w:left w:val="nil"/>
              <w:bottom w:val="single" w:sz="8" w:space="0" w:color="auto"/>
              <w:right w:val="single" w:sz="8" w:space="0" w:color="auto"/>
            </w:tcBorders>
            <w:shd w:val="clear" w:color="auto" w:fill="auto"/>
            <w:noWrap/>
            <w:vAlign w:val="center"/>
          </w:tcPr>
          <w:p>
            <w:pPr>
              <w:spacing w:before="40" w:after="40"/>
              <w:jc w:val="center"/>
              <w:rPr>
                <w:noProof/>
                <w:color w:val="000000"/>
                <w:sz w:val="18"/>
                <w:szCs w:val="18"/>
              </w:rPr>
            </w:pPr>
            <w:r>
              <w:rPr>
                <w:noProof/>
                <w:color w:val="000000"/>
                <w:sz w:val="18"/>
              </w:rPr>
              <w:t> </w:t>
            </w:r>
          </w:p>
        </w:tc>
        <w:tc>
          <w:tcPr>
            <w:tcW w:w="1418" w:type="dxa"/>
            <w:tcBorders>
              <w:top w:val="nil"/>
              <w:left w:val="nil"/>
              <w:bottom w:val="single" w:sz="8" w:space="0" w:color="auto"/>
              <w:right w:val="single" w:sz="8" w:space="0" w:color="auto"/>
            </w:tcBorders>
            <w:shd w:val="clear" w:color="auto" w:fill="auto"/>
            <w:noWrap/>
            <w:vAlign w:val="center"/>
          </w:tcPr>
          <w:p>
            <w:pPr>
              <w:spacing w:before="40" w:after="40"/>
              <w:jc w:val="center"/>
              <w:rPr>
                <w:b/>
                <w:bCs/>
                <w:noProof/>
                <w:color w:val="000000"/>
                <w:sz w:val="18"/>
                <w:szCs w:val="18"/>
              </w:rPr>
            </w:pPr>
            <w:r>
              <w:rPr>
                <w:b/>
                <w:noProof/>
                <w:color w:val="000000"/>
                <w:sz w:val="18"/>
              </w:rPr>
              <w:t>%</w:t>
            </w:r>
          </w:p>
        </w:tc>
      </w:tr>
      <w:tr>
        <w:trPr>
          <w:cantSplit/>
        </w:trPr>
        <w:tc>
          <w:tcPr>
            <w:tcW w:w="2410" w:type="dxa"/>
            <w:tcBorders>
              <w:top w:val="nil"/>
              <w:left w:val="single" w:sz="8" w:space="0" w:color="auto"/>
              <w:bottom w:val="single" w:sz="8" w:space="0" w:color="auto"/>
              <w:right w:val="single" w:sz="8" w:space="0" w:color="auto"/>
            </w:tcBorders>
            <w:shd w:val="clear" w:color="000000" w:fill="BFBFBF"/>
            <w:noWrap/>
            <w:vAlign w:val="center"/>
          </w:tcPr>
          <w:p>
            <w:pPr>
              <w:spacing w:before="40" w:after="40"/>
              <w:jc w:val="center"/>
              <w:rPr>
                <w:noProof/>
                <w:color w:val="000000"/>
                <w:sz w:val="18"/>
                <w:szCs w:val="18"/>
              </w:rPr>
            </w:pPr>
            <w:r>
              <w:rPr>
                <w:noProof/>
                <w:color w:val="000000"/>
                <w:sz w:val="18"/>
              </w:rPr>
              <w:t>Критични</w:t>
            </w:r>
          </w:p>
        </w:tc>
        <w:tc>
          <w:tcPr>
            <w:tcW w:w="1721" w:type="dxa"/>
            <w:tcBorders>
              <w:top w:val="nil"/>
              <w:left w:val="nil"/>
              <w:bottom w:val="single" w:sz="8" w:space="0" w:color="auto"/>
              <w:right w:val="single" w:sz="8" w:space="0" w:color="auto"/>
            </w:tcBorders>
            <w:shd w:val="clear" w:color="auto" w:fill="auto"/>
            <w:noWrap/>
            <w:vAlign w:val="center"/>
          </w:tcPr>
          <w:p>
            <w:pPr>
              <w:spacing w:before="40" w:after="40"/>
              <w:jc w:val="center"/>
              <w:rPr>
                <w:noProof/>
                <w:color w:val="000000"/>
                <w:sz w:val="18"/>
                <w:szCs w:val="18"/>
              </w:rPr>
            </w:pPr>
            <w:r>
              <w:rPr>
                <w:noProof/>
                <w:color w:val="000000"/>
                <w:sz w:val="18"/>
              </w:rPr>
              <w:t>1</w:t>
            </w:r>
          </w:p>
        </w:tc>
        <w:tc>
          <w:tcPr>
            <w:tcW w:w="992" w:type="dxa"/>
            <w:tcBorders>
              <w:top w:val="nil"/>
              <w:left w:val="nil"/>
              <w:bottom w:val="single" w:sz="8" w:space="0" w:color="auto"/>
              <w:right w:val="single" w:sz="8" w:space="0" w:color="auto"/>
            </w:tcBorders>
            <w:shd w:val="clear" w:color="000000" w:fill="BFBFBF"/>
            <w:noWrap/>
            <w:vAlign w:val="center"/>
          </w:tcPr>
          <w:p>
            <w:pPr>
              <w:spacing w:before="40" w:after="40"/>
              <w:jc w:val="center"/>
              <w:rPr>
                <w:noProof/>
                <w:color w:val="000000"/>
                <w:sz w:val="18"/>
                <w:szCs w:val="18"/>
              </w:rPr>
            </w:pPr>
            <w:r>
              <w:rPr>
                <w:noProof/>
                <w:color w:val="000000"/>
                <w:sz w:val="18"/>
              </w:rPr>
              <w:t>1</w:t>
            </w:r>
          </w:p>
        </w:tc>
        <w:tc>
          <w:tcPr>
            <w:tcW w:w="992" w:type="dxa"/>
            <w:tcBorders>
              <w:top w:val="nil"/>
              <w:left w:val="nil"/>
              <w:bottom w:val="single" w:sz="8" w:space="0" w:color="auto"/>
              <w:right w:val="single" w:sz="8" w:space="0" w:color="auto"/>
            </w:tcBorders>
            <w:shd w:val="clear" w:color="auto" w:fill="auto"/>
            <w:noWrap/>
            <w:vAlign w:val="center"/>
          </w:tcPr>
          <w:p>
            <w:pPr>
              <w:spacing w:before="40" w:after="40"/>
              <w:jc w:val="center"/>
              <w:rPr>
                <w:noProof/>
                <w:color w:val="000000"/>
                <w:sz w:val="18"/>
                <w:szCs w:val="18"/>
              </w:rPr>
            </w:pPr>
            <w:r>
              <w:rPr>
                <w:noProof/>
                <w:color w:val="000000"/>
                <w:sz w:val="18"/>
              </w:rPr>
              <w:t>100 %</w:t>
            </w:r>
          </w:p>
        </w:tc>
        <w:tc>
          <w:tcPr>
            <w:tcW w:w="831" w:type="dxa"/>
            <w:tcBorders>
              <w:top w:val="nil"/>
              <w:left w:val="nil"/>
              <w:bottom w:val="single" w:sz="8" w:space="0" w:color="auto"/>
              <w:right w:val="single" w:sz="8" w:space="0" w:color="auto"/>
            </w:tcBorders>
            <w:shd w:val="clear" w:color="auto" w:fill="auto"/>
            <w:noWrap/>
            <w:vAlign w:val="center"/>
          </w:tcPr>
          <w:p>
            <w:pPr>
              <w:spacing w:before="40" w:after="40"/>
              <w:jc w:val="center"/>
              <w:rPr>
                <w:noProof/>
                <w:color w:val="000000"/>
                <w:sz w:val="18"/>
                <w:szCs w:val="18"/>
              </w:rPr>
            </w:pPr>
            <w:r>
              <w:rPr>
                <w:noProof/>
                <w:color w:val="000000"/>
                <w:sz w:val="18"/>
              </w:rPr>
              <w:t>0</w:t>
            </w:r>
          </w:p>
        </w:tc>
        <w:tc>
          <w:tcPr>
            <w:tcW w:w="1418" w:type="dxa"/>
            <w:tcBorders>
              <w:top w:val="nil"/>
              <w:left w:val="nil"/>
              <w:bottom w:val="single" w:sz="8" w:space="0" w:color="auto"/>
              <w:right w:val="single" w:sz="8" w:space="0" w:color="auto"/>
            </w:tcBorders>
            <w:shd w:val="clear" w:color="auto" w:fill="auto"/>
            <w:noWrap/>
            <w:vAlign w:val="center"/>
          </w:tcPr>
          <w:p>
            <w:pPr>
              <w:spacing w:before="40" w:after="40"/>
              <w:jc w:val="center"/>
              <w:rPr>
                <w:noProof/>
                <w:color w:val="000000"/>
                <w:sz w:val="18"/>
                <w:szCs w:val="18"/>
              </w:rPr>
            </w:pPr>
            <w:r>
              <w:rPr>
                <w:noProof/>
                <w:color w:val="000000"/>
                <w:sz w:val="18"/>
              </w:rPr>
              <w:t>Неприложимо</w:t>
            </w:r>
          </w:p>
        </w:tc>
      </w:tr>
      <w:tr>
        <w:trPr>
          <w:cantSplit/>
        </w:trPr>
        <w:tc>
          <w:tcPr>
            <w:tcW w:w="2410" w:type="dxa"/>
            <w:tcBorders>
              <w:top w:val="nil"/>
              <w:left w:val="single" w:sz="8" w:space="0" w:color="auto"/>
              <w:bottom w:val="single" w:sz="8" w:space="0" w:color="auto"/>
              <w:right w:val="single" w:sz="8" w:space="0" w:color="auto"/>
            </w:tcBorders>
            <w:shd w:val="clear" w:color="000000" w:fill="BFBFBF"/>
            <w:noWrap/>
            <w:vAlign w:val="center"/>
          </w:tcPr>
          <w:p>
            <w:pPr>
              <w:spacing w:before="40" w:after="40"/>
              <w:jc w:val="center"/>
              <w:rPr>
                <w:noProof/>
                <w:color w:val="000000"/>
                <w:sz w:val="18"/>
                <w:szCs w:val="18"/>
              </w:rPr>
            </w:pPr>
            <w:r>
              <w:rPr>
                <w:noProof/>
                <w:color w:val="000000"/>
                <w:sz w:val="18"/>
              </w:rPr>
              <w:t>Много важни</w:t>
            </w:r>
          </w:p>
        </w:tc>
        <w:tc>
          <w:tcPr>
            <w:tcW w:w="1721" w:type="dxa"/>
            <w:tcBorders>
              <w:top w:val="nil"/>
              <w:left w:val="nil"/>
              <w:bottom w:val="single" w:sz="8" w:space="0" w:color="auto"/>
              <w:right w:val="single" w:sz="8" w:space="0" w:color="auto"/>
            </w:tcBorders>
            <w:shd w:val="clear" w:color="auto" w:fill="auto"/>
            <w:noWrap/>
            <w:vAlign w:val="center"/>
          </w:tcPr>
          <w:p>
            <w:pPr>
              <w:spacing w:before="40" w:after="40"/>
              <w:jc w:val="center"/>
              <w:rPr>
                <w:noProof/>
                <w:color w:val="000000"/>
                <w:sz w:val="18"/>
                <w:szCs w:val="18"/>
              </w:rPr>
            </w:pPr>
            <w:r>
              <w:rPr>
                <w:noProof/>
                <w:color w:val="000000"/>
                <w:sz w:val="18"/>
              </w:rPr>
              <w:t>80</w:t>
            </w:r>
          </w:p>
        </w:tc>
        <w:tc>
          <w:tcPr>
            <w:tcW w:w="992" w:type="dxa"/>
            <w:tcBorders>
              <w:top w:val="nil"/>
              <w:left w:val="nil"/>
              <w:bottom w:val="single" w:sz="8" w:space="0" w:color="auto"/>
              <w:right w:val="single" w:sz="8" w:space="0" w:color="auto"/>
            </w:tcBorders>
            <w:shd w:val="clear" w:color="000000" w:fill="BFBFBF"/>
            <w:noWrap/>
            <w:vAlign w:val="center"/>
          </w:tcPr>
          <w:p>
            <w:pPr>
              <w:spacing w:before="40" w:after="40"/>
              <w:jc w:val="center"/>
              <w:rPr>
                <w:noProof/>
                <w:color w:val="000000"/>
                <w:sz w:val="18"/>
                <w:szCs w:val="18"/>
              </w:rPr>
            </w:pPr>
            <w:r>
              <w:rPr>
                <w:noProof/>
                <w:color w:val="000000"/>
                <w:sz w:val="18"/>
              </w:rPr>
              <w:t>80</w:t>
            </w:r>
          </w:p>
        </w:tc>
        <w:tc>
          <w:tcPr>
            <w:tcW w:w="992" w:type="dxa"/>
            <w:tcBorders>
              <w:top w:val="nil"/>
              <w:left w:val="nil"/>
              <w:bottom w:val="single" w:sz="8" w:space="0" w:color="auto"/>
              <w:right w:val="single" w:sz="8" w:space="0" w:color="auto"/>
            </w:tcBorders>
            <w:shd w:val="clear" w:color="auto" w:fill="auto"/>
            <w:noWrap/>
            <w:vAlign w:val="center"/>
          </w:tcPr>
          <w:p>
            <w:pPr>
              <w:spacing w:before="40" w:after="40"/>
              <w:jc w:val="center"/>
              <w:rPr>
                <w:noProof/>
                <w:color w:val="000000"/>
                <w:sz w:val="18"/>
                <w:szCs w:val="18"/>
              </w:rPr>
            </w:pPr>
            <w:r>
              <w:rPr>
                <w:noProof/>
                <w:color w:val="000000"/>
                <w:sz w:val="18"/>
              </w:rPr>
              <w:t>100 %</w:t>
            </w:r>
          </w:p>
        </w:tc>
        <w:tc>
          <w:tcPr>
            <w:tcW w:w="831" w:type="dxa"/>
            <w:tcBorders>
              <w:top w:val="nil"/>
              <w:left w:val="nil"/>
              <w:bottom w:val="single" w:sz="8" w:space="0" w:color="auto"/>
              <w:right w:val="single" w:sz="8" w:space="0" w:color="auto"/>
            </w:tcBorders>
            <w:shd w:val="clear" w:color="auto" w:fill="auto"/>
            <w:noWrap/>
            <w:vAlign w:val="center"/>
          </w:tcPr>
          <w:p>
            <w:pPr>
              <w:spacing w:before="40" w:after="40"/>
              <w:jc w:val="center"/>
              <w:rPr>
                <w:noProof/>
                <w:color w:val="000000"/>
                <w:sz w:val="18"/>
                <w:szCs w:val="18"/>
              </w:rPr>
            </w:pPr>
            <w:r>
              <w:rPr>
                <w:noProof/>
                <w:color w:val="000000"/>
                <w:sz w:val="18"/>
              </w:rPr>
              <w:t>0</w:t>
            </w:r>
          </w:p>
        </w:tc>
        <w:tc>
          <w:tcPr>
            <w:tcW w:w="1418" w:type="dxa"/>
            <w:tcBorders>
              <w:top w:val="nil"/>
              <w:left w:val="nil"/>
              <w:bottom w:val="single" w:sz="8" w:space="0" w:color="auto"/>
              <w:right w:val="single" w:sz="8" w:space="0" w:color="auto"/>
            </w:tcBorders>
            <w:shd w:val="clear" w:color="auto" w:fill="auto"/>
            <w:noWrap/>
            <w:vAlign w:val="center"/>
          </w:tcPr>
          <w:p>
            <w:pPr>
              <w:spacing w:before="40" w:after="40"/>
              <w:jc w:val="center"/>
              <w:rPr>
                <w:noProof/>
                <w:color w:val="000000"/>
                <w:sz w:val="18"/>
                <w:szCs w:val="18"/>
              </w:rPr>
            </w:pPr>
            <w:r>
              <w:rPr>
                <w:noProof/>
                <w:color w:val="000000"/>
                <w:sz w:val="18"/>
              </w:rPr>
              <w:t>Неприложимо</w:t>
            </w:r>
          </w:p>
        </w:tc>
      </w:tr>
      <w:tr>
        <w:trPr>
          <w:cantSplit/>
        </w:trPr>
        <w:tc>
          <w:tcPr>
            <w:tcW w:w="2410" w:type="dxa"/>
            <w:tcBorders>
              <w:top w:val="nil"/>
              <w:left w:val="single" w:sz="8" w:space="0" w:color="auto"/>
              <w:bottom w:val="single" w:sz="8" w:space="0" w:color="auto"/>
              <w:right w:val="single" w:sz="8" w:space="0" w:color="auto"/>
            </w:tcBorders>
            <w:shd w:val="clear" w:color="000000" w:fill="BFBFBF"/>
            <w:noWrap/>
            <w:vAlign w:val="center"/>
          </w:tcPr>
          <w:p>
            <w:pPr>
              <w:spacing w:before="40" w:after="40"/>
              <w:jc w:val="center"/>
              <w:rPr>
                <w:noProof/>
                <w:color w:val="000000"/>
                <w:sz w:val="18"/>
                <w:szCs w:val="18"/>
              </w:rPr>
            </w:pPr>
            <w:r>
              <w:rPr>
                <w:noProof/>
                <w:color w:val="000000"/>
                <w:sz w:val="18"/>
              </w:rPr>
              <w:t>Важни</w:t>
            </w:r>
          </w:p>
        </w:tc>
        <w:tc>
          <w:tcPr>
            <w:tcW w:w="1721" w:type="dxa"/>
            <w:tcBorders>
              <w:top w:val="nil"/>
              <w:left w:val="nil"/>
              <w:bottom w:val="single" w:sz="8" w:space="0" w:color="auto"/>
              <w:right w:val="single" w:sz="8" w:space="0" w:color="auto"/>
            </w:tcBorders>
            <w:shd w:val="clear" w:color="auto" w:fill="auto"/>
            <w:noWrap/>
            <w:vAlign w:val="center"/>
          </w:tcPr>
          <w:p>
            <w:pPr>
              <w:spacing w:before="40" w:after="40"/>
              <w:jc w:val="center"/>
              <w:rPr>
                <w:noProof/>
                <w:color w:val="000000"/>
                <w:sz w:val="18"/>
                <w:szCs w:val="18"/>
              </w:rPr>
            </w:pPr>
            <w:r>
              <w:rPr>
                <w:noProof/>
                <w:color w:val="000000"/>
                <w:sz w:val="18"/>
              </w:rPr>
              <w:t>128</w:t>
            </w:r>
          </w:p>
        </w:tc>
        <w:tc>
          <w:tcPr>
            <w:tcW w:w="992" w:type="dxa"/>
            <w:tcBorders>
              <w:top w:val="nil"/>
              <w:left w:val="nil"/>
              <w:bottom w:val="single" w:sz="8" w:space="0" w:color="auto"/>
              <w:right w:val="single" w:sz="8" w:space="0" w:color="auto"/>
            </w:tcBorders>
            <w:shd w:val="clear" w:color="000000" w:fill="BFBFBF"/>
            <w:noWrap/>
            <w:vAlign w:val="center"/>
          </w:tcPr>
          <w:p>
            <w:pPr>
              <w:spacing w:before="40" w:after="40"/>
              <w:jc w:val="center"/>
              <w:rPr>
                <w:noProof/>
                <w:color w:val="000000"/>
                <w:sz w:val="18"/>
                <w:szCs w:val="18"/>
              </w:rPr>
            </w:pPr>
            <w:r>
              <w:rPr>
                <w:noProof/>
                <w:color w:val="000000"/>
                <w:sz w:val="18"/>
              </w:rPr>
              <w:t>128</w:t>
            </w:r>
          </w:p>
        </w:tc>
        <w:tc>
          <w:tcPr>
            <w:tcW w:w="992" w:type="dxa"/>
            <w:tcBorders>
              <w:top w:val="nil"/>
              <w:left w:val="nil"/>
              <w:bottom w:val="single" w:sz="8" w:space="0" w:color="auto"/>
              <w:right w:val="single" w:sz="8" w:space="0" w:color="auto"/>
            </w:tcBorders>
            <w:shd w:val="clear" w:color="auto" w:fill="auto"/>
            <w:noWrap/>
            <w:vAlign w:val="center"/>
          </w:tcPr>
          <w:p>
            <w:pPr>
              <w:spacing w:before="40" w:after="40"/>
              <w:jc w:val="center"/>
              <w:rPr>
                <w:noProof/>
                <w:color w:val="000000"/>
                <w:sz w:val="18"/>
                <w:szCs w:val="18"/>
              </w:rPr>
            </w:pPr>
            <w:r>
              <w:rPr>
                <w:noProof/>
                <w:color w:val="000000"/>
                <w:sz w:val="18"/>
              </w:rPr>
              <w:t>100 %</w:t>
            </w:r>
          </w:p>
        </w:tc>
        <w:tc>
          <w:tcPr>
            <w:tcW w:w="831" w:type="dxa"/>
            <w:tcBorders>
              <w:top w:val="nil"/>
              <w:left w:val="nil"/>
              <w:bottom w:val="single" w:sz="8" w:space="0" w:color="auto"/>
              <w:right w:val="single" w:sz="8" w:space="0" w:color="auto"/>
            </w:tcBorders>
            <w:shd w:val="clear" w:color="auto" w:fill="auto"/>
            <w:noWrap/>
            <w:vAlign w:val="center"/>
          </w:tcPr>
          <w:p>
            <w:pPr>
              <w:spacing w:before="40" w:after="40"/>
              <w:jc w:val="center"/>
              <w:rPr>
                <w:noProof/>
                <w:color w:val="000000"/>
                <w:sz w:val="18"/>
                <w:szCs w:val="18"/>
              </w:rPr>
            </w:pPr>
            <w:r>
              <w:rPr>
                <w:noProof/>
                <w:color w:val="000000"/>
                <w:sz w:val="18"/>
              </w:rPr>
              <w:t>0</w:t>
            </w:r>
          </w:p>
        </w:tc>
        <w:tc>
          <w:tcPr>
            <w:tcW w:w="1418" w:type="dxa"/>
            <w:tcBorders>
              <w:top w:val="nil"/>
              <w:left w:val="nil"/>
              <w:bottom w:val="single" w:sz="8" w:space="0" w:color="auto"/>
              <w:right w:val="single" w:sz="8" w:space="0" w:color="auto"/>
            </w:tcBorders>
            <w:shd w:val="clear" w:color="auto" w:fill="auto"/>
            <w:noWrap/>
            <w:vAlign w:val="center"/>
          </w:tcPr>
          <w:p>
            <w:pPr>
              <w:spacing w:before="40" w:after="40"/>
              <w:jc w:val="center"/>
              <w:rPr>
                <w:noProof/>
                <w:color w:val="000000"/>
                <w:sz w:val="18"/>
                <w:szCs w:val="18"/>
              </w:rPr>
            </w:pPr>
            <w:r>
              <w:rPr>
                <w:noProof/>
                <w:color w:val="000000"/>
                <w:sz w:val="18"/>
              </w:rPr>
              <w:t>Неприложимо</w:t>
            </w:r>
          </w:p>
        </w:tc>
      </w:tr>
      <w:tr>
        <w:trPr>
          <w:cantSplit/>
        </w:trPr>
        <w:tc>
          <w:tcPr>
            <w:tcW w:w="2410" w:type="dxa"/>
            <w:tcBorders>
              <w:top w:val="nil"/>
              <w:left w:val="single" w:sz="8" w:space="0" w:color="auto"/>
              <w:bottom w:val="single" w:sz="8" w:space="0" w:color="auto"/>
              <w:right w:val="single" w:sz="8" w:space="0" w:color="auto"/>
            </w:tcBorders>
            <w:shd w:val="clear" w:color="000000" w:fill="BFBFBF"/>
            <w:noWrap/>
            <w:vAlign w:val="center"/>
          </w:tcPr>
          <w:p>
            <w:pPr>
              <w:spacing w:before="40" w:after="40"/>
              <w:jc w:val="center"/>
              <w:rPr>
                <w:noProof/>
                <w:color w:val="000000"/>
                <w:sz w:val="18"/>
                <w:szCs w:val="18"/>
              </w:rPr>
            </w:pPr>
            <w:r>
              <w:rPr>
                <w:noProof/>
                <w:color w:val="000000"/>
                <w:sz w:val="18"/>
              </w:rPr>
              <w:t>Желателни</w:t>
            </w:r>
          </w:p>
        </w:tc>
        <w:tc>
          <w:tcPr>
            <w:tcW w:w="1721" w:type="dxa"/>
            <w:tcBorders>
              <w:top w:val="nil"/>
              <w:left w:val="nil"/>
              <w:bottom w:val="single" w:sz="8" w:space="0" w:color="auto"/>
              <w:right w:val="single" w:sz="8" w:space="0" w:color="auto"/>
            </w:tcBorders>
            <w:shd w:val="clear" w:color="auto" w:fill="auto"/>
            <w:noWrap/>
            <w:vAlign w:val="center"/>
          </w:tcPr>
          <w:p>
            <w:pPr>
              <w:spacing w:before="40" w:after="40"/>
              <w:jc w:val="center"/>
              <w:rPr>
                <w:noProof/>
                <w:color w:val="000000"/>
                <w:sz w:val="18"/>
                <w:szCs w:val="18"/>
              </w:rPr>
            </w:pPr>
            <w:r>
              <w:rPr>
                <w:noProof/>
                <w:color w:val="000000"/>
                <w:sz w:val="18"/>
              </w:rPr>
              <w:t>7</w:t>
            </w:r>
          </w:p>
        </w:tc>
        <w:tc>
          <w:tcPr>
            <w:tcW w:w="992" w:type="dxa"/>
            <w:tcBorders>
              <w:top w:val="nil"/>
              <w:left w:val="nil"/>
              <w:bottom w:val="single" w:sz="8" w:space="0" w:color="auto"/>
              <w:right w:val="single" w:sz="8" w:space="0" w:color="auto"/>
            </w:tcBorders>
            <w:shd w:val="clear" w:color="000000" w:fill="BFBFBF"/>
            <w:noWrap/>
            <w:vAlign w:val="center"/>
          </w:tcPr>
          <w:p>
            <w:pPr>
              <w:spacing w:before="40" w:after="40"/>
              <w:jc w:val="center"/>
              <w:rPr>
                <w:noProof/>
                <w:color w:val="000000"/>
                <w:sz w:val="18"/>
                <w:szCs w:val="18"/>
              </w:rPr>
            </w:pPr>
            <w:r>
              <w:rPr>
                <w:noProof/>
                <w:color w:val="000000"/>
                <w:sz w:val="18"/>
              </w:rPr>
              <w:t>7</w:t>
            </w:r>
          </w:p>
        </w:tc>
        <w:tc>
          <w:tcPr>
            <w:tcW w:w="992" w:type="dxa"/>
            <w:tcBorders>
              <w:top w:val="nil"/>
              <w:left w:val="nil"/>
              <w:bottom w:val="single" w:sz="8" w:space="0" w:color="auto"/>
              <w:right w:val="single" w:sz="8" w:space="0" w:color="auto"/>
            </w:tcBorders>
            <w:shd w:val="clear" w:color="auto" w:fill="auto"/>
            <w:noWrap/>
            <w:vAlign w:val="center"/>
          </w:tcPr>
          <w:p>
            <w:pPr>
              <w:spacing w:before="40" w:after="40"/>
              <w:jc w:val="center"/>
              <w:rPr>
                <w:noProof/>
                <w:color w:val="000000"/>
                <w:sz w:val="18"/>
                <w:szCs w:val="18"/>
              </w:rPr>
            </w:pPr>
            <w:r>
              <w:rPr>
                <w:noProof/>
                <w:color w:val="000000"/>
                <w:sz w:val="18"/>
              </w:rPr>
              <w:t>100 %.</w:t>
            </w:r>
          </w:p>
        </w:tc>
        <w:tc>
          <w:tcPr>
            <w:tcW w:w="831" w:type="dxa"/>
            <w:tcBorders>
              <w:top w:val="nil"/>
              <w:left w:val="nil"/>
              <w:bottom w:val="single" w:sz="8" w:space="0" w:color="auto"/>
              <w:right w:val="single" w:sz="8" w:space="0" w:color="auto"/>
            </w:tcBorders>
            <w:shd w:val="clear" w:color="auto" w:fill="auto"/>
            <w:noWrap/>
            <w:vAlign w:val="center"/>
          </w:tcPr>
          <w:p>
            <w:pPr>
              <w:spacing w:before="40" w:after="40"/>
              <w:jc w:val="center"/>
              <w:rPr>
                <w:noProof/>
                <w:color w:val="000000"/>
                <w:sz w:val="18"/>
                <w:szCs w:val="18"/>
              </w:rPr>
            </w:pPr>
            <w:r>
              <w:rPr>
                <w:noProof/>
                <w:color w:val="000000"/>
                <w:sz w:val="18"/>
              </w:rPr>
              <w:t>0</w:t>
            </w:r>
          </w:p>
        </w:tc>
        <w:tc>
          <w:tcPr>
            <w:tcW w:w="1418" w:type="dxa"/>
            <w:tcBorders>
              <w:top w:val="nil"/>
              <w:left w:val="nil"/>
              <w:bottom w:val="single" w:sz="8" w:space="0" w:color="auto"/>
              <w:right w:val="single" w:sz="8" w:space="0" w:color="auto"/>
            </w:tcBorders>
            <w:shd w:val="clear" w:color="auto" w:fill="auto"/>
            <w:noWrap/>
            <w:vAlign w:val="center"/>
          </w:tcPr>
          <w:p>
            <w:pPr>
              <w:spacing w:before="40" w:after="40"/>
              <w:jc w:val="center"/>
              <w:rPr>
                <w:noProof/>
                <w:color w:val="000000"/>
                <w:sz w:val="18"/>
                <w:szCs w:val="18"/>
              </w:rPr>
            </w:pPr>
            <w:r>
              <w:rPr>
                <w:noProof/>
                <w:color w:val="000000"/>
                <w:sz w:val="18"/>
              </w:rPr>
              <w:t>Неприложимо</w:t>
            </w:r>
          </w:p>
        </w:tc>
      </w:tr>
      <w:tr>
        <w:trPr>
          <w:cantSplit/>
        </w:trPr>
        <w:tc>
          <w:tcPr>
            <w:tcW w:w="2410" w:type="dxa"/>
            <w:tcBorders>
              <w:top w:val="nil"/>
              <w:left w:val="single" w:sz="8" w:space="0" w:color="auto"/>
              <w:bottom w:val="single" w:sz="8" w:space="0" w:color="auto"/>
              <w:right w:val="single" w:sz="8" w:space="0" w:color="auto"/>
            </w:tcBorders>
            <w:shd w:val="clear" w:color="auto" w:fill="auto"/>
            <w:noWrap/>
            <w:vAlign w:val="center"/>
          </w:tcPr>
          <w:p>
            <w:pPr>
              <w:spacing w:before="40" w:after="40"/>
              <w:jc w:val="center"/>
              <w:rPr>
                <w:b/>
                <w:noProof/>
                <w:color w:val="000000"/>
                <w:sz w:val="18"/>
                <w:szCs w:val="18"/>
              </w:rPr>
            </w:pPr>
            <w:r>
              <w:rPr>
                <w:b/>
                <w:noProof/>
                <w:color w:val="000000"/>
                <w:sz w:val="18"/>
              </w:rPr>
              <w:t>Общо</w:t>
            </w:r>
          </w:p>
        </w:tc>
        <w:tc>
          <w:tcPr>
            <w:tcW w:w="1721" w:type="dxa"/>
            <w:tcBorders>
              <w:top w:val="nil"/>
              <w:left w:val="nil"/>
              <w:bottom w:val="single" w:sz="8" w:space="0" w:color="auto"/>
              <w:right w:val="single" w:sz="8" w:space="0" w:color="auto"/>
            </w:tcBorders>
            <w:shd w:val="clear" w:color="auto" w:fill="auto"/>
            <w:noWrap/>
            <w:vAlign w:val="center"/>
          </w:tcPr>
          <w:p>
            <w:pPr>
              <w:spacing w:before="40" w:after="40"/>
              <w:jc w:val="center"/>
              <w:rPr>
                <w:b/>
                <w:bCs/>
                <w:noProof/>
                <w:color w:val="000000"/>
                <w:sz w:val="18"/>
                <w:szCs w:val="18"/>
              </w:rPr>
            </w:pPr>
            <w:r>
              <w:rPr>
                <w:b/>
                <w:noProof/>
                <w:color w:val="000000"/>
                <w:sz w:val="18"/>
              </w:rPr>
              <w:t>216</w:t>
            </w:r>
          </w:p>
        </w:tc>
        <w:tc>
          <w:tcPr>
            <w:tcW w:w="992" w:type="dxa"/>
            <w:tcBorders>
              <w:top w:val="nil"/>
              <w:left w:val="nil"/>
              <w:bottom w:val="single" w:sz="8" w:space="0" w:color="auto"/>
              <w:right w:val="single" w:sz="8" w:space="0" w:color="auto"/>
            </w:tcBorders>
            <w:shd w:val="clear" w:color="000000" w:fill="BFBFBF"/>
            <w:noWrap/>
            <w:vAlign w:val="center"/>
          </w:tcPr>
          <w:p>
            <w:pPr>
              <w:spacing w:before="40" w:after="40"/>
              <w:jc w:val="center"/>
              <w:rPr>
                <w:b/>
                <w:bCs/>
                <w:noProof/>
                <w:color w:val="000000"/>
                <w:sz w:val="18"/>
                <w:szCs w:val="18"/>
              </w:rPr>
            </w:pPr>
            <w:r>
              <w:rPr>
                <w:b/>
                <w:noProof/>
                <w:color w:val="000000"/>
                <w:sz w:val="18"/>
              </w:rPr>
              <w:t>216</w:t>
            </w:r>
          </w:p>
        </w:tc>
        <w:tc>
          <w:tcPr>
            <w:tcW w:w="992" w:type="dxa"/>
            <w:tcBorders>
              <w:top w:val="nil"/>
              <w:left w:val="nil"/>
              <w:bottom w:val="single" w:sz="8" w:space="0" w:color="auto"/>
              <w:right w:val="single" w:sz="8" w:space="0" w:color="auto"/>
            </w:tcBorders>
            <w:shd w:val="clear" w:color="auto" w:fill="auto"/>
            <w:noWrap/>
            <w:vAlign w:val="center"/>
          </w:tcPr>
          <w:p>
            <w:pPr>
              <w:spacing w:before="40" w:after="40"/>
              <w:jc w:val="center"/>
              <w:rPr>
                <w:b/>
                <w:bCs/>
                <w:noProof/>
                <w:color w:val="000000"/>
                <w:sz w:val="18"/>
                <w:szCs w:val="18"/>
              </w:rPr>
            </w:pPr>
            <w:r>
              <w:rPr>
                <w:b/>
                <w:noProof/>
                <w:color w:val="000000"/>
                <w:sz w:val="18"/>
              </w:rPr>
              <w:t>100 %</w:t>
            </w:r>
          </w:p>
        </w:tc>
        <w:tc>
          <w:tcPr>
            <w:tcW w:w="831" w:type="dxa"/>
            <w:tcBorders>
              <w:top w:val="nil"/>
              <w:left w:val="nil"/>
              <w:bottom w:val="single" w:sz="8" w:space="0" w:color="auto"/>
              <w:right w:val="single" w:sz="8" w:space="0" w:color="auto"/>
            </w:tcBorders>
            <w:shd w:val="clear" w:color="auto" w:fill="auto"/>
            <w:noWrap/>
            <w:vAlign w:val="center"/>
          </w:tcPr>
          <w:p>
            <w:pPr>
              <w:spacing w:before="40" w:after="40"/>
              <w:jc w:val="center"/>
              <w:rPr>
                <w:b/>
                <w:bCs/>
                <w:noProof/>
                <w:color w:val="000000"/>
                <w:sz w:val="18"/>
                <w:szCs w:val="18"/>
              </w:rPr>
            </w:pPr>
            <w:r>
              <w:rPr>
                <w:b/>
                <w:noProof/>
                <w:color w:val="000000"/>
                <w:sz w:val="18"/>
              </w:rPr>
              <w:t>0</w:t>
            </w:r>
          </w:p>
        </w:tc>
        <w:tc>
          <w:tcPr>
            <w:tcW w:w="1418" w:type="dxa"/>
            <w:tcBorders>
              <w:top w:val="nil"/>
              <w:left w:val="nil"/>
              <w:bottom w:val="single" w:sz="8" w:space="0" w:color="auto"/>
              <w:right w:val="single" w:sz="8" w:space="0" w:color="auto"/>
            </w:tcBorders>
            <w:shd w:val="clear" w:color="auto" w:fill="auto"/>
            <w:noWrap/>
            <w:vAlign w:val="center"/>
          </w:tcPr>
          <w:p>
            <w:pPr>
              <w:spacing w:before="40" w:after="40"/>
              <w:jc w:val="center"/>
              <w:rPr>
                <w:b/>
                <w:bCs/>
                <w:noProof/>
                <w:color w:val="000000"/>
                <w:sz w:val="18"/>
                <w:szCs w:val="18"/>
              </w:rPr>
            </w:pPr>
            <w:r>
              <w:rPr>
                <w:b/>
                <w:noProof/>
                <w:color w:val="000000"/>
                <w:sz w:val="18"/>
              </w:rPr>
              <w:t>Неприложимо</w:t>
            </w:r>
          </w:p>
        </w:tc>
      </w:tr>
    </w:tbl>
    <w:p>
      <w:pPr>
        <w:pStyle w:val="Text2"/>
        <w:spacing w:before="120"/>
        <w:ind w:left="567"/>
        <w:rPr>
          <w:noProof/>
          <w:szCs w:val="24"/>
        </w:rPr>
      </w:pPr>
      <w:r>
        <w:rPr>
          <w:noProof/>
        </w:rPr>
        <w:t>За всички приети препоръки одитираните субекти изготвиха планове за действие, които бяха представени на IAS и оценени като задоволителни.</w:t>
      </w:r>
    </w:p>
    <w:p>
      <w:pPr>
        <w:ind w:left="480"/>
        <w:rPr>
          <w:noProof/>
          <w:lang w:val="bg-BG"/>
        </w:rPr>
      </w:pPr>
      <w:r>
        <w:rPr>
          <w:noProof/>
        </w:rPr>
        <w:t>Според оценката на одитираните субекти</w:t>
      </w:r>
      <w:r>
        <w:rPr>
          <w:rStyle w:val="FootnoteReference"/>
          <w:noProof/>
        </w:rPr>
        <w:footnoteReference w:id="12"/>
      </w:r>
      <w:r>
        <w:rPr>
          <w:noProof/>
        </w:rPr>
        <w:t xml:space="preserve"> към 31 януари 2016 г.</w:t>
      </w:r>
      <w:r>
        <w:rPr>
          <w:rStyle w:val="FootnoteReference"/>
          <w:noProof/>
        </w:rPr>
        <w:footnoteReference w:id="13"/>
      </w:r>
      <w:r>
        <w:rPr>
          <w:noProof/>
        </w:rPr>
        <w:t xml:space="preserve"> изпълнението на приетите препоръки, отправени през периода 2011—2015 г., </w:t>
      </w:r>
      <w:r>
        <w:rPr>
          <w:noProof/>
          <w:lang w:val="bg-BG"/>
        </w:rPr>
        <w:t>е представено в следната таблица. Препоръките, които са изпълнени след крайната дата 31</w:t>
      </w:r>
      <w:r>
        <w:rPr>
          <w:noProof/>
        </w:rPr>
        <w:t> </w:t>
      </w:r>
      <w:r>
        <w:rPr>
          <w:noProof/>
          <w:lang w:val="bg-BG"/>
        </w:rPr>
        <w:t>януари</w:t>
      </w:r>
      <w:r>
        <w:rPr>
          <w:noProof/>
        </w:rPr>
        <w:t> </w:t>
      </w:r>
      <w:r>
        <w:rPr>
          <w:noProof/>
          <w:lang w:val="bg-BG"/>
        </w:rPr>
        <w:t>2016</w:t>
      </w:r>
      <w:r>
        <w:rPr>
          <w:noProof/>
        </w:rPr>
        <w:t> </w:t>
      </w:r>
      <w:r>
        <w:rPr>
          <w:noProof/>
          <w:lang w:val="bg-BG"/>
        </w:rPr>
        <w:t>г., не са взети предвид:</w:t>
      </w:r>
    </w:p>
    <w:tbl>
      <w:tblPr>
        <w:tblW w:w="9274" w:type="dxa"/>
        <w:jc w:val="center"/>
        <w:tblInd w:w="-286" w:type="dxa"/>
        <w:tblLayout w:type="fixed"/>
        <w:tblLook w:val="0400" w:firstRow="0" w:lastRow="0" w:firstColumn="0" w:lastColumn="0" w:noHBand="0" w:noVBand="1"/>
      </w:tblPr>
      <w:tblGrid>
        <w:gridCol w:w="917"/>
        <w:gridCol w:w="1445"/>
        <w:gridCol w:w="831"/>
        <w:gridCol w:w="728"/>
        <w:gridCol w:w="850"/>
        <w:gridCol w:w="676"/>
        <w:gridCol w:w="693"/>
        <w:gridCol w:w="1181"/>
        <w:gridCol w:w="567"/>
        <w:gridCol w:w="709"/>
        <w:gridCol w:w="677"/>
      </w:tblGrid>
      <w:tr>
        <w:trPr>
          <w:trHeight w:val="307"/>
          <w:tblHeader/>
          <w:jc w:val="center"/>
        </w:trPr>
        <w:tc>
          <w:tcPr>
            <w:tcW w:w="917" w:type="dxa"/>
            <w:tcBorders>
              <w:top w:val="nil"/>
              <w:left w:val="nil"/>
              <w:bottom w:val="single" w:sz="12" w:space="0" w:color="000000"/>
              <w:right w:val="nil"/>
            </w:tcBorders>
            <w:vAlign w:val="bottom"/>
          </w:tcPr>
          <w:p>
            <w:pPr>
              <w:spacing w:after="0"/>
              <w:jc w:val="center"/>
              <w:rPr>
                <w:noProof/>
                <w:color w:val="000000"/>
                <w:szCs w:val="24"/>
                <w:lang w:val="bg-BG"/>
              </w:rPr>
            </w:pPr>
          </w:p>
        </w:tc>
        <w:tc>
          <w:tcPr>
            <w:tcW w:w="1445" w:type="dxa"/>
            <w:tcBorders>
              <w:top w:val="nil"/>
              <w:left w:val="nil"/>
              <w:bottom w:val="single" w:sz="12" w:space="0" w:color="000000"/>
              <w:right w:val="nil"/>
            </w:tcBorders>
            <w:vAlign w:val="bottom"/>
          </w:tcPr>
          <w:p>
            <w:pPr>
              <w:spacing w:after="0"/>
              <w:jc w:val="center"/>
              <w:rPr>
                <w:noProof/>
                <w:color w:val="000000"/>
                <w:szCs w:val="24"/>
                <w:lang w:val="bg-BG"/>
              </w:rPr>
            </w:pPr>
          </w:p>
        </w:tc>
        <w:tc>
          <w:tcPr>
            <w:tcW w:w="831" w:type="dxa"/>
            <w:tcBorders>
              <w:top w:val="nil"/>
              <w:left w:val="nil"/>
              <w:bottom w:val="single" w:sz="12" w:space="0" w:color="000000"/>
              <w:right w:val="single" w:sz="12" w:space="0" w:color="000000"/>
            </w:tcBorders>
            <w:vAlign w:val="bottom"/>
          </w:tcPr>
          <w:p>
            <w:pPr>
              <w:spacing w:after="0"/>
              <w:jc w:val="center"/>
              <w:rPr>
                <w:noProof/>
                <w:color w:val="000000"/>
                <w:szCs w:val="24"/>
                <w:lang w:val="bg-BG"/>
              </w:rPr>
            </w:pPr>
          </w:p>
        </w:tc>
        <w:tc>
          <w:tcPr>
            <w:tcW w:w="1578" w:type="dxa"/>
            <w:gridSpan w:val="2"/>
            <w:tcBorders>
              <w:top w:val="single" w:sz="12" w:space="0" w:color="000000"/>
              <w:left w:val="single" w:sz="12" w:space="0" w:color="000000"/>
              <w:bottom w:val="single" w:sz="4" w:space="0" w:color="000000"/>
              <w:right w:val="single" w:sz="12" w:space="0" w:color="000000"/>
            </w:tcBorders>
            <w:shd w:val="clear" w:color="auto" w:fill="D9D9D9"/>
            <w:vAlign w:val="bottom"/>
          </w:tcPr>
          <w:p>
            <w:pPr>
              <w:spacing w:after="0"/>
              <w:jc w:val="center"/>
              <w:rPr>
                <w:noProof/>
                <w:color w:val="000000"/>
                <w:szCs w:val="24"/>
              </w:rPr>
            </w:pPr>
            <w:r>
              <w:rPr>
                <w:b/>
                <w:noProof/>
                <w:sz w:val="18"/>
              </w:rPr>
              <w:t>Изпълнени</w:t>
            </w:r>
          </w:p>
        </w:tc>
        <w:tc>
          <w:tcPr>
            <w:tcW w:w="4503" w:type="dxa"/>
            <w:gridSpan w:val="6"/>
            <w:tcBorders>
              <w:top w:val="single" w:sz="12" w:space="0" w:color="000000"/>
              <w:left w:val="single" w:sz="12" w:space="0" w:color="000000"/>
              <w:bottom w:val="single" w:sz="4" w:space="0" w:color="000000"/>
              <w:right w:val="single" w:sz="12" w:space="0" w:color="000000"/>
            </w:tcBorders>
            <w:shd w:val="clear" w:color="auto" w:fill="D9D9D9"/>
            <w:vAlign w:val="bottom"/>
          </w:tcPr>
          <w:p>
            <w:pPr>
              <w:spacing w:after="0"/>
              <w:jc w:val="center"/>
              <w:rPr>
                <w:noProof/>
                <w:color w:val="000000"/>
                <w:szCs w:val="24"/>
              </w:rPr>
            </w:pPr>
            <w:r>
              <w:rPr>
                <w:b/>
                <w:noProof/>
                <w:sz w:val="18"/>
              </w:rPr>
              <w:t>В процес на изпълнение (просрочени в брой месеци)</w:t>
            </w:r>
          </w:p>
        </w:tc>
      </w:tr>
      <w:tr>
        <w:trPr>
          <w:trHeight w:val="307"/>
          <w:tblHeader/>
          <w:jc w:val="center"/>
        </w:trPr>
        <w:tc>
          <w:tcPr>
            <w:tcW w:w="917" w:type="dxa"/>
            <w:tcBorders>
              <w:top w:val="single" w:sz="12" w:space="0" w:color="000000"/>
              <w:left w:val="single" w:sz="12" w:space="0" w:color="000000"/>
              <w:bottom w:val="nil"/>
              <w:right w:val="single" w:sz="4" w:space="0" w:color="000000"/>
            </w:tcBorders>
            <w:shd w:val="clear" w:color="auto" w:fill="D9D9D9"/>
            <w:vAlign w:val="bottom"/>
          </w:tcPr>
          <w:p>
            <w:pPr>
              <w:spacing w:after="0"/>
              <w:jc w:val="center"/>
              <w:rPr>
                <w:noProof/>
                <w:color w:val="000000"/>
                <w:szCs w:val="24"/>
              </w:rPr>
            </w:pPr>
            <w:r>
              <w:rPr>
                <w:b/>
                <w:noProof/>
                <w:sz w:val="18"/>
              </w:rPr>
              <w:t>Година </w:t>
            </w:r>
          </w:p>
        </w:tc>
        <w:tc>
          <w:tcPr>
            <w:tcW w:w="1445" w:type="dxa"/>
            <w:tcBorders>
              <w:top w:val="single" w:sz="12" w:space="0" w:color="000000"/>
              <w:left w:val="nil"/>
              <w:bottom w:val="nil"/>
              <w:right w:val="single" w:sz="4" w:space="0" w:color="000000"/>
            </w:tcBorders>
            <w:shd w:val="clear" w:color="auto" w:fill="D9D9D9"/>
            <w:vAlign w:val="bottom"/>
          </w:tcPr>
          <w:p>
            <w:pPr>
              <w:spacing w:after="0"/>
              <w:jc w:val="center"/>
              <w:rPr>
                <w:noProof/>
                <w:color w:val="000000"/>
                <w:szCs w:val="24"/>
              </w:rPr>
            </w:pPr>
            <w:r>
              <w:rPr>
                <w:b/>
                <w:noProof/>
                <w:sz w:val="18"/>
              </w:rPr>
              <w:t>Приоритет</w:t>
            </w:r>
          </w:p>
        </w:tc>
        <w:tc>
          <w:tcPr>
            <w:tcW w:w="831" w:type="dxa"/>
            <w:tcBorders>
              <w:top w:val="single" w:sz="12" w:space="0" w:color="000000"/>
              <w:left w:val="nil"/>
              <w:bottom w:val="nil"/>
              <w:right w:val="single" w:sz="12" w:space="0" w:color="000000"/>
            </w:tcBorders>
            <w:shd w:val="clear" w:color="auto" w:fill="D9D9D9"/>
            <w:vAlign w:val="bottom"/>
          </w:tcPr>
          <w:p>
            <w:pPr>
              <w:spacing w:after="0"/>
              <w:jc w:val="center"/>
              <w:rPr>
                <w:noProof/>
                <w:color w:val="000000"/>
                <w:szCs w:val="24"/>
              </w:rPr>
            </w:pPr>
            <w:r>
              <w:rPr>
                <w:b/>
                <w:noProof/>
                <w:sz w:val="18"/>
              </w:rPr>
              <w:t>Общо </w:t>
            </w:r>
          </w:p>
        </w:tc>
        <w:tc>
          <w:tcPr>
            <w:tcW w:w="728" w:type="dxa"/>
            <w:tcBorders>
              <w:top w:val="nil"/>
              <w:left w:val="single" w:sz="12" w:space="0" w:color="000000"/>
              <w:bottom w:val="nil"/>
              <w:right w:val="single" w:sz="4" w:space="0" w:color="000000"/>
            </w:tcBorders>
            <w:shd w:val="clear" w:color="auto" w:fill="D9D9D9"/>
            <w:vAlign w:val="bottom"/>
          </w:tcPr>
          <w:p>
            <w:pPr>
              <w:spacing w:after="0"/>
              <w:jc w:val="center"/>
              <w:rPr>
                <w:noProof/>
                <w:color w:val="000000"/>
                <w:szCs w:val="24"/>
              </w:rPr>
            </w:pPr>
            <w:r>
              <w:rPr>
                <w:b/>
                <w:noProof/>
                <w:sz w:val="18"/>
              </w:rPr>
              <w:t>#</w:t>
            </w:r>
          </w:p>
        </w:tc>
        <w:tc>
          <w:tcPr>
            <w:tcW w:w="850" w:type="dxa"/>
            <w:tcBorders>
              <w:top w:val="nil"/>
              <w:left w:val="nil"/>
              <w:bottom w:val="nil"/>
              <w:right w:val="single" w:sz="12" w:space="0" w:color="000000"/>
            </w:tcBorders>
            <w:shd w:val="clear" w:color="auto" w:fill="D9D9D9"/>
            <w:vAlign w:val="bottom"/>
          </w:tcPr>
          <w:p>
            <w:pPr>
              <w:spacing w:after="0"/>
              <w:jc w:val="center"/>
              <w:rPr>
                <w:noProof/>
                <w:color w:val="000000"/>
                <w:szCs w:val="24"/>
              </w:rPr>
            </w:pPr>
            <w:r>
              <w:rPr>
                <w:b/>
                <w:noProof/>
                <w:sz w:val="18"/>
              </w:rPr>
              <w:t>%</w:t>
            </w:r>
          </w:p>
        </w:tc>
        <w:tc>
          <w:tcPr>
            <w:tcW w:w="676" w:type="dxa"/>
            <w:tcBorders>
              <w:top w:val="nil"/>
              <w:left w:val="single" w:sz="12" w:space="0" w:color="000000"/>
              <w:bottom w:val="nil"/>
              <w:right w:val="single" w:sz="4" w:space="0" w:color="000000"/>
            </w:tcBorders>
            <w:shd w:val="clear" w:color="auto" w:fill="D9D9D9"/>
            <w:vAlign w:val="bottom"/>
          </w:tcPr>
          <w:p>
            <w:pPr>
              <w:spacing w:after="0"/>
              <w:jc w:val="center"/>
              <w:rPr>
                <w:noProof/>
                <w:color w:val="000000"/>
                <w:szCs w:val="24"/>
              </w:rPr>
            </w:pPr>
            <w:r>
              <w:rPr>
                <w:b/>
                <w:noProof/>
                <w:sz w:val="18"/>
              </w:rPr>
              <w:t>#</w:t>
            </w:r>
          </w:p>
        </w:tc>
        <w:tc>
          <w:tcPr>
            <w:tcW w:w="693" w:type="dxa"/>
            <w:tcBorders>
              <w:top w:val="nil"/>
              <w:left w:val="nil"/>
              <w:bottom w:val="nil"/>
              <w:right w:val="single" w:sz="4" w:space="0" w:color="000000"/>
            </w:tcBorders>
            <w:shd w:val="clear" w:color="auto" w:fill="D9D9D9"/>
            <w:vAlign w:val="bottom"/>
          </w:tcPr>
          <w:p>
            <w:pPr>
              <w:spacing w:after="0"/>
              <w:jc w:val="center"/>
              <w:rPr>
                <w:noProof/>
                <w:color w:val="000000"/>
                <w:szCs w:val="24"/>
              </w:rPr>
            </w:pPr>
            <w:r>
              <w:rPr>
                <w:b/>
                <w:noProof/>
                <w:sz w:val="18"/>
              </w:rPr>
              <w:t>%</w:t>
            </w:r>
          </w:p>
        </w:tc>
        <w:tc>
          <w:tcPr>
            <w:tcW w:w="1181" w:type="dxa"/>
            <w:tcBorders>
              <w:top w:val="nil"/>
              <w:left w:val="nil"/>
              <w:bottom w:val="nil"/>
              <w:right w:val="single" w:sz="4" w:space="0" w:color="000000"/>
            </w:tcBorders>
            <w:shd w:val="clear" w:color="auto" w:fill="D9D9D9"/>
            <w:vAlign w:val="bottom"/>
          </w:tcPr>
          <w:p>
            <w:pPr>
              <w:spacing w:after="0"/>
              <w:jc w:val="center"/>
              <w:rPr>
                <w:noProof/>
                <w:color w:val="000000"/>
                <w:szCs w:val="24"/>
              </w:rPr>
            </w:pPr>
            <w:r>
              <w:rPr>
                <w:b/>
                <w:noProof/>
                <w:sz w:val="18"/>
              </w:rPr>
              <w:t>Без закъснение</w:t>
            </w:r>
          </w:p>
        </w:tc>
        <w:tc>
          <w:tcPr>
            <w:tcW w:w="567" w:type="dxa"/>
            <w:tcBorders>
              <w:top w:val="nil"/>
              <w:left w:val="nil"/>
              <w:bottom w:val="nil"/>
              <w:right w:val="single" w:sz="4" w:space="0" w:color="000000"/>
            </w:tcBorders>
            <w:shd w:val="clear" w:color="auto" w:fill="D9D9D9"/>
            <w:vAlign w:val="bottom"/>
          </w:tcPr>
          <w:p>
            <w:pPr>
              <w:spacing w:after="0"/>
              <w:jc w:val="center"/>
              <w:rPr>
                <w:noProof/>
                <w:color w:val="000000"/>
                <w:szCs w:val="24"/>
              </w:rPr>
            </w:pPr>
            <w:r>
              <w:rPr>
                <w:b/>
                <w:noProof/>
                <w:sz w:val="18"/>
              </w:rPr>
              <w:t>0 - 6</w:t>
            </w:r>
          </w:p>
        </w:tc>
        <w:tc>
          <w:tcPr>
            <w:tcW w:w="709" w:type="dxa"/>
            <w:tcBorders>
              <w:top w:val="nil"/>
              <w:left w:val="nil"/>
              <w:bottom w:val="nil"/>
              <w:right w:val="single" w:sz="4" w:space="0" w:color="000000"/>
            </w:tcBorders>
            <w:shd w:val="clear" w:color="auto" w:fill="D9D9D9"/>
            <w:vAlign w:val="bottom"/>
          </w:tcPr>
          <w:p>
            <w:pPr>
              <w:spacing w:after="0"/>
              <w:jc w:val="center"/>
              <w:rPr>
                <w:noProof/>
                <w:color w:val="000000"/>
                <w:szCs w:val="24"/>
              </w:rPr>
            </w:pPr>
            <w:r>
              <w:rPr>
                <w:b/>
                <w:noProof/>
                <w:sz w:val="18"/>
              </w:rPr>
              <w:t xml:space="preserve"> 6 - 12</w:t>
            </w:r>
          </w:p>
        </w:tc>
        <w:tc>
          <w:tcPr>
            <w:tcW w:w="677" w:type="dxa"/>
            <w:tcBorders>
              <w:top w:val="nil"/>
              <w:left w:val="nil"/>
              <w:bottom w:val="nil"/>
              <w:right w:val="single" w:sz="12" w:space="0" w:color="000000"/>
            </w:tcBorders>
            <w:shd w:val="clear" w:color="auto" w:fill="D9D9D9"/>
            <w:vAlign w:val="bottom"/>
          </w:tcPr>
          <w:p>
            <w:pPr>
              <w:spacing w:after="0"/>
              <w:jc w:val="center"/>
              <w:rPr>
                <w:noProof/>
                <w:color w:val="000000"/>
                <w:szCs w:val="24"/>
              </w:rPr>
            </w:pPr>
            <w:r>
              <w:rPr>
                <w:b/>
                <w:noProof/>
                <w:sz w:val="18"/>
              </w:rPr>
              <w:t>12+</w:t>
            </w:r>
          </w:p>
        </w:tc>
      </w:tr>
      <w:tr>
        <w:trPr>
          <w:trHeight w:val="225"/>
          <w:jc w:val="center"/>
        </w:trPr>
        <w:tc>
          <w:tcPr>
            <w:tcW w:w="917" w:type="dxa"/>
            <w:vMerge w:val="restart"/>
            <w:tcBorders>
              <w:top w:val="nil"/>
              <w:left w:val="single" w:sz="12" w:space="0" w:color="000000"/>
              <w:bottom w:val="single" w:sz="8" w:space="0" w:color="000000"/>
              <w:right w:val="single" w:sz="4" w:space="0" w:color="000000"/>
            </w:tcBorders>
            <w:shd w:val="clear" w:color="auto" w:fill="F2F2F2"/>
            <w:vAlign w:val="center"/>
          </w:tcPr>
          <w:p>
            <w:pPr>
              <w:spacing w:after="0"/>
              <w:jc w:val="center"/>
              <w:rPr>
                <w:noProof/>
                <w:color w:val="000000"/>
                <w:szCs w:val="24"/>
              </w:rPr>
            </w:pPr>
            <w:r>
              <w:rPr>
                <w:noProof/>
                <w:sz w:val="18"/>
              </w:rPr>
              <w:t>2011 г.</w:t>
            </w:r>
          </w:p>
        </w:tc>
        <w:tc>
          <w:tcPr>
            <w:tcW w:w="1445" w:type="dxa"/>
            <w:tcBorders>
              <w:top w:val="nil"/>
              <w:left w:val="nil"/>
              <w:bottom w:val="single" w:sz="4" w:space="0" w:color="000000"/>
              <w:right w:val="single" w:sz="4" w:space="0" w:color="000000"/>
            </w:tcBorders>
            <w:vAlign w:val="bottom"/>
          </w:tcPr>
          <w:p>
            <w:pPr>
              <w:spacing w:after="0"/>
              <w:jc w:val="left"/>
              <w:rPr>
                <w:noProof/>
                <w:color w:val="000000"/>
                <w:szCs w:val="24"/>
              </w:rPr>
            </w:pPr>
            <w:r>
              <w:rPr>
                <w:noProof/>
                <w:sz w:val="18"/>
              </w:rPr>
              <w:t>Критични</w:t>
            </w:r>
          </w:p>
        </w:tc>
        <w:tc>
          <w:tcPr>
            <w:tcW w:w="831" w:type="dxa"/>
            <w:tcBorders>
              <w:top w:val="nil"/>
              <w:left w:val="nil"/>
              <w:bottom w:val="single" w:sz="4" w:space="0" w:color="000000"/>
              <w:right w:val="single" w:sz="12" w:space="0" w:color="000000"/>
            </w:tcBorders>
            <w:vAlign w:val="center"/>
          </w:tcPr>
          <w:p>
            <w:pPr>
              <w:spacing w:after="0"/>
              <w:jc w:val="center"/>
              <w:rPr>
                <w:noProof/>
                <w:color w:val="000000"/>
                <w:szCs w:val="24"/>
              </w:rPr>
            </w:pPr>
            <w:r>
              <w:rPr>
                <w:noProof/>
                <w:sz w:val="18"/>
              </w:rPr>
              <w:t>0 </w:t>
            </w:r>
          </w:p>
        </w:tc>
        <w:tc>
          <w:tcPr>
            <w:tcW w:w="728" w:type="dxa"/>
            <w:tcBorders>
              <w:top w:val="nil"/>
              <w:left w:val="single" w:sz="12" w:space="0" w:color="000000"/>
              <w:bottom w:val="single" w:sz="4" w:space="0" w:color="000000"/>
              <w:right w:val="single" w:sz="4" w:space="0" w:color="000000"/>
            </w:tcBorders>
            <w:vAlign w:val="center"/>
          </w:tcPr>
          <w:p>
            <w:pPr>
              <w:spacing w:after="0"/>
              <w:jc w:val="center"/>
              <w:rPr>
                <w:noProof/>
                <w:color w:val="000000"/>
                <w:szCs w:val="24"/>
              </w:rPr>
            </w:pPr>
            <w:r>
              <w:rPr>
                <w:noProof/>
                <w:sz w:val="18"/>
              </w:rPr>
              <w:t>0</w:t>
            </w:r>
          </w:p>
        </w:tc>
        <w:tc>
          <w:tcPr>
            <w:tcW w:w="850" w:type="dxa"/>
            <w:tcBorders>
              <w:top w:val="nil"/>
              <w:left w:val="nil"/>
              <w:bottom w:val="single" w:sz="4" w:space="0" w:color="000000"/>
              <w:right w:val="single" w:sz="12" w:space="0" w:color="000000"/>
            </w:tcBorders>
            <w:vAlign w:val="center"/>
          </w:tcPr>
          <w:p>
            <w:pPr>
              <w:spacing w:after="0"/>
              <w:jc w:val="center"/>
              <w:rPr>
                <w:noProof/>
                <w:color w:val="000000"/>
                <w:szCs w:val="24"/>
              </w:rPr>
            </w:pPr>
            <w:r>
              <w:rPr>
                <w:noProof/>
                <w:sz w:val="18"/>
              </w:rPr>
              <w:t>0 %</w:t>
            </w:r>
          </w:p>
        </w:tc>
        <w:tc>
          <w:tcPr>
            <w:tcW w:w="676" w:type="dxa"/>
            <w:tcBorders>
              <w:top w:val="nil"/>
              <w:left w:val="single" w:sz="12" w:space="0" w:color="000000"/>
              <w:bottom w:val="single" w:sz="4" w:space="0" w:color="000000"/>
              <w:right w:val="single" w:sz="4" w:space="0" w:color="000000"/>
            </w:tcBorders>
            <w:vAlign w:val="center"/>
          </w:tcPr>
          <w:p>
            <w:pPr>
              <w:spacing w:after="0"/>
              <w:jc w:val="center"/>
              <w:rPr>
                <w:noProof/>
                <w:color w:val="000000"/>
                <w:szCs w:val="24"/>
              </w:rPr>
            </w:pPr>
            <w:r>
              <w:rPr>
                <w:noProof/>
                <w:sz w:val="18"/>
              </w:rPr>
              <w:t>0</w:t>
            </w:r>
          </w:p>
        </w:tc>
        <w:tc>
          <w:tcPr>
            <w:tcW w:w="693" w:type="dxa"/>
            <w:tcBorders>
              <w:top w:val="nil"/>
              <w:left w:val="nil"/>
              <w:bottom w:val="single" w:sz="4" w:space="0" w:color="000000"/>
              <w:right w:val="single" w:sz="4" w:space="0" w:color="000000"/>
            </w:tcBorders>
            <w:vAlign w:val="center"/>
          </w:tcPr>
          <w:p>
            <w:pPr>
              <w:spacing w:after="0"/>
              <w:jc w:val="center"/>
              <w:rPr>
                <w:noProof/>
                <w:color w:val="000000"/>
                <w:szCs w:val="24"/>
              </w:rPr>
            </w:pPr>
            <w:r>
              <w:rPr>
                <w:noProof/>
                <w:sz w:val="18"/>
              </w:rPr>
              <w:t>0 %</w:t>
            </w:r>
          </w:p>
        </w:tc>
        <w:tc>
          <w:tcPr>
            <w:tcW w:w="1181" w:type="dxa"/>
            <w:tcBorders>
              <w:top w:val="nil"/>
              <w:left w:val="nil"/>
              <w:bottom w:val="single" w:sz="4" w:space="0" w:color="000000"/>
              <w:right w:val="single" w:sz="4" w:space="0" w:color="000000"/>
            </w:tcBorders>
            <w:vAlign w:val="center"/>
          </w:tcPr>
          <w:p>
            <w:pPr>
              <w:spacing w:after="0"/>
              <w:jc w:val="center"/>
              <w:rPr>
                <w:noProof/>
                <w:color w:val="000000"/>
                <w:szCs w:val="24"/>
              </w:rPr>
            </w:pPr>
            <w:r>
              <w:rPr>
                <w:noProof/>
                <w:sz w:val="18"/>
              </w:rPr>
              <w:t>0</w:t>
            </w:r>
          </w:p>
        </w:tc>
        <w:tc>
          <w:tcPr>
            <w:tcW w:w="567" w:type="dxa"/>
            <w:tcBorders>
              <w:top w:val="nil"/>
              <w:left w:val="nil"/>
              <w:bottom w:val="single" w:sz="4" w:space="0" w:color="000000"/>
              <w:right w:val="single" w:sz="4" w:space="0" w:color="000000"/>
            </w:tcBorders>
            <w:vAlign w:val="center"/>
          </w:tcPr>
          <w:p>
            <w:pPr>
              <w:spacing w:after="0"/>
              <w:jc w:val="center"/>
              <w:rPr>
                <w:noProof/>
                <w:color w:val="000000"/>
                <w:szCs w:val="24"/>
              </w:rPr>
            </w:pPr>
            <w:r>
              <w:rPr>
                <w:noProof/>
                <w:sz w:val="18"/>
              </w:rPr>
              <w:t>0</w:t>
            </w:r>
          </w:p>
        </w:tc>
        <w:tc>
          <w:tcPr>
            <w:tcW w:w="709" w:type="dxa"/>
            <w:tcBorders>
              <w:top w:val="nil"/>
              <w:left w:val="nil"/>
              <w:bottom w:val="single" w:sz="4" w:space="0" w:color="000000"/>
              <w:right w:val="single" w:sz="4" w:space="0" w:color="000000"/>
            </w:tcBorders>
            <w:vAlign w:val="center"/>
          </w:tcPr>
          <w:p>
            <w:pPr>
              <w:spacing w:after="0"/>
              <w:jc w:val="center"/>
              <w:rPr>
                <w:noProof/>
                <w:color w:val="000000"/>
                <w:szCs w:val="24"/>
              </w:rPr>
            </w:pPr>
            <w:r>
              <w:rPr>
                <w:noProof/>
                <w:sz w:val="18"/>
              </w:rPr>
              <w:t>0</w:t>
            </w:r>
          </w:p>
        </w:tc>
        <w:tc>
          <w:tcPr>
            <w:tcW w:w="677" w:type="dxa"/>
            <w:tcBorders>
              <w:top w:val="nil"/>
              <w:left w:val="nil"/>
              <w:bottom w:val="single" w:sz="4" w:space="0" w:color="000000"/>
              <w:right w:val="single" w:sz="12" w:space="0" w:color="000000"/>
            </w:tcBorders>
            <w:vAlign w:val="center"/>
          </w:tcPr>
          <w:p>
            <w:pPr>
              <w:spacing w:after="0"/>
              <w:jc w:val="center"/>
              <w:rPr>
                <w:noProof/>
                <w:color w:val="000000"/>
                <w:szCs w:val="24"/>
              </w:rPr>
            </w:pPr>
            <w:r>
              <w:rPr>
                <w:noProof/>
                <w:sz w:val="18"/>
              </w:rPr>
              <w:t>0</w:t>
            </w:r>
          </w:p>
        </w:tc>
      </w:tr>
      <w:tr>
        <w:trPr>
          <w:trHeight w:val="225"/>
          <w:jc w:val="center"/>
        </w:trPr>
        <w:tc>
          <w:tcPr>
            <w:tcW w:w="917" w:type="dxa"/>
            <w:vMerge/>
            <w:tcBorders>
              <w:top w:val="nil"/>
              <w:left w:val="single" w:sz="12" w:space="0" w:color="000000"/>
              <w:bottom w:val="single" w:sz="8" w:space="0" w:color="000000"/>
              <w:right w:val="single" w:sz="4" w:space="0" w:color="000000"/>
            </w:tcBorders>
            <w:vAlign w:val="center"/>
          </w:tcPr>
          <w:p>
            <w:pPr>
              <w:spacing w:after="0"/>
              <w:jc w:val="left"/>
              <w:rPr>
                <w:noProof/>
                <w:color w:val="000000"/>
                <w:szCs w:val="24"/>
              </w:rPr>
            </w:pPr>
          </w:p>
        </w:tc>
        <w:tc>
          <w:tcPr>
            <w:tcW w:w="1445" w:type="dxa"/>
            <w:tcBorders>
              <w:top w:val="nil"/>
              <w:left w:val="nil"/>
              <w:bottom w:val="single" w:sz="4" w:space="0" w:color="000000"/>
              <w:right w:val="single" w:sz="4" w:space="0" w:color="000000"/>
            </w:tcBorders>
            <w:vAlign w:val="bottom"/>
          </w:tcPr>
          <w:p>
            <w:pPr>
              <w:spacing w:after="0"/>
              <w:jc w:val="left"/>
              <w:rPr>
                <w:noProof/>
                <w:color w:val="000000"/>
                <w:szCs w:val="24"/>
              </w:rPr>
            </w:pPr>
            <w:r>
              <w:rPr>
                <w:noProof/>
                <w:sz w:val="18"/>
              </w:rPr>
              <w:t>Много важни</w:t>
            </w:r>
          </w:p>
        </w:tc>
        <w:tc>
          <w:tcPr>
            <w:tcW w:w="831" w:type="dxa"/>
            <w:tcBorders>
              <w:top w:val="nil"/>
              <w:left w:val="nil"/>
              <w:bottom w:val="single" w:sz="4" w:space="0" w:color="000000"/>
              <w:right w:val="single" w:sz="12" w:space="0" w:color="000000"/>
            </w:tcBorders>
            <w:vAlign w:val="center"/>
          </w:tcPr>
          <w:p>
            <w:pPr>
              <w:spacing w:after="0"/>
              <w:jc w:val="center"/>
              <w:rPr>
                <w:noProof/>
                <w:color w:val="000000"/>
                <w:szCs w:val="24"/>
              </w:rPr>
            </w:pPr>
            <w:r>
              <w:rPr>
                <w:noProof/>
                <w:sz w:val="18"/>
              </w:rPr>
              <w:t>47</w:t>
            </w:r>
          </w:p>
        </w:tc>
        <w:tc>
          <w:tcPr>
            <w:tcW w:w="728" w:type="dxa"/>
            <w:tcBorders>
              <w:top w:val="nil"/>
              <w:left w:val="single" w:sz="12" w:space="0" w:color="000000"/>
              <w:bottom w:val="single" w:sz="4" w:space="0" w:color="000000"/>
              <w:right w:val="single" w:sz="4" w:space="0" w:color="000000"/>
            </w:tcBorders>
            <w:vAlign w:val="center"/>
          </w:tcPr>
          <w:p>
            <w:pPr>
              <w:spacing w:after="0"/>
              <w:jc w:val="center"/>
              <w:rPr>
                <w:noProof/>
                <w:color w:val="000000"/>
                <w:szCs w:val="24"/>
              </w:rPr>
            </w:pPr>
            <w:r>
              <w:rPr>
                <w:noProof/>
                <w:sz w:val="18"/>
              </w:rPr>
              <w:t>47</w:t>
            </w:r>
          </w:p>
        </w:tc>
        <w:tc>
          <w:tcPr>
            <w:tcW w:w="850" w:type="dxa"/>
            <w:tcBorders>
              <w:top w:val="nil"/>
              <w:left w:val="nil"/>
              <w:bottom w:val="single" w:sz="4" w:space="0" w:color="000000"/>
              <w:right w:val="single" w:sz="12" w:space="0" w:color="000000"/>
            </w:tcBorders>
            <w:vAlign w:val="center"/>
          </w:tcPr>
          <w:p>
            <w:pPr>
              <w:spacing w:after="0"/>
              <w:jc w:val="center"/>
              <w:rPr>
                <w:noProof/>
                <w:color w:val="000000"/>
                <w:szCs w:val="24"/>
              </w:rPr>
            </w:pPr>
            <w:r>
              <w:rPr>
                <w:noProof/>
                <w:sz w:val="18"/>
              </w:rPr>
              <w:t>100 %</w:t>
            </w:r>
          </w:p>
        </w:tc>
        <w:tc>
          <w:tcPr>
            <w:tcW w:w="676" w:type="dxa"/>
            <w:tcBorders>
              <w:top w:val="nil"/>
              <w:left w:val="single" w:sz="12" w:space="0" w:color="000000"/>
              <w:bottom w:val="single" w:sz="4" w:space="0" w:color="000000"/>
              <w:right w:val="single" w:sz="4" w:space="0" w:color="000000"/>
            </w:tcBorders>
            <w:vAlign w:val="center"/>
          </w:tcPr>
          <w:p>
            <w:pPr>
              <w:spacing w:after="0"/>
              <w:jc w:val="center"/>
              <w:rPr>
                <w:noProof/>
                <w:color w:val="000000"/>
                <w:szCs w:val="24"/>
              </w:rPr>
            </w:pPr>
            <w:r>
              <w:rPr>
                <w:noProof/>
                <w:sz w:val="18"/>
              </w:rPr>
              <w:t>0</w:t>
            </w:r>
          </w:p>
        </w:tc>
        <w:tc>
          <w:tcPr>
            <w:tcW w:w="693" w:type="dxa"/>
            <w:tcBorders>
              <w:top w:val="nil"/>
              <w:left w:val="nil"/>
              <w:bottom w:val="single" w:sz="4" w:space="0" w:color="000000"/>
              <w:right w:val="single" w:sz="4" w:space="0" w:color="000000"/>
            </w:tcBorders>
            <w:vAlign w:val="center"/>
          </w:tcPr>
          <w:p>
            <w:pPr>
              <w:spacing w:after="0"/>
              <w:jc w:val="center"/>
              <w:rPr>
                <w:noProof/>
                <w:color w:val="000000"/>
                <w:szCs w:val="24"/>
              </w:rPr>
            </w:pPr>
            <w:r>
              <w:rPr>
                <w:noProof/>
                <w:sz w:val="18"/>
              </w:rPr>
              <w:t>0 %</w:t>
            </w:r>
          </w:p>
        </w:tc>
        <w:tc>
          <w:tcPr>
            <w:tcW w:w="1181" w:type="dxa"/>
            <w:tcBorders>
              <w:top w:val="nil"/>
              <w:left w:val="nil"/>
              <w:bottom w:val="single" w:sz="4" w:space="0" w:color="000000"/>
              <w:right w:val="single" w:sz="4" w:space="0" w:color="000000"/>
            </w:tcBorders>
            <w:vAlign w:val="center"/>
          </w:tcPr>
          <w:p>
            <w:pPr>
              <w:spacing w:after="0"/>
              <w:jc w:val="center"/>
              <w:rPr>
                <w:noProof/>
                <w:color w:val="000000"/>
                <w:szCs w:val="24"/>
              </w:rPr>
            </w:pPr>
            <w:r>
              <w:rPr>
                <w:noProof/>
                <w:sz w:val="18"/>
              </w:rPr>
              <w:t>0</w:t>
            </w:r>
          </w:p>
        </w:tc>
        <w:tc>
          <w:tcPr>
            <w:tcW w:w="567" w:type="dxa"/>
            <w:tcBorders>
              <w:top w:val="nil"/>
              <w:left w:val="nil"/>
              <w:bottom w:val="single" w:sz="4" w:space="0" w:color="000000"/>
              <w:right w:val="single" w:sz="4" w:space="0" w:color="000000"/>
            </w:tcBorders>
            <w:vAlign w:val="center"/>
          </w:tcPr>
          <w:p>
            <w:pPr>
              <w:spacing w:after="0"/>
              <w:jc w:val="center"/>
              <w:rPr>
                <w:noProof/>
                <w:color w:val="000000"/>
                <w:szCs w:val="24"/>
              </w:rPr>
            </w:pPr>
            <w:r>
              <w:rPr>
                <w:noProof/>
                <w:sz w:val="18"/>
              </w:rPr>
              <w:t>0</w:t>
            </w:r>
          </w:p>
        </w:tc>
        <w:tc>
          <w:tcPr>
            <w:tcW w:w="709" w:type="dxa"/>
            <w:tcBorders>
              <w:top w:val="single" w:sz="4" w:space="0" w:color="000000"/>
              <w:left w:val="nil"/>
              <w:bottom w:val="single" w:sz="4" w:space="0" w:color="000000"/>
              <w:right w:val="single" w:sz="4" w:space="0" w:color="000000"/>
            </w:tcBorders>
            <w:vAlign w:val="center"/>
          </w:tcPr>
          <w:p>
            <w:pPr>
              <w:spacing w:after="0"/>
              <w:jc w:val="center"/>
              <w:rPr>
                <w:noProof/>
                <w:color w:val="000000"/>
                <w:szCs w:val="24"/>
              </w:rPr>
            </w:pPr>
            <w:r>
              <w:rPr>
                <w:noProof/>
                <w:sz w:val="18"/>
              </w:rPr>
              <w:t>0</w:t>
            </w:r>
          </w:p>
        </w:tc>
        <w:tc>
          <w:tcPr>
            <w:tcW w:w="677" w:type="dxa"/>
            <w:tcBorders>
              <w:top w:val="single" w:sz="4" w:space="0" w:color="000000"/>
              <w:left w:val="nil"/>
              <w:bottom w:val="single" w:sz="4" w:space="0" w:color="000000"/>
              <w:right w:val="single" w:sz="12" w:space="0" w:color="000000"/>
            </w:tcBorders>
            <w:vAlign w:val="center"/>
          </w:tcPr>
          <w:p>
            <w:pPr>
              <w:spacing w:after="0"/>
              <w:jc w:val="center"/>
              <w:rPr>
                <w:noProof/>
                <w:color w:val="000000"/>
                <w:szCs w:val="24"/>
              </w:rPr>
            </w:pPr>
            <w:r>
              <w:rPr>
                <w:noProof/>
                <w:sz w:val="18"/>
              </w:rPr>
              <w:t>0</w:t>
            </w:r>
          </w:p>
        </w:tc>
      </w:tr>
      <w:tr>
        <w:trPr>
          <w:trHeight w:val="225"/>
          <w:jc w:val="center"/>
        </w:trPr>
        <w:tc>
          <w:tcPr>
            <w:tcW w:w="917" w:type="dxa"/>
            <w:vMerge/>
            <w:tcBorders>
              <w:top w:val="nil"/>
              <w:left w:val="single" w:sz="12" w:space="0" w:color="000000"/>
              <w:bottom w:val="single" w:sz="8" w:space="0" w:color="000000"/>
              <w:right w:val="single" w:sz="4" w:space="0" w:color="000000"/>
            </w:tcBorders>
            <w:vAlign w:val="center"/>
          </w:tcPr>
          <w:p>
            <w:pPr>
              <w:spacing w:after="0"/>
              <w:jc w:val="left"/>
              <w:rPr>
                <w:noProof/>
                <w:color w:val="000000"/>
                <w:szCs w:val="24"/>
              </w:rPr>
            </w:pPr>
          </w:p>
        </w:tc>
        <w:tc>
          <w:tcPr>
            <w:tcW w:w="1445" w:type="dxa"/>
            <w:tcBorders>
              <w:top w:val="nil"/>
              <w:left w:val="nil"/>
              <w:bottom w:val="single" w:sz="4" w:space="0" w:color="000000"/>
              <w:right w:val="single" w:sz="4" w:space="0" w:color="000000"/>
            </w:tcBorders>
            <w:vAlign w:val="bottom"/>
          </w:tcPr>
          <w:p>
            <w:pPr>
              <w:spacing w:after="0"/>
              <w:jc w:val="left"/>
              <w:rPr>
                <w:noProof/>
                <w:color w:val="000000"/>
                <w:szCs w:val="24"/>
              </w:rPr>
            </w:pPr>
            <w:r>
              <w:rPr>
                <w:noProof/>
                <w:sz w:val="18"/>
              </w:rPr>
              <w:t>Важни</w:t>
            </w:r>
          </w:p>
        </w:tc>
        <w:tc>
          <w:tcPr>
            <w:tcW w:w="831" w:type="dxa"/>
            <w:tcBorders>
              <w:top w:val="nil"/>
              <w:left w:val="nil"/>
              <w:bottom w:val="single" w:sz="4" w:space="0" w:color="000000"/>
              <w:right w:val="single" w:sz="12" w:space="0" w:color="000000"/>
            </w:tcBorders>
            <w:vAlign w:val="center"/>
          </w:tcPr>
          <w:p>
            <w:pPr>
              <w:spacing w:after="0"/>
              <w:jc w:val="center"/>
              <w:rPr>
                <w:noProof/>
                <w:color w:val="000000"/>
                <w:szCs w:val="24"/>
              </w:rPr>
            </w:pPr>
            <w:r>
              <w:rPr>
                <w:noProof/>
                <w:sz w:val="18"/>
              </w:rPr>
              <w:t>101</w:t>
            </w:r>
          </w:p>
        </w:tc>
        <w:tc>
          <w:tcPr>
            <w:tcW w:w="728" w:type="dxa"/>
            <w:tcBorders>
              <w:top w:val="nil"/>
              <w:left w:val="single" w:sz="12" w:space="0" w:color="000000"/>
              <w:bottom w:val="single" w:sz="4" w:space="0" w:color="000000"/>
              <w:right w:val="single" w:sz="4" w:space="0" w:color="000000"/>
            </w:tcBorders>
            <w:vAlign w:val="center"/>
          </w:tcPr>
          <w:p>
            <w:pPr>
              <w:spacing w:after="0"/>
              <w:jc w:val="center"/>
              <w:rPr>
                <w:noProof/>
                <w:color w:val="000000"/>
                <w:szCs w:val="24"/>
              </w:rPr>
            </w:pPr>
            <w:r>
              <w:rPr>
                <w:noProof/>
                <w:sz w:val="18"/>
              </w:rPr>
              <w:t>99</w:t>
            </w:r>
          </w:p>
        </w:tc>
        <w:tc>
          <w:tcPr>
            <w:tcW w:w="850" w:type="dxa"/>
            <w:tcBorders>
              <w:top w:val="nil"/>
              <w:left w:val="nil"/>
              <w:bottom w:val="single" w:sz="4" w:space="0" w:color="000000"/>
              <w:right w:val="single" w:sz="12" w:space="0" w:color="000000"/>
            </w:tcBorders>
            <w:vAlign w:val="center"/>
          </w:tcPr>
          <w:p>
            <w:pPr>
              <w:spacing w:after="0"/>
              <w:jc w:val="center"/>
              <w:rPr>
                <w:noProof/>
                <w:color w:val="000000"/>
                <w:szCs w:val="24"/>
              </w:rPr>
            </w:pPr>
            <w:r>
              <w:rPr>
                <w:noProof/>
                <w:sz w:val="18"/>
              </w:rPr>
              <w:t>98 %</w:t>
            </w:r>
          </w:p>
        </w:tc>
        <w:tc>
          <w:tcPr>
            <w:tcW w:w="676" w:type="dxa"/>
            <w:tcBorders>
              <w:top w:val="nil"/>
              <w:left w:val="single" w:sz="12" w:space="0" w:color="000000"/>
              <w:bottom w:val="single" w:sz="4" w:space="0" w:color="000000"/>
              <w:right w:val="single" w:sz="4" w:space="0" w:color="000000"/>
            </w:tcBorders>
            <w:vAlign w:val="center"/>
          </w:tcPr>
          <w:p>
            <w:pPr>
              <w:spacing w:after="0"/>
              <w:jc w:val="center"/>
              <w:rPr>
                <w:noProof/>
                <w:color w:val="000000"/>
                <w:szCs w:val="24"/>
              </w:rPr>
            </w:pPr>
            <w:r>
              <w:rPr>
                <w:noProof/>
                <w:sz w:val="18"/>
              </w:rPr>
              <w:t>2</w:t>
            </w:r>
          </w:p>
        </w:tc>
        <w:tc>
          <w:tcPr>
            <w:tcW w:w="693" w:type="dxa"/>
            <w:tcBorders>
              <w:top w:val="nil"/>
              <w:left w:val="nil"/>
              <w:bottom w:val="single" w:sz="4" w:space="0" w:color="000000"/>
              <w:right w:val="single" w:sz="4" w:space="0" w:color="000000"/>
            </w:tcBorders>
            <w:vAlign w:val="center"/>
          </w:tcPr>
          <w:p>
            <w:pPr>
              <w:spacing w:after="0"/>
              <w:jc w:val="center"/>
              <w:rPr>
                <w:noProof/>
                <w:color w:val="000000"/>
                <w:szCs w:val="24"/>
              </w:rPr>
            </w:pPr>
            <w:r>
              <w:rPr>
                <w:noProof/>
                <w:sz w:val="18"/>
              </w:rPr>
              <w:t>2 %</w:t>
            </w:r>
          </w:p>
        </w:tc>
        <w:tc>
          <w:tcPr>
            <w:tcW w:w="1181" w:type="dxa"/>
            <w:tcBorders>
              <w:top w:val="nil"/>
              <w:left w:val="nil"/>
              <w:bottom w:val="single" w:sz="4" w:space="0" w:color="000000"/>
              <w:right w:val="single" w:sz="4" w:space="0" w:color="000000"/>
            </w:tcBorders>
            <w:vAlign w:val="center"/>
          </w:tcPr>
          <w:p>
            <w:pPr>
              <w:spacing w:after="0"/>
              <w:jc w:val="center"/>
              <w:rPr>
                <w:noProof/>
                <w:color w:val="000000"/>
                <w:szCs w:val="24"/>
              </w:rPr>
            </w:pPr>
            <w:r>
              <w:rPr>
                <w:noProof/>
                <w:sz w:val="18"/>
              </w:rPr>
              <w:t>0</w:t>
            </w:r>
          </w:p>
        </w:tc>
        <w:tc>
          <w:tcPr>
            <w:tcW w:w="567" w:type="dxa"/>
            <w:tcBorders>
              <w:top w:val="nil"/>
              <w:left w:val="nil"/>
              <w:bottom w:val="single" w:sz="4" w:space="0" w:color="000000"/>
              <w:right w:val="single" w:sz="4" w:space="0" w:color="000000"/>
            </w:tcBorders>
            <w:vAlign w:val="center"/>
          </w:tcPr>
          <w:p>
            <w:pPr>
              <w:spacing w:after="0"/>
              <w:jc w:val="center"/>
              <w:rPr>
                <w:noProof/>
                <w:color w:val="000000"/>
                <w:szCs w:val="24"/>
              </w:rPr>
            </w:pPr>
            <w:r>
              <w:rPr>
                <w:noProof/>
                <w:sz w:val="18"/>
              </w:rPr>
              <w:t>0</w:t>
            </w:r>
          </w:p>
        </w:tc>
        <w:tc>
          <w:tcPr>
            <w:tcW w:w="709" w:type="dxa"/>
            <w:tcBorders>
              <w:top w:val="nil"/>
              <w:left w:val="nil"/>
              <w:bottom w:val="single" w:sz="4" w:space="0" w:color="000000"/>
              <w:right w:val="single" w:sz="4" w:space="0" w:color="000000"/>
            </w:tcBorders>
            <w:vAlign w:val="center"/>
          </w:tcPr>
          <w:p>
            <w:pPr>
              <w:spacing w:after="0"/>
              <w:jc w:val="center"/>
              <w:rPr>
                <w:noProof/>
                <w:color w:val="000000"/>
                <w:szCs w:val="24"/>
              </w:rPr>
            </w:pPr>
            <w:r>
              <w:rPr>
                <w:noProof/>
                <w:sz w:val="18"/>
              </w:rPr>
              <w:t>0</w:t>
            </w:r>
          </w:p>
        </w:tc>
        <w:tc>
          <w:tcPr>
            <w:tcW w:w="677" w:type="dxa"/>
            <w:tcBorders>
              <w:top w:val="nil"/>
              <w:left w:val="nil"/>
              <w:bottom w:val="single" w:sz="4" w:space="0" w:color="000000"/>
              <w:right w:val="single" w:sz="12" w:space="0" w:color="000000"/>
            </w:tcBorders>
            <w:vAlign w:val="center"/>
          </w:tcPr>
          <w:p>
            <w:pPr>
              <w:spacing w:after="0"/>
              <w:jc w:val="center"/>
              <w:rPr>
                <w:noProof/>
                <w:color w:val="000000"/>
                <w:szCs w:val="24"/>
              </w:rPr>
            </w:pPr>
            <w:r>
              <w:rPr>
                <w:noProof/>
                <w:sz w:val="18"/>
              </w:rPr>
              <w:t>2</w:t>
            </w:r>
          </w:p>
        </w:tc>
      </w:tr>
      <w:tr>
        <w:trPr>
          <w:trHeight w:val="246"/>
          <w:jc w:val="center"/>
        </w:trPr>
        <w:tc>
          <w:tcPr>
            <w:tcW w:w="917" w:type="dxa"/>
            <w:vMerge/>
            <w:tcBorders>
              <w:top w:val="nil"/>
              <w:left w:val="single" w:sz="12" w:space="0" w:color="000000"/>
              <w:bottom w:val="single" w:sz="8" w:space="0" w:color="000000"/>
              <w:right w:val="single" w:sz="4" w:space="0" w:color="000000"/>
            </w:tcBorders>
            <w:vAlign w:val="center"/>
          </w:tcPr>
          <w:p>
            <w:pPr>
              <w:spacing w:after="0"/>
              <w:jc w:val="left"/>
              <w:rPr>
                <w:noProof/>
                <w:color w:val="000000"/>
                <w:szCs w:val="24"/>
              </w:rPr>
            </w:pPr>
          </w:p>
        </w:tc>
        <w:tc>
          <w:tcPr>
            <w:tcW w:w="1445" w:type="dxa"/>
            <w:tcBorders>
              <w:top w:val="nil"/>
              <w:left w:val="nil"/>
              <w:bottom w:val="nil"/>
              <w:right w:val="single" w:sz="4" w:space="0" w:color="000000"/>
            </w:tcBorders>
            <w:vAlign w:val="bottom"/>
          </w:tcPr>
          <w:p>
            <w:pPr>
              <w:spacing w:after="0"/>
              <w:jc w:val="left"/>
              <w:rPr>
                <w:noProof/>
                <w:color w:val="000000"/>
                <w:szCs w:val="24"/>
              </w:rPr>
            </w:pPr>
            <w:r>
              <w:rPr>
                <w:noProof/>
                <w:sz w:val="18"/>
              </w:rPr>
              <w:t>Желателни</w:t>
            </w:r>
          </w:p>
        </w:tc>
        <w:tc>
          <w:tcPr>
            <w:tcW w:w="831" w:type="dxa"/>
            <w:tcBorders>
              <w:top w:val="nil"/>
              <w:left w:val="nil"/>
              <w:bottom w:val="nil"/>
              <w:right w:val="single" w:sz="12" w:space="0" w:color="000000"/>
            </w:tcBorders>
            <w:vAlign w:val="center"/>
          </w:tcPr>
          <w:p>
            <w:pPr>
              <w:spacing w:after="0"/>
              <w:jc w:val="center"/>
              <w:rPr>
                <w:noProof/>
                <w:color w:val="000000"/>
                <w:szCs w:val="24"/>
              </w:rPr>
            </w:pPr>
            <w:r>
              <w:rPr>
                <w:noProof/>
                <w:sz w:val="18"/>
              </w:rPr>
              <w:t>10</w:t>
            </w:r>
          </w:p>
        </w:tc>
        <w:tc>
          <w:tcPr>
            <w:tcW w:w="728" w:type="dxa"/>
            <w:tcBorders>
              <w:top w:val="nil"/>
              <w:left w:val="single" w:sz="12" w:space="0" w:color="000000"/>
              <w:bottom w:val="nil"/>
              <w:right w:val="single" w:sz="4" w:space="0" w:color="000000"/>
            </w:tcBorders>
            <w:vAlign w:val="center"/>
          </w:tcPr>
          <w:p>
            <w:pPr>
              <w:spacing w:after="0"/>
              <w:jc w:val="center"/>
              <w:rPr>
                <w:noProof/>
                <w:color w:val="000000"/>
                <w:szCs w:val="24"/>
              </w:rPr>
            </w:pPr>
            <w:r>
              <w:rPr>
                <w:noProof/>
                <w:sz w:val="18"/>
              </w:rPr>
              <w:t>10</w:t>
            </w:r>
          </w:p>
        </w:tc>
        <w:tc>
          <w:tcPr>
            <w:tcW w:w="850" w:type="dxa"/>
            <w:tcBorders>
              <w:top w:val="nil"/>
              <w:left w:val="nil"/>
              <w:bottom w:val="single" w:sz="4" w:space="0" w:color="000000"/>
              <w:right w:val="single" w:sz="12" w:space="0" w:color="000000"/>
            </w:tcBorders>
            <w:vAlign w:val="center"/>
          </w:tcPr>
          <w:p>
            <w:pPr>
              <w:spacing w:after="0"/>
              <w:jc w:val="center"/>
              <w:rPr>
                <w:noProof/>
                <w:color w:val="000000"/>
                <w:szCs w:val="24"/>
              </w:rPr>
            </w:pPr>
            <w:r>
              <w:rPr>
                <w:noProof/>
                <w:sz w:val="18"/>
              </w:rPr>
              <w:t>100 %</w:t>
            </w:r>
          </w:p>
        </w:tc>
        <w:tc>
          <w:tcPr>
            <w:tcW w:w="676" w:type="dxa"/>
            <w:tcBorders>
              <w:top w:val="nil"/>
              <w:left w:val="single" w:sz="12" w:space="0" w:color="000000"/>
              <w:bottom w:val="nil"/>
              <w:right w:val="single" w:sz="4" w:space="0" w:color="000000"/>
            </w:tcBorders>
            <w:vAlign w:val="center"/>
          </w:tcPr>
          <w:p>
            <w:pPr>
              <w:spacing w:after="0"/>
              <w:jc w:val="center"/>
              <w:rPr>
                <w:noProof/>
                <w:color w:val="000000"/>
                <w:szCs w:val="24"/>
              </w:rPr>
            </w:pPr>
            <w:r>
              <w:rPr>
                <w:noProof/>
                <w:sz w:val="18"/>
              </w:rPr>
              <w:t>0</w:t>
            </w:r>
          </w:p>
        </w:tc>
        <w:tc>
          <w:tcPr>
            <w:tcW w:w="693" w:type="dxa"/>
            <w:tcBorders>
              <w:top w:val="nil"/>
              <w:left w:val="nil"/>
              <w:bottom w:val="single" w:sz="4" w:space="0" w:color="000000"/>
              <w:right w:val="single" w:sz="4" w:space="0" w:color="000000"/>
            </w:tcBorders>
            <w:vAlign w:val="center"/>
          </w:tcPr>
          <w:p>
            <w:pPr>
              <w:spacing w:after="0"/>
              <w:jc w:val="center"/>
              <w:rPr>
                <w:noProof/>
                <w:color w:val="000000"/>
                <w:szCs w:val="24"/>
              </w:rPr>
            </w:pPr>
            <w:r>
              <w:rPr>
                <w:noProof/>
                <w:sz w:val="18"/>
              </w:rPr>
              <w:t>0 %</w:t>
            </w:r>
          </w:p>
        </w:tc>
        <w:tc>
          <w:tcPr>
            <w:tcW w:w="1181" w:type="dxa"/>
            <w:tcBorders>
              <w:top w:val="nil"/>
              <w:left w:val="nil"/>
              <w:bottom w:val="nil"/>
              <w:right w:val="single" w:sz="4" w:space="0" w:color="000000"/>
            </w:tcBorders>
            <w:vAlign w:val="center"/>
          </w:tcPr>
          <w:p>
            <w:pPr>
              <w:spacing w:after="0"/>
              <w:jc w:val="center"/>
              <w:rPr>
                <w:noProof/>
                <w:color w:val="000000"/>
                <w:szCs w:val="24"/>
              </w:rPr>
            </w:pPr>
            <w:r>
              <w:rPr>
                <w:noProof/>
                <w:sz w:val="18"/>
              </w:rPr>
              <w:t>0</w:t>
            </w:r>
          </w:p>
        </w:tc>
        <w:tc>
          <w:tcPr>
            <w:tcW w:w="567" w:type="dxa"/>
            <w:tcBorders>
              <w:top w:val="nil"/>
              <w:left w:val="nil"/>
              <w:bottom w:val="nil"/>
              <w:right w:val="single" w:sz="4" w:space="0" w:color="000000"/>
            </w:tcBorders>
            <w:vAlign w:val="center"/>
          </w:tcPr>
          <w:p>
            <w:pPr>
              <w:spacing w:after="0"/>
              <w:jc w:val="center"/>
              <w:rPr>
                <w:noProof/>
                <w:color w:val="000000"/>
                <w:szCs w:val="24"/>
              </w:rPr>
            </w:pPr>
            <w:r>
              <w:rPr>
                <w:noProof/>
                <w:sz w:val="18"/>
              </w:rPr>
              <w:t>0</w:t>
            </w:r>
          </w:p>
        </w:tc>
        <w:tc>
          <w:tcPr>
            <w:tcW w:w="709" w:type="dxa"/>
            <w:tcBorders>
              <w:top w:val="nil"/>
              <w:left w:val="nil"/>
              <w:bottom w:val="nil"/>
              <w:right w:val="single" w:sz="4" w:space="0" w:color="000000"/>
            </w:tcBorders>
            <w:vAlign w:val="center"/>
          </w:tcPr>
          <w:p>
            <w:pPr>
              <w:spacing w:after="0"/>
              <w:jc w:val="center"/>
              <w:rPr>
                <w:noProof/>
                <w:color w:val="000000"/>
                <w:szCs w:val="24"/>
              </w:rPr>
            </w:pPr>
            <w:r>
              <w:rPr>
                <w:noProof/>
                <w:sz w:val="18"/>
              </w:rPr>
              <w:t>0</w:t>
            </w:r>
          </w:p>
        </w:tc>
        <w:tc>
          <w:tcPr>
            <w:tcW w:w="677" w:type="dxa"/>
            <w:tcBorders>
              <w:top w:val="nil"/>
              <w:left w:val="nil"/>
              <w:bottom w:val="nil"/>
              <w:right w:val="single" w:sz="12" w:space="0" w:color="000000"/>
            </w:tcBorders>
            <w:vAlign w:val="center"/>
          </w:tcPr>
          <w:p>
            <w:pPr>
              <w:spacing w:after="0"/>
              <w:jc w:val="center"/>
              <w:rPr>
                <w:noProof/>
                <w:color w:val="000000"/>
                <w:szCs w:val="24"/>
              </w:rPr>
            </w:pPr>
            <w:r>
              <w:rPr>
                <w:noProof/>
                <w:sz w:val="18"/>
              </w:rPr>
              <w:t>0</w:t>
            </w:r>
          </w:p>
        </w:tc>
      </w:tr>
      <w:tr>
        <w:trPr>
          <w:trHeight w:val="246"/>
          <w:jc w:val="center"/>
        </w:trPr>
        <w:tc>
          <w:tcPr>
            <w:tcW w:w="917" w:type="dxa"/>
            <w:vMerge/>
            <w:tcBorders>
              <w:top w:val="nil"/>
              <w:left w:val="single" w:sz="12" w:space="0" w:color="000000"/>
              <w:bottom w:val="single" w:sz="8" w:space="0" w:color="000000"/>
              <w:right w:val="single" w:sz="4" w:space="0" w:color="000000"/>
            </w:tcBorders>
            <w:vAlign w:val="center"/>
          </w:tcPr>
          <w:p>
            <w:pPr>
              <w:spacing w:after="0"/>
              <w:jc w:val="left"/>
              <w:rPr>
                <w:noProof/>
                <w:color w:val="000000"/>
                <w:szCs w:val="24"/>
              </w:rPr>
            </w:pPr>
          </w:p>
        </w:tc>
        <w:tc>
          <w:tcPr>
            <w:tcW w:w="1445" w:type="dxa"/>
            <w:tcBorders>
              <w:top w:val="single" w:sz="8" w:space="0" w:color="000000"/>
              <w:left w:val="nil"/>
              <w:bottom w:val="single" w:sz="8" w:space="0" w:color="000000"/>
              <w:right w:val="single" w:sz="4" w:space="0" w:color="000000"/>
            </w:tcBorders>
            <w:shd w:val="clear" w:color="auto" w:fill="F2F2F2"/>
            <w:vAlign w:val="bottom"/>
          </w:tcPr>
          <w:p>
            <w:pPr>
              <w:spacing w:after="0"/>
              <w:jc w:val="left"/>
              <w:rPr>
                <w:noProof/>
                <w:color w:val="000000"/>
                <w:szCs w:val="24"/>
              </w:rPr>
            </w:pPr>
            <w:r>
              <w:rPr>
                <w:b/>
                <w:noProof/>
                <w:sz w:val="18"/>
              </w:rPr>
              <w:t>2011 г. Общо</w:t>
            </w:r>
          </w:p>
        </w:tc>
        <w:tc>
          <w:tcPr>
            <w:tcW w:w="831" w:type="dxa"/>
            <w:tcBorders>
              <w:top w:val="single" w:sz="8" w:space="0" w:color="000000"/>
              <w:left w:val="nil"/>
              <w:bottom w:val="single" w:sz="8" w:space="0" w:color="000000"/>
              <w:right w:val="single" w:sz="12" w:space="0" w:color="000000"/>
            </w:tcBorders>
            <w:shd w:val="clear" w:color="auto" w:fill="F2F2F2"/>
            <w:vAlign w:val="center"/>
          </w:tcPr>
          <w:p>
            <w:pPr>
              <w:spacing w:after="0"/>
              <w:jc w:val="center"/>
              <w:rPr>
                <w:noProof/>
                <w:color w:val="000000"/>
                <w:szCs w:val="24"/>
              </w:rPr>
            </w:pPr>
            <w:r>
              <w:rPr>
                <w:b/>
                <w:noProof/>
                <w:sz w:val="18"/>
              </w:rPr>
              <w:t>158</w:t>
            </w:r>
          </w:p>
        </w:tc>
        <w:tc>
          <w:tcPr>
            <w:tcW w:w="728" w:type="dxa"/>
            <w:tcBorders>
              <w:top w:val="single" w:sz="8" w:space="0" w:color="000000"/>
              <w:left w:val="single" w:sz="12" w:space="0" w:color="000000"/>
              <w:bottom w:val="single" w:sz="8" w:space="0" w:color="000000"/>
              <w:right w:val="single" w:sz="4" w:space="0" w:color="000000"/>
            </w:tcBorders>
            <w:shd w:val="clear" w:color="auto" w:fill="F2F2F2"/>
            <w:vAlign w:val="center"/>
          </w:tcPr>
          <w:p>
            <w:pPr>
              <w:spacing w:after="0"/>
              <w:jc w:val="center"/>
              <w:rPr>
                <w:noProof/>
                <w:color w:val="000000"/>
                <w:szCs w:val="24"/>
              </w:rPr>
            </w:pPr>
            <w:r>
              <w:rPr>
                <w:b/>
                <w:noProof/>
                <w:sz w:val="18"/>
              </w:rPr>
              <w:t>156</w:t>
            </w:r>
          </w:p>
        </w:tc>
        <w:tc>
          <w:tcPr>
            <w:tcW w:w="850" w:type="dxa"/>
            <w:tcBorders>
              <w:top w:val="single" w:sz="8" w:space="0" w:color="000000"/>
              <w:left w:val="nil"/>
              <w:bottom w:val="single" w:sz="8" w:space="0" w:color="000000"/>
              <w:right w:val="single" w:sz="12" w:space="0" w:color="000000"/>
            </w:tcBorders>
            <w:shd w:val="clear" w:color="auto" w:fill="F2F2F2"/>
            <w:vAlign w:val="center"/>
          </w:tcPr>
          <w:p>
            <w:pPr>
              <w:spacing w:after="0"/>
              <w:jc w:val="center"/>
              <w:rPr>
                <w:noProof/>
                <w:color w:val="000000"/>
                <w:szCs w:val="24"/>
              </w:rPr>
            </w:pPr>
            <w:r>
              <w:rPr>
                <w:b/>
                <w:noProof/>
                <w:sz w:val="18"/>
              </w:rPr>
              <w:t>99 %</w:t>
            </w:r>
          </w:p>
        </w:tc>
        <w:tc>
          <w:tcPr>
            <w:tcW w:w="676" w:type="dxa"/>
            <w:tcBorders>
              <w:top w:val="single" w:sz="8" w:space="0" w:color="000000"/>
              <w:left w:val="single" w:sz="12" w:space="0" w:color="000000"/>
              <w:bottom w:val="single" w:sz="8" w:space="0" w:color="000000"/>
              <w:right w:val="single" w:sz="4" w:space="0" w:color="000000"/>
            </w:tcBorders>
            <w:shd w:val="clear" w:color="auto" w:fill="F2F2F2"/>
            <w:vAlign w:val="center"/>
          </w:tcPr>
          <w:p>
            <w:pPr>
              <w:spacing w:after="0"/>
              <w:jc w:val="center"/>
              <w:rPr>
                <w:noProof/>
                <w:color w:val="000000"/>
                <w:szCs w:val="24"/>
              </w:rPr>
            </w:pPr>
            <w:r>
              <w:rPr>
                <w:b/>
                <w:noProof/>
                <w:sz w:val="18"/>
              </w:rPr>
              <w:t>2</w:t>
            </w:r>
          </w:p>
        </w:tc>
        <w:tc>
          <w:tcPr>
            <w:tcW w:w="693" w:type="dxa"/>
            <w:tcBorders>
              <w:top w:val="single" w:sz="8" w:space="0" w:color="000000"/>
              <w:left w:val="nil"/>
              <w:bottom w:val="single" w:sz="8" w:space="0" w:color="000000"/>
              <w:right w:val="single" w:sz="8" w:space="0" w:color="000000"/>
            </w:tcBorders>
            <w:shd w:val="clear" w:color="auto" w:fill="F2F2F2"/>
            <w:vAlign w:val="center"/>
          </w:tcPr>
          <w:p>
            <w:pPr>
              <w:spacing w:after="0"/>
              <w:jc w:val="center"/>
              <w:rPr>
                <w:noProof/>
                <w:color w:val="000000"/>
                <w:szCs w:val="24"/>
              </w:rPr>
            </w:pPr>
            <w:r>
              <w:rPr>
                <w:b/>
                <w:noProof/>
                <w:sz w:val="18"/>
              </w:rPr>
              <w:t>1 %</w:t>
            </w:r>
          </w:p>
        </w:tc>
        <w:tc>
          <w:tcPr>
            <w:tcW w:w="1181" w:type="dxa"/>
            <w:tcBorders>
              <w:top w:val="single" w:sz="8" w:space="0" w:color="000000"/>
              <w:left w:val="single" w:sz="4" w:space="0" w:color="000000"/>
              <w:bottom w:val="single" w:sz="8" w:space="0" w:color="000000"/>
              <w:right w:val="single" w:sz="4" w:space="0" w:color="000000"/>
            </w:tcBorders>
            <w:shd w:val="clear" w:color="auto" w:fill="F2F2F2"/>
            <w:vAlign w:val="center"/>
          </w:tcPr>
          <w:p>
            <w:pPr>
              <w:spacing w:after="0"/>
              <w:jc w:val="center"/>
              <w:rPr>
                <w:noProof/>
                <w:color w:val="000000"/>
                <w:szCs w:val="24"/>
              </w:rPr>
            </w:pPr>
            <w:r>
              <w:rPr>
                <w:b/>
                <w:noProof/>
                <w:sz w:val="18"/>
              </w:rPr>
              <w:t>0</w:t>
            </w:r>
          </w:p>
        </w:tc>
        <w:tc>
          <w:tcPr>
            <w:tcW w:w="567" w:type="dxa"/>
            <w:tcBorders>
              <w:top w:val="single" w:sz="8" w:space="0" w:color="000000"/>
              <w:left w:val="nil"/>
              <w:bottom w:val="single" w:sz="8" w:space="0" w:color="000000"/>
              <w:right w:val="single" w:sz="4" w:space="0" w:color="000000"/>
            </w:tcBorders>
            <w:shd w:val="clear" w:color="auto" w:fill="F2F2F2"/>
            <w:vAlign w:val="center"/>
          </w:tcPr>
          <w:p>
            <w:pPr>
              <w:spacing w:after="0"/>
              <w:jc w:val="center"/>
              <w:rPr>
                <w:noProof/>
                <w:color w:val="000000"/>
                <w:szCs w:val="24"/>
              </w:rPr>
            </w:pPr>
            <w:r>
              <w:rPr>
                <w:b/>
                <w:noProof/>
                <w:sz w:val="18"/>
              </w:rPr>
              <w:t>0</w:t>
            </w:r>
          </w:p>
        </w:tc>
        <w:tc>
          <w:tcPr>
            <w:tcW w:w="709" w:type="dxa"/>
            <w:tcBorders>
              <w:top w:val="single" w:sz="8" w:space="0" w:color="000000"/>
              <w:left w:val="nil"/>
              <w:bottom w:val="single" w:sz="8" w:space="0" w:color="000000"/>
              <w:right w:val="single" w:sz="4" w:space="0" w:color="000000"/>
            </w:tcBorders>
            <w:shd w:val="clear" w:color="auto" w:fill="F2F2F2"/>
            <w:vAlign w:val="center"/>
          </w:tcPr>
          <w:p>
            <w:pPr>
              <w:spacing w:after="0"/>
              <w:jc w:val="center"/>
              <w:rPr>
                <w:noProof/>
                <w:color w:val="000000"/>
                <w:szCs w:val="24"/>
              </w:rPr>
            </w:pPr>
            <w:r>
              <w:rPr>
                <w:b/>
                <w:noProof/>
                <w:sz w:val="18"/>
              </w:rPr>
              <w:t>0</w:t>
            </w:r>
          </w:p>
        </w:tc>
        <w:tc>
          <w:tcPr>
            <w:tcW w:w="677" w:type="dxa"/>
            <w:tcBorders>
              <w:top w:val="single" w:sz="8" w:space="0" w:color="000000"/>
              <w:left w:val="nil"/>
              <w:bottom w:val="single" w:sz="8" w:space="0" w:color="000000"/>
              <w:right w:val="single" w:sz="12" w:space="0" w:color="000000"/>
            </w:tcBorders>
            <w:shd w:val="clear" w:color="auto" w:fill="F2F2F2"/>
            <w:vAlign w:val="center"/>
          </w:tcPr>
          <w:p>
            <w:pPr>
              <w:spacing w:after="0"/>
              <w:jc w:val="center"/>
              <w:rPr>
                <w:noProof/>
                <w:color w:val="000000"/>
                <w:szCs w:val="24"/>
              </w:rPr>
            </w:pPr>
            <w:r>
              <w:rPr>
                <w:b/>
                <w:noProof/>
                <w:sz w:val="18"/>
              </w:rPr>
              <w:t>2</w:t>
            </w:r>
          </w:p>
        </w:tc>
      </w:tr>
      <w:tr>
        <w:trPr>
          <w:trHeight w:val="225"/>
          <w:jc w:val="center"/>
        </w:trPr>
        <w:tc>
          <w:tcPr>
            <w:tcW w:w="917" w:type="dxa"/>
            <w:vMerge w:val="restart"/>
            <w:tcBorders>
              <w:top w:val="nil"/>
              <w:left w:val="single" w:sz="12" w:space="0" w:color="000000"/>
              <w:bottom w:val="single" w:sz="8" w:space="0" w:color="000000"/>
              <w:right w:val="single" w:sz="4" w:space="0" w:color="000000"/>
            </w:tcBorders>
            <w:shd w:val="clear" w:color="auto" w:fill="F2F2F2"/>
            <w:vAlign w:val="center"/>
          </w:tcPr>
          <w:p>
            <w:pPr>
              <w:spacing w:after="0"/>
              <w:jc w:val="center"/>
              <w:rPr>
                <w:noProof/>
                <w:color w:val="000000"/>
                <w:szCs w:val="24"/>
              </w:rPr>
            </w:pPr>
            <w:r>
              <w:rPr>
                <w:noProof/>
                <w:sz w:val="18"/>
              </w:rPr>
              <w:t>2012 г.</w:t>
            </w:r>
          </w:p>
        </w:tc>
        <w:tc>
          <w:tcPr>
            <w:tcW w:w="1445" w:type="dxa"/>
            <w:tcBorders>
              <w:top w:val="nil"/>
              <w:left w:val="nil"/>
              <w:bottom w:val="single" w:sz="4" w:space="0" w:color="000000"/>
              <w:right w:val="single" w:sz="4" w:space="0" w:color="000000"/>
            </w:tcBorders>
            <w:vAlign w:val="bottom"/>
          </w:tcPr>
          <w:p>
            <w:pPr>
              <w:spacing w:after="0"/>
              <w:jc w:val="left"/>
              <w:rPr>
                <w:noProof/>
                <w:color w:val="000000"/>
                <w:szCs w:val="24"/>
              </w:rPr>
            </w:pPr>
            <w:r>
              <w:rPr>
                <w:noProof/>
                <w:sz w:val="18"/>
              </w:rPr>
              <w:t>Критични</w:t>
            </w:r>
          </w:p>
        </w:tc>
        <w:tc>
          <w:tcPr>
            <w:tcW w:w="831" w:type="dxa"/>
            <w:tcBorders>
              <w:top w:val="nil"/>
              <w:left w:val="nil"/>
              <w:bottom w:val="single" w:sz="4" w:space="0" w:color="000000"/>
              <w:right w:val="single" w:sz="12" w:space="0" w:color="000000"/>
            </w:tcBorders>
            <w:vAlign w:val="center"/>
          </w:tcPr>
          <w:p>
            <w:pPr>
              <w:spacing w:after="0"/>
              <w:jc w:val="center"/>
              <w:rPr>
                <w:noProof/>
                <w:color w:val="000000"/>
                <w:szCs w:val="24"/>
              </w:rPr>
            </w:pPr>
            <w:r>
              <w:rPr>
                <w:noProof/>
                <w:sz w:val="18"/>
              </w:rPr>
              <w:t>0</w:t>
            </w:r>
          </w:p>
        </w:tc>
        <w:tc>
          <w:tcPr>
            <w:tcW w:w="728" w:type="dxa"/>
            <w:tcBorders>
              <w:top w:val="nil"/>
              <w:left w:val="single" w:sz="12" w:space="0" w:color="000000"/>
              <w:bottom w:val="single" w:sz="4" w:space="0" w:color="000000"/>
              <w:right w:val="single" w:sz="4" w:space="0" w:color="000000"/>
            </w:tcBorders>
            <w:vAlign w:val="center"/>
          </w:tcPr>
          <w:p>
            <w:pPr>
              <w:spacing w:after="0"/>
              <w:jc w:val="center"/>
              <w:rPr>
                <w:noProof/>
                <w:color w:val="000000"/>
                <w:szCs w:val="24"/>
              </w:rPr>
            </w:pPr>
            <w:r>
              <w:rPr>
                <w:noProof/>
                <w:sz w:val="18"/>
              </w:rPr>
              <w:t>0</w:t>
            </w:r>
          </w:p>
        </w:tc>
        <w:tc>
          <w:tcPr>
            <w:tcW w:w="850" w:type="dxa"/>
            <w:tcBorders>
              <w:top w:val="nil"/>
              <w:left w:val="nil"/>
              <w:bottom w:val="single" w:sz="4" w:space="0" w:color="000000"/>
              <w:right w:val="single" w:sz="12" w:space="0" w:color="000000"/>
            </w:tcBorders>
            <w:vAlign w:val="center"/>
          </w:tcPr>
          <w:p>
            <w:pPr>
              <w:spacing w:after="0"/>
              <w:jc w:val="center"/>
              <w:rPr>
                <w:noProof/>
                <w:color w:val="000000"/>
                <w:szCs w:val="24"/>
              </w:rPr>
            </w:pPr>
            <w:r>
              <w:rPr>
                <w:noProof/>
                <w:sz w:val="18"/>
              </w:rPr>
              <w:t>0 %</w:t>
            </w:r>
          </w:p>
        </w:tc>
        <w:tc>
          <w:tcPr>
            <w:tcW w:w="676" w:type="dxa"/>
            <w:tcBorders>
              <w:top w:val="nil"/>
              <w:left w:val="single" w:sz="12" w:space="0" w:color="000000"/>
              <w:bottom w:val="single" w:sz="4" w:space="0" w:color="000000"/>
              <w:right w:val="single" w:sz="4" w:space="0" w:color="000000"/>
            </w:tcBorders>
            <w:vAlign w:val="center"/>
          </w:tcPr>
          <w:p>
            <w:pPr>
              <w:spacing w:after="0"/>
              <w:jc w:val="center"/>
              <w:rPr>
                <w:noProof/>
                <w:color w:val="000000"/>
                <w:szCs w:val="24"/>
              </w:rPr>
            </w:pPr>
            <w:r>
              <w:rPr>
                <w:noProof/>
                <w:sz w:val="18"/>
              </w:rPr>
              <w:t>0</w:t>
            </w:r>
          </w:p>
        </w:tc>
        <w:tc>
          <w:tcPr>
            <w:tcW w:w="693" w:type="dxa"/>
            <w:tcBorders>
              <w:top w:val="nil"/>
              <w:left w:val="nil"/>
              <w:bottom w:val="single" w:sz="4" w:space="0" w:color="000000"/>
              <w:right w:val="single" w:sz="4" w:space="0" w:color="000000"/>
            </w:tcBorders>
            <w:vAlign w:val="center"/>
          </w:tcPr>
          <w:p>
            <w:pPr>
              <w:spacing w:after="0"/>
              <w:jc w:val="center"/>
              <w:rPr>
                <w:noProof/>
                <w:color w:val="000000"/>
                <w:szCs w:val="24"/>
              </w:rPr>
            </w:pPr>
            <w:r>
              <w:rPr>
                <w:noProof/>
                <w:sz w:val="18"/>
              </w:rPr>
              <w:t>0 %</w:t>
            </w:r>
          </w:p>
        </w:tc>
        <w:tc>
          <w:tcPr>
            <w:tcW w:w="1181" w:type="dxa"/>
            <w:tcBorders>
              <w:top w:val="nil"/>
              <w:left w:val="nil"/>
              <w:bottom w:val="single" w:sz="4" w:space="0" w:color="000000"/>
              <w:right w:val="single" w:sz="4" w:space="0" w:color="000000"/>
            </w:tcBorders>
            <w:vAlign w:val="center"/>
          </w:tcPr>
          <w:p>
            <w:pPr>
              <w:spacing w:after="0"/>
              <w:jc w:val="center"/>
              <w:rPr>
                <w:noProof/>
                <w:color w:val="000000"/>
                <w:szCs w:val="24"/>
              </w:rPr>
            </w:pPr>
            <w:r>
              <w:rPr>
                <w:noProof/>
                <w:sz w:val="18"/>
              </w:rPr>
              <w:t>0</w:t>
            </w:r>
          </w:p>
        </w:tc>
        <w:tc>
          <w:tcPr>
            <w:tcW w:w="567" w:type="dxa"/>
            <w:tcBorders>
              <w:top w:val="nil"/>
              <w:left w:val="nil"/>
              <w:bottom w:val="single" w:sz="4" w:space="0" w:color="000000"/>
              <w:right w:val="single" w:sz="4" w:space="0" w:color="000000"/>
            </w:tcBorders>
            <w:vAlign w:val="center"/>
          </w:tcPr>
          <w:p>
            <w:pPr>
              <w:spacing w:after="0"/>
              <w:jc w:val="center"/>
              <w:rPr>
                <w:noProof/>
                <w:color w:val="000000"/>
                <w:szCs w:val="24"/>
              </w:rPr>
            </w:pPr>
            <w:r>
              <w:rPr>
                <w:noProof/>
                <w:sz w:val="18"/>
              </w:rPr>
              <w:t>0</w:t>
            </w:r>
          </w:p>
        </w:tc>
        <w:tc>
          <w:tcPr>
            <w:tcW w:w="709" w:type="dxa"/>
            <w:tcBorders>
              <w:top w:val="nil"/>
              <w:left w:val="nil"/>
              <w:bottom w:val="single" w:sz="4" w:space="0" w:color="000000"/>
              <w:right w:val="single" w:sz="4" w:space="0" w:color="000000"/>
            </w:tcBorders>
            <w:vAlign w:val="center"/>
          </w:tcPr>
          <w:p>
            <w:pPr>
              <w:spacing w:after="0"/>
              <w:jc w:val="center"/>
              <w:rPr>
                <w:noProof/>
                <w:color w:val="000000"/>
                <w:szCs w:val="24"/>
              </w:rPr>
            </w:pPr>
            <w:r>
              <w:rPr>
                <w:noProof/>
                <w:sz w:val="18"/>
              </w:rPr>
              <w:t>0</w:t>
            </w:r>
          </w:p>
        </w:tc>
        <w:tc>
          <w:tcPr>
            <w:tcW w:w="677" w:type="dxa"/>
            <w:tcBorders>
              <w:top w:val="nil"/>
              <w:left w:val="nil"/>
              <w:bottom w:val="single" w:sz="4" w:space="0" w:color="000000"/>
              <w:right w:val="single" w:sz="12" w:space="0" w:color="000000"/>
            </w:tcBorders>
            <w:vAlign w:val="center"/>
          </w:tcPr>
          <w:p>
            <w:pPr>
              <w:spacing w:after="0"/>
              <w:jc w:val="center"/>
              <w:rPr>
                <w:noProof/>
                <w:color w:val="000000"/>
                <w:szCs w:val="24"/>
              </w:rPr>
            </w:pPr>
            <w:r>
              <w:rPr>
                <w:noProof/>
                <w:sz w:val="18"/>
              </w:rPr>
              <w:t>0</w:t>
            </w:r>
          </w:p>
        </w:tc>
      </w:tr>
      <w:tr>
        <w:trPr>
          <w:trHeight w:val="225"/>
          <w:jc w:val="center"/>
        </w:trPr>
        <w:tc>
          <w:tcPr>
            <w:tcW w:w="917" w:type="dxa"/>
            <w:vMerge/>
            <w:tcBorders>
              <w:top w:val="nil"/>
              <w:left w:val="single" w:sz="12" w:space="0" w:color="000000"/>
              <w:bottom w:val="single" w:sz="8" w:space="0" w:color="000000"/>
              <w:right w:val="single" w:sz="4" w:space="0" w:color="000000"/>
            </w:tcBorders>
            <w:vAlign w:val="center"/>
          </w:tcPr>
          <w:p>
            <w:pPr>
              <w:spacing w:after="0"/>
              <w:jc w:val="left"/>
              <w:rPr>
                <w:noProof/>
                <w:color w:val="000000"/>
                <w:szCs w:val="24"/>
              </w:rPr>
            </w:pPr>
          </w:p>
        </w:tc>
        <w:tc>
          <w:tcPr>
            <w:tcW w:w="1445" w:type="dxa"/>
            <w:tcBorders>
              <w:top w:val="nil"/>
              <w:left w:val="nil"/>
              <w:bottom w:val="single" w:sz="4" w:space="0" w:color="000000"/>
              <w:right w:val="single" w:sz="4" w:space="0" w:color="000000"/>
            </w:tcBorders>
            <w:vAlign w:val="bottom"/>
          </w:tcPr>
          <w:p>
            <w:pPr>
              <w:spacing w:after="0"/>
              <w:jc w:val="left"/>
              <w:rPr>
                <w:noProof/>
                <w:color w:val="000000"/>
                <w:szCs w:val="24"/>
              </w:rPr>
            </w:pPr>
            <w:r>
              <w:rPr>
                <w:noProof/>
                <w:sz w:val="18"/>
              </w:rPr>
              <w:t>Много важни</w:t>
            </w:r>
          </w:p>
        </w:tc>
        <w:tc>
          <w:tcPr>
            <w:tcW w:w="831" w:type="dxa"/>
            <w:tcBorders>
              <w:top w:val="nil"/>
              <w:left w:val="nil"/>
              <w:bottom w:val="single" w:sz="4" w:space="0" w:color="000000"/>
              <w:right w:val="single" w:sz="12" w:space="0" w:color="000000"/>
            </w:tcBorders>
            <w:vAlign w:val="center"/>
          </w:tcPr>
          <w:p>
            <w:pPr>
              <w:spacing w:after="0"/>
              <w:jc w:val="center"/>
              <w:rPr>
                <w:noProof/>
                <w:color w:val="000000"/>
                <w:szCs w:val="24"/>
              </w:rPr>
            </w:pPr>
            <w:r>
              <w:rPr>
                <w:noProof/>
                <w:sz w:val="18"/>
              </w:rPr>
              <w:t>68</w:t>
            </w:r>
          </w:p>
        </w:tc>
        <w:tc>
          <w:tcPr>
            <w:tcW w:w="728" w:type="dxa"/>
            <w:tcBorders>
              <w:top w:val="nil"/>
              <w:left w:val="single" w:sz="12" w:space="0" w:color="000000"/>
              <w:bottom w:val="single" w:sz="4" w:space="0" w:color="000000"/>
              <w:right w:val="single" w:sz="4" w:space="0" w:color="000000"/>
            </w:tcBorders>
            <w:vAlign w:val="center"/>
          </w:tcPr>
          <w:p>
            <w:pPr>
              <w:spacing w:after="0"/>
              <w:jc w:val="center"/>
              <w:rPr>
                <w:noProof/>
                <w:color w:val="000000"/>
                <w:szCs w:val="24"/>
              </w:rPr>
            </w:pPr>
            <w:r>
              <w:rPr>
                <w:noProof/>
                <w:sz w:val="18"/>
              </w:rPr>
              <w:t>62</w:t>
            </w:r>
          </w:p>
        </w:tc>
        <w:tc>
          <w:tcPr>
            <w:tcW w:w="850" w:type="dxa"/>
            <w:tcBorders>
              <w:top w:val="nil"/>
              <w:left w:val="nil"/>
              <w:bottom w:val="single" w:sz="4" w:space="0" w:color="000000"/>
              <w:right w:val="single" w:sz="12" w:space="0" w:color="000000"/>
            </w:tcBorders>
            <w:vAlign w:val="center"/>
          </w:tcPr>
          <w:p>
            <w:pPr>
              <w:spacing w:after="0"/>
              <w:jc w:val="center"/>
              <w:rPr>
                <w:noProof/>
                <w:color w:val="000000"/>
                <w:szCs w:val="24"/>
              </w:rPr>
            </w:pPr>
            <w:r>
              <w:rPr>
                <w:noProof/>
                <w:sz w:val="18"/>
              </w:rPr>
              <w:t>91 %</w:t>
            </w:r>
          </w:p>
        </w:tc>
        <w:tc>
          <w:tcPr>
            <w:tcW w:w="676" w:type="dxa"/>
            <w:tcBorders>
              <w:top w:val="nil"/>
              <w:left w:val="single" w:sz="12" w:space="0" w:color="000000"/>
              <w:bottom w:val="single" w:sz="4" w:space="0" w:color="000000"/>
              <w:right w:val="single" w:sz="4" w:space="0" w:color="000000"/>
            </w:tcBorders>
            <w:vAlign w:val="center"/>
          </w:tcPr>
          <w:p>
            <w:pPr>
              <w:spacing w:after="0"/>
              <w:jc w:val="center"/>
              <w:rPr>
                <w:noProof/>
                <w:color w:val="000000"/>
                <w:szCs w:val="24"/>
              </w:rPr>
            </w:pPr>
            <w:r>
              <w:rPr>
                <w:noProof/>
                <w:sz w:val="18"/>
              </w:rPr>
              <w:t>6</w:t>
            </w:r>
          </w:p>
        </w:tc>
        <w:tc>
          <w:tcPr>
            <w:tcW w:w="693" w:type="dxa"/>
            <w:tcBorders>
              <w:top w:val="nil"/>
              <w:left w:val="nil"/>
              <w:bottom w:val="single" w:sz="4" w:space="0" w:color="000000"/>
              <w:right w:val="single" w:sz="4" w:space="0" w:color="000000"/>
            </w:tcBorders>
            <w:vAlign w:val="center"/>
          </w:tcPr>
          <w:p>
            <w:pPr>
              <w:spacing w:after="0"/>
              <w:jc w:val="center"/>
              <w:rPr>
                <w:noProof/>
                <w:color w:val="000000"/>
                <w:szCs w:val="24"/>
              </w:rPr>
            </w:pPr>
            <w:r>
              <w:rPr>
                <w:noProof/>
                <w:sz w:val="18"/>
              </w:rPr>
              <w:t>9 %</w:t>
            </w:r>
          </w:p>
        </w:tc>
        <w:tc>
          <w:tcPr>
            <w:tcW w:w="1181" w:type="dxa"/>
            <w:tcBorders>
              <w:top w:val="nil"/>
              <w:left w:val="nil"/>
              <w:bottom w:val="single" w:sz="4" w:space="0" w:color="000000"/>
              <w:right w:val="single" w:sz="4" w:space="0" w:color="000000"/>
            </w:tcBorders>
            <w:vAlign w:val="center"/>
          </w:tcPr>
          <w:p>
            <w:pPr>
              <w:spacing w:after="0"/>
              <w:jc w:val="center"/>
              <w:rPr>
                <w:noProof/>
                <w:color w:val="000000"/>
                <w:szCs w:val="24"/>
              </w:rPr>
            </w:pPr>
            <w:r>
              <w:rPr>
                <w:noProof/>
                <w:sz w:val="18"/>
              </w:rPr>
              <w:t>0</w:t>
            </w:r>
          </w:p>
        </w:tc>
        <w:tc>
          <w:tcPr>
            <w:tcW w:w="567" w:type="dxa"/>
            <w:tcBorders>
              <w:top w:val="nil"/>
              <w:left w:val="nil"/>
              <w:bottom w:val="single" w:sz="4" w:space="0" w:color="000000"/>
              <w:right w:val="single" w:sz="4" w:space="0" w:color="000000"/>
            </w:tcBorders>
            <w:vAlign w:val="center"/>
          </w:tcPr>
          <w:p>
            <w:pPr>
              <w:spacing w:after="0"/>
              <w:jc w:val="center"/>
              <w:rPr>
                <w:noProof/>
                <w:color w:val="000000"/>
                <w:szCs w:val="24"/>
              </w:rPr>
            </w:pPr>
            <w:r>
              <w:rPr>
                <w:noProof/>
                <w:sz w:val="18"/>
              </w:rPr>
              <w:t>0</w:t>
            </w:r>
          </w:p>
        </w:tc>
        <w:tc>
          <w:tcPr>
            <w:tcW w:w="709" w:type="dxa"/>
            <w:tcBorders>
              <w:top w:val="single" w:sz="4" w:space="0" w:color="000000"/>
              <w:left w:val="nil"/>
              <w:bottom w:val="single" w:sz="4" w:space="0" w:color="000000"/>
              <w:right w:val="single" w:sz="4" w:space="0" w:color="000000"/>
            </w:tcBorders>
            <w:shd w:val="clear" w:color="auto" w:fill="auto"/>
            <w:vAlign w:val="center"/>
          </w:tcPr>
          <w:p>
            <w:pPr>
              <w:spacing w:after="0"/>
              <w:jc w:val="center"/>
              <w:rPr>
                <w:noProof/>
                <w:color w:val="000000"/>
                <w:szCs w:val="24"/>
              </w:rPr>
            </w:pPr>
            <w:r>
              <w:rPr>
                <w:noProof/>
                <w:sz w:val="18"/>
              </w:rPr>
              <w:t>3</w:t>
            </w:r>
          </w:p>
        </w:tc>
        <w:tc>
          <w:tcPr>
            <w:tcW w:w="677" w:type="dxa"/>
            <w:tcBorders>
              <w:top w:val="single" w:sz="4" w:space="0" w:color="000000"/>
              <w:left w:val="nil"/>
              <w:bottom w:val="single" w:sz="4" w:space="0" w:color="000000"/>
              <w:right w:val="single" w:sz="12" w:space="0" w:color="000000"/>
            </w:tcBorders>
            <w:shd w:val="clear" w:color="auto" w:fill="auto"/>
            <w:vAlign w:val="center"/>
          </w:tcPr>
          <w:p>
            <w:pPr>
              <w:spacing w:after="0"/>
              <w:jc w:val="center"/>
              <w:rPr>
                <w:noProof/>
                <w:color w:val="000000"/>
                <w:szCs w:val="24"/>
              </w:rPr>
            </w:pPr>
            <w:r>
              <w:rPr>
                <w:noProof/>
                <w:sz w:val="18"/>
              </w:rPr>
              <w:t>3</w:t>
            </w:r>
          </w:p>
        </w:tc>
      </w:tr>
      <w:tr>
        <w:trPr>
          <w:trHeight w:val="225"/>
          <w:jc w:val="center"/>
        </w:trPr>
        <w:tc>
          <w:tcPr>
            <w:tcW w:w="917" w:type="dxa"/>
            <w:vMerge/>
            <w:tcBorders>
              <w:top w:val="nil"/>
              <w:left w:val="single" w:sz="12" w:space="0" w:color="000000"/>
              <w:bottom w:val="single" w:sz="8" w:space="0" w:color="000000"/>
              <w:right w:val="single" w:sz="4" w:space="0" w:color="000000"/>
            </w:tcBorders>
            <w:vAlign w:val="center"/>
          </w:tcPr>
          <w:p>
            <w:pPr>
              <w:spacing w:after="0"/>
              <w:jc w:val="left"/>
              <w:rPr>
                <w:noProof/>
                <w:color w:val="000000"/>
                <w:szCs w:val="24"/>
              </w:rPr>
            </w:pPr>
          </w:p>
        </w:tc>
        <w:tc>
          <w:tcPr>
            <w:tcW w:w="1445" w:type="dxa"/>
            <w:tcBorders>
              <w:top w:val="nil"/>
              <w:left w:val="nil"/>
              <w:bottom w:val="single" w:sz="4" w:space="0" w:color="000000"/>
              <w:right w:val="single" w:sz="4" w:space="0" w:color="000000"/>
            </w:tcBorders>
            <w:vAlign w:val="bottom"/>
          </w:tcPr>
          <w:p>
            <w:pPr>
              <w:spacing w:after="0"/>
              <w:jc w:val="left"/>
              <w:rPr>
                <w:noProof/>
                <w:color w:val="000000"/>
                <w:szCs w:val="24"/>
              </w:rPr>
            </w:pPr>
            <w:r>
              <w:rPr>
                <w:noProof/>
                <w:sz w:val="18"/>
              </w:rPr>
              <w:t>Важни</w:t>
            </w:r>
          </w:p>
        </w:tc>
        <w:tc>
          <w:tcPr>
            <w:tcW w:w="831" w:type="dxa"/>
            <w:tcBorders>
              <w:top w:val="nil"/>
              <w:left w:val="nil"/>
              <w:bottom w:val="single" w:sz="4" w:space="0" w:color="000000"/>
              <w:right w:val="single" w:sz="12" w:space="0" w:color="000000"/>
            </w:tcBorders>
            <w:vAlign w:val="center"/>
          </w:tcPr>
          <w:p>
            <w:pPr>
              <w:spacing w:after="0"/>
              <w:jc w:val="center"/>
              <w:rPr>
                <w:noProof/>
                <w:color w:val="000000"/>
                <w:szCs w:val="24"/>
              </w:rPr>
            </w:pPr>
            <w:r>
              <w:rPr>
                <w:noProof/>
                <w:sz w:val="18"/>
              </w:rPr>
              <w:t>123</w:t>
            </w:r>
          </w:p>
        </w:tc>
        <w:tc>
          <w:tcPr>
            <w:tcW w:w="728" w:type="dxa"/>
            <w:tcBorders>
              <w:top w:val="nil"/>
              <w:left w:val="single" w:sz="12" w:space="0" w:color="000000"/>
              <w:bottom w:val="single" w:sz="4" w:space="0" w:color="000000"/>
              <w:right w:val="single" w:sz="4" w:space="0" w:color="000000"/>
            </w:tcBorders>
            <w:vAlign w:val="center"/>
          </w:tcPr>
          <w:p>
            <w:pPr>
              <w:spacing w:after="0"/>
              <w:jc w:val="center"/>
              <w:rPr>
                <w:noProof/>
                <w:color w:val="000000"/>
                <w:szCs w:val="24"/>
              </w:rPr>
            </w:pPr>
            <w:r>
              <w:rPr>
                <w:noProof/>
                <w:sz w:val="18"/>
              </w:rPr>
              <w:t>113</w:t>
            </w:r>
          </w:p>
        </w:tc>
        <w:tc>
          <w:tcPr>
            <w:tcW w:w="850" w:type="dxa"/>
            <w:tcBorders>
              <w:top w:val="nil"/>
              <w:left w:val="nil"/>
              <w:bottom w:val="single" w:sz="4" w:space="0" w:color="000000"/>
              <w:right w:val="single" w:sz="12" w:space="0" w:color="000000"/>
            </w:tcBorders>
            <w:vAlign w:val="center"/>
          </w:tcPr>
          <w:p>
            <w:pPr>
              <w:spacing w:after="0"/>
              <w:jc w:val="center"/>
              <w:rPr>
                <w:noProof/>
                <w:color w:val="000000"/>
                <w:szCs w:val="24"/>
              </w:rPr>
            </w:pPr>
            <w:r>
              <w:rPr>
                <w:noProof/>
                <w:sz w:val="18"/>
              </w:rPr>
              <w:t>92 %</w:t>
            </w:r>
          </w:p>
        </w:tc>
        <w:tc>
          <w:tcPr>
            <w:tcW w:w="676" w:type="dxa"/>
            <w:tcBorders>
              <w:top w:val="nil"/>
              <w:left w:val="single" w:sz="12" w:space="0" w:color="000000"/>
              <w:bottom w:val="single" w:sz="4" w:space="0" w:color="000000"/>
              <w:right w:val="single" w:sz="4" w:space="0" w:color="000000"/>
            </w:tcBorders>
            <w:vAlign w:val="center"/>
          </w:tcPr>
          <w:p>
            <w:pPr>
              <w:spacing w:after="0"/>
              <w:jc w:val="center"/>
              <w:rPr>
                <w:noProof/>
                <w:color w:val="000000"/>
                <w:szCs w:val="24"/>
              </w:rPr>
            </w:pPr>
            <w:r>
              <w:rPr>
                <w:noProof/>
                <w:sz w:val="18"/>
              </w:rPr>
              <w:t>10</w:t>
            </w:r>
          </w:p>
        </w:tc>
        <w:tc>
          <w:tcPr>
            <w:tcW w:w="693" w:type="dxa"/>
            <w:tcBorders>
              <w:top w:val="nil"/>
              <w:left w:val="nil"/>
              <w:bottom w:val="single" w:sz="4" w:space="0" w:color="000000"/>
              <w:right w:val="single" w:sz="4" w:space="0" w:color="000000"/>
            </w:tcBorders>
            <w:vAlign w:val="center"/>
          </w:tcPr>
          <w:p>
            <w:pPr>
              <w:spacing w:after="0"/>
              <w:jc w:val="center"/>
              <w:rPr>
                <w:noProof/>
                <w:color w:val="000000"/>
                <w:szCs w:val="24"/>
              </w:rPr>
            </w:pPr>
            <w:r>
              <w:rPr>
                <w:noProof/>
                <w:sz w:val="18"/>
              </w:rPr>
              <w:t>8 %</w:t>
            </w:r>
          </w:p>
        </w:tc>
        <w:tc>
          <w:tcPr>
            <w:tcW w:w="1181" w:type="dxa"/>
            <w:tcBorders>
              <w:top w:val="nil"/>
              <w:left w:val="nil"/>
              <w:bottom w:val="single" w:sz="4" w:space="0" w:color="000000"/>
              <w:right w:val="single" w:sz="4" w:space="0" w:color="000000"/>
            </w:tcBorders>
            <w:vAlign w:val="center"/>
          </w:tcPr>
          <w:p>
            <w:pPr>
              <w:spacing w:after="0"/>
              <w:jc w:val="center"/>
              <w:rPr>
                <w:noProof/>
                <w:color w:val="000000"/>
                <w:szCs w:val="24"/>
              </w:rPr>
            </w:pPr>
            <w:r>
              <w:rPr>
                <w:noProof/>
                <w:sz w:val="18"/>
              </w:rPr>
              <w:t>2</w:t>
            </w:r>
          </w:p>
        </w:tc>
        <w:tc>
          <w:tcPr>
            <w:tcW w:w="567" w:type="dxa"/>
            <w:tcBorders>
              <w:top w:val="nil"/>
              <w:left w:val="nil"/>
              <w:bottom w:val="single" w:sz="4" w:space="0" w:color="000000"/>
              <w:right w:val="single" w:sz="4" w:space="0" w:color="000000"/>
            </w:tcBorders>
            <w:vAlign w:val="center"/>
          </w:tcPr>
          <w:p>
            <w:pPr>
              <w:spacing w:after="0"/>
              <w:jc w:val="center"/>
              <w:rPr>
                <w:noProof/>
                <w:color w:val="000000"/>
                <w:szCs w:val="24"/>
              </w:rPr>
            </w:pPr>
            <w:r>
              <w:rPr>
                <w:noProof/>
                <w:sz w:val="18"/>
              </w:rPr>
              <w:t>2</w:t>
            </w:r>
          </w:p>
        </w:tc>
        <w:tc>
          <w:tcPr>
            <w:tcW w:w="709" w:type="dxa"/>
            <w:tcBorders>
              <w:top w:val="nil"/>
              <w:left w:val="nil"/>
              <w:bottom w:val="single" w:sz="4" w:space="0" w:color="000000"/>
              <w:right w:val="single" w:sz="4" w:space="0" w:color="000000"/>
            </w:tcBorders>
            <w:vAlign w:val="center"/>
          </w:tcPr>
          <w:p>
            <w:pPr>
              <w:spacing w:after="0"/>
              <w:jc w:val="center"/>
              <w:rPr>
                <w:noProof/>
                <w:color w:val="000000"/>
                <w:szCs w:val="24"/>
              </w:rPr>
            </w:pPr>
            <w:r>
              <w:rPr>
                <w:noProof/>
                <w:sz w:val="18"/>
              </w:rPr>
              <w:t>0</w:t>
            </w:r>
          </w:p>
        </w:tc>
        <w:tc>
          <w:tcPr>
            <w:tcW w:w="677" w:type="dxa"/>
            <w:tcBorders>
              <w:top w:val="nil"/>
              <w:left w:val="nil"/>
              <w:bottom w:val="single" w:sz="4" w:space="0" w:color="000000"/>
              <w:right w:val="single" w:sz="12" w:space="0" w:color="000000"/>
            </w:tcBorders>
            <w:vAlign w:val="center"/>
          </w:tcPr>
          <w:p>
            <w:pPr>
              <w:spacing w:after="0"/>
              <w:jc w:val="center"/>
              <w:rPr>
                <w:noProof/>
                <w:color w:val="000000"/>
                <w:szCs w:val="24"/>
              </w:rPr>
            </w:pPr>
            <w:r>
              <w:rPr>
                <w:noProof/>
                <w:sz w:val="18"/>
              </w:rPr>
              <w:t>6</w:t>
            </w:r>
          </w:p>
        </w:tc>
      </w:tr>
      <w:tr>
        <w:trPr>
          <w:trHeight w:val="246"/>
          <w:jc w:val="center"/>
        </w:trPr>
        <w:tc>
          <w:tcPr>
            <w:tcW w:w="917" w:type="dxa"/>
            <w:vMerge/>
            <w:tcBorders>
              <w:top w:val="nil"/>
              <w:left w:val="single" w:sz="12" w:space="0" w:color="000000"/>
              <w:bottom w:val="single" w:sz="8" w:space="0" w:color="000000"/>
              <w:right w:val="single" w:sz="4" w:space="0" w:color="000000"/>
            </w:tcBorders>
            <w:vAlign w:val="center"/>
          </w:tcPr>
          <w:p>
            <w:pPr>
              <w:spacing w:after="0"/>
              <w:jc w:val="left"/>
              <w:rPr>
                <w:noProof/>
                <w:color w:val="000000"/>
                <w:szCs w:val="24"/>
              </w:rPr>
            </w:pPr>
          </w:p>
        </w:tc>
        <w:tc>
          <w:tcPr>
            <w:tcW w:w="1445" w:type="dxa"/>
            <w:tcBorders>
              <w:top w:val="nil"/>
              <w:left w:val="nil"/>
              <w:bottom w:val="nil"/>
              <w:right w:val="single" w:sz="4" w:space="0" w:color="000000"/>
            </w:tcBorders>
            <w:vAlign w:val="bottom"/>
          </w:tcPr>
          <w:p>
            <w:pPr>
              <w:spacing w:after="0"/>
              <w:jc w:val="left"/>
              <w:rPr>
                <w:noProof/>
                <w:color w:val="000000"/>
                <w:szCs w:val="24"/>
              </w:rPr>
            </w:pPr>
            <w:r>
              <w:rPr>
                <w:noProof/>
                <w:sz w:val="18"/>
              </w:rPr>
              <w:t>Желателни</w:t>
            </w:r>
          </w:p>
        </w:tc>
        <w:tc>
          <w:tcPr>
            <w:tcW w:w="831" w:type="dxa"/>
            <w:tcBorders>
              <w:top w:val="nil"/>
              <w:left w:val="nil"/>
              <w:bottom w:val="nil"/>
              <w:right w:val="single" w:sz="12" w:space="0" w:color="000000"/>
            </w:tcBorders>
            <w:vAlign w:val="center"/>
          </w:tcPr>
          <w:p>
            <w:pPr>
              <w:spacing w:after="0"/>
              <w:jc w:val="center"/>
              <w:rPr>
                <w:noProof/>
                <w:color w:val="000000"/>
                <w:szCs w:val="24"/>
              </w:rPr>
            </w:pPr>
            <w:r>
              <w:rPr>
                <w:noProof/>
                <w:sz w:val="18"/>
              </w:rPr>
              <w:t>0</w:t>
            </w:r>
          </w:p>
        </w:tc>
        <w:tc>
          <w:tcPr>
            <w:tcW w:w="728" w:type="dxa"/>
            <w:tcBorders>
              <w:top w:val="nil"/>
              <w:left w:val="single" w:sz="12" w:space="0" w:color="000000"/>
              <w:bottom w:val="nil"/>
              <w:right w:val="single" w:sz="4" w:space="0" w:color="000000"/>
            </w:tcBorders>
            <w:vAlign w:val="center"/>
          </w:tcPr>
          <w:p>
            <w:pPr>
              <w:spacing w:after="0"/>
              <w:jc w:val="center"/>
              <w:rPr>
                <w:noProof/>
                <w:color w:val="000000"/>
                <w:szCs w:val="24"/>
              </w:rPr>
            </w:pPr>
            <w:r>
              <w:rPr>
                <w:noProof/>
                <w:sz w:val="18"/>
              </w:rPr>
              <w:t>0</w:t>
            </w:r>
          </w:p>
        </w:tc>
        <w:tc>
          <w:tcPr>
            <w:tcW w:w="850" w:type="dxa"/>
            <w:tcBorders>
              <w:top w:val="nil"/>
              <w:left w:val="nil"/>
              <w:bottom w:val="single" w:sz="4" w:space="0" w:color="000000"/>
              <w:right w:val="single" w:sz="12" w:space="0" w:color="000000"/>
            </w:tcBorders>
            <w:vAlign w:val="center"/>
          </w:tcPr>
          <w:p>
            <w:pPr>
              <w:spacing w:after="0"/>
              <w:jc w:val="center"/>
              <w:rPr>
                <w:noProof/>
                <w:color w:val="000000"/>
                <w:szCs w:val="24"/>
              </w:rPr>
            </w:pPr>
            <w:r>
              <w:rPr>
                <w:noProof/>
                <w:sz w:val="18"/>
              </w:rPr>
              <w:t>0 %</w:t>
            </w:r>
          </w:p>
        </w:tc>
        <w:tc>
          <w:tcPr>
            <w:tcW w:w="676" w:type="dxa"/>
            <w:tcBorders>
              <w:top w:val="nil"/>
              <w:left w:val="single" w:sz="12" w:space="0" w:color="000000"/>
              <w:bottom w:val="nil"/>
              <w:right w:val="single" w:sz="4" w:space="0" w:color="000000"/>
            </w:tcBorders>
            <w:vAlign w:val="center"/>
          </w:tcPr>
          <w:p>
            <w:pPr>
              <w:spacing w:after="0"/>
              <w:jc w:val="center"/>
              <w:rPr>
                <w:noProof/>
                <w:color w:val="000000"/>
                <w:szCs w:val="24"/>
              </w:rPr>
            </w:pPr>
            <w:r>
              <w:rPr>
                <w:noProof/>
                <w:sz w:val="18"/>
              </w:rPr>
              <w:t>0</w:t>
            </w:r>
          </w:p>
        </w:tc>
        <w:tc>
          <w:tcPr>
            <w:tcW w:w="693" w:type="dxa"/>
            <w:tcBorders>
              <w:top w:val="nil"/>
              <w:left w:val="nil"/>
              <w:bottom w:val="single" w:sz="4" w:space="0" w:color="000000"/>
              <w:right w:val="single" w:sz="4" w:space="0" w:color="000000"/>
            </w:tcBorders>
            <w:vAlign w:val="center"/>
          </w:tcPr>
          <w:p>
            <w:pPr>
              <w:spacing w:after="0"/>
              <w:jc w:val="center"/>
              <w:rPr>
                <w:noProof/>
                <w:color w:val="000000"/>
                <w:szCs w:val="24"/>
              </w:rPr>
            </w:pPr>
            <w:r>
              <w:rPr>
                <w:noProof/>
                <w:sz w:val="18"/>
              </w:rPr>
              <w:t>0 %</w:t>
            </w:r>
          </w:p>
        </w:tc>
        <w:tc>
          <w:tcPr>
            <w:tcW w:w="1181" w:type="dxa"/>
            <w:tcBorders>
              <w:top w:val="nil"/>
              <w:left w:val="nil"/>
              <w:bottom w:val="nil"/>
              <w:right w:val="single" w:sz="4" w:space="0" w:color="000000"/>
            </w:tcBorders>
            <w:vAlign w:val="center"/>
          </w:tcPr>
          <w:p>
            <w:pPr>
              <w:spacing w:after="0"/>
              <w:jc w:val="center"/>
              <w:rPr>
                <w:noProof/>
                <w:color w:val="000000"/>
                <w:szCs w:val="24"/>
              </w:rPr>
            </w:pPr>
            <w:r>
              <w:rPr>
                <w:noProof/>
                <w:sz w:val="18"/>
              </w:rPr>
              <w:t>0</w:t>
            </w:r>
          </w:p>
        </w:tc>
        <w:tc>
          <w:tcPr>
            <w:tcW w:w="567" w:type="dxa"/>
            <w:tcBorders>
              <w:top w:val="nil"/>
              <w:left w:val="nil"/>
              <w:bottom w:val="nil"/>
              <w:right w:val="single" w:sz="4" w:space="0" w:color="000000"/>
            </w:tcBorders>
            <w:vAlign w:val="center"/>
          </w:tcPr>
          <w:p>
            <w:pPr>
              <w:spacing w:after="0"/>
              <w:jc w:val="center"/>
              <w:rPr>
                <w:noProof/>
                <w:color w:val="000000"/>
                <w:szCs w:val="24"/>
              </w:rPr>
            </w:pPr>
            <w:r>
              <w:rPr>
                <w:noProof/>
                <w:sz w:val="18"/>
              </w:rPr>
              <w:t>0</w:t>
            </w:r>
          </w:p>
        </w:tc>
        <w:tc>
          <w:tcPr>
            <w:tcW w:w="709" w:type="dxa"/>
            <w:tcBorders>
              <w:top w:val="nil"/>
              <w:left w:val="nil"/>
              <w:bottom w:val="nil"/>
              <w:right w:val="single" w:sz="4" w:space="0" w:color="000000"/>
            </w:tcBorders>
            <w:vAlign w:val="center"/>
          </w:tcPr>
          <w:p>
            <w:pPr>
              <w:spacing w:after="0"/>
              <w:jc w:val="center"/>
              <w:rPr>
                <w:noProof/>
                <w:color w:val="000000"/>
                <w:szCs w:val="24"/>
              </w:rPr>
            </w:pPr>
            <w:r>
              <w:rPr>
                <w:noProof/>
                <w:sz w:val="18"/>
              </w:rPr>
              <w:t>0</w:t>
            </w:r>
          </w:p>
        </w:tc>
        <w:tc>
          <w:tcPr>
            <w:tcW w:w="677" w:type="dxa"/>
            <w:tcBorders>
              <w:top w:val="nil"/>
              <w:left w:val="nil"/>
              <w:bottom w:val="nil"/>
              <w:right w:val="single" w:sz="12" w:space="0" w:color="000000"/>
            </w:tcBorders>
            <w:vAlign w:val="center"/>
          </w:tcPr>
          <w:p>
            <w:pPr>
              <w:spacing w:after="0"/>
              <w:jc w:val="center"/>
              <w:rPr>
                <w:noProof/>
                <w:color w:val="000000"/>
                <w:szCs w:val="24"/>
              </w:rPr>
            </w:pPr>
            <w:r>
              <w:rPr>
                <w:noProof/>
                <w:sz w:val="18"/>
              </w:rPr>
              <w:t>0</w:t>
            </w:r>
          </w:p>
        </w:tc>
      </w:tr>
      <w:tr>
        <w:trPr>
          <w:trHeight w:val="246"/>
          <w:jc w:val="center"/>
        </w:trPr>
        <w:tc>
          <w:tcPr>
            <w:tcW w:w="917" w:type="dxa"/>
            <w:vMerge/>
            <w:tcBorders>
              <w:top w:val="nil"/>
              <w:left w:val="single" w:sz="12" w:space="0" w:color="000000"/>
              <w:bottom w:val="single" w:sz="8" w:space="0" w:color="000000"/>
              <w:right w:val="single" w:sz="4" w:space="0" w:color="000000"/>
            </w:tcBorders>
            <w:vAlign w:val="center"/>
          </w:tcPr>
          <w:p>
            <w:pPr>
              <w:spacing w:after="0"/>
              <w:jc w:val="left"/>
              <w:rPr>
                <w:noProof/>
                <w:color w:val="000000"/>
                <w:szCs w:val="24"/>
              </w:rPr>
            </w:pPr>
          </w:p>
        </w:tc>
        <w:tc>
          <w:tcPr>
            <w:tcW w:w="1445" w:type="dxa"/>
            <w:tcBorders>
              <w:top w:val="single" w:sz="8" w:space="0" w:color="000000"/>
              <w:left w:val="nil"/>
              <w:bottom w:val="single" w:sz="8" w:space="0" w:color="000000"/>
              <w:right w:val="single" w:sz="4" w:space="0" w:color="000000"/>
            </w:tcBorders>
            <w:shd w:val="clear" w:color="auto" w:fill="F2F2F2"/>
            <w:vAlign w:val="bottom"/>
          </w:tcPr>
          <w:p>
            <w:pPr>
              <w:spacing w:after="0"/>
              <w:jc w:val="left"/>
              <w:rPr>
                <w:noProof/>
                <w:color w:val="000000"/>
                <w:szCs w:val="24"/>
              </w:rPr>
            </w:pPr>
            <w:r>
              <w:rPr>
                <w:b/>
                <w:noProof/>
                <w:sz w:val="18"/>
              </w:rPr>
              <w:t>2012 г. Общо</w:t>
            </w:r>
          </w:p>
        </w:tc>
        <w:tc>
          <w:tcPr>
            <w:tcW w:w="831" w:type="dxa"/>
            <w:tcBorders>
              <w:top w:val="single" w:sz="8" w:space="0" w:color="000000"/>
              <w:left w:val="nil"/>
              <w:bottom w:val="single" w:sz="8" w:space="0" w:color="000000"/>
              <w:right w:val="single" w:sz="12" w:space="0" w:color="000000"/>
            </w:tcBorders>
            <w:shd w:val="clear" w:color="auto" w:fill="F2F2F2"/>
            <w:vAlign w:val="center"/>
          </w:tcPr>
          <w:p>
            <w:pPr>
              <w:spacing w:after="0"/>
              <w:jc w:val="center"/>
              <w:rPr>
                <w:noProof/>
                <w:color w:val="000000"/>
                <w:szCs w:val="24"/>
              </w:rPr>
            </w:pPr>
            <w:r>
              <w:rPr>
                <w:b/>
                <w:noProof/>
                <w:sz w:val="18"/>
              </w:rPr>
              <w:t>191</w:t>
            </w:r>
          </w:p>
        </w:tc>
        <w:tc>
          <w:tcPr>
            <w:tcW w:w="728" w:type="dxa"/>
            <w:tcBorders>
              <w:top w:val="single" w:sz="8" w:space="0" w:color="000000"/>
              <w:left w:val="single" w:sz="12" w:space="0" w:color="000000"/>
              <w:bottom w:val="single" w:sz="8" w:space="0" w:color="000000"/>
              <w:right w:val="single" w:sz="4" w:space="0" w:color="000000"/>
            </w:tcBorders>
            <w:shd w:val="clear" w:color="auto" w:fill="F2F2F2"/>
            <w:vAlign w:val="center"/>
          </w:tcPr>
          <w:p>
            <w:pPr>
              <w:spacing w:after="0"/>
              <w:jc w:val="center"/>
              <w:rPr>
                <w:noProof/>
                <w:color w:val="000000"/>
                <w:szCs w:val="24"/>
              </w:rPr>
            </w:pPr>
            <w:r>
              <w:rPr>
                <w:b/>
                <w:noProof/>
                <w:sz w:val="18"/>
              </w:rPr>
              <w:t>175</w:t>
            </w:r>
          </w:p>
        </w:tc>
        <w:tc>
          <w:tcPr>
            <w:tcW w:w="850" w:type="dxa"/>
            <w:tcBorders>
              <w:top w:val="single" w:sz="8" w:space="0" w:color="000000"/>
              <w:left w:val="nil"/>
              <w:bottom w:val="single" w:sz="8" w:space="0" w:color="000000"/>
              <w:right w:val="single" w:sz="12" w:space="0" w:color="000000"/>
            </w:tcBorders>
            <w:shd w:val="clear" w:color="auto" w:fill="F2F2F2"/>
            <w:vAlign w:val="center"/>
          </w:tcPr>
          <w:p>
            <w:pPr>
              <w:spacing w:after="0"/>
              <w:jc w:val="center"/>
              <w:rPr>
                <w:noProof/>
                <w:color w:val="000000"/>
                <w:szCs w:val="24"/>
              </w:rPr>
            </w:pPr>
            <w:r>
              <w:rPr>
                <w:b/>
                <w:noProof/>
                <w:sz w:val="18"/>
              </w:rPr>
              <w:t>92 %</w:t>
            </w:r>
          </w:p>
        </w:tc>
        <w:tc>
          <w:tcPr>
            <w:tcW w:w="676" w:type="dxa"/>
            <w:tcBorders>
              <w:top w:val="single" w:sz="8" w:space="0" w:color="000000"/>
              <w:left w:val="single" w:sz="12" w:space="0" w:color="000000"/>
              <w:bottom w:val="single" w:sz="8" w:space="0" w:color="000000"/>
              <w:right w:val="single" w:sz="4" w:space="0" w:color="000000"/>
            </w:tcBorders>
            <w:shd w:val="clear" w:color="auto" w:fill="F2F2F2"/>
            <w:vAlign w:val="center"/>
          </w:tcPr>
          <w:p>
            <w:pPr>
              <w:spacing w:after="0"/>
              <w:jc w:val="center"/>
              <w:rPr>
                <w:noProof/>
                <w:color w:val="000000"/>
                <w:szCs w:val="24"/>
              </w:rPr>
            </w:pPr>
            <w:r>
              <w:rPr>
                <w:b/>
                <w:noProof/>
                <w:sz w:val="18"/>
              </w:rPr>
              <w:t>16</w:t>
            </w:r>
          </w:p>
        </w:tc>
        <w:tc>
          <w:tcPr>
            <w:tcW w:w="693" w:type="dxa"/>
            <w:tcBorders>
              <w:top w:val="single" w:sz="8" w:space="0" w:color="000000"/>
              <w:left w:val="nil"/>
              <w:bottom w:val="single" w:sz="8" w:space="0" w:color="000000"/>
              <w:right w:val="single" w:sz="8" w:space="0" w:color="000000"/>
            </w:tcBorders>
            <w:shd w:val="clear" w:color="auto" w:fill="F2F2F2"/>
            <w:vAlign w:val="center"/>
          </w:tcPr>
          <w:p>
            <w:pPr>
              <w:spacing w:after="0"/>
              <w:jc w:val="center"/>
              <w:rPr>
                <w:noProof/>
                <w:color w:val="000000"/>
                <w:szCs w:val="24"/>
              </w:rPr>
            </w:pPr>
            <w:r>
              <w:rPr>
                <w:b/>
                <w:noProof/>
                <w:sz w:val="18"/>
              </w:rPr>
              <w:t>8 %</w:t>
            </w:r>
          </w:p>
        </w:tc>
        <w:tc>
          <w:tcPr>
            <w:tcW w:w="1181" w:type="dxa"/>
            <w:tcBorders>
              <w:top w:val="single" w:sz="8" w:space="0" w:color="000000"/>
              <w:left w:val="single" w:sz="4" w:space="0" w:color="000000"/>
              <w:bottom w:val="single" w:sz="8" w:space="0" w:color="000000"/>
              <w:right w:val="single" w:sz="4" w:space="0" w:color="000000"/>
            </w:tcBorders>
            <w:shd w:val="clear" w:color="auto" w:fill="F2F2F2"/>
            <w:vAlign w:val="center"/>
          </w:tcPr>
          <w:p>
            <w:pPr>
              <w:spacing w:after="0"/>
              <w:jc w:val="center"/>
              <w:rPr>
                <w:noProof/>
                <w:color w:val="000000"/>
                <w:szCs w:val="24"/>
              </w:rPr>
            </w:pPr>
            <w:r>
              <w:rPr>
                <w:b/>
                <w:noProof/>
                <w:sz w:val="18"/>
              </w:rPr>
              <w:t>2</w:t>
            </w:r>
          </w:p>
        </w:tc>
        <w:tc>
          <w:tcPr>
            <w:tcW w:w="567" w:type="dxa"/>
            <w:tcBorders>
              <w:top w:val="single" w:sz="8" w:space="0" w:color="000000"/>
              <w:left w:val="nil"/>
              <w:bottom w:val="single" w:sz="8" w:space="0" w:color="000000"/>
              <w:right w:val="single" w:sz="4" w:space="0" w:color="000000"/>
            </w:tcBorders>
            <w:shd w:val="clear" w:color="auto" w:fill="F2F2F2"/>
            <w:vAlign w:val="center"/>
          </w:tcPr>
          <w:p>
            <w:pPr>
              <w:spacing w:after="0"/>
              <w:jc w:val="center"/>
              <w:rPr>
                <w:noProof/>
                <w:color w:val="000000"/>
                <w:szCs w:val="24"/>
              </w:rPr>
            </w:pPr>
            <w:r>
              <w:rPr>
                <w:b/>
                <w:noProof/>
                <w:sz w:val="18"/>
              </w:rPr>
              <w:t>2</w:t>
            </w:r>
          </w:p>
        </w:tc>
        <w:tc>
          <w:tcPr>
            <w:tcW w:w="709" w:type="dxa"/>
            <w:tcBorders>
              <w:top w:val="single" w:sz="8" w:space="0" w:color="000000"/>
              <w:left w:val="nil"/>
              <w:bottom w:val="single" w:sz="8" w:space="0" w:color="000000"/>
              <w:right w:val="single" w:sz="4" w:space="0" w:color="000000"/>
            </w:tcBorders>
            <w:shd w:val="clear" w:color="auto" w:fill="F2F2F2"/>
            <w:vAlign w:val="center"/>
          </w:tcPr>
          <w:p>
            <w:pPr>
              <w:spacing w:after="0"/>
              <w:jc w:val="center"/>
              <w:rPr>
                <w:noProof/>
                <w:color w:val="000000"/>
                <w:szCs w:val="24"/>
              </w:rPr>
            </w:pPr>
            <w:r>
              <w:rPr>
                <w:b/>
                <w:noProof/>
                <w:sz w:val="18"/>
              </w:rPr>
              <w:t>3</w:t>
            </w:r>
          </w:p>
        </w:tc>
        <w:tc>
          <w:tcPr>
            <w:tcW w:w="677" w:type="dxa"/>
            <w:tcBorders>
              <w:top w:val="single" w:sz="8" w:space="0" w:color="000000"/>
              <w:left w:val="nil"/>
              <w:bottom w:val="single" w:sz="8" w:space="0" w:color="000000"/>
              <w:right w:val="single" w:sz="12" w:space="0" w:color="000000"/>
            </w:tcBorders>
            <w:shd w:val="clear" w:color="auto" w:fill="F2F2F2"/>
            <w:vAlign w:val="center"/>
          </w:tcPr>
          <w:p>
            <w:pPr>
              <w:spacing w:after="0"/>
              <w:jc w:val="center"/>
              <w:rPr>
                <w:noProof/>
                <w:color w:val="000000"/>
                <w:szCs w:val="24"/>
              </w:rPr>
            </w:pPr>
            <w:r>
              <w:rPr>
                <w:b/>
                <w:noProof/>
                <w:sz w:val="18"/>
              </w:rPr>
              <w:t>9</w:t>
            </w:r>
          </w:p>
        </w:tc>
      </w:tr>
      <w:tr>
        <w:trPr>
          <w:trHeight w:val="225"/>
          <w:jc w:val="center"/>
        </w:trPr>
        <w:tc>
          <w:tcPr>
            <w:tcW w:w="917" w:type="dxa"/>
            <w:vMerge w:val="restart"/>
            <w:tcBorders>
              <w:top w:val="nil"/>
              <w:left w:val="single" w:sz="12" w:space="0" w:color="000000"/>
              <w:bottom w:val="single" w:sz="8" w:space="0" w:color="000000"/>
              <w:right w:val="single" w:sz="4" w:space="0" w:color="000000"/>
            </w:tcBorders>
            <w:shd w:val="clear" w:color="auto" w:fill="F2F2F2"/>
            <w:vAlign w:val="center"/>
          </w:tcPr>
          <w:p>
            <w:pPr>
              <w:spacing w:after="0"/>
              <w:jc w:val="center"/>
              <w:rPr>
                <w:noProof/>
                <w:color w:val="000000"/>
                <w:szCs w:val="24"/>
              </w:rPr>
            </w:pPr>
            <w:r>
              <w:rPr>
                <w:noProof/>
                <w:sz w:val="18"/>
              </w:rPr>
              <w:t>2013 г.</w:t>
            </w:r>
          </w:p>
        </w:tc>
        <w:tc>
          <w:tcPr>
            <w:tcW w:w="1445" w:type="dxa"/>
            <w:tcBorders>
              <w:top w:val="nil"/>
              <w:left w:val="nil"/>
              <w:bottom w:val="single" w:sz="4" w:space="0" w:color="000000"/>
              <w:right w:val="single" w:sz="4" w:space="0" w:color="000000"/>
            </w:tcBorders>
            <w:vAlign w:val="bottom"/>
          </w:tcPr>
          <w:p>
            <w:pPr>
              <w:spacing w:after="0"/>
              <w:jc w:val="left"/>
              <w:rPr>
                <w:noProof/>
                <w:color w:val="000000"/>
                <w:szCs w:val="24"/>
              </w:rPr>
            </w:pPr>
            <w:r>
              <w:rPr>
                <w:noProof/>
                <w:sz w:val="18"/>
              </w:rPr>
              <w:t>Критични</w:t>
            </w:r>
          </w:p>
        </w:tc>
        <w:tc>
          <w:tcPr>
            <w:tcW w:w="831" w:type="dxa"/>
            <w:tcBorders>
              <w:top w:val="nil"/>
              <w:left w:val="nil"/>
              <w:bottom w:val="single" w:sz="4" w:space="0" w:color="000000"/>
              <w:right w:val="single" w:sz="12" w:space="0" w:color="000000"/>
            </w:tcBorders>
            <w:vAlign w:val="center"/>
          </w:tcPr>
          <w:p>
            <w:pPr>
              <w:spacing w:after="0"/>
              <w:jc w:val="center"/>
              <w:rPr>
                <w:noProof/>
                <w:color w:val="000000"/>
                <w:szCs w:val="24"/>
              </w:rPr>
            </w:pPr>
            <w:r>
              <w:rPr>
                <w:noProof/>
                <w:sz w:val="18"/>
              </w:rPr>
              <w:t>0</w:t>
            </w:r>
          </w:p>
        </w:tc>
        <w:tc>
          <w:tcPr>
            <w:tcW w:w="728" w:type="dxa"/>
            <w:tcBorders>
              <w:top w:val="nil"/>
              <w:left w:val="single" w:sz="12" w:space="0" w:color="000000"/>
              <w:bottom w:val="single" w:sz="4" w:space="0" w:color="000000"/>
              <w:right w:val="single" w:sz="4" w:space="0" w:color="000000"/>
            </w:tcBorders>
            <w:vAlign w:val="center"/>
          </w:tcPr>
          <w:p>
            <w:pPr>
              <w:spacing w:after="0"/>
              <w:jc w:val="center"/>
              <w:rPr>
                <w:noProof/>
                <w:color w:val="000000"/>
                <w:szCs w:val="24"/>
              </w:rPr>
            </w:pPr>
            <w:r>
              <w:rPr>
                <w:noProof/>
                <w:sz w:val="18"/>
              </w:rPr>
              <w:t>0</w:t>
            </w:r>
          </w:p>
        </w:tc>
        <w:tc>
          <w:tcPr>
            <w:tcW w:w="850" w:type="dxa"/>
            <w:tcBorders>
              <w:top w:val="nil"/>
              <w:left w:val="nil"/>
              <w:bottom w:val="single" w:sz="4" w:space="0" w:color="000000"/>
              <w:right w:val="single" w:sz="12" w:space="0" w:color="000000"/>
            </w:tcBorders>
            <w:vAlign w:val="center"/>
          </w:tcPr>
          <w:p>
            <w:pPr>
              <w:spacing w:after="0"/>
              <w:jc w:val="center"/>
              <w:rPr>
                <w:noProof/>
                <w:color w:val="000000"/>
                <w:szCs w:val="24"/>
              </w:rPr>
            </w:pPr>
            <w:r>
              <w:rPr>
                <w:noProof/>
                <w:sz w:val="18"/>
              </w:rPr>
              <w:t>0 %</w:t>
            </w:r>
          </w:p>
        </w:tc>
        <w:tc>
          <w:tcPr>
            <w:tcW w:w="676" w:type="dxa"/>
            <w:tcBorders>
              <w:top w:val="nil"/>
              <w:left w:val="single" w:sz="12" w:space="0" w:color="000000"/>
              <w:bottom w:val="single" w:sz="4" w:space="0" w:color="000000"/>
              <w:right w:val="single" w:sz="4" w:space="0" w:color="000000"/>
            </w:tcBorders>
            <w:vAlign w:val="center"/>
          </w:tcPr>
          <w:p>
            <w:pPr>
              <w:spacing w:after="0"/>
              <w:jc w:val="center"/>
              <w:rPr>
                <w:noProof/>
                <w:color w:val="000000"/>
                <w:szCs w:val="24"/>
              </w:rPr>
            </w:pPr>
            <w:r>
              <w:rPr>
                <w:noProof/>
                <w:sz w:val="18"/>
              </w:rPr>
              <w:t>0</w:t>
            </w:r>
          </w:p>
        </w:tc>
        <w:tc>
          <w:tcPr>
            <w:tcW w:w="693" w:type="dxa"/>
            <w:tcBorders>
              <w:top w:val="nil"/>
              <w:left w:val="nil"/>
              <w:bottom w:val="single" w:sz="4" w:space="0" w:color="000000"/>
              <w:right w:val="single" w:sz="4" w:space="0" w:color="000000"/>
            </w:tcBorders>
            <w:vAlign w:val="center"/>
          </w:tcPr>
          <w:p>
            <w:pPr>
              <w:spacing w:after="0"/>
              <w:jc w:val="center"/>
              <w:rPr>
                <w:noProof/>
                <w:color w:val="000000"/>
                <w:szCs w:val="24"/>
              </w:rPr>
            </w:pPr>
            <w:r>
              <w:rPr>
                <w:noProof/>
                <w:sz w:val="18"/>
              </w:rPr>
              <w:t>0 %</w:t>
            </w:r>
          </w:p>
        </w:tc>
        <w:tc>
          <w:tcPr>
            <w:tcW w:w="1181" w:type="dxa"/>
            <w:tcBorders>
              <w:top w:val="nil"/>
              <w:left w:val="nil"/>
              <w:bottom w:val="single" w:sz="4" w:space="0" w:color="000000"/>
              <w:right w:val="single" w:sz="4" w:space="0" w:color="000000"/>
            </w:tcBorders>
            <w:vAlign w:val="center"/>
          </w:tcPr>
          <w:p>
            <w:pPr>
              <w:spacing w:after="0"/>
              <w:jc w:val="center"/>
              <w:rPr>
                <w:noProof/>
                <w:color w:val="000000"/>
                <w:szCs w:val="24"/>
              </w:rPr>
            </w:pPr>
            <w:r>
              <w:rPr>
                <w:noProof/>
                <w:sz w:val="18"/>
              </w:rPr>
              <w:t>0</w:t>
            </w:r>
          </w:p>
        </w:tc>
        <w:tc>
          <w:tcPr>
            <w:tcW w:w="567" w:type="dxa"/>
            <w:tcBorders>
              <w:top w:val="nil"/>
              <w:left w:val="nil"/>
              <w:bottom w:val="single" w:sz="4" w:space="0" w:color="000000"/>
              <w:right w:val="single" w:sz="4" w:space="0" w:color="000000"/>
            </w:tcBorders>
            <w:vAlign w:val="center"/>
          </w:tcPr>
          <w:p>
            <w:pPr>
              <w:spacing w:after="0"/>
              <w:jc w:val="center"/>
              <w:rPr>
                <w:noProof/>
                <w:color w:val="000000"/>
                <w:szCs w:val="24"/>
              </w:rPr>
            </w:pPr>
            <w:r>
              <w:rPr>
                <w:noProof/>
                <w:sz w:val="18"/>
              </w:rPr>
              <w:t>0</w:t>
            </w:r>
          </w:p>
        </w:tc>
        <w:tc>
          <w:tcPr>
            <w:tcW w:w="709" w:type="dxa"/>
            <w:tcBorders>
              <w:top w:val="nil"/>
              <w:left w:val="nil"/>
              <w:bottom w:val="single" w:sz="4" w:space="0" w:color="000000"/>
              <w:right w:val="single" w:sz="4" w:space="0" w:color="000000"/>
            </w:tcBorders>
            <w:vAlign w:val="center"/>
          </w:tcPr>
          <w:p>
            <w:pPr>
              <w:spacing w:after="0"/>
              <w:jc w:val="center"/>
              <w:rPr>
                <w:noProof/>
                <w:color w:val="000000"/>
                <w:szCs w:val="24"/>
              </w:rPr>
            </w:pPr>
            <w:r>
              <w:rPr>
                <w:noProof/>
                <w:sz w:val="18"/>
              </w:rPr>
              <w:t>0</w:t>
            </w:r>
          </w:p>
        </w:tc>
        <w:tc>
          <w:tcPr>
            <w:tcW w:w="677" w:type="dxa"/>
            <w:tcBorders>
              <w:top w:val="nil"/>
              <w:left w:val="nil"/>
              <w:bottom w:val="single" w:sz="4" w:space="0" w:color="000000"/>
              <w:right w:val="single" w:sz="12" w:space="0" w:color="000000"/>
            </w:tcBorders>
            <w:vAlign w:val="center"/>
          </w:tcPr>
          <w:p>
            <w:pPr>
              <w:spacing w:after="0"/>
              <w:jc w:val="center"/>
              <w:rPr>
                <w:noProof/>
                <w:color w:val="000000"/>
                <w:szCs w:val="24"/>
              </w:rPr>
            </w:pPr>
            <w:r>
              <w:rPr>
                <w:noProof/>
                <w:sz w:val="18"/>
              </w:rPr>
              <w:t>0</w:t>
            </w:r>
          </w:p>
        </w:tc>
      </w:tr>
      <w:tr>
        <w:trPr>
          <w:trHeight w:val="225"/>
          <w:jc w:val="center"/>
        </w:trPr>
        <w:tc>
          <w:tcPr>
            <w:tcW w:w="917" w:type="dxa"/>
            <w:vMerge/>
            <w:tcBorders>
              <w:top w:val="nil"/>
              <w:left w:val="single" w:sz="12" w:space="0" w:color="000000"/>
              <w:bottom w:val="single" w:sz="8" w:space="0" w:color="000000"/>
              <w:right w:val="single" w:sz="4" w:space="0" w:color="000000"/>
            </w:tcBorders>
            <w:vAlign w:val="center"/>
          </w:tcPr>
          <w:p>
            <w:pPr>
              <w:spacing w:after="0"/>
              <w:jc w:val="left"/>
              <w:rPr>
                <w:noProof/>
                <w:color w:val="000000"/>
                <w:szCs w:val="24"/>
              </w:rPr>
            </w:pPr>
          </w:p>
        </w:tc>
        <w:tc>
          <w:tcPr>
            <w:tcW w:w="1445" w:type="dxa"/>
            <w:tcBorders>
              <w:top w:val="nil"/>
              <w:left w:val="nil"/>
              <w:bottom w:val="single" w:sz="4" w:space="0" w:color="000000"/>
              <w:right w:val="single" w:sz="4" w:space="0" w:color="000000"/>
            </w:tcBorders>
            <w:vAlign w:val="bottom"/>
          </w:tcPr>
          <w:p>
            <w:pPr>
              <w:spacing w:after="0"/>
              <w:jc w:val="left"/>
              <w:rPr>
                <w:noProof/>
                <w:color w:val="000000"/>
                <w:szCs w:val="24"/>
              </w:rPr>
            </w:pPr>
            <w:r>
              <w:rPr>
                <w:noProof/>
                <w:sz w:val="18"/>
              </w:rPr>
              <w:t>Много важни</w:t>
            </w:r>
          </w:p>
        </w:tc>
        <w:tc>
          <w:tcPr>
            <w:tcW w:w="831" w:type="dxa"/>
            <w:tcBorders>
              <w:top w:val="nil"/>
              <w:left w:val="nil"/>
              <w:bottom w:val="single" w:sz="4" w:space="0" w:color="000000"/>
              <w:right w:val="single" w:sz="12" w:space="0" w:color="000000"/>
            </w:tcBorders>
            <w:vAlign w:val="center"/>
          </w:tcPr>
          <w:p>
            <w:pPr>
              <w:spacing w:after="0"/>
              <w:jc w:val="center"/>
              <w:rPr>
                <w:noProof/>
                <w:color w:val="000000"/>
                <w:szCs w:val="24"/>
              </w:rPr>
            </w:pPr>
            <w:r>
              <w:rPr>
                <w:noProof/>
                <w:sz w:val="18"/>
              </w:rPr>
              <w:t>48</w:t>
            </w:r>
          </w:p>
        </w:tc>
        <w:tc>
          <w:tcPr>
            <w:tcW w:w="728" w:type="dxa"/>
            <w:tcBorders>
              <w:top w:val="nil"/>
              <w:left w:val="single" w:sz="12" w:space="0" w:color="000000"/>
              <w:bottom w:val="single" w:sz="4" w:space="0" w:color="000000"/>
              <w:right w:val="single" w:sz="4" w:space="0" w:color="000000"/>
            </w:tcBorders>
            <w:vAlign w:val="center"/>
          </w:tcPr>
          <w:p>
            <w:pPr>
              <w:spacing w:after="0"/>
              <w:jc w:val="center"/>
              <w:rPr>
                <w:noProof/>
                <w:color w:val="000000"/>
                <w:szCs w:val="24"/>
              </w:rPr>
            </w:pPr>
            <w:r>
              <w:rPr>
                <w:noProof/>
                <w:sz w:val="18"/>
              </w:rPr>
              <w:t>40</w:t>
            </w:r>
          </w:p>
        </w:tc>
        <w:tc>
          <w:tcPr>
            <w:tcW w:w="850" w:type="dxa"/>
            <w:tcBorders>
              <w:top w:val="nil"/>
              <w:left w:val="nil"/>
              <w:bottom w:val="single" w:sz="4" w:space="0" w:color="000000"/>
              <w:right w:val="single" w:sz="12" w:space="0" w:color="000000"/>
            </w:tcBorders>
            <w:vAlign w:val="center"/>
          </w:tcPr>
          <w:p>
            <w:pPr>
              <w:spacing w:after="0"/>
              <w:jc w:val="center"/>
              <w:rPr>
                <w:noProof/>
                <w:color w:val="000000"/>
                <w:szCs w:val="24"/>
              </w:rPr>
            </w:pPr>
            <w:r>
              <w:rPr>
                <w:noProof/>
                <w:sz w:val="18"/>
              </w:rPr>
              <w:t>83 %</w:t>
            </w:r>
          </w:p>
        </w:tc>
        <w:tc>
          <w:tcPr>
            <w:tcW w:w="676" w:type="dxa"/>
            <w:tcBorders>
              <w:top w:val="nil"/>
              <w:left w:val="single" w:sz="12" w:space="0" w:color="000000"/>
              <w:bottom w:val="single" w:sz="4" w:space="0" w:color="000000"/>
              <w:right w:val="single" w:sz="4" w:space="0" w:color="000000"/>
            </w:tcBorders>
            <w:vAlign w:val="center"/>
          </w:tcPr>
          <w:p>
            <w:pPr>
              <w:spacing w:after="0"/>
              <w:jc w:val="center"/>
              <w:rPr>
                <w:noProof/>
                <w:color w:val="000000"/>
                <w:szCs w:val="24"/>
              </w:rPr>
            </w:pPr>
            <w:r>
              <w:rPr>
                <w:noProof/>
                <w:sz w:val="18"/>
              </w:rPr>
              <w:t>8</w:t>
            </w:r>
          </w:p>
        </w:tc>
        <w:tc>
          <w:tcPr>
            <w:tcW w:w="693" w:type="dxa"/>
            <w:tcBorders>
              <w:top w:val="nil"/>
              <w:left w:val="nil"/>
              <w:bottom w:val="single" w:sz="4" w:space="0" w:color="000000"/>
              <w:right w:val="single" w:sz="4" w:space="0" w:color="000000"/>
            </w:tcBorders>
            <w:vAlign w:val="center"/>
          </w:tcPr>
          <w:p>
            <w:pPr>
              <w:spacing w:after="0"/>
              <w:jc w:val="center"/>
              <w:rPr>
                <w:noProof/>
                <w:color w:val="000000"/>
                <w:szCs w:val="24"/>
              </w:rPr>
            </w:pPr>
            <w:r>
              <w:rPr>
                <w:noProof/>
                <w:sz w:val="18"/>
              </w:rPr>
              <w:t>17 %</w:t>
            </w:r>
          </w:p>
        </w:tc>
        <w:tc>
          <w:tcPr>
            <w:tcW w:w="1181" w:type="dxa"/>
            <w:tcBorders>
              <w:top w:val="nil"/>
              <w:left w:val="nil"/>
              <w:bottom w:val="single" w:sz="4" w:space="0" w:color="000000"/>
              <w:right w:val="single" w:sz="4" w:space="0" w:color="000000"/>
            </w:tcBorders>
            <w:vAlign w:val="center"/>
          </w:tcPr>
          <w:p>
            <w:pPr>
              <w:spacing w:after="0"/>
              <w:jc w:val="center"/>
              <w:rPr>
                <w:noProof/>
                <w:color w:val="000000"/>
                <w:szCs w:val="24"/>
              </w:rPr>
            </w:pPr>
            <w:r>
              <w:rPr>
                <w:noProof/>
                <w:sz w:val="18"/>
              </w:rPr>
              <w:t>5</w:t>
            </w:r>
          </w:p>
        </w:tc>
        <w:tc>
          <w:tcPr>
            <w:tcW w:w="567" w:type="dxa"/>
            <w:tcBorders>
              <w:top w:val="nil"/>
              <w:left w:val="nil"/>
              <w:bottom w:val="single" w:sz="4" w:space="0" w:color="000000"/>
              <w:right w:val="single" w:sz="4" w:space="0" w:color="000000"/>
            </w:tcBorders>
            <w:vAlign w:val="center"/>
          </w:tcPr>
          <w:p>
            <w:pPr>
              <w:spacing w:after="0"/>
              <w:jc w:val="center"/>
              <w:rPr>
                <w:noProof/>
                <w:color w:val="000000"/>
                <w:szCs w:val="24"/>
              </w:rPr>
            </w:pPr>
            <w:r>
              <w:rPr>
                <w:noProof/>
                <w:sz w:val="18"/>
              </w:rPr>
              <w:t>0</w:t>
            </w:r>
          </w:p>
        </w:tc>
        <w:tc>
          <w:tcPr>
            <w:tcW w:w="709" w:type="dxa"/>
            <w:tcBorders>
              <w:top w:val="single" w:sz="4" w:space="0" w:color="000000"/>
              <w:left w:val="nil"/>
              <w:bottom w:val="single" w:sz="4" w:space="0" w:color="000000"/>
              <w:right w:val="single" w:sz="4" w:space="0" w:color="000000"/>
            </w:tcBorders>
            <w:vAlign w:val="center"/>
          </w:tcPr>
          <w:p>
            <w:pPr>
              <w:spacing w:after="0"/>
              <w:jc w:val="center"/>
              <w:rPr>
                <w:noProof/>
                <w:color w:val="000000"/>
                <w:szCs w:val="24"/>
              </w:rPr>
            </w:pPr>
            <w:r>
              <w:rPr>
                <w:noProof/>
                <w:sz w:val="18"/>
              </w:rPr>
              <w:t>0</w:t>
            </w:r>
          </w:p>
        </w:tc>
        <w:tc>
          <w:tcPr>
            <w:tcW w:w="677" w:type="dxa"/>
            <w:tcBorders>
              <w:top w:val="single" w:sz="4" w:space="0" w:color="000000"/>
              <w:left w:val="nil"/>
              <w:bottom w:val="single" w:sz="4" w:space="0" w:color="000000"/>
              <w:right w:val="single" w:sz="12" w:space="0" w:color="000000"/>
            </w:tcBorders>
            <w:shd w:val="clear" w:color="auto" w:fill="auto"/>
            <w:vAlign w:val="center"/>
          </w:tcPr>
          <w:p>
            <w:pPr>
              <w:spacing w:after="0"/>
              <w:jc w:val="center"/>
              <w:rPr>
                <w:noProof/>
                <w:color w:val="000000"/>
                <w:szCs w:val="24"/>
              </w:rPr>
            </w:pPr>
            <w:r>
              <w:rPr>
                <w:noProof/>
                <w:sz w:val="18"/>
              </w:rPr>
              <w:t>3</w:t>
            </w:r>
          </w:p>
        </w:tc>
      </w:tr>
      <w:tr>
        <w:trPr>
          <w:trHeight w:val="225"/>
          <w:jc w:val="center"/>
        </w:trPr>
        <w:tc>
          <w:tcPr>
            <w:tcW w:w="917" w:type="dxa"/>
            <w:vMerge/>
            <w:tcBorders>
              <w:top w:val="nil"/>
              <w:left w:val="single" w:sz="12" w:space="0" w:color="000000"/>
              <w:bottom w:val="single" w:sz="8" w:space="0" w:color="000000"/>
              <w:right w:val="single" w:sz="4" w:space="0" w:color="000000"/>
            </w:tcBorders>
            <w:vAlign w:val="center"/>
          </w:tcPr>
          <w:p>
            <w:pPr>
              <w:spacing w:after="0"/>
              <w:jc w:val="left"/>
              <w:rPr>
                <w:noProof/>
                <w:color w:val="000000"/>
                <w:szCs w:val="24"/>
              </w:rPr>
            </w:pPr>
          </w:p>
        </w:tc>
        <w:tc>
          <w:tcPr>
            <w:tcW w:w="1445" w:type="dxa"/>
            <w:tcBorders>
              <w:top w:val="nil"/>
              <w:left w:val="nil"/>
              <w:bottom w:val="single" w:sz="4" w:space="0" w:color="000000"/>
              <w:right w:val="single" w:sz="4" w:space="0" w:color="000000"/>
            </w:tcBorders>
            <w:vAlign w:val="bottom"/>
          </w:tcPr>
          <w:p>
            <w:pPr>
              <w:spacing w:after="0"/>
              <w:jc w:val="left"/>
              <w:rPr>
                <w:noProof/>
                <w:color w:val="000000"/>
                <w:szCs w:val="24"/>
              </w:rPr>
            </w:pPr>
            <w:bookmarkStart w:id="28" w:name="h.17dp8vu"/>
            <w:bookmarkEnd w:id="28"/>
            <w:r>
              <w:rPr>
                <w:noProof/>
                <w:sz w:val="18"/>
              </w:rPr>
              <w:t>Важни</w:t>
            </w:r>
          </w:p>
        </w:tc>
        <w:tc>
          <w:tcPr>
            <w:tcW w:w="831" w:type="dxa"/>
            <w:tcBorders>
              <w:top w:val="nil"/>
              <w:left w:val="nil"/>
              <w:bottom w:val="single" w:sz="4" w:space="0" w:color="000000"/>
              <w:right w:val="single" w:sz="12" w:space="0" w:color="000000"/>
            </w:tcBorders>
            <w:vAlign w:val="center"/>
          </w:tcPr>
          <w:p>
            <w:pPr>
              <w:spacing w:after="0"/>
              <w:jc w:val="center"/>
              <w:rPr>
                <w:noProof/>
                <w:color w:val="000000"/>
                <w:szCs w:val="24"/>
              </w:rPr>
            </w:pPr>
            <w:r>
              <w:rPr>
                <w:noProof/>
                <w:sz w:val="18"/>
              </w:rPr>
              <w:t>73</w:t>
            </w:r>
          </w:p>
        </w:tc>
        <w:tc>
          <w:tcPr>
            <w:tcW w:w="728" w:type="dxa"/>
            <w:tcBorders>
              <w:top w:val="nil"/>
              <w:left w:val="single" w:sz="12" w:space="0" w:color="000000"/>
              <w:bottom w:val="single" w:sz="4" w:space="0" w:color="000000"/>
              <w:right w:val="single" w:sz="4" w:space="0" w:color="000000"/>
            </w:tcBorders>
            <w:vAlign w:val="center"/>
          </w:tcPr>
          <w:p>
            <w:pPr>
              <w:spacing w:after="0"/>
              <w:jc w:val="center"/>
              <w:rPr>
                <w:noProof/>
                <w:color w:val="000000"/>
                <w:szCs w:val="24"/>
              </w:rPr>
            </w:pPr>
            <w:r>
              <w:rPr>
                <w:noProof/>
                <w:sz w:val="18"/>
              </w:rPr>
              <w:t>60</w:t>
            </w:r>
          </w:p>
        </w:tc>
        <w:tc>
          <w:tcPr>
            <w:tcW w:w="850" w:type="dxa"/>
            <w:tcBorders>
              <w:top w:val="nil"/>
              <w:left w:val="nil"/>
              <w:bottom w:val="single" w:sz="4" w:space="0" w:color="000000"/>
              <w:right w:val="single" w:sz="12" w:space="0" w:color="000000"/>
            </w:tcBorders>
            <w:vAlign w:val="center"/>
          </w:tcPr>
          <w:p>
            <w:pPr>
              <w:spacing w:after="0"/>
              <w:jc w:val="center"/>
              <w:rPr>
                <w:noProof/>
                <w:color w:val="000000"/>
                <w:szCs w:val="24"/>
              </w:rPr>
            </w:pPr>
            <w:r>
              <w:rPr>
                <w:noProof/>
                <w:sz w:val="18"/>
              </w:rPr>
              <w:t>82 %</w:t>
            </w:r>
          </w:p>
        </w:tc>
        <w:tc>
          <w:tcPr>
            <w:tcW w:w="676" w:type="dxa"/>
            <w:tcBorders>
              <w:top w:val="nil"/>
              <w:left w:val="single" w:sz="12" w:space="0" w:color="000000"/>
              <w:bottom w:val="single" w:sz="4" w:space="0" w:color="000000"/>
              <w:right w:val="single" w:sz="4" w:space="0" w:color="000000"/>
            </w:tcBorders>
            <w:vAlign w:val="center"/>
          </w:tcPr>
          <w:p>
            <w:pPr>
              <w:spacing w:after="0"/>
              <w:jc w:val="center"/>
              <w:rPr>
                <w:noProof/>
                <w:color w:val="000000"/>
                <w:szCs w:val="24"/>
              </w:rPr>
            </w:pPr>
            <w:r>
              <w:rPr>
                <w:noProof/>
                <w:sz w:val="18"/>
              </w:rPr>
              <w:t>13</w:t>
            </w:r>
          </w:p>
        </w:tc>
        <w:tc>
          <w:tcPr>
            <w:tcW w:w="693" w:type="dxa"/>
            <w:tcBorders>
              <w:top w:val="nil"/>
              <w:left w:val="nil"/>
              <w:bottom w:val="single" w:sz="4" w:space="0" w:color="000000"/>
              <w:right w:val="single" w:sz="4" w:space="0" w:color="000000"/>
            </w:tcBorders>
            <w:vAlign w:val="center"/>
          </w:tcPr>
          <w:p>
            <w:pPr>
              <w:spacing w:after="0"/>
              <w:jc w:val="center"/>
              <w:rPr>
                <w:noProof/>
                <w:color w:val="000000"/>
                <w:szCs w:val="24"/>
              </w:rPr>
            </w:pPr>
            <w:r>
              <w:rPr>
                <w:noProof/>
                <w:sz w:val="18"/>
              </w:rPr>
              <w:t>18 %</w:t>
            </w:r>
          </w:p>
        </w:tc>
        <w:tc>
          <w:tcPr>
            <w:tcW w:w="1181" w:type="dxa"/>
            <w:tcBorders>
              <w:top w:val="nil"/>
              <w:left w:val="nil"/>
              <w:bottom w:val="single" w:sz="4" w:space="0" w:color="000000"/>
              <w:right w:val="single" w:sz="4" w:space="0" w:color="000000"/>
            </w:tcBorders>
            <w:vAlign w:val="center"/>
          </w:tcPr>
          <w:p>
            <w:pPr>
              <w:spacing w:after="0"/>
              <w:jc w:val="center"/>
              <w:rPr>
                <w:noProof/>
                <w:color w:val="000000"/>
                <w:szCs w:val="24"/>
              </w:rPr>
            </w:pPr>
            <w:r>
              <w:rPr>
                <w:noProof/>
                <w:sz w:val="18"/>
              </w:rPr>
              <w:t>1</w:t>
            </w:r>
          </w:p>
        </w:tc>
        <w:tc>
          <w:tcPr>
            <w:tcW w:w="567" w:type="dxa"/>
            <w:tcBorders>
              <w:top w:val="nil"/>
              <w:left w:val="nil"/>
              <w:bottom w:val="single" w:sz="4" w:space="0" w:color="000000"/>
              <w:right w:val="single" w:sz="4" w:space="0" w:color="000000"/>
            </w:tcBorders>
            <w:vAlign w:val="center"/>
          </w:tcPr>
          <w:p>
            <w:pPr>
              <w:spacing w:after="0"/>
              <w:jc w:val="center"/>
              <w:rPr>
                <w:noProof/>
                <w:color w:val="000000"/>
                <w:szCs w:val="24"/>
              </w:rPr>
            </w:pPr>
            <w:r>
              <w:rPr>
                <w:noProof/>
                <w:sz w:val="18"/>
              </w:rPr>
              <w:t>1</w:t>
            </w:r>
          </w:p>
        </w:tc>
        <w:tc>
          <w:tcPr>
            <w:tcW w:w="709" w:type="dxa"/>
            <w:tcBorders>
              <w:top w:val="nil"/>
              <w:left w:val="nil"/>
              <w:bottom w:val="single" w:sz="4" w:space="0" w:color="000000"/>
              <w:right w:val="single" w:sz="4" w:space="0" w:color="000000"/>
            </w:tcBorders>
            <w:vAlign w:val="center"/>
          </w:tcPr>
          <w:p>
            <w:pPr>
              <w:spacing w:after="0"/>
              <w:jc w:val="center"/>
              <w:rPr>
                <w:noProof/>
                <w:color w:val="000000"/>
                <w:szCs w:val="24"/>
              </w:rPr>
            </w:pPr>
            <w:r>
              <w:rPr>
                <w:noProof/>
                <w:sz w:val="18"/>
              </w:rPr>
              <w:t>1</w:t>
            </w:r>
          </w:p>
        </w:tc>
        <w:tc>
          <w:tcPr>
            <w:tcW w:w="677" w:type="dxa"/>
            <w:tcBorders>
              <w:top w:val="nil"/>
              <w:left w:val="nil"/>
              <w:bottom w:val="single" w:sz="4" w:space="0" w:color="000000"/>
              <w:right w:val="single" w:sz="12" w:space="0" w:color="000000"/>
            </w:tcBorders>
            <w:vAlign w:val="center"/>
          </w:tcPr>
          <w:p>
            <w:pPr>
              <w:spacing w:after="0"/>
              <w:jc w:val="center"/>
              <w:rPr>
                <w:noProof/>
                <w:color w:val="000000"/>
                <w:szCs w:val="24"/>
              </w:rPr>
            </w:pPr>
            <w:r>
              <w:rPr>
                <w:noProof/>
                <w:sz w:val="18"/>
              </w:rPr>
              <w:t>10</w:t>
            </w:r>
          </w:p>
        </w:tc>
      </w:tr>
      <w:tr>
        <w:trPr>
          <w:trHeight w:val="246"/>
          <w:jc w:val="center"/>
        </w:trPr>
        <w:tc>
          <w:tcPr>
            <w:tcW w:w="917" w:type="dxa"/>
            <w:vMerge/>
            <w:tcBorders>
              <w:top w:val="nil"/>
              <w:left w:val="single" w:sz="12" w:space="0" w:color="000000"/>
              <w:bottom w:val="single" w:sz="8" w:space="0" w:color="000000"/>
              <w:right w:val="single" w:sz="4" w:space="0" w:color="000000"/>
            </w:tcBorders>
            <w:vAlign w:val="center"/>
          </w:tcPr>
          <w:p>
            <w:pPr>
              <w:spacing w:after="0"/>
              <w:jc w:val="left"/>
              <w:rPr>
                <w:noProof/>
                <w:color w:val="000000"/>
                <w:szCs w:val="24"/>
              </w:rPr>
            </w:pPr>
          </w:p>
        </w:tc>
        <w:tc>
          <w:tcPr>
            <w:tcW w:w="1445" w:type="dxa"/>
            <w:tcBorders>
              <w:top w:val="nil"/>
              <w:left w:val="nil"/>
              <w:bottom w:val="nil"/>
              <w:right w:val="single" w:sz="4" w:space="0" w:color="000000"/>
            </w:tcBorders>
            <w:vAlign w:val="bottom"/>
          </w:tcPr>
          <w:p>
            <w:pPr>
              <w:spacing w:after="0"/>
              <w:jc w:val="left"/>
              <w:rPr>
                <w:noProof/>
                <w:color w:val="000000"/>
                <w:szCs w:val="24"/>
              </w:rPr>
            </w:pPr>
            <w:r>
              <w:rPr>
                <w:noProof/>
                <w:sz w:val="18"/>
              </w:rPr>
              <w:t>Желателни</w:t>
            </w:r>
          </w:p>
        </w:tc>
        <w:tc>
          <w:tcPr>
            <w:tcW w:w="831" w:type="dxa"/>
            <w:tcBorders>
              <w:top w:val="nil"/>
              <w:left w:val="nil"/>
              <w:bottom w:val="nil"/>
              <w:right w:val="single" w:sz="12" w:space="0" w:color="000000"/>
            </w:tcBorders>
            <w:vAlign w:val="center"/>
          </w:tcPr>
          <w:p>
            <w:pPr>
              <w:spacing w:after="0"/>
              <w:jc w:val="center"/>
              <w:rPr>
                <w:noProof/>
                <w:color w:val="000000"/>
                <w:szCs w:val="24"/>
              </w:rPr>
            </w:pPr>
            <w:r>
              <w:rPr>
                <w:noProof/>
                <w:sz w:val="18"/>
              </w:rPr>
              <w:t>6</w:t>
            </w:r>
          </w:p>
        </w:tc>
        <w:tc>
          <w:tcPr>
            <w:tcW w:w="728" w:type="dxa"/>
            <w:tcBorders>
              <w:top w:val="nil"/>
              <w:left w:val="single" w:sz="12" w:space="0" w:color="000000"/>
              <w:bottom w:val="nil"/>
              <w:right w:val="single" w:sz="4" w:space="0" w:color="000000"/>
            </w:tcBorders>
            <w:vAlign w:val="center"/>
          </w:tcPr>
          <w:p>
            <w:pPr>
              <w:spacing w:after="0"/>
              <w:jc w:val="center"/>
              <w:rPr>
                <w:noProof/>
                <w:color w:val="000000"/>
                <w:szCs w:val="24"/>
              </w:rPr>
            </w:pPr>
            <w:r>
              <w:rPr>
                <w:noProof/>
                <w:sz w:val="18"/>
              </w:rPr>
              <w:t>6</w:t>
            </w:r>
          </w:p>
        </w:tc>
        <w:tc>
          <w:tcPr>
            <w:tcW w:w="850" w:type="dxa"/>
            <w:tcBorders>
              <w:top w:val="nil"/>
              <w:left w:val="nil"/>
              <w:bottom w:val="single" w:sz="4" w:space="0" w:color="000000"/>
              <w:right w:val="single" w:sz="12" w:space="0" w:color="000000"/>
            </w:tcBorders>
            <w:vAlign w:val="center"/>
          </w:tcPr>
          <w:p>
            <w:pPr>
              <w:spacing w:after="0"/>
              <w:jc w:val="center"/>
              <w:rPr>
                <w:noProof/>
                <w:color w:val="000000"/>
                <w:szCs w:val="24"/>
              </w:rPr>
            </w:pPr>
            <w:r>
              <w:rPr>
                <w:noProof/>
                <w:sz w:val="18"/>
              </w:rPr>
              <w:t>100 %</w:t>
            </w:r>
          </w:p>
        </w:tc>
        <w:tc>
          <w:tcPr>
            <w:tcW w:w="676" w:type="dxa"/>
            <w:tcBorders>
              <w:top w:val="nil"/>
              <w:left w:val="single" w:sz="12" w:space="0" w:color="000000"/>
              <w:bottom w:val="nil"/>
              <w:right w:val="single" w:sz="4" w:space="0" w:color="000000"/>
            </w:tcBorders>
            <w:vAlign w:val="center"/>
          </w:tcPr>
          <w:p>
            <w:pPr>
              <w:spacing w:after="0"/>
              <w:jc w:val="center"/>
              <w:rPr>
                <w:noProof/>
                <w:color w:val="000000"/>
                <w:szCs w:val="24"/>
              </w:rPr>
            </w:pPr>
            <w:r>
              <w:rPr>
                <w:noProof/>
                <w:sz w:val="18"/>
              </w:rPr>
              <w:t>0</w:t>
            </w:r>
          </w:p>
        </w:tc>
        <w:tc>
          <w:tcPr>
            <w:tcW w:w="693" w:type="dxa"/>
            <w:tcBorders>
              <w:top w:val="nil"/>
              <w:left w:val="nil"/>
              <w:bottom w:val="single" w:sz="4" w:space="0" w:color="000000"/>
              <w:right w:val="single" w:sz="4" w:space="0" w:color="000000"/>
            </w:tcBorders>
            <w:vAlign w:val="center"/>
          </w:tcPr>
          <w:p>
            <w:pPr>
              <w:spacing w:after="0"/>
              <w:jc w:val="center"/>
              <w:rPr>
                <w:noProof/>
                <w:color w:val="000000"/>
                <w:szCs w:val="24"/>
              </w:rPr>
            </w:pPr>
            <w:r>
              <w:rPr>
                <w:noProof/>
                <w:sz w:val="18"/>
              </w:rPr>
              <w:t>0 %</w:t>
            </w:r>
          </w:p>
        </w:tc>
        <w:tc>
          <w:tcPr>
            <w:tcW w:w="1181" w:type="dxa"/>
            <w:tcBorders>
              <w:top w:val="nil"/>
              <w:left w:val="nil"/>
              <w:bottom w:val="nil"/>
              <w:right w:val="single" w:sz="4" w:space="0" w:color="000000"/>
            </w:tcBorders>
            <w:vAlign w:val="center"/>
          </w:tcPr>
          <w:p>
            <w:pPr>
              <w:spacing w:after="0"/>
              <w:jc w:val="center"/>
              <w:rPr>
                <w:noProof/>
                <w:color w:val="000000"/>
                <w:szCs w:val="24"/>
              </w:rPr>
            </w:pPr>
            <w:r>
              <w:rPr>
                <w:noProof/>
                <w:sz w:val="18"/>
              </w:rPr>
              <w:t>0</w:t>
            </w:r>
          </w:p>
        </w:tc>
        <w:tc>
          <w:tcPr>
            <w:tcW w:w="567" w:type="dxa"/>
            <w:tcBorders>
              <w:top w:val="nil"/>
              <w:left w:val="nil"/>
              <w:bottom w:val="nil"/>
              <w:right w:val="single" w:sz="4" w:space="0" w:color="000000"/>
            </w:tcBorders>
            <w:vAlign w:val="center"/>
          </w:tcPr>
          <w:p>
            <w:pPr>
              <w:spacing w:after="0"/>
              <w:jc w:val="center"/>
              <w:rPr>
                <w:noProof/>
                <w:color w:val="000000"/>
                <w:szCs w:val="24"/>
              </w:rPr>
            </w:pPr>
            <w:r>
              <w:rPr>
                <w:noProof/>
                <w:sz w:val="18"/>
              </w:rPr>
              <w:t>0</w:t>
            </w:r>
          </w:p>
        </w:tc>
        <w:tc>
          <w:tcPr>
            <w:tcW w:w="709" w:type="dxa"/>
            <w:tcBorders>
              <w:top w:val="nil"/>
              <w:left w:val="nil"/>
              <w:bottom w:val="nil"/>
              <w:right w:val="single" w:sz="4" w:space="0" w:color="000000"/>
            </w:tcBorders>
            <w:vAlign w:val="center"/>
          </w:tcPr>
          <w:p>
            <w:pPr>
              <w:spacing w:after="0"/>
              <w:jc w:val="center"/>
              <w:rPr>
                <w:noProof/>
                <w:color w:val="000000"/>
                <w:szCs w:val="24"/>
              </w:rPr>
            </w:pPr>
            <w:r>
              <w:rPr>
                <w:noProof/>
                <w:sz w:val="18"/>
              </w:rPr>
              <w:t>0</w:t>
            </w:r>
          </w:p>
        </w:tc>
        <w:tc>
          <w:tcPr>
            <w:tcW w:w="677" w:type="dxa"/>
            <w:tcBorders>
              <w:top w:val="nil"/>
              <w:left w:val="nil"/>
              <w:bottom w:val="nil"/>
              <w:right w:val="single" w:sz="12" w:space="0" w:color="000000"/>
            </w:tcBorders>
            <w:vAlign w:val="center"/>
          </w:tcPr>
          <w:p>
            <w:pPr>
              <w:spacing w:after="0"/>
              <w:jc w:val="center"/>
              <w:rPr>
                <w:noProof/>
                <w:color w:val="000000"/>
                <w:szCs w:val="24"/>
              </w:rPr>
            </w:pPr>
            <w:r>
              <w:rPr>
                <w:noProof/>
                <w:sz w:val="18"/>
              </w:rPr>
              <w:t>0</w:t>
            </w:r>
          </w:p>
        </w:tc>
      </w:tr>
      <w:tr>
        <w:trPr>
          <w:trHeight w:val="246"/>
          <w:jc w:val="center"/>
        </w:trPr>
        <w:tc>
          <w:tcPr>
            <w:tcW w:w="917" w:type="dxa"/>
            <w:vMerge/>
            <w:tcBorders>
              <w:top w:val="nil"/>
              <w:left w:val="single" w:sz="12" w:space="0" w:color="000000"/>
              <w:bottom w:val="single" w:sz="8" w:space="0" w:color="000000"/>
              <w:right w:val="single" w:sz="4" w:space="0" w:color="000000"/>
            </w:tcBorders>
            <w:vAlign w:val="center"/>
          </w:tcPr>
          <w:p>
            <w:pPr>
              <w:spacing w:after="0"/>
              <w:jc w:val="left"/>
              <w:rPr>
                <w:noProof/>
                <w:color w:val="000000"/>
                <w:szCs w:val="24"/>
              </w:rPr>
            </w:pPr>
          </w:p>
        </w:tc>
        <w:tc>
          <w:tcPr>
            <w:tcW w:w="1445" w:type="dxa"/>
            <w:tcBorders>
              <w:top w:val="single" w:sz="8" w:space="0" w:color="000000"/>
              <w:left w:val="nil"/>
              <w:bottom w:val="single" w:sz="8" w:space="0" w:color="000000"/>
              <w:right w:val="single" w:sz="4" w:space="0" w:color="000000"/>
            </w:tcBorders>
            <w:shd w:val="clear" w:color="auto" w:fill="F2F2F2"/>
            <w:vAlign w:val="bottom"/>
          </w:tcPr>
          <w:p>
            <w:pPr>
              <w:spacing w:after="0"/>
              <w:jc w:val="left"/>
              <w:rPr>
                <w:noProof/>
                <w:color w:val="000000"/>
                <w:szCs w:val="24"/>
              </w:rPr>
            </w:pPr>
            <w:r>
              <w:rPr>
                <w:b/>
                <w:noProof/>
                <w:sz w:val="18"/>
              </w:rPr>
              <w:t>2013 г. Общо</w:t>
            </w:r>
          </w:p>
        </w:tc>
        <w:tc>
          <w:tcPr>
            <w:tcW w:w="831" w:type="dxa"/>
            <w:tcBorders>
              <w:top w:val="single" w:sz="8" w:space="0" w:color="000000"/>
              <w:left w:val="nil"/>
              <w:bottom w:val="single" w:sz="8" w:space="0" w:color="000000"/>
              <w:right w:val="single" w:sz="12" w:space="0" w:color="000000"/>
            </w:tcBorders>
            <w:shd w:val="clear" w:color="auto" w:fill="F2F2F2"/>
            <w:vAlign w:val="center"/>
          </w:tcPr>
          <w:p>
            <w:pPr>
              <w:spacing w:after="0"/>
              <w:jc w:val="center"/>
              <w:rPr>
                <w:noProof/>
                <w:color w:val="000000"/>
                <w:szCs w:val="24"/>
              </w:rPr>
            </w:pPr>
            <w:r>
              <w:rPr>
                <w:b/>
                <w:noProof/>
                <w:sz w:val="18"/>
              </w:rPr>
              <w:t>127</w:t>
            </w:r>
          </w:p>
        </w:tc>
        <w:tc>
          <w:tcPr>
            <w:tcW w:w="728" w:type="dxa"/>
            <w:tcBorders>
              <w:top w:val="single" w:sz="8" w:space="0" w:color="000000"/>
              <w:left w:val="single" w:sz="12" w:space="0" w:color="000000"/>
              <w:bottom w:val="single" w:sz="8" w:space="0" w:color="000000"/>
              <w:right w:val="single" w:sz="4" w:space="0" w:color="000000"/>
            </w:tcBorders>
            <w:shd w:val="clear" w:color="auto" w:fill="F2F2F2"/>
            <w:vAlign w:val="center"/>
          </w:tcPr>
          <w:p>
            <w:pPr>
              <w:spacing w:after="0"/>
              <w:jc w:val="center"/>
              <w:rPr>
                <w:noProof/>
                <w:color w:val="000000"/>
                <w:szCs w:val="24"/>
              </w:rPr>
            </w:pPr>
            <w:r>
              <w:rPr>
                <w:b/>
                <w:noProof/>
                <w:sz w:val="18"/>
              </w:rPr>
              <w:t>106</w:t>
            </w:r>
          </w:p>
        </w:tc>
        <w:tc>
          <w:tcPr>
            <w:tcW w:w="850" w:type="dxa"/>
            <w:tcBorders>
              <w:top w:val="single" w:sz="8" w:space="0" w:color="000000"/>
              <w:left w:val="nil"/>
              <w:bottom w:val="single" w:sz="8" w:space="0" w:color="000000"/>
              <w:right w:val="single" w:sz="12" w:space="0" w:color="000000"/>
            </w:tcBorders>
            <w:shd w:val="clear" w:color="auto" w:fill="F2F2F2"/>
            <w:vAlign w:val="center"/>
          </w:tcPr>
          <w:p>
            <w:pPr>
              <w:spacing w:after="0"/>
              <w:jc w:val="center"/>
              <w:rPr>
                <w:noProof/>
                <w:color w:val="000000"/>
                <w:szCs w:val="24"/>
              </w:rPr>
            </w:pPr>
            <w:r>
              <w:rPr>
                <w:b/>
                <w:noProof/>
                <w:sz w:val="18"/>
              </w:rPr>
              <w:t>83 %</w:t>
            </w:r>
          </w:p>
        </w:tc>
        <w:tc>
          <w:tcPr>
            <w:tcW w:w="676" w:type="dxa"/>
            <w:tcBorders>
              <w:top w:val="single" w:sz="8" w:space="0" w:color="000000"/>
              <w:left w:val="single" w:sz="12" w:space="0" w:color="000000"/>
              <w:bottom w:val="single" w:sz="8" w:space="0" w:color="000000"/>
              <w:right w:val="single" w:sz="4" w:space="0" w:color="000000"/>
            </w:tcBorders>
            <w:shd w:val="clear" w:color="auto" w:fill="F2F2F2"/>
            <w:vAlign w:val="center"/>
          </w:tcPr>
          <w:p>
            <w:pPr>
              <w:spacing w:after="0"/>
              <w:jc w:val="center"/>
              <w:rPr>
                <w:noProof/>
                <w:color w:val="000000"/>
                <w:szCs w:val="24"/>
              </w:rPr>
            </w:pPr>
            <w:r>
              <w:rPr>
                <w:b/>
                <w:noProof/>
                <w:sz w:val="18"/>
              </w:rPr>
              <w:t>21</w:t>
            </w:r>
          </w:p>
        </w:tc>
        <w:tc>
          <w:tcPr>
            <w:tcW w:w="693" w:type="dxa"/>
            <w:tcBorders>
              <w:top w:val="single" w:sz="8" w:space="0" w:color="000000"/>
              <w:left w:val="nil"/>
              <w:bottom w:val="single" w:sz="8" w:space="0" w:color="000000"/>
              <w:right w:val="single" w:sz="8" w:space="0" w:color="000000"/>
            </w:tcBorders>
            <w:shd w:val="clear" w:color="auto" w:fill="F2F2F2"/>
            <w:vAlign w:val="center"/>
          </w:tcPr>
          <w:p>
            <w:pPr>
              <w:spacing w:after="0"/>
              <w:jc w:val="center"/>
              <w:rPr>
                <w:noProof/>
                <w:color w:val="000000"/>
                <w:szCs w:val="24"/>
              </w:rPr>
            </w:pPr>
            <w:r>
              <w:rPr>
                <w:b/>
                <w:noProof/>
                <w:sz w:val="18"/>
              </w:rPr>
              <w:t>17 %</w:t>
            </w:r>
          </w:p>
        </w:tc>
        <w:tc>
          <w:tcPr>
            <w:tcW w:w="1181" w:type="dxa"/>
            <w:tcBorders>
              <w:top w:val="single" w:sz="8" w:space="0" w:color="000000"/>
              <w:left w:val="single" w:sz="4" w:space="0" w:color="000000"/>
              <w:bottom w:val="single" w:sz="8" w:space="0" w:color="000000"/>
              <w:right w:val="single" w:sz="4" w:space="0" w:color="000000"/>
            </w:tcBorders>
            <w:shd w:val="clear" w:color="auto" w:fill="F2F2F2"/>
            <w:vAlign w:val="center"/>
          </w:tcPr>
          <w:p>
            <w:pPr>
              <w:spacing w:after="0"/>
              <w:jc w:val="center"/>
              <w:rPr>
                <w:noProof/>
                <w:color w:val="000000"/>
                <w:szCs w:val="24"/>
              </w:rPr>
            </w:pPr>
            <w:r>
              <w:rPr>
                <w:b/>
                <w:noProof/>
                <w:sz w:val="18"/>
              </w:rPr>
              <w:t>6</w:t>
            </w:r>
          </w:p>
        </w:tc>
        <w:tc>
          <w:tcPr>
            <w:tcW w:w="567" w:type="dxa"/>
            <w:tcBorders>
              <w:top w:val="single" w:sz="8" w:space="0" w:color="000000"/>
              <w:left w:val="nil"/>
              <w:bottom w:val="single" w:sz="8" w:space="0" w:color="000000"/>
              <w:right w:val="single" w:sz="4" w:space="0" w:color="000000"/>
            </w:tcBorders>
            <w:shd w:val="clear" w:color="auto" w:fill="F2F2F2"/>
            <w:vAlign w:val="center"/>
          </w:tcPr>
          <w:p>
            <w:pPr>
              <w:spacing w:after="0"/>
              <w:jc w:val="center"/>
              <w:rPr>
                <w:noProof/>
                <w:color w:val="000000"/>
                <w:szCs w:val="24"/>
              </w:rPr>
            </w:pPr>
            <w:r>
              <w:rPr>
                <w:b/>
                <w:noProof/>
                <w:sz w:val="18"/>
              </w:rPr>
              <w:t>1</w:t>
            </w:r>
          </w:p>
        </w:tc>
        <w:tc>
          <w:tcPr>
            <w:tcW w:w="709" w:type="dxa"/>
            <w:tcBorders>
              <w:top w:val="single" w:sz="8" w:space="0" w:color="000000"/>
              <w:left w:val="nil"/>
              <w:bottom w:val="single" w:sz="8" w:space="0" w:color="000000"/>
              <w:right w:val="single" w:sz="4" w:space="0" w:color="000000"/>
            </w:tcBorders>
            <w:shd w:val="clear" w:color="auto" w:fill="F2F2F2"/>
            <w:vAlign w:val="center"/>
          </w:tcPr>
          <w:p>
            <w:pPr>
              <w:spacing w:after="0"/>
              <w:jc w:val="center"/>
              <w:rPr>
                <w:noProof/>
                <w:color w:val="000000"/>
                <w:szCs w:val="24"/>
              </w:rPr>
            </w:pPr>
            <w:r>
              <w:rPr>
                <w:b/>
                <w:noProof/>
                <w:sz w:val="18"/>
              </w:rPr>
              <w:t>1</w:t>
            </w:r>
          </w:p>
        </w:tc>
        <w:tc>
          <w:tcPr>
            <w:tcW w:w="677" w:type="dxa"/>
            <w:tcBorders>
              <w:top w:val="single" w:sz="8" w:space="0" w:color="000000"/>
              <w:left w:val="nil"/>
              <w:bottom w:val="single" w:sz="8" w:space="0" w:color="000000"/>
              <w:right w:val="single" w:sz="12" w:space="0" w:color="000000"/>
            </w:tcBorders>
            <w:shd w:val="clear" w:color="auto" w:fill="F2F2F2"/>
            <w:vAlign w:val="center"/>
          </w:tcPr>
          <w:p>
            <w:pPr>
              <w:spacing w:after="0"/>
              <w:jc w:val="center"/>
              <w:rPr>
                <w:noProof/>
                <w:color w:val="000000"/>
                <w:szCs w:val="24"/>
              </w:rPr>
            </w:pPr>
            <w:r>
              <w:rPr>
                <w:b/>
                <w:noProof/>
                <w:sz w:val="18"/>
              </w:rPr>
              <w:t>13</w:t>
            </w:r>
          </w:p>
        </w:tc>
      </w:tr>
      <w:tr>
        <w:trPr>
          <w:trHeight w:val="225"/>
          <w:jc w:val="center"/>
        </w:trPr>
        <w:tc>
          <w:tcPr>
            <w:tcW w:w="917" w:type="dxa"/>
            <w:vMerge w:val="restart"/>
            <w:tcBorders>
              <w:top w:val="nil"/>
              <w:left w:val="single" w:sz="12" w:space="0" w:color="000000"/>
              <w:bottom w:val="single" w:sz="8" w:space="0" w:color="000000"/>
              <w:right w:val="single" w:sz="4" w:space="0" w:color="000000"/>
            </w:tcBorders>
            <w:shd w:val="clear" w:color="auto" w:fill="F2F2F2"/>
            <w:vAlign w:val="center"/>
          </w:tcPr>
          <w:p>
            <w:pPr>
              <w:spacing w:after="0"/>
              <w:jc w:val="center"/>
              <w:rPr>
                <w:noProof/>
                <w:color w:val="000000"/>
                <w:szCs w:val="24"/>
              </w:rPr>
            </w:pPr>
            <w:r>
              <w:rPr>
                <w:noProof/>
                <w:sz w:val="18"/>
              </w:rPr>
              <w:t>2014 г.</w:t>
            </w:r>
          </w:p>
        </w:tc>
        <w:tc>
          <w:tcPr>
            <w:tcW w:w="1445" w:type="dxa"/>
            <w:tcBorders>
              <w:top w:val="nil"/>
              <w:left w:val="nil"/>
              <w:bottom w:val="single" w:sz="4" w:space="0" w:color="000000"/>
              <w:right w:val="single" w:sz="4" w:space="0" w:color="000000"/>
            </w:tcBorders>
            <w:vAlign w:val="bottom"/>
          </w:tcPr>
          <w:p>
            <w:pPr>
              <w:spacing w:after="0"/>
              <w:jc w:val="left"/>
              <w:rPr>
                <w:noProof/>
                <w:color w:val="000000"/>
                <w:szCs w:val="24"/>
              </w:rPr>
            </w:pPr>
            <w:r>
              <w:rPr>
                <w:noProof/>
                <w:sz w:val="18"/>
              </w:rPr>
              <w:t>Критични</w:t>
            </w:r>
          </w:p>
        </w:tc>
        <w:tc>
          <w:tcPr>
            <w:tcW w:w="831" w:type="dxa"/>
            <w:tcBorders>
              <w:top w:val="nil"/>
              <w:left w:val="nil"/>
              <w:bottom w:val="single" w:sz="4" w:space="0" w:color="000000"/>
              <w:right w:val="single" w:sz="12" w:space="0" w:color="000000"/>
            </w:tcBorders>
            <w:vAlign w:val="center"/>
          </w:tcPr>
          <w:p>
            <w:pPr>
              <w:spacing w:after="0"/>
              <w:jc w:val="center"/>
              <w:rPr>
                <w:noProof/>
                <w:color w:val="000000"/>
                <w:szCs w:val="24"/>
              </w:rPr>
            </w:pPr>
            <w:r>
              <w:rPr>
                <w:noProof/>
                <w:sz w:val="18"/>
              </w:rPr>
              <w:t>0</w:t>
            </w:r>
          </w:p>
        </w:tc>
        <w:tc>
          <w:tcPr>
            <w:tcW w:w="728" w:type="dxa"/>
            <w:tcBorders>
              <w:top w:val="nil"/>
              <w:left w:val="single" w:sz="12" w:space="0" w:color="000000"/>
              <w:bottom w:val="single" w:sz="4" w:space="0" w:color="000000"/>
              <w:right w:val="single" w:sz="4" w:space="0" w:color="000000"/>
            </w:tcBorders>
            <w:vAlign w:val="center"/>
          </w:tcPr>
          <w:p>
            <w:pPr>
              <w:spacing w:after="0"/>
              <w:jc w:val="center"/>
              <w:rPr>
                <w:noProof/>
                <w:color w:val="000000"/>
                <w:szCs w:val="24"/>
              </w:rPr>
            </w:pPr>
            <w:r>
              <w:rPr>
                <w:noProof/>
                <w:sz w:val="18"/>
              </w:rPr>
              <w:t>0</w:t>
            </w:r>
          </w:p>
        </w:tc>
        <w:tc>
          <w:tcPr>
            <w:tcW w:w="850" w:type="dxa"/>
            <w:tcBorders>
              <w:top w:val="nil"/>
              <w:left w:val="nil"/>
              <w:bottom w:val="single" w:sz="4" w:space="0" w:color="000000"/>
              <w:right w:val="single" w:sz="12" w:space="0" w:color="000000"/>
            </w:tcBorders>
            <w:vAlign w:val="center"/>
          </w:tcPr>
          <w:p>
            <w:pPr>
              <w:spacing w:after="0"/>
              <w:jc w:val="center"/>
              <w:rPr>
                <w:noProof/>
                <w:color w:val="000000"/>
                <w:szCs w:val="24"/>
              </w:rPr>
            </w:pPr>
            <w:r>
              <w:rPr>
                <w:noProof/>
                <w:sz w:val="18"/>
              </w:rPr>
              <w:t>0 %</w:t>
            </w:r>
          </w:p>
        </w:tc>
        <w:tc>
          <w:tcPr>
            <w:tcW w:w="676" w:type="dxa"/>
            <w:tcBorders>
              <w:top w:val="nil"/>
              <w:left w:val="single" w:sz="12" w:space="0" w:color="000000"/>
              <w:bottom w:val="single" w:sz="4" w:space="0" w:color="000000"/>
              <w:right w:val="single" w:sz="4" w:space="0" w:color="000000"/>
            </w:tcBorders>
            <w:vAlign w:val="center"/>
          </w:tcPr>
          <w:p>
            <w:pPr>
              <w:spacing w:after="0"/>
              <w:jc w:val="center"/>
              <w:rPr>
                <w:noProof/>
                <w:color w:val="000000"/>
                <w:szCs w:val="24"/>
              </w:rPr>
            </w:pPr>
            <w:r>
              <w:rPr>
                <w:noProof/>
                <w:sz w:val="18"/>
              </w:rPr>
              <w:t>0</w:t>
            </w:r>
          </w:p>
        </w:tc>
        <w:tc>
          <w:tcPr>
            <w:tcW w:w="693" w:type="dxa"/>
            <w:tcBorders>
              <w:top w:val="nil"/>
              <w:left w:val="nil"/>
              <w:bottom w:val="single" w:sz="4" w:space="0" w:color="000000"/>
              <w:right w:val="single" w:sz="4" w:space="0" w:color="000000"/>
            </w:tcBorders>
            <w:vAlign w:val="center"/>
          </w:tcPr>
          <w:p>
            <w:pPr>
              <w:spacing w:after="0"/>
              <w:jc w:val="center"/>
              <w:rPr>
                <w:noProof/>
                <w:color w:val="000000"/>
                <w:szCs w:val="24"/>
              </w:rPr>
            </w:pPr>
            <w:r>
              <w:rPr>
                <w:noProof/>
                <w:sz w:val="18"/>
              </w:rPr>
              <w:t>0 %</w:t>
            </w:r>
          </w:p>
        </w:tc>
        <w:tc>
          <w:tcPr>
            <w:tcW w:w="1181" w:type="dxa"/>
            <w:tcBorders>
              <w:top w:val="nil"/>
              <w:left w:val="nil"/>
              <w:bottom w:val="single" w:sz="4" w:space="0" w:color="000000"/>
              <w:right w:val="single" w:sz="4" w:space="0" w:color="000000"/>
            </w:tcBorders>
            <w:vAlign w:val="center"/>
          </w:tcPr>
          <w:p>
            <w:pPr>
              <w:spacing w:after="0"/>
              <w:jc w:val="center"/>
              <w:rPr>
                <w:noProof/>
                <w:color w:val="000000"/>
                <w:szCs w:val="24"/>
              </w:rPr>
            </w:pPr>
            <w:r>
              <w:rPr>
                <w:noProof/>
                <w:sz w:val="18"/>
              </w:rPr>
              <w:t>0</w:t>
            </w:r>
          </w:p>
        </w:tc>
        <w:tc>
          <w:tcPr>
            <w:tcW w:w="567" w:type="dxa"/>
            <w:tcBorders>
              <w:top w:val="nil"/>
              <w:left w:val="nil"/>
              <w:bottom w:val="single" w:sz="4" w:space="0" w:color="000000"/>
              <w:right w:val="single" w:sz="4" w:space="0" w:color="000000"/>
            </w:tcBorders>
            <w:vAlign w:val="center"/>
          </w:tcPr>
          <w:p>
            <w:pPr>
              <w:spacing w:after="0"/>
              <w:jc w:val="center"/>
              <w:rPr>
                <w:noProof/>
                <w:color w:val="000000"/>
                <w:szCs w:val="24"/>
              </w:rPr>
            </w:pPr>
            <w:r>
              <w:rPr>
                <w:noProof/>
                <w:sz w:val="18"/>
              </w:rPr>
              <w:t>0</w:t>
            </w:r>
          </w:p>
        </w:tc>
        <w:tc>
          <w:tcPr>
            <w:tcW w:w="709" w:type="dxa"/>
            <w:tcBorders>
              <w:top w:val="nil"/>
              <w:left w:val="nil"/>
              <w:bottom w:val="single" w:sz="4" w:space="0" w:color="000000"/>
              <w:right w:val="single" w:sz="4" w:space="0" w:color="000000"/>
            </w:tcBorders>
            <w:vAlign w:val="center"/>
          </w:tcPr>
          <w:p>
            <w:pPr>
              <w:spacing w:after="0"/>
              <w:jc w:val="center"/>
              <w:rPr>
                <w:noProof/>
                <w:color w:val="000000"/>
                <w:szCs w:val="24"/>
              </w:rPr>
            </w:pPr>
            <w:r>
              <w:rPr>
                <w:noProof/>
                <w:sz w:val="18"/>
              </w:rPr>
              <w:t>0</w:t>
            </w:r>
          </w:p>
        </w:tc>
        <w:tc>
          <w:tcPr>
            <w:tcW w:w="677" w:type="dxa"/>
            <w:tcBorders>
              <w:top w:val="nil"/>
              <w:left w:val="nil"/>
              <w:bottom w:val="single" w:sz="4" w:space="0" w:color="000000"/>
              <w:right w:val="single" w:sz="12" w:space="0" w:color="000000"/>
            </w:tcBorders>
            <w:vAlign w:val="center"/>
          </w:tcPr>
          <w:p>
            <w:pPr>
              <w:spacing w:after="0"/>
              <w:jc w:val="center"/>
              <w:rPr>
                <w:noProof/>
                <w:color w:val="000000"/>
                <w:szCs w:val="24"/>
              </w:rPr>
            </w:pPr>
            <w:r>
              <w:rPr>
                <w:noProof/>
                <w:sz w:val="18"/>
              </w:rPr>
              <w:t>0</w:t>
            </w:r>
          </w:p>
        </w:tc>
      </w:tr>
      <w:tr>
        <w:trPr>
          <w:trHeight w:val="225"/>
          <w:jc w:val="center"/>
        </w:trPr>
        <w:tc>
          <w:tcPr>
            <w:tcW w:w="917" w:type="dxa"/>
            <w:vMerge/>
            <w:tcBorders>
              <w:top w:val="nil"/>
              <w:left w:val="single" w:sz="12" w:space="0" w:color="000000"/>
              <w:bottom w:val="single" w:sz="8" w:space="0" w:color="000000"/>
              <w:right w:val="single" w:sz="4" w:space="0" w:color="000000"/>
            </w:tcBorders>
            <w:vAlign w:val="center"/>
          </w:tcPr>
          <w:p>
            <w:pPr>
              <w:spacing w:after="0"/>
              <w:jc w:val="left"/>
              <w:rPr>
                <w:noProof/>
                <w:color w:val="000000"/>
                <w:szCs w:val="24"/>
              </w:rPr>
            </w:pPr>
          </w:p>
        </w:tc>
        <w:tc>
          <w:tcPr>
            <w:tcW w:w="1445" w:type="dxa"/>
            <w:tcBorders>
              <w:top w:val="nil"/>
              <w:left w:val="nil"/>
              <w:bottom w:val="single" w:sz="4" w:space="0" w:color="000000"/>
              <w:right w:val="single" w:sz="4" w:space="0" w:color="000000"/>
            </w:tcBorders>
            <w:vAlign w:val="bottom"/>
          </w:tcPr>
          <w:p>
            <w:pPr>
              <w:spacing w:after="0"/>
              <w:jc w:val="left"/>
              <w:rPr>
                <w:noProof/>
                <w:color w:val="000000"/>
                <w:szCs w:val="24"/>
              </w:rPr>
            </w:pPr>
            <w:r>
              <w:rPr>
                <w:noProof/>
                <w:sz w:val="18"/>
              </w:rPr>
              <w:t>Много важни</w:t>
            </w:r>
          </w:p>
        </w:tc>
        <w:tc>
          <w:tcPr>
            <w:tcW w:w="831" w:type="dxa"/>
            <w:tcBorders>
              <w:top w:val="nil"/>
              <w:left w:val="nil"/>
              <w:bottom w:val="single" w:sz="4" w:space="0" w:color="000000"/>
              <w:right w:val="single" w:sz="12" w:space="0" w:color="000000"/>
            </w:tcBorders>
            <w:vAlign w:val="center"/>
          </w:tcPr>
          <w:p>
            <w:pPr>
              <w:spacing w:after="0"/>
              <w:jc w:val="center"/>
              <w:rPr>
                <w:noProof/>
                <w:color w:val="000000"/>
                <w:szCs w:val="24"/>
              </w:rPr>
            </w:pPr>
            <w:r>
              <w:rPr>
                <w:noProof/>
                <w:sz w:val="18"/>
              </w:rPr>
              <w:t>45</w:t>
            </w:r>
          </w:p>
        </w:tc>
        <w:tc>
          <w:tcPr>
            <w:tcW w:w="728" w:type="dxa"/>
            <w:tcBorders>
              <w:top w:val="nil"/>
              <w:left w:val="single" w:sz="12" w:space="0" w:color="000000"/>
              <w:bottom w:val="single" w:sz="4" w:space="0" w:color="000000"/>
              <w:right w:val="single" w:sz="4" w:space="0" w:color="000000"/>
            </w:tcBorders>
            <w:vAlign w:val="center"/>
          </w:tcPr>
          <w:p>
            <w:pPr>
              <w:spacing w:after="0"/>
              <w:jc w:val="center"/>
              <w:rPr>
                <w:noProof/>
                <w:color w:val="000000"/>
                <w:szCs w:val="24"/>
              </w:rPr>
            </w:pPr>
            <w:r>
              <w:rPr>
                <w:noProof/>
                <w:sz w:val="18"/>
              </w:rPr>
              <w:t>19</w:t>
            </w:r>
          </w:p>
        </w:tc>
        <w:tc>
          <w:tcPr>
            <w:tcW w:w="850" w:type="dxa"/>
            <w:tcBorders>
              <w:top w:val="nil"/>
              <w:left w:val="nil"/>
              <w:bottom w:val="single" w:sz="4" w:space="0" w:color="000000"/>
              <w:right w:val="single" w:sz="12" w:space="0" w:color="000000"/>
            </w:tcBorders>
            <w:vAlign w:val="center"/>
          </w:tcPr>
          <w:p>
            <w:pPr>
              <w:spacing w:after="0"/>
              <w:jc w:val="center"/>
              <w:rPr>
                <w:noProof/>
                <w:color w:val="000000"/>
                <w:szCs w:val="24"/>
              </w:rPr>
            </w:pPr>
            <w:r>
              <w:rPr>
                <w:noProof/>
                <w:sz w:val="18"/>
              </w:rPr>
              <w:t>42 %</w:t>
            </w:r>
          </w:p>
        </w:tc>
        <w:tc>
          <w:tcPr>
            <w:tcW w:w="676" w:type="dxa"/>
            <w:tcBorders>
              <w:top w:val="nil"/>
              <w:left w:val="single" w:sz="12" w:space="0" w:color="000000"/>
              <w:bottom w:val="single" w:sz="4" w:space="0" w:color="000000"/>
              <w:right w:val="single" w:sz="4" w:space="0" w:color="000000"/>
            </w:tcBorders>
            <w:vAlign w:val="center"/>
          </w:tcPr>
          <w:p>
            <w:pPr>
              <w:spacing w:after="0"/>
              <w:jc w:val="center"/>
              <w:rPr>
                <w:noProof/>
                <w:color w:val="000000"/>
                <w:szCs w:val="24"/>
              </w:rPr>
            </w:pPr>
            <w:r>
              <w:rPr>
                <w:noProof/>
                <w:sz w:val="18"/>
              </w:rPr>
              <w:t>26</w:t>
            </w:r>
          </w:p>
        </w:tc>
        <w:tc>
          <w:tcPr>
            <w:tcW w:w="693" w:type="dxa"/>
            <w:tcBorders>
              <w:top w:val="nil"/>
              <w:left w:val="nil"/>
              <w:bottom w:val="single" w:sz="4" w:space="0" w:color="000000"/>
              <w:right w:val="single" w:sz="4" w:space="0" w:color="000000"/>
            </w:tcBorders>
            <w:vAlign w:val="center"/>
          </w:tcPr>
          <w:p>
            <w:pPr>
              <w:spacing w:after="0"/>
              <w:jc w:val="center"/>
              <w:rPr>
                <w:noProof/>
                <w:color w:val="000000"/>
                <w:szCs w:val="24"/>
              </w:rPr>
            </w:pPr>
            <w:r>
              <w:rPr>
                <w:noProof/>
                <w:sz w:val="18"/>
              </w:rPr>
              <w:t>58 %</w:t>
            </w:r>
          </w:p>
        </w:tc>
        <w:tc>
          <w:tcPr>
            <w:tcW w:w="1181" w:type="dxa"/>
            <w:tcBorders>
              <w:top w:val="nil"/>
              <w:left w:val="nil"/>
              <w:bottom w:val="single" w:sz="4" w:space="0" w:color="000000"/>
              <w:right w:val="single" w:sz="4" w:space="0" w:color="000000"/>
            </w:tcBorders>
            <w:vAlign w:val="center"/>
          </w:tcPr>
          <w:p>
            <w:pPr>
              <w:spacing w:after="0"/>
              <w:jc w:val="center"/>
              <w:rPr>
                <w:noProof/>
                <w:color w:val="000000"/>
                <w:szCs w:val="24"/>
              </w:rPr>
            </w:pPr>
            <w:r>
              <w:rPr>
                <w:noProof/>
                <w:sz w:val="18"/>
              </w:rPr>
              <w:t>5</w:t>
            </w:r>
          </w:p>
        </w:tc>
        <w:tc>
          <w:tcPr>
            <w:tcW w:w="567" w:type="dxa"/>
            <w:tcBorders>
              <w:top w:val="nil"/>
              <w:left w:val="nil"/>
              <w:bottom w:val="single" w:sz="4" w:space="0" w:color="000000"/>
              <w:right w:val="single" w:sz="4" w:space="0" w:color="000000"/>
            </w:tcBorders>
            <w:vAlign w:val="center"/>
          </w:tcPr>
          <w:p>
            <w:pPr>
              <w:spacing w:after="0"/>
              <w:jc w:val="center"/>
              <w:rPr>
                <w:noProof/>
                <w:color w:val="000000"/>
                <w:szCs w:val="24"/>
              </w:rPr>
            </w:pPr>
            <w:r>
              <w:rPr>
                <w:noProof/>
                <w:sz w:val="18"/>
              </w:rPr>
              <w:t>14</w:t>
            </w:r>
          </w:p>
        </w:tc>
        <w:tc>
          <w:tcPr>
            <w:tcW w:w="709" w:type="dxa"/>
            <w:tcBorders>
              <w:top w:val="single" w:sz="4" w:space="0" w:color="000000"/>
              <w:left w:val="nil"/>
              <w:bottom w:val="single" w:sz="4" w:space="0" w:color="000000"/>
              <w:right w:val="single" w:sz="4" w:space="0" w:color="000000"/>
            </w:tcBorders>
            <w:shd w:val="clear" w:color="auto" w:fill="auto"/>
            <w:vAlign w:val="center"/>
          </w:tcPr>
          <w:p>
            <w:pPr>
              <w:spacing w:after="0"/>
              <w:jc w:val="center"/>
              <w:rPr>
                <w:noProof/>
                <w:color w:val="000000"/>
                <w:szCs w:val="24"/>
              </w:rPr>
            </w:pPr>
            <w:r>
              <w:rPr>
                <w:noProof/>
                <w:sz w:val="18"/>
              </w:rPr>
              <w:t>7</w:t>
            </w:r>
          </w:p>
        </w:tc>
        <w:tc>
          <w:tcPr>
            <w:tcW w:w="677" w:type="dxa"/>
            <w:tcBorders>
              <w:top w:val="single" w:sz="4" w:space="0" w:color="000000"/>
              <w:left w:val="nil"/>
              <w:bottom w:val="single" w:sz="4" w:space="0" w:color="000000"/>
              <w:right w:val="single" w:sz="12" w:space="0" w:color="000000"/>
            </w:tcBorders>
            <w:vAlign w:val="center"/>
          </w:tcPr>
          <w:p>
            <w:pPr>
              <w:spacing w:after="0"/>
              <w:jc w:val="center"/>
              <w:rPr>
                <w:noProof/>
                <w:color w:val="000000"/>
                <w:szCs w:val="24"/>
              </w:rPr>
            </w:pPr>
            <w:r>
              <w:rPr>
                <w:noProof/>
                <w:sz w:val="18"/>
              </w:rPr>
              <w:t>0</w:t>
            </w:r>
          </w:p>
        </w:tc>
      </w:tr>
      <w:tr>
        <w:trPr>
          <w:trHeight w:val="225"/>
          <w:jc w:val="center"/>
        </w:trPr>
        <w:tc>
          <w:tcPr>
            <w:tcW w:w="917" w:type="dxa"/>
            <w:vMerge/>
            <w:tcBorders>
              <w:top w:val="nil"/>
              <w:left w:val="single" w:sz="12" w:space="0" w:color="000000"/>
              <w:bottom w:val="single" w:sz="8" w:space="0" w:color="000000"/>
              <w:right w:val="single" w:sz="4" w:space="0" w:color="000000"/>
            </w:tcBorders>
            <w:vAlign w:val="center"/>
          </w:tcPr>
          <w:p>
            <w:pPr>
              <w:spacing w:after="0"/>
              <w:jc w:val="left"/>
              <w:rPr>
                <w:noProof/>
                <w:color w:val="000000"/>
                <w:szCs w:val="24"/>
              </w:rPr>
            </w:pPr>
          </w:p>
        </w:tc>
        <w:tc>
          <w:tcPr>
            <w:tcW w:w="1445" w:type="dxa"/>
            <w:tcBorders>
              <w:top w:val="nil"/>
              <w:left w:val="nil"/>
              <w:bottom w:val="single" w:sz="4" w:space="0" w:color="000000"/>
              <w:right w:val="single" w:sz="4" w:space="0" w:color="000000"/>
            </w:tcBorders>
            <w:vAlign w:val="bottom"/>
          </w:tcPr>
          <w:p>
            <w:pPr>
              <w:spacing w:after="0"/>
              <w:jc w:val="left"/>
              <w:rPr>
                <w:noProof/>
                <w:color w:val="000000"/>
                <w:szCs w:val="24"/>
              </w:rPr>
            </w:pPr>
            <w:r>
              <w:rPr>
                <w:noProof/>
                <w:sz w:val="18"/>
              </w:rPr>
              <w:t>Важни</w:t>
            </w:r>
          </w:p>
        </w:tc>
        <w:tc>
          <w:tcPr>
            <w:tcW w:w="831" w:type="dxa"/>
            <w:tcBorders>
              <w:top w:val="nil"/>
              <w:left w:val="nil"/>
              <w:bottom w:val="single" w:sz="4" w:space="0" w:color="000000"/>
              <w:right w:val="single" w:sz="12" w:space="0" w:color="000000"/>
            </w:tcBorders>
            <w:vAlign w:val="center"/>
          </w:tcPr>
          <w:p>
            <w:pPr>
              <w:spacing w:after="0"/>
              <w:jc w:val="center"/>
              <w:rPr>
                <w:noProof/>
                <w:color w:val="000000"/>
                <w:szCs w:val="24"/>
              </w:rPr>
            </w:pPr>
            <w:r>
              <w:rPr>
                <w:noProof/>
                <w:sz w:val="18"/>
              </w:rPr>
              <w:t>77</w:t>
            </w:r>
          </w:p>
        </w:tc>
        <w:tc>
          <w:tcPr>
            <w:tcW w:w="728" w:type="dxa"/>
            <w:tcBorders>
              <w:top w:val="nil"/>
              <w:left w:val="single" w:sz="12" w:space="0" w:color="000000"/>
              <w:bottom w:val="single" w:sz="4" w:space="0" w:color="000000"/>
              <w:right w:val="single" w:sz="4" w:space="0" w:color="000000"/>
            </w:tcBorders>
            <w:vAlign w:val="center"/>
          </w:tcPr>
          <w:p>
            <w:pPr>
              <w:spacing w:after="0"/>
              <w:jc w:val="center"/>
              <w:rPr>
                <w:noProof/>
                <w:color w:val="000000"/>
                <w:szCs w:val="24"/>
              </w:rPr>
            </w:pPr>
            <w:r>
              <w:rPr>
                <w:noProof/>
                <w:sz w:val="18"/>
              </w:rPr>
              <w:t>53</w:t>
            </w:r>
          </w:p>
        </w:tc>
        <w:tc>
          <w:tcPr>
            <w:tcW w:w="850" w:type="dxa"/>
            <w:tcBorders>
              <w:top w:val="nil"/>
              <w:left w:val="nil"/>
              <w:bottom w:val="single" w:sz="4" w:space="0" w:color="000000"/>
              <w:right w:val="single" w:sz="12" w:space="0" w:color="000000"/>
            </w:tcBorders>
            <w:vAlign w:val="center"/>
          </w:tcPr>
          <w:p>
            <w:pPr>
              <w:spacing w:after="0"/>
              <w:jc w:val="center"/>
              <w:rPr>
                <w:noProof/>
                <w:color w:val="000000"/>
                <w:szCs w:val="24"/>
              </w:rPr>
            </w:pPr>
            <w:r>
              <w:rPr>
                <w:noProof/>
                <w:sz w:val="18"/>
              </w:rPr>
              <w:t>69 %</w:t>
            </w:r>
          </w:p>
        </w:tc>
        <w:tc>
          <w:tcPr>
            <w:tcW w:w="676" w:type="dxa"/>
            <w:tcBorders>
              <w:top w:val="nil"/>
              <w:left w:val="single" w:sz="12" w:space="0" w:color="000000"/>
              <w:bottom w:val="single" w:sz="4" w:space="0" w:color="000000"/>
              <w:right w:val="single" w:sz="4" w:space="0" w:color="000000"/>
            </w:tcBorders>
            <w:vAlign w:val="center"/>
          </w:tcPr>
          <w:p>
            <w:pPr>
              <w:spacing w:after="0"/>
              <w:jc w:val="center"/>
              <w:rPr>
                <w:noProof/>
                <w:color w:val="000000"/>
                <w:szCs w:val="24"/>
              </w:rPr>
            </w:pPr>
            <w:r>
              <w:rPr>
                <w:noProof/>
                <w:sz w:val="18"/>
              </w:rPr>
              <w:t>24</w:t>
            </w:r>
          </w:p>
        </w:tc>
        <w:tc>
          <w:tcPr>
            <w:tcW w:w="693" w:type="dxa"/>
            <w:tcBorders>
              <w:top w:val="nil"/>
              <w:left w:val="nil"/>
              <w:bottom w:val="single" w:sz="4" w:space="0" w:color="000000"/>
              <w:right w:val="single" w:sz="4" w:space="0" w:color="000000"/>
            </w:tcBorders>
            <w:vAlign w:val="center"/>
          </w:tcPr>
          <w:p>
            <w:pPr>
              <w:spacing w:after="0"/>
              <w:jc w:val="center"/>
              <w:rPr>
                <w:noProof/>
                <w:color w:val="000000"/>
                <w:szCs w:val="24"/>
              </w:rPr>
            </w:pPr>
            <w:r>
              <w:rPr>
                <w:noProof/>
                <w:sz w:val="18"/>
              </w:rPr>
              <w:t>31 %</w:t>
            </w:r>
          </w:p>
        </w:tc>
        <w:tc>
          <w:tcPr>
            <w:tcW w:w="1181" w:type="dxa"/>
            <w:tcBorders>
              <w:top w:val="nil"/>
              <w:left w:val="nil"/>
              <w:bottom w:val="single" w:sz="4" w:space="0" w:color="000000"/>
              <w:right w:val="single" w:sz="4" w:space="0" w:color="000000"/>
            </w:tcBorders>
            <w:vAlign w:val="center"/>
          </w:tcPr>
          <w:p>
            <w:pPr>
              <w:spacing w:after="0"/>
              <w:jc w:val="center"/>
              <w:rPr>
                <w:noProof/>
                <w:color w:val="000000"/>
                <w:szCs w:val="24"/>
              </w:rPr>
            </w:pPr>
            <w:r>
              <w:rPr>
                <w:noProof/>
                <w:sz w:val="18"/>
              </w:rPr>
              <w:t>6</w:t>
            </w:r>
          </w:p>
        </w:tc>
        <w:tc>
          <w:tcPr>
            <w:tcW w:w="567" w:type="dxa"/>
            <w:tcBorders>
              <w:top w:val="nil"/>
              <w:left w:val="nil"/>
              <w:bottom w:val="single" w:sz="4" w:space="0" w:color="000000"/>
              <w:right w:val="single" w:sz="4" w:space="0" w:color="000000"/>
            </w:tcBorders>
            <w:vAlign w:val="center"/>
          </w:tcPr>
          <w:p>
            <w:pPr>
              <w:spacing w:after="0"/>
              <w:jc w:val="center"/>
              <w:rPr>
                <w:noProof/>
                <w:color w:val="000000"/>
                <w:szCs w:val="24"/>
              </w:rPr>
            </w:pPr>
            <w:r>
              <w:rPr>
                <w:noProof/>
                <w:sz w:val="18"/>
              </w:rPr>
              <w:t>8</w:t>
            </w:r>
          </w:p>
        </w:tc>
        <w:tc>
          <w:tcPr>
            <w:tcW w:w="709" w:type="dxa"/>
            <w:tcBorders>
              <w:top w:val="nil"/>
              <w:left w:val="nil"/>
              <w:bottom w:val="single" w:sz="4" w:space="0" w:color="000000"/>
              <w:right w:val="single" w:sz="4" w:space="0" w:color="000000"/>
            </w:tcBorders>
            <w:vAlign w:val="center"/>
          </w:tcPr>
          <w:p>
            <w:pPr>
              <w:spacing w:after="0"/>
              <w:jc w:val="center"/>
              <w:rPr>
                <w:noProof/>
                <w:color w:val="000000"/>
                <w:szCs w:val="24"/>
              </w:rPr>
            </w:pPr>
            <w:r>
              <w:rPr>
                <w:noProof/>
                <w:sz w:val="18"/>
              </w:rPr>
              <w:t>9</w:t>
            </w:r>
          </w:p>
        </w:tc>
        <w:tc>
          <w:tcPr>
            <w:tcW w:w="677" w:type="dxa"/>
            <w:tcBorders>
              <w:top w:val="nil"/>
              <w:left w:val="nil"/>
              <w:bottom w:val="single" w:sz="4" w:space="0" w:color="000000"/>
              <w:right w:val="single" w:sz="12" w:space="0" w:color="000000"/>
            </w:tcBorders>
            <w:vAlign w:val="center"/>
          </w:tcPr>
          <w:p>
            <w:pPr>
              <w:spacing w:after="0"/>
              <w:jc w:val="center"/>
              <w:rPr>
                <w:noProof/>
                <w:color w:val="000000"/>
                <w:szCs w:val="24"/>
              </w:rPr>
            </w:pPr>
            <w:r>
              <w:rPr>
                <w:noProof/>
                <w:sz w:val="18"/>
              </w:rPr>
              <w:t>1</w:t>
            </w:r>
          </w:p>
        </w:tc>
      </w:tr>
      <w:tr>
        <w:trPr>
          <w:trHeight w:val="246"/>
          <w:jc w:val="center"/>
        </w:trPr>
        <w:tc>
          <w:tcPr>
            <w:tcW w:w="917" w:type="dxa"/>
            <w:vMerge/>
            <w:tcBorders>
              <w:top w:val="nil"/>
              <w:left w:val="single" w:sz="12" w:space="0" w:color="000000"/>
              <w:bottom w:val="single" w:sz="8" w:space="0" w:color="000000"/>
              <w:right w:val="single" w:sz="4" w:space="0" w:color="000000"/>
            </w:tcBorders>
            <w:vAlign w:val="center"/>
          </w:tcPr>
          <w:p>
            <w:pPr>
              <w:spacing w:after="0"/>
              <w:jc w:val="left"/>
              <w:rPr>
                <w:noProof/>
                <w:color w:val="000000"/>
                <w:szCs w:val="24"/>
              </w:rPr>
            </w:pPr>
          </w:p>
        </w:tc>
        <w:tc>
          <w:tcPr>
            <w:tcW w:w="1445" w:type="dxa"/>
            <w:tcBorders>
              <w:top w:val="nil"/>
              <w:left w:val="nil"/>
              <w:bottom w:val="nil"/>
              <w:right w:val="single" w:sz="4" w:space="0" w:color="000000"/>
            </w:tcBorders>
            <w:vAlign w:val="bottom"/>
          </w:tcPr>
          <w:p>
            <w:pPr>
              <w:spacing w:after="0"/>
              <w:jc w:val="left"/>
              <w:rPr>
                <w:noProof/>
                <w:color w:val="000000"/>
                <w:szCs w:val="24"/>
              </w:rPr>
            </w:pPr>
            <w:r>
              <w:rPr>
                <w:noProof/>
                <w:sz w:val="18"/>
              </w:rPr>
              <w:t>Желателни</w:t>
            </w:r>
          </w:p>
        </w:tc>
        <w:tc>
          <w:tcPr>
            <w:tcW w:w="831" w:type="dxa"/>
            <w:tcBorders>
              <w:top w:val="nil"/>
              <w:left w:val="nil"/>
              <w:bottom w:val="nil"/>
              <w:right w:val="single" w:sz="12" w:space="0" w:color="000000"/>
            </w:tcBorders>
            <w:vAlign w:val="center"/>
          </w:tcPr>
          <w:p>
            <w:pPr>
              <w:spacing w:after="0"/>
              <w:jc w:val="center"/>
              <w:rPr>
                <w:noProof/>
                <w:color w:val="000000"/>
                <w:szCs w:val="24"/>
              </w:rPr>
            </w:pPr>
            <w:r>
              <w:rPr>
                <w:noProof/>
                <w:sz w:val="18"/>
              </w:rPr>
              <w:t>3</w:t>
            </w:r>
          </w:p>
        </w:tc>
        <w:tc>
          <w:tcPr>
            <w:tcW w:w="728" w:type="dxa"/>
            <w:tcBorders>
              <w:top w:val="nil"/>
              <w:left w:val="single" w:sz="12" w:space="0" w:color="000000"/>
              <w:bottom w:val="nil"/>
              <w:right w:val="single" w:sz="4" w:space="0" w:color="000000"/>
            </w:tcBorders>
            <w:vAlign w:val="center"/>
          </w:tcPr>
          <w:p>
            <w:pPr>
              <w:spacing w:after="0"/>
              <w:jc w:val="center"/>
              <w:rPr>
                <w:noProof/>
                <w:color w:val="000000"/>
                <w:szCs w:val="24"/>
              </w:rPr>
            </w:pPr>
            <w:r>
              <w:rPr>
                <w:noProof/>
                <w:sz w:val="18"/>
              </w:rPr>
              <w:t>3</w:t>
            </w:r>
          </w:p>
        </w:tc>
        <w:tc>
          <w:tcPr>
            <w:tcW w:w="850" w:type="dxa"/>
            <w:tcBorders>
              <w:top w:val="nil"/>
              <w:left w:val="nil"/>
              <w:bottom w:val="single" w:sz="4" w:space="0" w:color="000000"/>
              <w:right w:val="single" w:sz="12" w:space="0" w:color="000000"/>
            </w:tcBorders>
            <w:vAlign w:val="center"/>
          </w:tcPr>
          <w:p>
            <w:pPr>
              <w:spacing w:after="0"/>
              <w:jc w:val="center"/>
              <w:rPr>
                <w:noProof/>
                <w:color w:val="000000"/>
                <w:szCs w:val="24"/>
              </w:rPr>
            </w:pPr>
            <w:r>
              <w:rPr>
                <w:noProof/>
                <w:sz w:val="18"/>
              </w:rPr>
              <w:t>100 %</w:t>
            </w:r>
          </w:p>
        </w:tc>
        <w:tc>
          <w:tcPr>
            <w:tcW w:w="676" w:type="dxa"/>
            <w:tcBorders>
              <w:top w:val="nil"/>
              <w:left w:val="single" w:sz="12" w:space="0" w:color="000000"/>
              <w:bottom w:val="nil"/>
              <w:right w:val="single" w:sz="4" w:space="0" w:color="000000"/>
            </w:tcBorders>
            <w:vAlign w:val="center"/>
          </w:tcPr>
          <w:p>
            <w:pPr>
              <w:spacing w:after="0"/>
              <w:jc w:val="center"/>
              <w:rPr>
                <w:noProof/>
                <w:color w:val="000000"/>
                <w:szCs w:val="24"/>
              </w:rPr>
            </w:pPr>
            <w:r>
              <w:rPr>
                <w:noProof/>
                <w:sz w:val="18"/>
              </w:rPr>
              <w:t>0</w:t>
            </w:r>
          </w:p>
        </w:tc>
        <w:tc>
          <w:tcPr>
            <w:tcW w:w="693" w:type="dxa"/>
            <w:tcBorders>
              <w:top w:val="nil"/>
              <w:left w:val="nil"/>
              <w:bottom w:val="single" w:sz="4" w:space="0" w:color="000000"/>
              <w:right w:val="single" w:sz="4" w:space="0" w:color="000000"/>
            </w:tcBorders>
            <w:vAlign w:val="center"/>
          </w:tcPr>
          <w:p>
            <w:pPr>
              <w:spacing w:after="0"/>
              <w:jc w:val="center"/>
              <w:rPr>
                <w:noProof/>
                <w:color w:val="000000"/>
                <w:szCs w:val="24"/>
              </w:rPr>
            </w:pPr>
            <w:r>
              <w:rPr>
                <w:noProof/>
                <w:sz w:val="18"/>
              </w:rPr>
              <w:t>0 %</w:t>
            </w:r>
          </w:p>
        </w:tc>
        <w:tc>
          <w:tcPr>
            <w:tcW w:w="1181" w:type="dxa"/>
            <w:tcBorders>
              <w:top w:val="nil"/>
              <w:left w:val="nil"/>
              <w:bottom w:val="nil"/>
              <w:right w:val="single" w:sz="4" w:space="0" w:color="000000"/>
            </w:tcBorders>
            <w:vAlign w:val="center"/>
          </w:tcPr>
          <w:p>
            <w:pPr>
              <w:spacing w:after="0"/>
              <w:jc w:val="center"/>
              <w:rPr>
                <w:noProof/>
                <w:color w:val="000000"/>
                <w:szCs w:val="24"/>
              </w:rPr>
            </w:pPr>
            <w:r>
              <w:rPr>
                <w:noProof/>
                <w:sz w:val="18"/>
              </w:rPr>
              <w:t>0</w:t>
            </w:r>
          </w:p>
        </w:tc>
        <w:tc>
          <w:tcPr>
            <w:tcW w:w="567" w:type="dxa"/>
            <w:tcBorders>
              <w:top w:val="nil"/>
              <w:left w:val="nil"/>
              <w:bottom w:val="nil"/>
              <w:right w:val="single" w:sz="4" w:space="0" w:color="000000"/>
            </w:tcBorders>
            <w:vAlign w:val="center"/>
          </w:tcPr>
          <w:p>
            <w:pPr>
              <w:spacing w:after="0"/>
              <w:jc w:val="center"/>
              <w:rPr>
                <w:noProof/>
                <w:color w:val="000000"/>
                <w:szCs w:val="24"/>
              </w:rPr>
            </w:pPr>
            <w:r>
              <w:rPr>
                <w:noProof/>
                <w:sz w:val="18"/>
              </w:rPr>
              <w:t>0</w:t>
            </w:r>
          </w:p>
        </w:tc>
        <w:tc>
          <w:tcPr>
            <w:tcW w:w="709" w:type="dxa"/>
            <w:tcBorders>
              <w:top w:val="nil"/>
              <w:left w:val="nil"/>
              <w:bottom w:val="nil"/>
              <w:right w:val="single" w:sz="4" w:space="0" w:color="000000"/>
            </w:tcBorders>
            <w:vAlign w:val="center"/>
          </w:tcPr>
          <w:p>
            <w:pPr>
              <w:spacing w:after="0"/>
              <w:jc w:val="center"/>
              <w:rPr>
                <w:noProof/>
                <w:color w:val="000000"/>
                <w:szCs w:val="24"/>
              </w:rPr>
            </w:pPr>
            <w:r>
              <w:rPr>
                <w:noProof/>
                <w:sz w:val="18"/>
              </w:rPr>
              <w:t>0</w:t>
            </w:r>
          </w:p>
        </w:tc>
        <w:tc>
          <w:tcPr>
            <w:tcW w:w="677" w:type="dxa"/>
            <w:tcBorders>
              <w:top w:val="nil"/>
              <w:left w:val="nil"/>
              <w:bottom w:val="nil"/>
              <w:right w:val="single" w:sz="12" w:space="0" w:color="000000"/>
            </w:tcBorders>
            <w:vAlign w:val="center"/>
          </w:tcPr>
          <w:p>
            <w:pPr>
              <w:spacing w:after="0"/>
              <w:jc w:val="center"/>
              <w:rPr>
                <w:noProof/>
                <w:color w:val="000000"/>
                <w:szCs w:val="24"/>
              </w:rPr>
            </w:pPr>
            <w:r>
              <w:rPr>
                <w:noProof/>
                <w:sz w:val="18"/>
              </w:rPr>
              <w:t>0</w:t>
            </w:r>
          </w:p>
        </w:tc>
      </w:tr>
      <w:tr>
        <w:trPr>
          <w:trHeight w:val="246"/>
          <w:jc w:val="center"/>
        </w:trPr>
        <w:tc>
          <w:tcPr>
            <w:tcW w:w="917" w:type="dxa"/>
            <w:vMerge/>
            <w:tcBorders>
              <w:top w:val="nil"/>
              <w:left w:val="single" w:sz="12" w:space="0" w:color="000000"/>
              <w:bottom w:val="single" w:sz="8" w:space="0" w:color="000000"/>
              <w:right w:val="single" w:sz="4" w:space="0" w:color="000000"/>
            </w:tcBorders>
            <w:vAlign w:val="center"/>
          </w:tcPr>
          <w:p>
            <w:pPr>
              <w:spacing w:after="0"/>
              <w:jc w:val="left"/>
              <w:rPr>
                <w:noProof/>
                <w:color w:val="000000"/>
                <w:szCs w:val="24"/>
              </w:rPr>
            </w:pPr>
          </w:p>
        </w:tc>
        <w:tc>
          <w:tcPr>
            <w:tcW w:w="1445" w:type="dxa"/>
            <w:tcBorders>
              <w:top w:val="single" w:sz="8" w:space="0" w:color="000000"/>
              <w:left w:val="nil"/>
              <w:bottom w:val="single" w:sz="8" w:space="0" w:color="000000"/>
              <w:right w:val="single" w:sz="4" w:space="0" w:color="000000"/>
            </w:tcBorders>
            <w:shd w:val="clear" w:color="auto" w:fill="F2F2F2"/>
            <w:vAlign w:val="bottom"/>
          </w:tcPr>
          <w:p>
            <w:pPr>
              <w:spacing w:after="0"/>
              <w:jc w:val="left"/>
              <w:rPr>
                <w:noProof/>
                <w:color w:val="000000"/>
                <w:szCs w:val="24"/>
              </w:rPr>
            </w:pPr>
            <w:r>
              <w:rPr>
                <w:b/>
                <w:noProof/>
                <w:sz w:val="18"/>
              </w:rPr>
              <w:t>2014 г. Общо</w:t>
            </w:r>
          </w:p>
        </w:tc>
        <w:tc>
          <w:tcPr>
            <w:tcW w:w="831" w:type="dxa"/>
            <w:tcBorders>
              <w:top w:val="single" w:sz="8" w:space="0" w:color="000000"/>
              <w:left w:val="nil"/>
              <w:bottom w:val="single" w:sz="8" w:space="0" w:color="000000"/>
              <w:right w:val="single" w:sz="12" w:space="0" w:color="000000"/>
            </w:tcBorders>
            <w:shd w:val="clear" w:color="auto" w:fill="F2F2F2"/>
            <w:vAlign w:val="center"/>
          </w:tcPr>
          <w:p>
            <w:pPr>
              <w:spacing w:after="0"/>
              <w:jc w:val="center"/>
              <w:rPr>
                <w:noProof/>
                <w:color w:val="000000"/>
                <w:szCs w:val="24"/>
              </w:rPr>
            </w:pPr>
            <w:r>
              <w:rPr>
                <w:b/>
                <w:noProof/>
                <w:sz w:val="18"/>
              </w:rPr>
              <w:t>125</w:t>
            </w:r>
          </w:p>
        </w:tc>
        <w:tc>
          <w:tcPr>
            <w:tcW w:w="728" w:type="dxa"/>
            <w:tcBorders>
              <w:top w:val="single" w:sz="8" w:space="0" w:color="000000"/>
              <w:left w:val="single" w:sz="12" w:space="0" w:color="000000"/>
              <w:bottom w:val="single" w:sz="8" w:space="0" w:color="000000"/>
              <w:right w:val="single" w:sz="4" w:space="0" w:color="000000"/>
            </w:tcBorders>
            <w:shd w:val="clear" w:color="auto" w:fill="F2F2F2"/>
            <w:vAlign w:val="center"/>
          </w:tcPr>
          <w:p>
            <w:pPr>
              <w:spacing w:after="0"/>
              <w:jc w:val="center"/>
              <w:rPr>
                <w:noProof/>
                <w:color w:val="000000"/>
                <w:szCs w:val="24"/>
              </w:rPr>
            </w:pPr>
            <w:r>
              <w:rPr>
                <w:b/>
                <w:noProof/>
                <w:sz w:val="18"/>
              </w:rPr>
              <w:t>75</w:t>
            </w:r>
          </w:p>
        </w:tc>
        <w:tc>
          <w:tcPr>
            <w:tcW w:w="850" w:type="dxa"/>
            <w:tcBorders>
              <w:top w:val="single" w:sz="8" w:space="0" w:color="000000"/>
              <w:left w:val="nil"/>
              <w:bottom w:val="single" w:sz="8" w:space="0" w:color="000000"/>
              <w:right w:val="single" w:sz="12" w:space="0" w:color="000000"/>
            </w:tcBorders>
            <w:shd w:val="clear" w:color="auto" w:fill="F2F2F2"/>
            <w:vAlign w:val="center"/>
          </w:tcPr>
          <w:p>
            <w:pPr>
              <w:spacing w:after="0"/>
              <w:jc w:val="center"/>
              <w:rPr>
                <w:noProof/>
                <w:color w:val="000000"/>
                <w:szCs w:val="24"/>
              </w:rPr>
            </w:pPr>
            <w:r>
              <w:rPr>
                <w:b/>
                <w:noProof/>
                <w:sz w:val="18"/>
              </w:rPr>
              <w:t>60 %</w:t>
            </w:r>
          </w:p>
        </w:tc>
        <w:tc>
          <w:tcPr>
            <w:tcW w:w="676" w:type="dxa"/>
            <w:tcBorders>
              <w:top w:val="single" w:sz="8" w:space="0" w:color="000000"/>
              <w:left w:val="single" w:sz="12" w:space="0" w:color="000000"/>
              <w:bottom w:val="single" w:sz="8" w:space="0" w:color="000000"/>
              <w:right w:val="single" w:sz="4" w:space="0" w:color="000000"/>
            </w:tcBorders>
            <w:shd w:val="clear" w:color="auto" w:fill="F2F2F2"/>
            <w:vAlign w:val="center"/>
          </w:tcPr>
          <w:p>
            <w:pPr>
              <w:spacing w:after="0"/>
              <w:jc w:val="center"/>
              <w:rPr>
                <w:noProof/>
                <w:color w:val="000000"/>
                <w:szCs w:val="24"/>
              </w:rPr>
            </w:pPr>
            <w:r>
              <w:rPr>
                <w:b/>
                <w:noProof/>
                <w:sz w:val="18"/>
              </w:rPr>
              <w:t>50</w:t>
            </w:r>
          </w:p>
        </w:tc>
        <w:tc>
          <w:tcPr>
            <w:tcW w:w="693" w:type="dxa"/>
            <w:tcBorders>
              <w:top w:val="single" w:sz="8" w:space="0" w:color="000000"/>
              <w:left w:val="nil"/>
              <w:bottom w:val="single" w:sz="8" w:space="0" w:color="000000"/>
              <w:right w:val="single" w:sz="8" w:space="0" w:color="000000"/>
            </w:tcBorders>
            <w:shd w:val="clear" w:color="auto" w:fill="F2F2F2"/>
            <w:vAlign w:val="center"/>
          </w:tcPr>
          <w:p>
            <w:pPr>
              <w:spacing w:after="0"/>
              <w:jc w:val="center"/>
              <w:rPr>
                <w:noProof/>
                <w:color w:val="000000"/>
                <w:szCs w:val="24"/>
              </w:rPr>
            </w:pPr>
            <w:r>
              <w:rPr>
                <w:b/>
                <w:noProof/>
                <w:sz w:val="18"/>
              </w:rPr>
              <w:t>40 %</w:t>
            </w:r>
          </w:p>
        </w:tc>
        <w:tc>
          <w:tcPr>
            <w:tcW w:w="1181" w:type="dxa"/>
            <w:tcBorders>
              <w:top w:val="single" w:sz="8" w:space="0" w:color="000000"/>
              <w:left w:val="single" w:sz="4" w:space="0" w:color="000000"/>
              <w:bottom w:val="single" w:sz="8" w:space="0" w:color="000000"/>
              <w:right w:val="single" w:sz="4" w:space="0" w:color="000000"/>
            </w:tcBorders>
            <w:shd w:val="clear" w:color="auto" w:fill="F2F2F2"/>
            <w:vAlign w:val="center"/>
          </w:tcPr>
          <w:p>
            <w:pPr>
              <w:spacing w:after="0"/>
              <w:jc w:val="center"/>
              <w:rPr>
                <w:noProof/>
                <w:color w:val="000000"/>
                <w:szCs w:val="24"/>
              </w:rPr>
            </w:pPr>
            <w:r>
              <w:rPr>
                <w:b/>
                <w:noProof/>
                <w:sz w:val="18"/>
              </w:rPr>
              <w:t>11</w:t>
            </w:r>
          </w:p>
        </w:tc>
        <w:tc>
          <w:tcPr>
            <w:tcW w:w="567" w:type="dxa"/>
            <w:tcBorders>
              <w:top w:val="single" w:sz="8" w:space="0" w:color="000000"/>
              <w:left w:val="nil"/>
              <w:bottom w:val="single" w:sz="8" w:space="0" w:color="000000"/>
              <w:right w:val="single" w:sz="4" w:space="0" w:color="000000"/>
            </w:tcBorders>
            <w:shd w:val="clear" w:color="auto" w:fill="F2F2F2"/>
            <w:vAlign w:val="center"/>
          </w:tcPr>
          <w:p>
            <w:pPr>
              <w:spacing w:after="0"/>
              <w:jc w:val="center"/>
              <w:rPr>
                <w:noProof/>
                <w:color w:val="000000"/>
                <w:szCs w:val="24"/>
              </w:rPr>
            </w:pPr>
            <w:r>
              <w:rPr>
                <w:b/>
                <w:noProof/>
                <w:sz w:val="18"/>
              </w:rPr>
              <w:t>22</w:t>
            </w:r>
          </w:p>
        </w:tc>
        <w:tc>
          <w:tcPr>
            <w:tcW w:w="709" w:type="dxa"/>
            <w:tcBorders>
              <w:top w:val="single" w:sz="8" w:space="0" w:color="000000"/>
              <w:left w:val="nil"/>
              <w:bottom w:val="single" w:sz="8" w:space="0" w:color="000000"/>
              <w:right w:val="single" w:sz="4" w:space="0" w:color="000000"/>
            </w:tcBorders>
            <w:shd w:val="clear" w:color="auto" w:fill="F2F2F2"/>
            <w:vAlign w:val="center"/>
          </w:tcPr>
          <w:p>
            <w:pPr>
              <w:spacing w:after="0"/>
              <w:jc w:val="center"/>
              <w:rPr>
                <w:noProof/>
                <w:color w:val="000000"/>
                <w:szCs w:val="24"/>
              </w:rPr>
            </w:pPr>
            <w:r>
              <w:rPr>
                <w:b/>
                <w:noProof/>
                <w:sz w:val="18"/>
              </w:rPr>
              <w:t>16</w:t>
            </w:r>
          </w:p>
        </w:tc>
        <w:tc>
          <w:tcPr>
            <w:tcW w:w="677" w:type="dxa"/>
            <w:tcBorders>
              <w:top w:val="single" w:sz="8" w:space="0" w:color="000000"/>
              <w:left w:val="nil"/>
              <w:bottom w:val="single" w:sz="8" w:space="0" w:color="000000"/>
              <w:right w:val="single" w:sz="12" w:space="0" w:color="000000"/>
            </w:tcBorders>
            <w:shd w:val="clear" w:color="auto" w:fill="F2F2F2"/>
            <w:vAlign w:val="center"/>
          </w:tcPr>
          <w:p>
            <w:pPr>
              <w:spacing w:after="0"/>
              <w:jc w:val="center"/>
              <w:rPr>
                <w:noProof/>
                <w:color w:val="000000"/>
                <w:szCs w:val="24"/>
              </w:rPr>
            </w:pPr>
            <w:r>
              <w:rPr>
                <w:b/>
                <w:noProof/>
                <w:sz w:val="18"/>
              </w:rPr>
              <w:t>1</w:t>
            </w:r>
          </w:p>
        </w:tc>
      </w:tr>
      <w:tr>
        <w:trPr>
          <w:trHeight w:val="225"/>
          <w:jc w:val="center"/>
        </w:trPr>
        <w:tc>
          <w:tcPr>
            <w:tcW w:w="917" w:type="dxa"/>
            <w:vMerge w:val="restart"/>
            <w:tcBorders>
              <w:top w:val="nil"/>
              <w:left w:val="single" w:sz="12" w:space="0" w:color="000000"/>
              <w:bottom w:val="single" w:sz="4" w:space="0" w:color="000000"/>
              <w:right w:val="single" w:sz="4" w:space="0" w:color="000000"/>
            </w:tcBorders>
            <w:shd w:val="clear" w:color="auto" w:fill="F2F2F2"/>
            <w:vAlign w:val="center"/>
          </w:tcPr>
          <w:p>
            <w:pPr>
              <w:spacing w:after="0"/>
              <w:jc w:val="center"/>
              <w:rPr>
                <w:rFonts w:eastAsia="Tahoma"/>
                <w:noProof/>
                <w:color w:val="000000"/>
                <w:sz w:val="18"/>
                <w:szCs w:val="18"/>
              </w:rPr>
            </w:pPr>
            <w:r>
              <w:rPr>
                <w:noProof/>
                <w:sz w:val="18"/>
              </w:rPr>
              <w:t>Отправени препоръки от звената за вътрешен одит</w:t>
            </w:r>
          </w:p>
        </w:tc>
        <w:tc>
          <w:tcPr>
            <w:tcW w:w="1445" w:type="dxa"/>
            <w:tcBorders>
              <w:top w:val="nil"/>
              <w:left w:val="nil"/>
              <w:bottom w:val="single" w:sz="4" w:space="0" w:color="000000"/>
              <w:right w:val="single" w:sz="4" w:space="0" w:color="000000"/>
            </w:tcBorders>
            <w:vAlign w:val="bottom"/>
          </w:tcPr>
          <w:p>
            <w:pPr>
              <w:spacing w:after="0"/>
              <w:jc w:val="left"/>
              <w:rPr>
                <w:rFonts w:eastAsia="Tahoma"/>
                <w:noProof/>
                <w:color w:val="000000"/>
                <w:sz w:val="18"/>
                <w:szCs w:val="18"/>
              </w:rPr>
            </w:pPr>
            <w:r>
              <w:rPr>
                <w:noProof/>
                <w:sz w:val="18"/>
              </w:rPr>
              <w:t>Критични</w:t>
            </w:r>
          </w:p>
        </w:tc>
        <w:tc>
          <w:tcPr>
            <w:tcW w:w="831" w:type="dxa"/>
            <w:tcBorders>
              <w:top w:val="nil"/>
              <w:left w:val="nil"/>
              <w:bottom w:val="single" w:sz="4" w:space="0" w:color="000000"/>
              <w:right w:val="single" w:sz="12" w:space="0" w:color="000000"/>
            </w:tcBorders>
            <w:vAlign w:val="center"/>
          </w:tcPr>
          <w:p>
            <w:pPr>
              <w:spacing w:after="0"/>
              <w:jc w:val="center"/>
              <w:rPr>
                <w:rFonts w:eastAsia="Tahoma"/>
                <w:noProof/>
                <w:color w:val="000000"/>
                <w:sz w:val="18"/>
                <w:szCs w:val="18"/>
              </w:rPr>
            </w:pPr>
            <w:r>
              <w:rPr>
                <w:noProof/>
                <w:sz w:val="18"/>
              </w:rPr>
              <w:t>0</w:t>
            </w:r>
          </w:p>
        </w:tc>
        <w:tc>
          <w:tcPr>
            <w:tcW w:w="728" w:type="dxa"/>
            <w:tcBorders>
              <w:top w:val="nil"/>
              <w:left w:val="single" w:sz="12" w:space="0" w:color="000000"/>
              <w:bottom w:val="single" w:sz="4" w:space="0" w:color="000000"/>
              <w:right w:val="single" w:sz="4" w:space="0" w:color="000000"/>
            </w:tcBorders>
            <w:vAlign w:val="center"/>
          </w:tcPr>
          <w:p>
            <w:pPr>
              <w:spacing w:after="0"/>
              <w:jc w:val="center"/>
              <w:rPr>
                <w:rFonts w:eastAsia="Tahoma"/>
                <w:noProof/>
                <w:color w:val="000000"/>
                <w:sz w:val="18"/>
                <w:szCs w:val="18"/>
              </w:rPr>
            </w:pPr>
            <w:r>
              <w:rPr>
                <w:noProof/>
                <w:sz w:val="18"/>
              </w:rPr>
              <w:t>0</w:t>
            </w:r>
          </w:p>
        </w:tc>
        <w:tc>
          <w:tcPr>
            <w:tcW w:w="850" w:type="dxa"/>
            <w:tcBorders>
              <w:top w:val="nil"/>
              <w:left w:val="nil"/>
              <w:bottom w:val="single" w:sz="4" w:space="0" w:color="000000"/>
              <w:right w:val="single" w:sz="12" w:space="0" w:color="000000"/>
            </w:tcBorders>
            <w:vAlign w:val="center"/>
          </w:tcPr>
          <w:p>
            <w:pPr>
              <w:spacing w:after="0"/>
              <w:jc w:val="center"/>
              <w:rPr>
                <w:rFonts w:eastAsia="Tahoma"/>
                <w:noProof/>
                <w:color w:val="000000"/>
                <w:sz w:val="18"/>
                <w:szCs w:val="18"/>
              </w:rPr>
            </w:pPr>
            <w:r>
              <w:rPr>
                <w:noProof/>
                <w:sz w:val="18"/>
              </w:rPr>
              <w:t>0 %</w:t>
            </w:r>
          </w:p>
        </w:tc>
        <w:tc>
          <w:tcPr>
            <w:tcW w:w="676" w:type="dxa"/>
            <w:tcBorders>
              <w:top w:val="nil"/>
              <w:left w:val="single" w:sz="12" w:space="0" w:color="000000"/>
              <w:bottom w:val="single" w:sz="4" w:space="0" w:color="000000"/>
              <w:right w:val="single" w:sz="4" w:space="0" w:color="000000"/>
            </w:tcBorders>
            <w:vAlign w:val="center"/>
          </w:tcPr>
          <w:p>
            <w:pPr>
              <w:spacing w:after="0"/>
              <w:jc w:val="center"/>
              <w:rPr>
                <w:rFonts w:eastAsia="Tahoma"/>
                <w:noProof/>
                <w:color w:val="000000"/>
                <w:sz w:val="18"/>
                <w:szCs w:val="18"/>
              </w:rPr>
            </w:pPr>
            <w:r>
              <w:rPr>
                <w:noProof/>
                <w:sz w:val="18"/>
              </w:rPr>
              <w:t>0</w:t>
            </w:r>
          </w:p>
        </w:tc>
        <w:tc>
          <w:tcPr>
            <w:tcW w:w="693" w:type="dxa"/>
            <w:tcBorders>
              <w:top w:val="nil"/>
              <w:left w:val="nil"/>
              <w:bottom w:val="single" w:sz="4" w:space="0" w:color="000000"/>
              <w:right w:val="single" w:sz="4" w:space="0" w:color="000000"/>
            </w:tcBorders>
            <w:vAlign w:val="center"/>
          </w:tcPr>
          <w:p>
            <w:pPr>
              <w:spacing w:after="0"/>
              <w:jc w:val="center"/>
              <w:rPr>
                <w:rFonts w:eastAsia="Tahoma"/>
                <w:noProof/>
                <w:color w:val="000000"/>
                <w:sz w:val="18"/>
                <w:szCs w:val="18"/>
              </w:rPr>
            </w:pPr>
            <w:r>
              <w:rPr>
                <w:noProof/>
                <w:sz w:val="18"/>
              </w:rPr>
              <w:t>0 %</w:t>
            </w:r>
          </w:p>
        </w:tc>
        <w:tc>
          <w:tcPr>
            <w:tcW w:w="1181" w:type="dxa"/>
            <w:tcBorders>
              <w:top w:val="nil"/>
              <w:left w:val="nil"/>
              <w:bottom w:val="single" w:sz="4" w:space="0" w:color="000000"/>
              <w:right w:val="single" w:sz="4" w:space="0" w:color="000000"/>
            </w:tcBorders>
            <w:vAlign w:val="center"/>
          </w:tcPr>
          <w:p>
            <w:pPr>
              <w:spacing w:after="0"/>
              <w:jc w:val="center"/>
              <w:rPr>
                <w:rFonts w:eastAsia="Tahoma"/>
                <w:noProof/>
                <w:color w:val="000000"/>
                <w:sz w:val="18"/>
                <w:szCs w:val="18"/>
              </w:rPr>
            </w:pPr>
            <w:r>
              <w:rPr>
                <w:noProof/>
                <w:sz w:val="18"/>
              </w:rPr>
              <w:t>0</w:t>
            </w:r>
          </w:p>
        </w:tc>
        <w:tc>
          <w:tcPr>
            <w:tcW w:w="567" w:type="dxa"/>
            <w:tcBorders>
              <w:top w:val="nil"/>
              <w:left w:val="nil"/>
              <w:bottom w:val="single" w:sz="4" w:space="0" w:color="000000"/>
              <w:right w:val="single" w:sz="4" w:space="0" w:color="000000"/>
            </w:tcBorders>
            <w:vAlign w:val="center"/>
          </w:tcPr>
          <w:p>
            <w:pPr>
              <w:spacing w:after="0"/>
              <w:jc w:val="center"/>
              <w:rPr>
                <w:rFonts w:eastAsia="Tahoma"/>
                <w:noProof/>
                <w:color w:val="000000"/>
                <w:sz w:val="18"/>
                <w:szCs w:val="18"/>
              </w:rPr>
            </w:pPr>
            <w:r>
              <w:rPr>
                <w:noProof/>
                <w:sz w:val="18"/>
              </w:rPr>
              <w:t>0</w:t>
            </w:r>
          </w:p>
        </w:tc>
        <w:tc>
          <w:tcPr>
            <w:tcW w:w="709" w:type="dxa"/>
            <w:tcBorders>
              <w:top w:val="nil"/>
              <w:left w:val="nil"/>
              <w:bottom w:val="single" w:sz="4" w:space="0" w:color="000000"/>
              <w:right w:val="single" w:sz="4" w:space="0" w:color="000000"/>
            </w:tcBorders>
            <w:vAlign w:val="center"/>
          </w:tcPr>
          <w:p>
            <w:pPr>
              <w:spacing w:after="0"/>
              <w:jc w:val="center"/>
              <w:rPr>
                <w:rFonts w:eastAsia="Tahoma"/>
                <w:noProof/>
                <w:color w:val="000000"/>
                <w:sz w:val="18"/>
                <w:szCs w:val="18"/>
              </w:rPr>
            </w:pPr>
            <w:r>
              <w:rPr>
                <w:noProof/>
                <w:sz w:val="18"/>
              </w:rPr>
              <w:t>0</w:t>
            </w:r>
          </w:p>
        </w:tc>
        <w:tc>
          <w:tcPr>
            <w:tcW w:w="677" w:type="dxa"/>
            <w:tcBorders>
              <w:top w:val="nil"/>
              <w:left w:val="nil"/>
              <w:bottom w:val="single" w:sz="4" w:space="0" w:color="000000"/>
              <w:right w:val="single" w:sz="12" w:space="0" w:color="000000"/>
            </w:tcBorders>
            <w:vAlign w:val="center"/>
          </w:tcPr>
          <w:p>
            <w:pPr>
              <w:spacing w:after="0"/>
              <w:jc w:val="center"/>
              <w:rPr>
                <w:rFonts w:eastAsia="Tahoma"/>
                <w:noProof/>
                <w:color w:val="000000"/>
                <w:sz w:val="18"/>
                <w:szCs w:val="18"/>
              </w:rPr>
            </w:pPr>
            <w:r>
              <w:rPr>
                <w:noProof/>
                <w:sz w:val="18"/>
              </w:rPr>
              <w:t>0</w:t>
            </w:r>
          </w:p>
        </w:tc>
      </w:tr>
      <w:tr>
        <w:trPr>
          <w:trHeight w:val="225"/>
          <w:jc w:val="center"/>
        </w:trPr>
        <w:tc>
          <w:tcPr>
            <w:tcW w:w="917" w:type="dxa"/>
            <w:vMerge/>
            <w:tcBorders>
              <w:top w:val="nil"/>
              <w:left w:val="single" w:sz="12" w:space="0" w:color="000000"/>
              <w:bottom w:val="single" w:sz="4" w:space="0" w:color="000000"/>
              <w:right w:val="single" w:sz="4" w:space="0" w:color="000000"/>
            </w:tcBorders>
            <w:vAlign w:val="center"/>
          </w:tcPr>
          <w:p>
            <w:pPr>
              <w:spacing w:after="0"/>
              <w:jc w:val="left"/>
              <w:rPr>
                <w:rFonts w:eastAsia="Tahoma"/>
                <w:noProof/>
                <w:color w:val="000000"/>
                <w:sz w:val="18"/>
                <w:szCs w:val="18"/>
              </w:rPr>
            </w:pPr>
          </w:p>
        </w:tc>
        <w:tc>
          <w:tcPr>
            <w:tcW w:w="1445" w:type="dxa"/>
            <w:tcBorders>
              <w:top w:val="nil"/>
              <w:left w:val="nil"/>
              <w:bottom w:val="single" w:sz="4" w:space="0" w:color="000000"/>
              <w:right w:val="single" w:sz="4" w:space="0" w:color="000000"/>
            </w:tcBorders>
            <w:vAlign w:val="bottom"/>
          </w:tcPr>
          <w:p>
            <w:pPr>
              <w:spacing w:after="0"/>
              <w:jc w:val="left"/>
              <w:rPr>
                <w:rFonts w:eastAsia="Tahoma"/>
                <w:noProof/>
                <w:color w:val="000000"/>
                <w:sz w:val="18"/>
                <w:szCs w:val="18"/>
              </w:rPr>
            </w:pPr>
            <w:r>
              <w:rPr>
                <w:noProof/>
                <w:sz w:val="18"/>
              </w:rPr>
              <w:t>Много важни</w:t>
            </w:r>
          </w:p>
        </w:tc>
        <w:tc>
          <w:tcPr>
            <w:tcW w:w="831" w:type="dxa"/>
            <w:tcBorders>
              <w:top w:val="nil"/>
              <w:left w:val="nil"/>
              <w:bottom w:val="single" w:sz="4" w:space="0" w:color="000000"/>
              <w:right w:val="single" w:sz="12" w:space="0" w:color="000000"/>
            </w:tcBorders>
            <w:vAlign w:val="center"/>
          </w:tcPr>
          <w:p>
            <w:pPr>
              <w:spacing w:after="0"/>
              <w:jc w:val="center"/>
              <w:rPr>
                <w:rFonts w:eastAsia="Tahoma"/>
                <w:noProof/>
                <w:color w:val="000000"/>
                <w:sz w:val="18"/>
                <w:szCs w:val="18"/>
              </w:rPr>
            </w:pPr>
            <w:r>
              <w:rPr>
                <w:noProof/>
                <w:sz w:val="18"/>
              </w:rPr>
              <w:t>281</w:t>
            </w:r>
          </w:p>
        </w:tc>
        <w:tc>
          <w:tcPr>
            <w:tcW w:w="728" w:type="dxa"/>
            <w:tcBorders>
              <w:top w:val="nil"/>
              <w:left w:val="single" w:sz="12" w:space="0" w:color="000000"/>
              <w:bottom w:val="single" w:sz="4" w:space="0" w:color="000000"/>
              <w:right w:val="single" w:sz="4" w:space="0" w:color="000000"/>
            </w:tcBorders>
            <w:vAlign w:val="center"/>
          </w:tcPr>
          <w:p>
            <w:pPr>
              <w:spacing w:after="0"/>
              <w:jc w:val="center"/>
              <w:rPr>
                <w:rFonts w:eastAsia="Tahoma"/>
                <w:noProof/>
                <w:color w:val="000000"/>
                <w:sz w:val="18"/>
                <w:szCs w:val="18"/>
              </w:rPr>
            </w:pPr>
            <w:r>
              <w:rPr>
                <w:noProof/>
                <w:sz w:val="18"/>
              </w:rPr>
              <w:t>233</w:t>
            </w:r>
          </w:p>
        </w:tc>
        <w:tc>
          <w:tcPr>
            <w:tcW w:w="850" w:type="dxa"/>
            <w:tcBorders>
              <w:top w:val="nil"/>
              <w:left w:val="nil"/>
              <w:bottom w:val="single" w:sz="4" w:space="0" w:color="000000"/>
              <w:right w:val="single" w:sz="12" w:space="0" w:color="000000"/>
            </w:tcBorders>
            <w:vAlign w:val="center"/>
          </w:tcPr>
          <w:p>
            <w:pPr>
              <w:spacing w:after="0"/>
              <w:jc w:val="center"/>
              <w:rPr>
                <w:rFonts w:eastAsia="Tahoma"/>
                <w:noProof/>
                <w:color w:val="000000"/>
                <w:sz w:val="18"/>
                <w:szCs w:val="18"/>
              </w:rPr>
            </w:pPr>
            <w:r>
              <w:rPr>
                <w:noProof/>
                <w:sz w:val="18"/>
              </w:rPr>
              <w:t>83 %</w:t>
            </w:r>
          </w:p>
        </w:tc>
        <w:tc>
          <w:tcPr>
            <w:tcW w:w="676" w:type="dxa"/>
            <w:tcBorders>
              <w:top w:val="nil"/>
              <w:left w:val="single" w:sz="12" w:space="0" w:color="000000"/>
              <w:bottom w:val="single" w:sz="4" w:space="0" w:color="000000"/>
              <w:right w:val="single" w:sz="4" w:space="0" w:color="000000"/>
            </w:tcBorders>
            <w:vAlign w:val="center"/>
          </w:tcPr>
          <w:p>
            <w:pPr>
              <w:spacing w:after="0"/>
              <w:jc w:val="center"/>
              <w:rPr>
                <w:rFonts w:eastAsia="Tahoma"/>
                <w:noProof/>
                <w:color w:val="000000"/>
                <w:sz w:val="18"/>
                <w:szCs w:val="18"/>
              </w:rPr>
            </w:pPr>
            <w:r>
              <w:rPr>
                <w:noProof/>
                <w:sz w:val="18"/>
              </w:rPr>
              <w:t>48</w:t>
            </w:r>
          </w:p>
        </w:tc>
        <w:tc>
          <w:tcPr>
            <w:tcW w:w="693" w:type="dxa"/>
            <w:tcBorders>
              <w:top w:val="nil"/>
              <w:left w:val="nil"/>
              <w:bottom w:val="single" w:sz="4" w:space="0" w:color="000000"/>
              <w:right w:val="single" w:sz="4" w:space="0" w:color="000000"/>
            </w:tcBorders>
            <w:vAlign w:val="center"/>
          </w:tcPr>
          <w:p>
            <w:pPr>
              <w:spacing w:after="0"/>
              <w:jc w:val="center"/>
              <w:rPr>
                <w:rFonts w:eastAsia="Tahoma"/>
                <w:noProof/>
                <w:color w:val="000000"/>
                <w:sz w:val="18"/>
                <w:szCs w:val="18"/>
              </w:rPr>
            </w:pPr>
            <w:r>
              <w:rPr>
                <w:noProof/>
                <w:sz w:val="18"/>
              </w:rPr>
              <w:t>17 %</w:t>
            </w:r>
          </w:p>
        </w:tc>
        <w:tc>
          <w:tcPr>
            <w:tcW w:w="1181" w:type="dxa"/>
            <w:tcBorders>
              <w:top w:val="nil"/>
              <w:left w:val="nil"/>
              <w:bottom w:val="single" w:sz="4" w:space="0" w:color="000000"/>
              <w:right w:val="single" w:sz="4" w:space="0" w:color="000000"/>
            </w:tcBorders>
            <w:vAlign w:val="center"/>
          </w:tcPr>
          <w:p>
            <w:pPr>
              <w:spacing w:after="0"/>
              <w:jc w:val="center"/>
              <w:rPr>
                <w:rFonts w:eastAsia="Tahoma"/>
                <w:noProof/>
                <w:color w:val="000000"/>
                <w:sz w:val="18"/>
                <w:szCs w:val="18"/>
              </w:rPr>
            </w:pPr>
            <w:r>
              <w:rPr>
                <w:noProof/>
                <w:sz w:val="18"/>
              </w:rPr>
              <w:t>10</w:t>
            </w:r>
          </w:p>
        </w:tc>
        <w:tc>
          <w:tcPr>
            <w:tcW w:w="567" w:type="dxa"/>
            <w:tcBorders>
              <w:top w:val="nil"/>
              <w:left w:val="nil"/>
              <w:bottom w:val="single" w:sz="4" w:space="0" w:color="000000"/>
              <w:right w:val="single" w:sz="4" w:space="0" w:color="000000"/>
            </w:tcBorders>
            <w:vAlign w:val="center"/>
          </w:tcPr>
          <w:p>
            <w:pPr>
              <w:spacing w:after="0"/>
              <w:jc w:val="center"/>
              <w:rPr>
                <w:rFonts w:eastAsia="Tahoma"/>
                <w:noProof/>
                <w:color w:val="000000"/>
                <w:sz w:val="18"/>
                <w:szCs w:val="18"/>
              </w:rPr>
            </w:pPr>
            <w:r>
              <w:rPr>
                <w:noProof/>
                <w:sz w:val="18"/>
              </w:rPr>
              <w:t>23</w:t>
            </w:r>
          </w:p>
        </w:tc>
        <w:tc>
          <w:tcPr>
            <w:tcW w:w="709" w:type="dxa"/>
            <w:tcBorders>
              <w:top w:val="single" w:sz="4" w:space="0" w:color="000000"/>
              <w:left w:val="nil"/>
              <w:bottom w:val="single" w:sz="4" w:space="0" w:color="000000"/>
              <w:right w:val="single" w:sz="4" w:space="0" w:color="000000"/>
            </w:tcBorders>
            <w:shd w:val="clear" w:color="auto" w:fill="auto"/>
            <w:vAlign w:val="center"/>
          </w:tcPr>
          <w:p>
            <w:pPr>
              <w:spacing w:after="0"/>
              <w:jc w:val="center"/>
              <w:rPr>
                <w:rFonts w:eastAsia="Tahoma"/>
                <w:noProof/>
                <w:color w:val="000000"/>
                <w:sz w:val="18"/>
                <w:szCs w:val="18"/>
              </w:rPr>
            </w:pPr>
            <w:r>
              <w:rPr>
                <w:noProof/>
                <w:sz w:val="18"/>
              </w:rPr>
              <w:t>5</w:t>
            </w:r>
          </w:p>
        </w:tc>
        <w:tc>
          <w:tcPr>
            <w:tcW w:w="677" w:type="dxa"/>
            <w:tcBorders>
              <w:top w:val="single" w:sz="4" w:space="0" w:color="000000"/>
              <w:left w:val="nil"/>
              <w:bottom w:val="single" w:sz="4" w:space="0" w:color="000000"/>
              <w:right w:val="single" w:sz="12" w:space="0" w:color="000000"/>
            </w:tcBorders>
            <w:shd w:val="clear" w:color="auto" w:fill="auto"/>
            <w:vAlign w:val="center"/>
          </w:tcPr>
          <w:p>
            <w:pPr>
              <w:spacing w:after="0"/>
              <w:jc w:val="center"/>
              <w:rPr>
                <w:rFonts w:eastAsia="Tahoma"/>
                <w:noProof/>
                <w:color w:val="000000"/>
                <w:sz w:val="18"/>
                <w:szCs w:val="18"/>
              </w:rPr>
            </w:pPr>
            <w:r>
              <w:rPr>
                <w:noProof/>
                <w:sz w:val="18"/>
              </w:rPr>
              <w:t>10</w:t>
            </w:r>
          </w:p>
        </w:tc>
      </w:tr>
      <w:tr>
        <w:trPr>
          <w:trHeight w:val="225"/>
          <w:jc w:val="center"/>
        </w:trPr>
        <w:tc>
          <w:tcPr>
            <w:tcW w:w="917" w:type="dxa"/>
            <w:vMerge/>
            <w:tcBorders>
              <w:top w:val="nil"/>
              <w:left w:val="single" w:sz="12" w:space="0" w:color="000000"/>
              <w:bottom w:val="single" w:sz="4" w:space="0" w:color="000000"/>
              <w:right w:val="single" w:sz="4" w:space="0" w:color="000000"/>
            </w:tcBorders>
            <w:vAlign w:val="center"/>
          </w:tcPr>
          <w:p>
            <w:pPr>
              <w:spacing w:after="0"/>
              <w:jc w:val="left"/>
              <w:rPr>
                <w:rFonts w:eastAsia="Tahoma"/>
                <w:noProof/>
                <w:color w:val="000000"/>
                <w:sz w:val="18"/>
                <w:szCs w:val="18"/>
              </w:rPr>
            </w:pPr>
          </w:p>
        </w:tc>
        <w:tc>
          <w:tcPr>
            <w:tcW w:w="1445" w:type="dxa"/>
            <w:tcBorders>
              <w:top w:val="nil"/>
              <w:left w:val="nil"/>
              <w:bottom w:val="single" w:sz="4" w:space="0" w:color="000000"/>
              <w:right w:val="single" w:sz="4" w:space="0" w:color="000000"/>
            </w:tcBorders>
            <w:vAlign w:val="bottom"/>
          </w:tcPr>
          <w:p>
            <w:pPr>
              <w:spacing w:after="0"/>
              <w:jc w:val="left"/>
              <w:rPr>
                <w:rFonts w:eastAsia="Tahoma"/>
                <w:noProof/>
                <w:color w:val="000000"/>
                <w:sz w:val="18"/>
                <w:szCs w:val="18"/>
              </w:rPr>
            </w:pPr>
            <w:r>
              <w:rPr>
                <w:noProof/>
                <w:sz w:val="18"/>
              </w:rPr>
              <w:t>Важни</w:t>
            </w:r>
          </w:p>
        </w:tc>
        <w:tc>
          <w:tcPr>
            <w:tcW w:w="831" w:type="dxa"/>
            <w:tcBorders>
              <w:top w:val="nil"/>
              <w:left w:val="nil"/>
              <w:bottom w:val="single" w:sz="4" w:space="0" w:color="000000"/>
              <w:right w:val="single" w:sz="12" w:space="0" w:color="000000"/>
            </w:tcBorders>
            <w:vAlign w:val="center"/>
          </w:tcPr>
          <w:p>
            <w:pPr>
              <w:spacing w:after="0"/>
              <w:jc w:val="center"/>
              <w:rPr>
                <w:rFonts w:eastAsia="Tahoma"/>
                <w:noProof/>
                <w:color w:val="000000"/>
                <w:sz w:val="18"/>
                <w:szCs w:val="18"/>
              </w:rPr>
            </w:pPr>
            <w:r>
              <w:rPr>
                <w:noProof/>
                <w:sz w:val="18"/>
              </w:rPr>
              <w:t>583</w:t>
            </w:r>
          </w:p>
        </w:tc>
        <w:tc>
          <w:tcPr>
            <w:tcW w:w="728" w:type="dxa"/>
            <w:tcBorders>
              <w:top w:val="nil"/>
              <w:left w:val="single" w:sz="12" w:space="0" w:color="000000"/>
              <w:bottom w:val="single" w:sz="4" w:space="0" w:color="000000"/>
              <w:right w:val="single" w:sz="4" w:space="0" w:color="000000"/>
            </w:tcBorders>
            <w:vAlign w:val="center"/>
          </w:tcPr>
          <w:p>
            <w:pPr>
              <w:spacing w:after="0"/>
              <w:jc w:val="center"/>
              <w:rPr>
                <w:rFonts w:eastAsia="Tahoma"/>
                <w:noProof/>
                <w:color w:val="000000"/>
                <w:sz w:val="18"/>
                <w:szCs w:val="18"/>
              </w:rPr>
            </w:pPr>
            <w:r>
              <w:rPr>
                <w:noProof/>
                <w:sz w:val="18"/>
              </w:rPr>
              <w:t>466</w:t>
            </w:r>
          </w:p>
        </w:tc>
        <w:tc>
          <w:tcPr>
            <w:tcW w:w="850" w:type="dxa"/>
            <w:tcBorders>
              <w:top w:val="nil"/>
              <w:left w:val="nil"/>
              <w:bottom w:val="single" w:sz="4" w:space="0" w:color="000000"/>
              <w:right w:val="single" w:sz="12" w:space="0" w:color="000000"/>
            </w:tcBorders>
            <w:vAlign w:val="center"/>
          </w:tcPr>
          <w:p>
            <w:pPr>
              <w:spacing w:after="0"/>
              <w:jc w:val="center"/>
              <w:rPr>
                <w:rFonts w:eastAsia="Tahoma"/>
                <w:noProof/>
                <w:color w:val="000000"/>
                <w:sz w:val="18"/>
                <w:szCs w:val="18"/>
              </w:rPr>
            </w:pPr>
            <w:r>
              <w:rPr>
                <w:noProof/>
                <w:sz w:val="18"/>
              </w:rPr>
              <w:t>80 %</w:t>
            </w:r>
          </w:p>
        </w:tc>
        <w:tc>
          <w:tcPr>
            <w:tcW w:w="676" w:type="dxa"/>
            <w:tcBorders>
              <w:top w:val="nil"/>
              <w:left w:val="single" w:sz="12" w:space="0" w:color="000000"/>
              <w:bottom w:val="single" w:sz="4" w:space="0" w:color="000000"/>
              <w:right w:val="single" w:sz="4" w:space="0" w:color="000000"/>
            </w:tcBorders>
            <w:vAlign w:val="center"/>
          </w:tcPr>
          <w:p>
            <w:pPr>
              <w:spacing w:after="0"/>
              <w:jc w:val="center"/>
              <w:rPr>
                <w:rFonts w:eastAsia="Tahoma"/>
                <w:noProof/>
                <w:color w:val="000000"/>
                <w:sz w:val="18"/>
                <w:szCs w:val="18"/>
              </w:rPr>
            </w:pPr>
            <w:r>
              <w:rPr>
                <w:noProof/>
                <w:sz w:val="18"/>
              </w:rPr>
              <w:t>117</w:t>
            </w:r>
          </w:p>
        </w:tc>
        <w:tc>
          <w:tcPr>
            <w:tcW w:w="693" w:type="dxa"/>
            <w:tcBorders>
              <w:top w:val="nil"/>
              <w:left w:val="nil"/>
              <w:bottom w:val="single" w:sz="4" w:space="0" w:color="000000"/>
              <w:right w:val="single" w:sz="4" w:space="0" w:color="000000"/>
            </w:tcBorders>
            <w:vAlign w:val="center"/>
          </w:tcPr>
          <w:p>
            <w:pPr>
              <w:spacing w:after="0"/>
              <w:jc w:val="center"/>
              <w:rPr>
                <w:rFonts w:eastAsia="Tahoma"/>
                <w:noProof/>
                <w:color w:val="000000"/>
                <w:sz w:val="18"/>
                <w:szCs w:val="18"/>
              </w:rPr>
            </w:pPr>
            <w:r>
              <w:rPr>
                <w:noProof/>
                <w:sz w:val="18"/>
              </w:rPr>
              <w:t>20 %</w:t>
            </w:r>
          </w:p>
        </w:tc>
        <w:tc>
          <w:tcPr>
            <w:tcW w:w="1181" w:type="dxa"/>
            <w:tcBorders>
              <w:top w:val="nil"/>
              <w:left w:val="nil"/>
              <w:bottom w:val="single" w:sz="4" w:space="0" w:color="000000"/>
              <w:right w:val="single" w:sz="4" w:space="0" w:color="000000"/>
            </w:tcBorders>
            <w:vAlign w:val="center"/>
          </w:tcPr>
          <w:p>
            <w:pPr>
              <w:spacing w:after="0"/>
              <w:jc w:val="center"/>
              <w:rPr>
                <w:rFonts w:eastAsia="Tahoma"/>
                <w:noProof/>
                <w:color w:val="000000"/>
                <w:sz w:val="18"/>
                <w:szCs w:val="18"/>
              </w:rPr>
            </w:pPr>
            <w:r>
              <w:rPr>
                <w:noProof/>
                <w:sz w:val="18"/>
              </w:rPr>
              <w:t>20</w:t>
            </w:r>
          </w:p>
        </w:tc>
        <w:tc>
          <w:tcPr>
            <w:tcW w:w="567" w:type="dxa"/>
            <w:tcBorders>
              <w:top w:val="nil"/>
              <w:left w:val="nil"/>
              <w:bottom w:val="single" w:sz="4" w:space="0" w:color="000000"/>
              <w:right w:val="single" w:sz="4" w:space="0" w:color="000000"/>
            </w:tcBorders>
            <w:vAlign w:val="center"/>
          </w:tcPr>
          <w:p>
            <w:pPr>
              <w:spacing w:after="0"/>
              <w:jc w:val="center"/>
              <w:rPr>
                <w:rFonts w:eastAsia="Tahoma"/>
                <w:noProof/>
                <w:color w:val="000000"/>
                <w:sz w:val="18"/>
                <w:szCs w:val="18"/>
              </w:rPr>
            </w:pPr>
            <w:r>
              <w:rPr>
                <w:noProof/>
                <w:sz w:val="18"/>
              </w:rPr>
              <w:t>40</w:t>
            </w:r>
          </w:p>
        </w:tc>
        <w:tc>
          <w:tcPr>
            <w:tcW w:w="709" w:type="dxa"/>
            <w:tcBorders>
              <w:top w:val="nil"/>
              <w:left w:val="nil"/>
              <w:bottom w:val="single" w:sz="4" w:space="0" w:color="000000"/>
              <w:right w:val="single" w:sz="4" w:space="0" w:color="000000"/>
            </w:tcBorders>
            <w:vAlign w:val="center"/>
          </w:tcPr>
          <w:p>
            <w:pPr>
              <w:spacing w:after="0"/>
              <w:jc w:val="center"/>
              <w:rPr>
                <w:rFonts w:eastAsia="Tahoma"/>
                <w:noProof/>
                <w:color w:val="000000"/>
                <w:sz w:val="18"/>
                <w:szCs w:val="18"/>
              </w:rPr>
            </w:pPr>
            <w:r>
              <w:rPr>
                <w:noProof/>
                <w:sz w:val="18"/>
              </w:rPr>
              <w:t>23</w:t>
            </w:r>
          </w:p>
        </w:tc>
        <w:tc>
          <w:tcPr>
            <w:tcW w:w="677" w:type="dxa"/>
            <w:tcBorders>
              <w:top w:val="nil"/>
              <w:left w:val="nil"/>
              <w:bottom w:val="single" w:sz="4" w:space="0" w:color="000000"/>
              <w:right w:val="single" w:sz="12" w:space="0" w:color="000000"/>
            </w:tcBorders>
            <w:vAlign w:val="center"/>
          </w:tcPr>
          <w:p>
            <w:pPr>
              <w:spacing w:after="0"/>
              <w:jc w:val="center"/>
              <w:rPr>
                <w:rFonts w:eastAsia="Tahoma"/>
                <w:noProof/>
                <w:color w:val="000000"/>
                <w:sz w:val="18"/>
                <w:szCs w:val="18"/>
              </w:rPr>
            </w:pPr>
            <w:r>
              <w:rPr>
                <w:noProof/>
                <w:sz w:val="18"/>
              </w:rPr>
              <w:t>34</w:t>
            </w:r>
          </w:p>
        </w:tc>
      </w:tr>
      <w:tr>
        <w:trPr>
          <w:trHeight w:val="225"/>
          <w:jc w:val="center"/>
        </w:trPr>
        <w:tc>
          <w:tcPr>
            <w:tcW w:w="917" w:type="dxa"/>
            <w:vMerge/>
            <w:tcBorders>
              <w:top w:val="nil"/>
              <w:left w:val="single" w:sz="12" w:space="0" w:color="000000"/>
              <w:bottom w:val="single" w:sz="4" w:space="0" w:color="000000"/>
              <w:right w:val="single" w:sz="4" w:space="0" w:color="000000"/>
            </w:tcBorders>
            <w:vAlign w:val="center"/>
          </w:tcPr>
          <w:p>
            <w:pPr>
              <w:spacing w:after="0"/>
              <w:jc w:val="left"/>
              <w:rPr>
                <w:rFonts w:eastAsia="Tahoma"/>
                <w:noProof/>
                <w:color w:val="000000"/>
                <w:sz w:val="18"/>
                <w:szCs w:val="18"/>
              </w:rPr>
            </w:pPr>
          </w:p>
        </w:tc>
        <w:tc>
          <w:tcPr>
            <w:tcW w:w="1445" w:type="dxa"/>
            <w:tcBorders>
              <w:top w:val="nil"/>
              <w:left w:val="nil"/>
              <w:bottom w:val="single" w:sz="4" w:space="0" w:color="000000"/>
              <w:right w:val="single" w:sz="4" w:space="0" w:color="000000"/>
            </w:tcBorders>
            <w:vAlign w:val="bottom"/>
          </w:tcPr>
          <w:p>
            <w:pPr>
              <w:spacing w:after="0"/>
              <w:jc w:val="left"/>
              <w:rPr>
                <w:rFonts w:eastAsia="Tahoma"/>
                <w:noProof/>
                <w:color w:val="000000"/>
                <w:sz w:val="18"/>
                <w:szCs w:val="18"/>
              </w:rPr>
            </w:pPr>
            <w:r>
              <w:rPr>
                <w:noProof/>
                <w:sz w:val="18"/>
              </w:rPr>
              <w:t>Желателни</w:t>
            </w:r>
          </w:p>
        </w:tc>
        <w:tc>
          <w:tcPr>
            <w:tcW w:w="831" w:type="dxa"/>
            <w:tcBorders>
              <w:top w:val="nil"/>
              <w:left w:val="nil"/>
              <w:bottom w:val="single" w:sz="4" w:space="0" w:color="000000"/>
              <w:right w:val="single" w:sz="12" w:space="0" w:color="000000"/>
            </w:tcBorders>
            <w:vAlign w:val="center"/>
          </w:tcPr>
          <w:p>
            <w:pPr>
              <w:spacing w:after="0"/>
              <w:jc w:val="center"/>
              <w:rPr>
                <w:rFonts w:eastAsia="Tahoma"/>
                <w:noProof/>
                <w:color w:val="000000"/>
                <w:sz w:val="18"/>
                <w:szCs w:val="18"/>
              </w:rPr>
            </w:pPr>
            <w:r>
              <w:rPr>
                <w:noProof/>
                <w:sz w:val="18"/>
              </w:rPr>
              <w:t>44</w:t>
            </w:r>
          </w:p>
        </w:tc>
        <w:tc>
          <w:tcPr>
            <w:tcW w:w="728" w:type="dxa"/>
            <w:tcBorders>
              <w:top w:val="nil"/>
              <w:left w:val="single" w:sz="12" w:space="0" w:color="000000"/>
              <w:bottom w:val="single" w:sz="4" w:space="0" w:color="000000"/>
              <w:right w:val="single" w:sz="4" w:space="0" w:color="000000"/>
            </w:tcBorders>
            <w:vAlign w:val="center"/>
          </w:tcPr>
          <w:p>
            <w:pPr>
              <w:spacing w:after="0"/>
              <w:jc w:val="center"/>
              <w:rPr>
                <w:rFonts w:eastAsia="Tahoma"/>
                <w:noProof/>
                <w:color w:val="000000"/>
                <w:sz w:val="18"/>
                <w:szCs w:val="18"/>
              </w:rPr>
            </w:pPr>
            <w:r>
              <w:rPr>
                <w:noProof/>
                <w:sz w:val="18"/>
              </w:rPr>
              <w:t>44</w:t>
            </w:r>
          </w:p>
        </w:tc>
        <w:tc>
          <w:tcPr>
            <w:tcW w:w="850" w:type="dxa"/>
            <w:tcBorders>
              <w:top w:val="nil"/>
              <w:left w:val="nil"/>
              <w:bottom w:val="single" w:sz="4" w:space="0" w:color="000000"/>
              <w:right w:val="single" w:sz="12" w:space="0" w:color="000000"/>
            </w:tcBorders>
            <w:vAlign w:val="center"/>
          </w:tcPr>
          <w:p>
            <w:pPr>
              <w:spacing w:after="0"/>
              <w:jc w:val="center"/>
              <w:rPr>
                <w:rFonts w:eastAsia="Tahoma"/>
                <w:noProof/>
                <w:color w:val="000000"/>
                <w:sz w:val="18"/>
                <w:szCs w:val="18"/>
              </w:rPr>
            </w:pPr>
            <w:r>
              <w:rPr>
                <w:noProof/>
                <w:sz w:val="18"/>
              </w:rPr>
              <w:t>100 %</w:t>
            </w:r>
          </w:p>
        </w:tc>
        <w:tc>
          <w:tcPr>
            <w:tcW w:w="676" w:type="dxa"/>
            <w:tcBorders>
              <w:top w:val="nil"/>
              <w:left w:val="single" w:sz="12" w:space="0" w:color="000000"/>
              <w:bottom w:val="single" w:sz="4" w:space="0" w:color="000000"/>
              <w:right w:val="single" w:sz="4" w:space="0" w:color="000000"/>
            </w:tcBorders>
            <w:vAlign w:val="center"/>
          </w:tcPr>
          <w:p>
            <w:pPr>
              <w:spacing w:after="0"/>
              <w:jc w:val="center"/>
              <w:rPr>
                <w:rFonts w:eastAsia="Tahoma"/>
                <w:noProof/>
                <w:color w:val="000000"/>
                <w:sz w:val="18"/>
                <w:szCs w:val="18"/>
              </w:rPr>
            </w:pPr>
            <w:r>
              <w:rPr>
                <w:noProof/>
                <w:sz w:val="18"/>
              </w:rPr>
              <w:t>0</w:t>
            </w:r>
          </w:p>
        </w:tc>
        <w:tc>
          <w:tcPr>
            <w:tcW w:w="693" w:type="dxa"/>
            <w:tcBorders>
              <w:top w:val="nil"/>
              <w:left w:val="nil"/>
              <w:bottom w:val="single" w:sz="4" w:space="0" w:color="000000"/>
              <w:right w:val="single" w:sz="4" w:space="0" w:color="000000"/>
            </w:tcBorders>
            <w:vAlign w:val="center"/>
          </w:tcPr>
          <w:p>
            <w:pPr>
              <w:spacing w:after="0"/>
              <w:jc w:val="center"/>
              <w:rPr>
                <w:rFonts w:eastAsia="Tahoma"/>
                <w:noProof/>
                <w:color w:val="000000"/>
                <w:sz w:val="18"/>
                <w:szCs w:val="18"/>
              </w:rPr>
            </w:pPr>
            <w:r>
              <w:rPr>
                <w:noProof/>
                <w:sz w:val="18"/>
              </w:rPr>
              <w:t>0 %</w:t>
            </w:r>
          </w:p>
        </w:tc>
        <w:tc>
          <w:tcPr>
            <w:tcW w:w="1181" w:type="dxa"/>
            <w:tcBorders>
              <w:top w:val="nil"/>
              <w:left w:val="nil"/>
              <w:bottom w:val="single" w:sz="4" w:space="0" w:color="000000"/>
              <w:right w:val="single" w:sz="4" w:space="0" w:color="000000"/>
            </w:tcBorders>
            <w:vAlign w:val="center"/>
          </w:tcPr>
          <w:p>
            <w:pPr>
              <w:spacing w:after="0"/>
              <w:jc w:val="center"/>
              <w:rPr>
                <w:rFonts w:eastAsia="Tahoma"/>
                <w:noProof/>
                <w:color w:val="000000"/>
                <w:sz w:val="18"/>
                <w:szCs w:val="18"/>
              </w:rPr>
            </w:pPr>
            <w:r>
              <w:rPr>
                <w:noProof/>
                <w:sz w:val="18"/>
              </w:rPr>
              <w:t>0</w:t>
            </w:r>
          </w:p>
        </w:tc>
        <w:tc>
          <w:tcPr>
            <w:tcW w:w="567" w:type="dxa"/>
            <w:tcBorders>
              <w:top w:val="nil"/>
              <w:left w:val="nil"/>
              <w:bottom w:val="single" w:sz="4" w:space="0" w:color="000000"/>
              <w:right w:val="single" w:sz="4" w:space="0" w:color="000000"/>
            </w:tcBorders>
            <w:vAlign w:val="center"/>
          </w:tcPr>
          <w:p>
            <w:pPr>
              <w:spacing w:after="0"/>
              <w:jc w:val="center"/>
              <w:rPr>
                <w:rFonts w:eastAsia="Tahoma"/>
                <w:noProof/>
                <w:color w:val="000000"/>
                <w:sz w:val="18"/>
                <w:szCs w:val="18"/>
              </w:rPr>
            </w:pPr>
            <w:r>
              <w:rPr>
                <w:noProof/>
                <w:sz w:val="18"/>
              </w:rPr>
              <w:t>0</w:t>
            </w:r>
          </w:p>
        </w:tc>
        <w:tc>
          <w:tcPr>
            <w:tcW w:w="709" w:type="dxa"/>
            <w:tcBorders>
              <w:top w:val="nil"/>
              <w:left w:val="nil"/>
              <w:bottom w:val="single" w:sz="4" w:space="0" w:color="000000"/>
              <w:right w:val="single" w:sz="4" w:space="0" w:color="000000"/>
            </w:tcBorders>
            <w:vAlign w:val="center"/>
          </w:tcPr>
          <w:p>
            <w:pPr>
              <w:spacing w:after="0"/>
              <w:jc w:val="center"/>
              <w:rPr>
                <w:rFonts w:eastAsia="Tahoma"/>
                <w:noProof/>
                <w:color w:val="000000"/>
                <w:sz w:val="18"/>
                <w:szCs w:val="18"/>
              </w:rPr>
            </w:pPr>
            <w:r>
              <w:rPr>
                <w:noProof/>
                <w:sz w:val="18"/>
              </w:rPr>
              <w:t>0</w:t>
            </w:r>
          </w:p>
        </w:tc>
        <w:tc>
          <w:tcPr>
            <w:tcW w:w="677" w:type="dxa"/>
            <w:tcBorders>
              <w:top w:val="nil"/>
              <w:left w:val="nil"/>
              <w:bottom w:val="single" w:sz="4" w:space="0" w:color="000000"/>
              <w:right w:val="single" w:sz="12" w:space="0" w:color="000000"/>
            </w:tcBorders>
            <w:vAlign w:val="center"/>
          </w:tcPr>
          <w:p>
            <w:pPr>
              <w:spacing w:after="0"/>
              <w:jc w:val="center"/>
              <w:rPr>
                <w:rFonts w:eastAsia="Tahoma"/>
                <w:noProof/>
                <w:color w:val="000000"/>
                <w:sz w:val="18"/>
                <w:szCs w:val="18"/>
              </w:rPr>
            </w:pPr>
            <w:r>
              <w:rPr>
                <w:noProof/>
                <w:sz w:val="18"/>
              </w:rPr>
              <w:t>0</w:t>
            </w:r>
          </w:p>
        </w:tc>
      </w:tr>
      <w:tr>
        <w:trPr>
          <w:trHeight w:val="225"/>
          <w:jc w:val="center"/>
        </w:trPr>
        <w:tc>
          <w:tcPr>
            <w:tcW w:w="917" w:type="dxa"/>
            <w:vMerge/>
            <w:tcBorders>
              <w:top w:val="nil"/>
              <w:left w:val="single" w:sz="12" w:space="0" w:color="000000"/>
              <w:bottom w:val="single" w:sz="4" w:space="0" w:color="000000"/>
              <w:right w:val="single" w:sz="4" w:space="0" w:color="000000"/>
            </w:tcBorders>
            <w:vAlign w:val="center"/>
          </w:tcPr>
          <w:p>
            <w:pPr>
              <w:spacing w:after="0"/>
              <w:jc w:val="left"/>
              <w:rPr>
                <w:rFonts w:eastAsia="Tahoma"/>
                <w:noProof/>
                <w:color w:val="000000"/>
                <w:sz w:val="18"/>
                <w:szCs w:val="18"/>
              </w:rPr>
            </w:pPr>
          </w:p>
        </w:tc>
        <w:tc>
          <w:tcPr>
            <w:tcW w:w="1445" w:type="dxa"/>
            <w:tcBorders>
              <w:top w:val="single" w:sz="4" w:space="0" w:color="000000"/>
              <w:left w:val="nil"/>
              <w:bottom w:val="single" w:sz="4" w:space="0" w:color="000000"/>
              <w:right w:val="single" w:sz="4" w:space="0" w:color="000000"/>
            </w:tcBorders>
            <w:shd w:val="pct10" w:color="auto" w:fill="auto"/>
            <w:vAlign w:val="bottom"/>
          </w:tcPr>
          <w:p>
            <w:pPr>
              <w:spacing w:after="0"/>
              <w:jc w:val="left"/>
              <w:rPr>
                <w:rFonts w:eastAsia="Tahoma"/>
                <w:b/>
                <w:noProof/>
                <w:color w:val="000000"/>
                <w:sz w:val="18"/>
                <w:szCs w:val="18"/>
              </w:rPr>
            </w:pPr>
            <w:r>
              <w:rPr>
                <w:b/>
                <w:noProof/>
                <w:sz w:val="18"/>
              </w:rPr>
              <w:t>Общо от звената за вътрешен одит</w:t>
            </w:r>
          </w:p>
        </w:tc>
        <w:tc>
          <w:tcPr>
            <w:tcW w:w="831" w:type="dxa"/>
            <w:tcBorders>
              <w:top w:val="single" w:sz="4" w:space="0" w:color="000000"/>
              <w:left w:val="nil"/>
              <w:bottom w:val="single" w:sz="4" w:space="0" w:color="000000"/>
              <w:right w:val="single" w:sz="12" w:space="0" w:color="000000"/>
            </w:tcBorders>
            <w:shd w:val="pct10" w:color="auto" w:fill="auto"/>
            <w:vAlign w:val="center"/>
          </w:tcPr>
          <w:p>
            <w:pPr>
              <w:spacing w:after="0"/>
              <w:jc w:val="center"/>
              <w:rPr>
                <w:rFonts w:eastAsia="Tahoma"/>
                <w:b/>
                <w:noProof/>
                <w:color w:val="000000"/>
                <w:sz w:val="18"/>
                <w:szCs w:val="18"/>
              </w:rPr>
            </w:pPr>
            <w:r>
              <w:rPr>
                <w:b/>
                <w:noProof/>
                <w:sz w:val="18"/>
              </w:rPr>
              <w:t>908</w:t>
            </w:r>
          </w:p>
        </w:tc>
        <w:tc>
          <w:tcPr>
            <w:tcW w:w="728" w:type="dxa"/>
            <w:tcBorders>
              <w:top w:val="single" w:sz="4" w:space="0" w:color="000000"/>
              <w:left w:val="single" w:sz="12" w:space="0" w:color="000000"/>
              <w:bottom w:val="single" w:sz="4" w:space="0" w:color="000000"/>
              <w:right w:val="single" w:sz="4" w:space="0" w:color="000000"/>
            </w:tcBorders>
            <w:shd w:val="pct10" w:color="auto" w:fill="auto"/>
            <w:vAlign w:val="center"/>
          </w:tcPr>
          <w:p>
            <w:pPr>
              <w:spacing w:after="0"/>
              <w:jc w:val="center"/>
              <w:rPr>
                <w:rFonts w:eastAsia="Tahoma"/>
                <w:b/>
                <w:noProof/>
                <w:color w:val="000000"/>
                <w:sz w:val="18"/>
                <w:szCs w:val="18"/>
              </w:rPr>
            </w:pPr>
            <w:r>
              <w:rPr>
                <w:b/>
                <w:noProof/>
                <w:sz w:val="18"/>
              </w:rPr>
              <w:t>743</w:t>
            </w:r>
          </w:p>
        </w:tc>
        <w:tc>
          <w:tcPr>
            <w:tcW w:w="850" w:type="dxa"/>
            <w:tcBorders>
              <w:top w:val="single" w:sz="4" w:space="0" w:color="000000"/>
              <w:left w:val="nil"/>
              <w:bottom w:val="single" w:sz="4" w:space="0" w:color="000000"/>
              <w:right w:val="single" w:sz="12" w:space="0" w:color="000000"/>
            </w:tcBorders>
            <w:shd w:val="pct10" w:color="auto" w:fill="auto"/>
            <w:vAlign w:val="center"/>
          </w:tcPr>
          <w:p>
            <w:pPr>
              <w:spacing w:after="0"/>
              <w:jc w:val="center"/>
              <w:rPr>
                <w:rFonts w:eastAsia="Tahoma"/>
                <w:b/>
                <w:noProof/>
                <w:color w:val="000000"/>
                <w:sz w:val="18"/>
                <w:szCs w:val="18"/>
              </w:rPr>
            </w:pPr>
            <w:r>
              <w:rPr>
                <w:b/>
                <w:noProof/>
                <w:sz w:val="18"/>
              </w:rPr>
              <w:t>82 %</w:t>
            </w:r>
          </w:p>
        </w:tc>
        <w:tc>
          <w:tcPr>
            <w:tcW w:w="676" w:type="dxa"/>
            <w:tcBorders>
              <w:top w:val="single" w:sz="4" w:space="0" w:color="000000"/>
              <w:left w:val="single" w:sz="12" w:space="0" w:color="000000"/>
              <w:bottom w:val="single" w:sz="4" w:space="0" w:color="000000"/>
              <w:right w:val="single" w:sz="4" w:space="0" w:color="000000"/>
            </w:tcBorders>
            <w:shd w:val="pct10" w:color="auto" w:fill="auto"/>
            <w:vAlign w:val="center"/>
          </w:tcPr>
          <w:p>
            <w:pPr>
              <w:spacing w:after="0"/>
              <w:jc w:val="center"/>
              <w:rPr>
                <w:rFonts w:eastAsia="Tahoma"/>
                <w:b/>
                <w:noProof/>
                <w:color w:val="000000"/>
                <w:sz w:val="18"/>
                <w:szCs w:val="18"/>
              </w:rPr>
            </w:pPr>
            <w:r>
              <w:rPr>
                <w:b/>
                <w:noProof/>
                <w:sz w:val="18"/>
              </w:rPr>
              <w:t>165</w:t>
            </w:r>
          </w:p>
        </w:tc>
        <w:tc>
          <w:tcPr>
            <w:tcW w:w="693" w:type="dxa"/>
            <w:tcBorders>
              <w:top w:val="single" w:sz="4" w:space="0" w:color="000000"/>
              <w:left w:val="nil"/>
              <w:bottom w:val="single" w:sz="4" w:space="0" w:color="000000"/>
              <w:right w:val="single" w:sz="4" w:space="0" w:color="000000"/>
            </w:tcBorders>
            <w:shd w:val="pct10" w:color="auto" w:fill="auto"/>
            <w:vAlign w:val="center"/>
          </w:tcPr>
          <w:p>
            <w:pPr>
              <w:spacing w:after="0"/>
              <w:jc w:val="center"/>
              <w:rPr>
                <w:rFonts w:eastAsia="Tahoma"/>
                <w:b/>
                <w:noProof/>
                <w:color w:val="000000"/>
                <w:sz w:val="18"/>
                <w:szCs w:val="18"/>
              </w:rPr>
            </w:pPr>
            <w:r>
              <w:rPr>
                <w:b/>
                <w:noProof/>
                <w:sz w:val="18"/>
              </w:rPr>
              <w:t>18 %</w:t>
            </w:r>
          </w:p>
        </w:tc>
        <w:tc>
          <w:tcPr>
            <w:tcW w:w="1181" w:type="dxa"/>
            <w:tcBorders>
              <w:top w:val="single" w:sz="4" w:space="0" w:color="000000"/>
              <w:left w:val="nil"/>
              <w:bottom w:val="single" w:sz="4" w:space="0" w:color="000000"/>
              <w:right w:val="single" w:sz="4" w:space="0" w:color="000000"/>
            </w:tcBorders>
            <w:shd w:val="pct10" w:color="auto" w:fill="auto"/>
            <w:vAlign w:val="center"/>
          </w:tcPr>
          <w:p>
            <w:pPr>
              <w:spacing w:after="0"/>
              <w:jc w:val="center"/>
              <w:rPr>
                <w:rFonts w:eastAsia="Tahoma"/>
                <w:b/>
                <w:noProof/>
                <w:color w:val="000000"/>
                <w:sz w:val="18"/>
                <w:szCs w:val="18"/>
              </w:rPr>
            </w:pPr>
            <w:r>
              <w:rPr>
                <w:b/>
                <w:noProof/>
                <w:sz w:val="18"/>
              </w:rPr>
              <w:t>30</w:t>
            </w:r>
          </w:p>
        </w:tc>
        <w:tc>
          <w:tcPr>
            <w:tcW w:w="567" w:type="dxa"/>
            <w:tcBorders>
              <w:top w:val="single" w:sz="4" w:space="0" w:color="000000"/>
              <w:left w:val="nil"/>
              <w:bottom w:val="single" w:sz="4" w:space="0" w:color="000000"/>
              <w:right w:val="single" w:sz="4" w:space="0" w:color="000000"/>
            </w:tcBorders>
            <w:shd w:val="pct10" w:color="auto" w:fill="auto"/>
            <w:vAlign w:val="center"/>
          </w:tcPr>
          <w:p>
            <w:pPr>
              <w:spacing w:after="0"/>
              <w:jc w:val="center"/>
              <w:rPr>
                <w:rFonts w:eastAsia="Tahoma"/>
                <w:b/>
                <w:noProof/>
                <w:color w:val="000000"/>
                <w:sz w:val="18"/>
                <w:szCs w:val="18"/>
              </w:rPr>
            </w:pPr>
            <w:r>
              <w:rPr>
                <w:b/>
                <w:noProof/>
                <w:sz w:val="18"/>
              </w:rPr>
              <w:t>63</w:t>
            </w:r>
          </w:p>
        </w:tc>
        <w:tc>
          <w:tcPr>
            <w:tcW w:w="709" w:type="dxa"/>
            <w:tcBorders>
              <w:top w:val="single" w:sz="4" w:space="0" w:color="000000"/>
              <w:left w:val="nil"/>
              <w:bottom w:val="single" w:sz="4" w:space="0" w:color="000000"/>
              <w:right w:val="single" w:sz="4" w:space="0" w:color="000000"/>
            </w:tcBorders>
            <w:shd w:val="pct10" w:color="auto" w:fill="auto"/>
            <w:vAlign w:val="center"/>
          </w:tcPr>
          <w:p>
            <w:pPr>
              <w:spacing w:after="0"/>
              <w:jc w:val="center"/>
              <w:rPr>
                <w:rFonts w:eastAsia="Tahoma"/>
                <w:b/>
                <w:noProof/>
                <w:color w:val="000000"/>
                <w:sz w:val="18"/>
                <w:szCs w:val="18"/>
              </w:rPr>
            </w:pPr>
            <w:r>
              <w:rPr>
                <w:b/>
                <w:noProof/>
                <w:sz w:val="18"/>
              </w:rPr>
              <w:t>28</w:t>
            </w:r>
          </w:p>
        </w:tc>
        <w:tc>
          <w:tcPr>
            <w:tcW w:w="677" w:type="dxa"/>
            <w:tcBorders>
              <w:top w:val="single" w:sz="4" w:space="0" w:color="000000"/>
              <w:left w:val="nil"/>
              <w:bottom w:val="single" w:sz="4" w:space="0" w:color="000000"/>
              <w:right w:val="single" w:sz="12" w:space="0" w:color="000000"/>
            </w:tcBorders>
            <w:shd w:val="pct10" w:color="auto" w:fill="auto"/>
            <w:vAlign w:val="center"/>
          </w:tcPr>
          <w:p>
            <w:pPr>
              <w:spacing w:after="0"/>
              <w:jc w:val="center"/>
              <w:rPr>
                <w:rFonts w:eastAsia="Tahoma"/>
                <w:b/>
                <w:noProof/>
                <w:color w:val="000000"/>
                <w:sz w:val="18"/>
                <w:szCs w:val="18"/>
              </w:rPr>
            </w:pPr>
            <w:r>
              <w:rPr>
                <w:b/>
                <w:noProof/>
                <w:sz w:val="18"/>
              </w:rPr>
              <w:t>44</w:t>
            </w:r>
          </w:p>
        </w:tc>
      </w:tr>
      <w:tr>
        <w:trPr>
          <w:trHeight w:val="225"/>
          <w:jc w:val="center"/>
        </w:trPr>
        <w:tc>
          <w:tcPr>
            <w:tcW w:w="917" w:type="dxa"/>
            <w:vMerge w:val="restart"/>
            <w:tcBorders>
              <w:top w:val="nil"/>
              <w:left w:val="single" w:sz="12" w:space="0" w:color="000000"/>
              <w:bottom w:val="single" w:sz="4" w:space="0" w:color="000000"/>
              <w:right w:val="single" w:sz="4" w:space="0" w:color="000000"/>
            </w:tcBorders>
            <w:shd w:val="clear" w:color="auto" w:fill="F2F2F2"/>
            <w:vAlign w:val="center"/>
          </w:tcPr>
          <w:p>
            <w:pPr>
              <w:spacing w:after="0"/>
              <w:jc w:val="center"/>
              <w:rPr>
                <w:noProof/>
                <w:color w:val="000000"/>
                <w:szCs w:val="24"/>
              </w:rPr>
            </w:pPr>
            <w:r>
              <w:rPr>
                <w:noProof/>
                <w:sz w:val="18"/>
              </w:rPr>
              <w:t>2015 г.</w:t>
            </w:r>
          </w:p>
        </w:tc>
        <w:tc>
          <w:tcPr>
            <w:tcW w:w="1445" w:type="dxa"/>
            <w:tcBorders>
              <w:top w:val="nil"/>
              <w:left w:val="nil"/>
              <w:bottom w:val="single" w:sz="4" w:space="0" w:color="000000"/>
              <w:right w:val="single" w:sz="4" w:space="0" w:color="000000"/>
            </w:tcBorders>
            <w:vAlign w:val="bottom"/>
          </w:tcPr>
          <w:p>
            <w:pPr>
              <w:spacing w:after="0"/>
              <w:jc w:val="left"/>
              <w:rPr>
                <w:noProof/>
                <w:color w:val="000000"/>
                <w:sz w:val="18"/>
                <w:szCs w:val="18"/>
              </w:rPr>
            </w:pPr>
            <w:r>
              <w:rPr>
                <w:noProof/>
                <w:sz w:val="18"/>
              </w:rPr>
              <w:t>Критични</w:t>
            </w:r>
          </w:p>
        </w:tc>
        <w:tc>
          <w:tcPr>
            <w:tcW w:w="831" w:type="dxa"/>
            <w:tcBorders>
              <w:top w:val="nil"/>
              <w:left w:val="nil"/>
              <w:bottom w:val="single" w:sz="4" w:space="0" w:color="000000"/>
              <w:right w:val="single" w:sz="12" w:space="0" w:color="000000"/>
            </w:tcBorders>
            <w:vAlign w:val="center"/>
          </w:tcPr>
          <w:p>
            <w:pPr>
              <w:spacing w:after="0"/>
              <w:jc w:val="center"/>
              <w:rPr>
                <w:noProof/>
                <w:color w:val="000000"/>
                <w:sz w:val="18"/>
                <w:szCs w:val="18"/>
              </w:rPr>
            </w:pPr>
            <w:r>
              <w:rPr>
                <w:noProof/>
                <w:sz w:val="18"/>
              </w:rPr>
              <w:t>1</w:t>
            </w:r>
          </w:p>
        </w:tc>
        <w:tc>
          <w:tcPr>
            <w:tcW w:w="728" w:type="dxa"/>
            <w:tcBorders>
              <w:top w:val="nil"/>
              <w:left w:val="single" w:sz="12" w:space="0" w:color="000000"/>
              <w:bottom w:val="single" w:sz="4" w:space="0" w:color="000000"/>
              <w:right w:val="single" w:sz="4" w:space="0" w:color="000000"/>
            </w:tcBorders>
            <w:vAlign w:val="center"/>
          </w:tcPr>
          <w:p>
            <w:pPr>
              <w:spacing w:after="0"/>
              <w:jc w:val="center"/>
              <w:rPr>
                <w:noProof/>
                <w:color w:val="000000"/>
                <w:sz w:val="18"/>
                <w:szCs w:val="18"/>
              </w:rPr>
            </w:pPr>
            <w:r>
              <w:rPr>
                <w:noProof/>
                <w:sz w:val="18"/>
              </w:rPr>
              <w:t>0</w:t>
            </w:r>
          </w:p>
        </w:tc>
        <w:tc>
          <w:tcPr>
            <w:tcW w:w="850" w:type="dxa"/>
            <w:tcBorders>
              <w:top w:val="nil"/>
              <w:left w:val="nil"/>
              <w:bottom w:val="single" w:sz="4" w:space="0" w:color="000000"/>
              <w:right w:val="single" w:sz="12" w:space="0" w:color="000000"/>
            </w:tcBorders>
            <w:vAlign w:val="center"/>
          </w:tcPr>
          <w:p>
            <w:pPr>
              <w:spacing w:after="0"/>
              <w:jc w:val="center"/>
              <w:rPr>
                <w:noProof/>
                <w:color w:val="000000"/>
                <w:sz w:val="18"/>
                <w:szCs w:val="18"/>
              </w:rPr>
            </w:pPr>
            <w:r>
              <w:rPr>
                <w:noProof/>
                <w:sz w:val="18"/>
              </w:rPr>
              <w:t>0 %</w:t>
            </w:r>
          </w:p>
        </w:tc>
        <w:tc>
          <w:tcPr>
            <w:tcW w:w="676" w:type="dxa"/>
            <w:tcBorders>
              <w:top w:val="nil"/>
              <w:left w:val="single" w:sz="12" w:space="0" w:color="000000"/>
              <w:bottom w:val="single" w:sz="4" w:space="0" w:color="000000"/>
              <w:right w:val="single" w:sz="4" w:space="0" w:color="000000"/>
            </w:tcBorders>
            <w:vAlign w:val="center"/>
          </w:tcPr>
          <w:p>
            <w:pPr>
              <w:spacing w:after="0"/>
              <w:jc w:val="center"/>
              <w:rPr>
                <w:noProof/>
                <w:color w:val="000000"/>
                <w:sz w:val="18"/>
                <w:szCs w:val="18"/>
              </w:rPr>
            </w:pPr>
            <w:r>
              <w:rPr>
                <w:noProof/>
                <w:sz w:val="18"/>
              </w:rPr>
              <w:t>1</w:t>
            </w:r>
          </w:p>
        </w:tc>
        <w:tc>
          <w:tcPr>
            <w:tcW w:w="693" w:type="dxa"/>
            <w:tcBorders>
              <w:top w:val="nil"/>
              <w:left w:val="nil"/>
              <w:bottom w:val="single" w:sz="4" w:space="0" w:color="000000"/>
              <w:right w:val="single" w:sz="4" w:space="0" w:color="000000"/>
            </w:tcBorders>
            <w:vAlign w:val="center"/>
          </w:tcPr>
          <w:p>
            <w:pPr>
              <w:spacing w:after="0"/>
              <w:jc w:val="center"/>
              <w:rPr>
                <w:noProof/>
                <w:color w:val="000000"/>
                <w:sz w:val="18"/>
                <w:szCs w:val="18"/>
              </w:rPr>
            </w:pPr>
            <w:r>
              <w:rPr>
                <w:noProof/>
                <w:sz w:val="18"/>
              </w:rPr>
              <w:t>100 %</w:t>
            </w:r>
          </w:p>
        </w:tc>
        <w:tc>
          <w:tcPr>
            <w:tcW w:w="1181" w:type="dxa"/>
            <w:tcBorders>
              <w:top w:val="nil"/>
              <w:left w:val="nil"/>
              <w:bottom w:val="single" w:sz="4" w:space="0" w:color="000000"/>
              <w:right w:val="single" w:sz="4" w:space="0" w:color="000000"/>
            </w:tcBorders>
            <w:vAlign w:val="center"/>
          </w:tcPr>
          <w:p>
            <w:pPr>
              <w:spacing w:after="0"/>
              <w:jc w:val="center"/>
              <w:rPr>
                <w:noProof/>
                <w:color w:val="000000"/>
                <w:sz w:val="18"/>
                <w:szCs w:val="18"/>
              </w:rPr>
            </w:pPr>
            <w:r>
              <w:rPr>
                <w:noProof/>
                <w:sz w:val="18"/>
              </w:rPr>
              <w:t>1</w:t>
            </w:r>
          </w:p>
        </w:tc>
        <w:tc>
          <w:tcPr>
            <w:tcW w:w="567" w:type="dxa"/>
            <w:tcBorders>
              <w:top w:val="nil"/>
              <w:left w:val="nil"/>
              <w:bottom w:val="single" w:sz="4" w:space="0" w:color="000000"/>
              <w:right w:val="single" w:sz="4" w:space="0" w:color="000000"/>
            </w:tcBorders>
            <w:vAlign w:val="center"/>
          </w:tcPr>
          <w:p>
            <w:pPr>
              <w:spacing w:after="0"/>
              <w:jc w:val="center"/>
              <w:rPr>
                <w:noProof/>
                <w:color w:val="000000"/>
                <w:sz w:val="18"/>
                <w:szCs w:val="18"/>
              </w:rPr>
            </w:pPr>
            <w:r>
              <w:rPr>
                <w:noProof/>
                <w:sz w:val="18"/>
              </w:rPr>
              <w:t>0</w:t>
            </w:r>
          </w:p>
        </w:tc>
        <w:tc>
          <w:tcPr>
            <w:tcW w:w="709" w:type="dxa"/>
            <w:tcBorders>
              <w:top w:val="nil"/>
              <w:left w:val="nil"/>
              <w:bottom w:val="single" w:sz="4" w:space="0" w:color="000000"/>
              <w:right w:val="single" w:sz="4" w:space="0" w:color="000000"/>
            </w:tcBorders>
            <w:vAlign w:val="center"/>
          </w:tcPr>
          <w:p>
            <w:pPr>
              <w:spacing w:after="0"/>
              <w:jc w:val="center"/>
              <w:rPr>
                <w:noProof/>
                <w:color w:val="000000"/>
                <w:sz w:val="18"/>
                <w:szCs w:val="18"/>
              </w:rPr>
            </w:pPr>
            <w:r>
              <w:rPr>
                <w:noProof/>
                <w:sz w:val="18"/>
              </w:rPr>
              <w:t>0</w:t>
            </w:r>
          </w:p>
        </w:tc>
        <w:tc>
          <w:tcPr>
            <w:tcW w:w="677" w:type="dxa"/>
            <w:tcBorders>
              <w:top w:val="nil"/>
              <w:left w:val="nil"/>
              <w:bottom w:val="single" w:sz="4" w:space="0" w:color="000000"/>
              <w:right w:val="single" w:sz="12" w:space="0" w:color="000000"/>
            </w:tcBorders>
            <w:vAlign w:val="center"/>
          </w:tcPr>
          <w:p>
            <w:pPr>
              <w:spacing w:after="0"/>
              <w:jc w:val="center"/>
              <w:rPr>
                <w:noProof/>
                <w:color w:val="000000"/>
                <w:sz w:val="18"/>
                <w:szCs w:val="18"/>
              </w:rPr>
            </w:pPr>
            <w:r>
              <w:rPr>
                <w:noProof/>
                <w:sz w:val="18"/>
              </w:rPr>
              <w:t>0</w:t>
            </w:r>
          </w:p>
        </w:tc>
      </w:tr>
      <w:tr>
        <w:trPr>
          <w:trHeight w:val="225"/>
          <w:jc w:val="center"/>
        </w:trPr>
        <w:tc>
          <w:tcPr>
            <w:tcW w:w="917" w:type="dxa"/>
            <w:vMerge/>
            <w:tcBorders>
              <w:top w:val="nil"/>
              <w:left w:val="single" w:sz="12" w:space="0" w:color="000000"/>
              <w:bottom w:val="single" w:sz="4" w:space="0" w:color="000000"/>
              <w:right w:val="single" w:sz="4" w:space="0" w:color="000000"/>
            </w:tcBorders>
            <w:vAlign w:val="center"/>
          </w:tcPr>
          <w:p>
            <w:pPr>
              <w:spacing w:after="0"/>
              <w:jc w:val="left"/>
              <w:rPr>
                <w:noProof/>
                <w:color w:val="000000"/>
                <w:szCs w:val="24"/>
              </w:rPr>
            </w:pPr>
          </w:p>
        </w:tc>
        <w:tc>
          <w:tcPr>
            <w:tcW w:w="1445" w:type="dxa"/>
            <w:tcBorders>
              <w:top w:val="nil"/>
              <w:left w:val="nil"/>
              <w:bottom w:val="single" w:sz="4" w:space="0" w:color="000000"/>
              <w:right w:val="single" w:sz="4" w:space="0" w:color="000000"/>
            </w:tcBorders>
            <w:vAlign w:val="bottom"/>
          </w:tcPr>
          <w:p>
            <w:pPr>
              <w:spacing w:after="0"/>
              <w:jc w:val="left"/>
              <w:rPr>
                <w:noProof/>
                <w:color w:val="000000"/>
                <w:sz w:val="18"/>
                <w:szCs w:val="18"/>
              </w:rPr>
            </w:pPr>
            <w:r>
              <w:rPr>
                <w:noProof/>
                <w:sz w:val="18"/>
              </w:rPr>
              <w:t>Много важни</w:t>
            </w:r>
          </w:p>
        </w:tc>
        <w:tc>
          <w:tcPr>
            <w:tcW w:w="831" w:type="dxa"/>
            <w:tcBorders>
              <w:top w:val="nil"/>
              <w:left w:val="nil"/>
              <w:bottom w:val="single" w:sz="4" w:space="0" w:color="000000"/>
              <w:right w:val="single" w:sz="12" w:space="0" w:color="000000"/>
            </w:tcBorders>
            <w:vAlign w:val="center"/>
          </w:tcPr>
          <w:p>
            <w:pPr>
              <w:spacing w:after="0"/>
              <w:jc w:val="center"/>
              <w:rPr>
                <w:noProof/>
                <w:color w:val="000000"/>
                <w:sz w:val="18"/>
                <w:szCs w:val="18"/>
              </w:rPr>
            </w:pPr>
            <w:r>
              <w:rPr>
                <w:noProof/>
                <w:sz w:val="18"/>
              </w:rPr>
              <w:t>80</w:t>
            </w:r>
          </w:p>
        </w:tc>
        <w:tc>
          <w:tcPr>
            <w:tcW w:w="728" w:type="dxa"/>
            <w:tcBorders>
              <w:top w:val="nil"/>
              <w:left w:val="single" w:sz="12" w:space="0" w:color="000000"/>
              <w:bottom w:val="single" w:sz="4" w:space="0" w:color="000000"/>
              <w:right w:val="single" w:sz="4" w:space="0" w:color="000000"/>
            </w:tcBorders>
            <w:vAlign w:val="center"/>
          </w:tcPr>
          <w:p>
            <w:pPr>
              <w:spacing w:after="0"/>
              <w:jc w:val="center"/>
              <w:rPr>
                <w:noProof/>
                <w:color w:val="000000"/>
                <w:sz w:val="18"/>
                <w:szCs w:val="18"/>
              </w:rPr>
            </w:pPr>
            <w:r>
              <w:rPr>
                <w:noProof/>
                <w:sz w:val="18"/>
              </w:rPr>
              <w:t>6</w:t>
            </w:r>
          </w:p>
        </w:tc>
        <w:tc>
          <w:tcPr>
            <w:tcW w:w="850" w:type="dxa"/>
            <w:tcBorders>
              <w:top w:val="nil"/>
              <w:left w:val="nil"/>
              <w:bottom w:val="single" w:sz="4" w:space="0" w:color="000000"/>
              <w:right w:val="single" w:sz="12" w:space="0" w:color="000000"/>
            </w:tcBorders>
            <w:vAlign w:val="center"/>
          </w:tcPr>
          <w:p>
            <w:pPr>
              <w:spacing w:after="0"/>
              <w:jc w:val="center"/>
              <w:rPr>
                <w:noProof/>
                <w:color w:val="000000"/>
                <w:sz w:val="18"/>
                <w:szCs w:val="18"/>
              </w:rPr>
            </w:pPr>
            <w:r>
              <w:rPr>
                <w:noProof/>
                <w:sz w:val="18"/>
              </w:rPr>
              <w:t>8 %</w:t>
            </w:r>
          </w:p>
        </w:tc>
        <w:tc>
          <w:tcPr>
            <w:tcW w:w="676" w:type="dxa"/>
            <w:tcBorders>
              <w:top w:val="nil"/>
              <w:left w:val="single" w:sz="12" w:space="0" w:color="000000"/>
              <w:bottom w:val="single" w:sz="4" w:space="0" w:color="000000"/>
              <w:right w:val="single" w:sz="4" w:space="0" w:color="000000"/>
            </w:tcBorders>
            <w:vAlign w:val="center"/>
          </w:tcPr>
          <w:p>
            <w:pPr>
              <w:spacing w:after="0"/>
              <w:jc w:val="center"/>
              <w:rPr>
                <w:noProof/>
                <w:color w:val="000000"/>
                <w:sz w:val="18"/>
                <w:szCs w:val="18"/>
              </w:rPr>
            </w:pPr>
            <w:r>
              <w:rPr>
                <w:noProof/>
                <w:sz w:val="18"/>
              </w:rPr>
              <w:t>74</w:t>
            </w:r>
          </w:p>
        </w:tc>
        <w:tc>
          <w:tcPr>
            <w:tcW w:w="693" w:type="dxa"/>
            <w:tcBorders>
              <w:top w:val="nil"/>
              <w:left w:val="nil"/>
              <w:bottom w:val="single" w:sz="4" w:space="0" w:color="000000"/>
              <w:right w:val="single" w:sz="4" w:space="0" w:color="000000"/>
            </w:tcBorders>
            <w:vAlign w:val="center"/>
          </w:tcPr>
          <w:p>
            <w:pPr>
              <w:spacing w:after="0"/>
              <w:jc w:val="center"/>
              <w:rPr>
                <w:noProof/>
                <w:color w:val="000000"/>
                <w:sz w:val="18"/>
                <w:szCs w:val="18"/>
              </w:rPr>
            </w:pPr>
            <w:r>
              <w:rPr>
                <w:noProof/>
                <w:sz w:val="18"/>
              </w:rPr>
              <w:t>92 %</w:t>
            </w:r>
          </w:p>
        </w:tc>
        <w:tc>
          <w:tcPr>
            <w:tcW w:w="1181" w:type="dxa"/>
            <w:tcBorders>
              <w:top w:val="nil"/>
              <w:left w:val="nil"/>
              <w:bottom w:val="single" w:sz="4" w:space="0" w:color="000000"/>
              <w:right w:val="single" w:sz="4" w:space="0" w:color="000000"/>
            </w:tcBorders>
            <w:vAlign w:val="center"/>
          </w:tcPr>
          <w:p>
            <w:pPr>
              <w:spacing w:after="0"/>
              <w:jc w:val="center"/>
              <w:rPr>
                <w:noProof/>
                <w:color w:val="000000"/>
                <w:sz w:val="18"/>
                <w:szCs w:val="18"/>
              </w:rPr>
            </w:pPr>
            <w:r>
              <w:rPr>
                <w:noProof/>
                <w:sz w:val="18"/>
              </w:rPr>
              <w:t>69</w:t>
            </w:r>
          </w:p>
        </w:tc>
        <w:tc>
          <w:tcPr>
            <w:tcW w:w="567" w:type="dxa"/>
            <w:tcBorders>
              <w:top w:val="nil"/>
              <w:left w:val="nil"/>
              <w:bottom w:val="single" w:sz="4" w:space="0" w:color="000000"/>
              <w:right w:val="single" w:sz="4" w:space="0" w:color="000000"/>
            </w:tcBorders>
            <w:vAlign w:val="center"/>
          </w:tcPr>
          <w:p>
            <w:pPr>
              <w:spacing w:after="0"/>
              <w:jc w:val="center"/>
              <w:rPr>
                <w:noProof/>
                <w:color w:val="000000"/>
                <w:sz w:val="18"/>
                <w:szCs w:val="18"/>
              </w:rPr>
            </w:pPr>
            <w:r>
              <w:rPr>
                <w:noProof/>
                <w:sz w:val="18"/>
              </w:rPr>
              <w:t>5</w:t>
            </w:r>
          </w:p>
        </w:tc>
        <w:tc>
          <w:tcPr>
            <w:tcW w:w="709" w:type="dxa"/>
            <w:tcBorders>
              <w:top w:val="single" w:sz="4" w:space="0" w:color="000000"/>
              <w:left w:val="nil"/>
              <w:bottom w:val="single" w:sz="4" w:space="0" w:color="000000"/>
              <w:right w:val="single" w:sz="4" w:space="0" w:color="000000"/>
            </w:tcBorders>
            <w:vAlign w:val="center"/>
          </w:tcPr>
          <w:p>
            <w:pPr>
              <w:spacing w:after="0"/>
              <w:jc w:val="center"/>
              <w:rPr>
                <w:noProof/>
                <w:color w:val="000000"/>
                <w:sz w:val="18"/>
                <w:szCs w:val="18"/>
              </w:rPr>
            </w:pPr>
            <w:r>
              <w:rPr>
                <w:noProof/>
                <w:sz w:val="18"/>
              </w:rPr>
              <w:t>0</w:t>
            </w:r>
          </w:p>
        </w:tc>
        <w:tc>
          <w:tcPr>
            <w:tcW w:w="677" w:type="dxa"/>
            <w:tcBorders>
              <w:top w:val="single" w:sz="4" w:space="0" w:color="000000"/>
              <w:left w:val="nil"/>
              <w:bottom w:val="single" w:sz="4" w:space="0" w:color="000000"/>
              <w:right w:val="single" w:sz="12" w:space="0" w:color="000000"/>
            </w:tcBorders>
            <w:vAlign w:val="center"/>
          </w:tcPr>
          <w:p>
            <w:pPr>
              <w:spacing w:after="0"/>
              <w:jc w:val="center"/>
              <w:rPr>
                <w:noProof/>
                <w:color w:val="000000"/>
                <w:sz w:val="18"/>
                <w:szCs w:val="18"/>
              </w:rPr>
            </w:pPr>
            <w:r>
              <w:rPr>
                <w:noProof/>
                <w:sz w:val="18"/>
              </w:rPr>
              <w:t>0</w:t>
            </w:r>
          </w:p>
        </w:tc>
      </w:tr>
      <w:tr>
        <w:trPr>
          <w:trHeight w:val="225"/>
          <w:jc w:val="center"/>
        </w:trPr>
        <w:tc>
          <w:tcPr>
            <w:tcW w:w="917" w:type="dxa"/>
            <w:vMerge/>
            <w:tcBorders>
              <w:top w:val="nil"/>
              <w:left w:val="single" w:sz="12" w:space="0" w:color="000000"/>
              <w:bottom w:val="single" w:sz="4" w:space="0" w:color="000000"/>
              <w:right w:val="single" w:sz="4" w:space="0" w:color="000000"/>
            </w:tcBorders>
            <w:vAlign w:val="center"/>
          </w:tcPr>
          <w:p>
            <w:pPr>
              <w:spacing w:after="0"/>
              <w:jc w:val="left"/>
              <w:rPr>
                <w:noProof/>
                <w:color w:val="000000"/>
                <w:szCs w:val="24"/>
              </w:rPr>
            </w:pPr>
          </w:p>
        </w:tc>
        <w:tc>
          <w:tcPr>
            <w:tcW w:w="1445" w:type="dxa"/>
            <w:tcBorders>
              <w:top w:val="nil"/>
              <w:left w:val="nil"/>
              <w:bottom w:val="single" w:sz="4" w:space="0" w:color="000000"/>
              <w:right w:val="single" w:sz="4" w:space="0" w:color="000000"/>
            </w:tcBorders>
            <w:vAlign w:val="bottom"/>
          </w:tcPr>
          <w:p>
            <w:pPr>
              <w:spacing w:after="0"/>
              <w:jc w:val="left"/>
              <w:rPr>
                <w:noProof/>
                <w:color w:val="000000"/>
                <w:sz w:val="18"/>
                <w:szCs w:val="18"/>
              </w:rPr>
            </w:pPr>
            <w:r>
              <w:rPr>
                <w:noProof/>
                <w:sz w:val="18"/>
              </w:rPr>
              <w:t>Важни</w:t>
            </w:r>
          </w:p>
        </w:tc>
        <w:tc>
          <w:tcPr>
            <w:tcW w:w="831" w:type="dxa"/>
            <w:tcBorders>
              <w:top w:val="nil"/>
              <w:left w:val="nil"/>
              <w:bottom w:val="single" w:sz="4" w:space="0" w:color="000000"/>
              <w:right w:val="single" w:sz="12" w:space="0" w:color="000000"/>
            </w:tcBorders>
            <w:vAlign w:val="center"/>
          </w:tcPr>
          <w:p>
            <w:pPr>
              <w:spacing w:after="0"/>
              <w:jc w:val="center"/>
              <w:rPr>
                <w:noProof/>
                <w:color w:val="000000"/>
                <w:sz w:val="18"/>
                <w:szCs w:val="18"/>
              </w:rPr>
            </w:pPr>
            <w:r>
              <w:rPr>
                <w:noProof/>
                <w:sz w:val="18"/>
              </w:rPr>
              <w:t>128</w:t>
            </w:r>
          </w:p>
        </w:tc>
        <w:tc>
          <w:tcPr>
            <w:tcW w:w="728" w:type="dxa"/>
            <w:tcBorders>
              <w:top w:val="nil"/>
              <w:left w:val="single" w:sz="12" w:space="0" w:color="000000"/>
              <w:bottom w:val="single" w:sz="4" w:space="0" w:color="000000"/>
              <w:right w:val="single" w:sz="4" w:space="0" w:color="000000"/>
            </w:tcBorders>
            <w:vAlign w:val="center"/>
          </w:tcPr>
          <w:p>
            <w:pPr>
              <w:spacing w:after="0"/>
              <w:jc w:val="center"/>
              <w:rPr>
                <w:noProof/>
                <w:color w:val="000000"/>
                <w:sz w:val="18"/>
                <w:szCs w:val="18"/>
              </w:rPr>
            </w:pPr>
            <w:r>
              <w:rPr>
                <w:noProof/>
                <w:sz w:val="18"/>
              </w:rPr>
              <w:t>9</w:t>
            </w:r>
          </w:p>
        </w:tc>
        <w:tc>
          <w:tcPr>
            <w:tcW w:w="850" w:type="dxa"/>
            <w:tcBorders>
              <w:top w:val="nil"/>
              <w:left w:val="nil"/>
              <w:bottom w:val="single" w:sz="4" w:space="0" w:color="000000"/>
              <w:right w:val="single" w:sz="12" w:space="0" w:color="000000"/>
            </w:tcBorders>
            <w:vAlign w:val="center"/>
          </w:tcPr>
          <w:p>
            <w:pPr>
              <w:spacing w:after="0"/>
              <w:jc w:val="center"/>
              <w:rPr>
                <w:noProof/>
                <w:color w:val="000000"/>
                <w:sz w:val="18"/>
                <w:szCs w:val="18"/>
              </w:rPr>
            </w:pPr>
            <w:r>
              <w:rPr>
                <w:noProof/>
                <w:sz w:val="18"/>
              </w:rPr>
              <w:t>7 %</w:t>
            </w:r>
          </w:p>
        </w:tc>
        <w:tc>
          <w:tcPr>
            <w:tcW w:w="676" w:type="dxa"/>
            <w:tcBorders>
              <w:top w:val="nil"/>
              <w:left w:val="single" w:sz="12" w:space="0" w:color="000000"/>
              <w:bottom w:val="single" w:sz="4" w:space="0" w:color="000000"/>
              <w:right w:val="single" w:sz="4" w:space="0" w:color="000000"/>
            </w:tcBorders>
            <w:vAlign w:val="center"/>
          </w:tcPr>
          <w:p>
            <w:pPr>
              <w:spacing w:after="0"/>
              <w:jc w:val="center"/>
              <w:rPr>
                <w:noProof/>
                <w:color w:val="000000"/>
                <w:sz w:val="18"/>
                <w:szCs w:val="18"/>
              </w:rPr>
            </w:pPr>
            <w:r>
              <w:rPr>
                <w:noProof/>
                <w:sz w:val="18"/>
              </w:rPr>
              <w:t>119</w:t>
            </w:r>
          </w:p>
        </w:tc>
        <w:tc>
          <w:tcPr>
            <w:tcW w:w="693" w:type="dxa"/>
            <w:tcBorders>
              <w:top w:val="nil"/>
              <w:left w:val="nil"/>
              <w:bottom w:val="single" w:sz="4" w:space="0" w:color="000000"/>
              <w:right w:val="single" w:sz="4" w:space="0" w:color="000000"/>
            </w:tcBorders>
            <w:vAlign w:val="center"/>
          </w:tcPr>
          <w:p>
            <w:pPr>
              <w:spacing w:after="0"/>
              <w:jc w:val="center"/>
              <w:rPr>
                <w:noProof/>
                <w:color w:val="000000"/>
                <w:sz w:val="18"/>
                <w:szCs w:val="18"/>
              </w:rPr>
            </w:pPr>
            <w:r>
              <w:rPr>
                <w:noProof/>
                <w:sz w:val="18"/>
              </w:rPr>
              <w:t>93 %</w:t>
            </w:r>
          </w:p>
        </w:tc>
        <w:tc>
          <w:tcPr>
            <w:tcW w:w="1181" w:type="dxa"/>
            <w:tcBorders>
              <w:top w:val="nil"/>
              <w:left w:val="nil"/>
              <w:bottom w:val="single" w:sz="4" w:space="0" w:color="000000"/>
              <w:right w:val="single" w:sz="4" w:space="0" w:color="000000"/>
            </w:tcBorders>
            <w:vAlign w:val="center"/>
          </w:tcPr>
          <w:p>
            <w:pPr>
              <w:spacing w:after="0"/>
              <w:jc w:val="center"/>
              <w:rPr>
                <w:noProof/>
                <w:color w:val="000000"/>
                <w:sz w:val="18"/>
                <w:szCs w:val="18"/>
              </w:rPr>
            </w:pPr>
            <w:r>
              <w:rPr>
                <w:noProof/>
                <w:sz w:val="18"/>
              </w:rPr>
              <w:t>109</w:t>
            </w:r>
          </w:p>
        </w:tc>
        <w:tc>
          <w:tcPr>
            <w:tcW w:w="567" w:type="dxa"/>
            <w:tcBorders>
              <w:top w:val="nil"/>
              <w:left w:val="nil"/>
              <w:bottom w:val="single" w:sz="4" w:space="0" w:color="000000"/>
              <w:right w:val="single" w:sz="4" w:space="0" w:color="000000"/>
            </w:tcBorders>
            <w:vAlign w:val="center"/>
          </w:tcPr>
          <w:p>
            <w:pPr>
              <w:spacing w:after="0"/>
              <w:jc w:val="center"/>
              <w:rPr>
                <w:noProof/>
                <w:color w:val="000000"/>
                <w:sz w:val="18"/>
                <w:szCs w:val="18"/>
              </w:rPr>
            </w:pPr>
            <w:r>
              <w:rPr>
                <w:noProof/>
                <w:sz w:val="18"/>
              </w:rPr>
              <w:t>10</w:t>
            </w:r>
          </w:p>
        </w:tc>
        <w:tc>
          <w:tcPr>
            <w:tcW w:w="709" w:type="dxa"/>
            <w:tcBorders>
              <w:top w:val="nil"/>
              <w:left w:val="nil"/>
              <w:bottom w:val="single" w:sz="4" w:space="0" w:color="000000"/>
              <w:right w:val="single" w:sz="4" w:space="0" w:color="000000"/>
            </w:tcBorders>
            <w:vAlign w:val="center"/>
          </w:tcPr>
          <w:p>
            <w:pPr>
              <w:spacing w:after="0"/>
              <w:jc w:val="center"/>
              <w:rPr>
                <w:noProof/>
                <w:color w:val="000000"/>
                <w:sz w:val="18"/>
                <w:szCs w:val="18"/>
              </w:rPr>
            </w:pPr>
            <w:r>
              <w:rPr>
                <w:noProof/>
                <w:sz w:val="18"/>
              </w:rPr>
              <w:t>0</w:t>
            </w:r>
          </w:p>
        </w:tc>
        <w:tc>
          <w:tcPr>
            <w:tcW w:w="677" w:type="dxa"/>
            <w:tcBorders>
              <w:top w:val="nil"/>
              <w:left w:val="nil"/>
              <w:bottom w:val="single" w:sz="4" w:space="0" w:color="000000"/>
              <w:right w:val="single" w:sz="12" w:space="0" w:color="000000"/>
            </w:tcBorders>
            <w:vAlign w:val="center"/>
          </w:tcPr>
          <w:p>
            <w:pPr>
              <w:spacing w:after="0"/>
              <w:jc w:val="center"/>
              <w:rPr>
                <w:noProof/>
                <w:color w:val="000000"/>
                <w:sz w:val="18"/>
                <w:szCs w:val="18"/>
              </w:rPr>
            </w:pPr>
            <w:r>
              <w:rPr>
                <w:noProof/>
                <w:sz w:val="18"/>
              </w:rPr>
              <w:t>0</w:t>
            </w:r>
          </w:p>
        </w:tc>
      </w:tr>
      <w:tr>
        <w:trPr>
          <w:trHeight w:val="246"/>
          <w:jc w:val="center"/>
        </w:trPr>
        <w:tc>
          <w:tcPr>
            <w:tcW w:w="917" w:type="dxa"/>
            <w:vMerge/>
            <w:tcBorders>
              <w:top w:val="nil"/>
              <w:left w:val="single" w:sz="12" w:space="0" w:color="000000"/>
              <w:bottom w:val="single" w:sz="4" w:space="0" w:color="000000"/>
              <w:right w:val="single" w:sz="4" w:space="0" w:color="000000"/>
            </w:tcBorders>
            <w:vAlign w:val="center"/>
          </w:tcPr>
          <w:p>
            <w:pPr>
              <w:spacing w:after="0"/>
              <w:jc w:val="left"/>
              <w:rPr>
                <w:noProof/>
                <w:color w:val="000000"/>
                <w:szCs w:val="24"/>
              </w:rPr>
            </w:pPr>
          </w:p>
        </w:tc>
        <w:tc>
          <w:tcPr>
            <w:tcW w:w="1445" w:type="dxa"/>
            <w:tcBorders>
              <w:top w:val="nil"/>
              <w:left w:val="nil"/>
              <w:bottom w:val="nil"/>
              <w:right w:val="single" w:sz="4" w:space="0" w:color="000000"/>
            </w:tcBorders>
            <w:vAlign w:val="bottom"/>
          </w:tcPr>
          <w:p>
            <w:pPr>
              <w:spacing w:after="0"/>
              <w:jc w:val="left"/>
              <w:rPr>
                <w:noProof/>
                <w:color w:val="000000"/>
                <w:sz w:val="18"/>
                <w:szCs w:val="18"/>
              </w:rPr>
            </w:pPr>
            <w:r>
              <w:rPr>
                <w:noProof/>
                <w:sz w:val="18"/>
              </w:rPr>
              <w:t>Желателни</w:t>
            </w:r>
          </w:p>
        </w:tc>
        <w:tc>
          <w:tcPr>
            <w:tcW w:w="831" w:type="dxa"/>
            <w:tcBorders>
              <w:top w:val="nil"/>
              <w:left w:val="nil"/>
              <w:bottom w:val="nil"/>
              <w:right w:val="single" w:sz="12" w:space="0" w:color="000000"/>
            </w:tcBorders>
            <w:vAlign w:val="center"/>
          </w:tcPr>
          <w:p>
            <w:pPr>
              <w:spacing w:after="0"/>
              <w:jc w:val="center"/>
              <w:rPr>
                <w:noProof/>
                <w:color w:val="000000"/>
                <w:sz w:val="18"/>
                <w:szCs w:val="18"/>
              </w:rPr>
            </w:pPr>
            <w:r>
              <w:rPr>
                <w:noProof/>
                <w:sz w:val="18"/>
              </w:rPr>
              <w:t>7</w:t>
            </w:r>
          </w:p>
        </w:tc>
        <w:tc>
          <w:tcPr>
            <w:tcW w:w="728" w:type="dxa"/>
            <w:tcBorders>
              <w:top w:val="nil"/>
              <w:left w:val="single" w:sz="12" w:space="0" w:color="000000"/>
              <w:bottom w:val="nil"/>
              <w:right w:val="single" w:sz="4" w:space="0" w:color="000000"/>
            </w:tcBorders>
            <w:vAlign w:val="center"/>
          </w:tcPr>
          <w:p>
            <w:pPr>
              <w:spacing w:after="0"/>
              <w:jc w:val="center"/>
              <w:rPr>
                <w:noProof/>
                <w:color w:val="000000"/>
                <w:sz w:val="18"/>
                <w:szCs w:val="18"/>
              </w:rPr>
            </w:pPr>
            <w:r>
              <w:rPr>
                <w:noProof/>
                <w:sz w:val="18"/>
              </w:rPr>
              <w:t>0</w:t>
            </w:r>
          </w:p>
        </w:tc>
        <w:tc>
          <w:tcPr>
            <w:tcW w:w="850" w:type="dxa"/>
            <w:tcBorders>
              <w:top w:val="nil"/>
              <w:left w:val="nil"/>
              <w:bottom w:val="single" w:sz="4" w:space="0" w:color="000000"/>
              <w:right w:val="single" w:sz="12" w:space="0" w:color="000000"/>
            </w:tcBorders>
            <w:vAlign w:val="center"/>
          </w:tcPr>
          <w:p>
            <w:pPr>
              <w:spacing w:after="0"/>
              <w:jc w:val="center"/>
              <w:rPr>
                <w:noProof/>
                <w:color w:val="000000"/>
                <w:sz w:val="18"/>
                <w:szCs w:val="18"/>
              </w:rPr>
            </w:pPr>
            <w:r>
              <w:rPr>
                <w:noProof/>
                <w:sz w:val="18"/>
              </w:rPr>
              <w:t>0 %</w:t>
            </w:r>
          </w:p>
        </w:tc>
        <w:tc>
          <w:tcPr>
            <w:tcW w:w="676" w:type="dxa"/>
            <w:tcBorders>
              <w:top w:val="nil"/>
              <w:left w:val="single" w:sz="12" w:space="0" w:color="000000"/>
              <w:bottom w:val="nil"/>
              <w:right w:val="single" w:sz="4" w:space="0" w:color="000000"/>
            </w:tcBorders>
            <w:vAlign w:val="center"/>
          </w:tcPr>
          <w:p>
            <w:pPr>
              <w:spacing w:after="0"/>
              <w:jc w:val="center"/>
              <w:rPr>
                <w:noProof/>
                <w:color w:val="000000"/>
                <w:sz w:val="18"/>
                <w:szCs w:val="18"/>
              </w:rPr>
            </w:pPr>
            <w:r>
              <w:rPr>
                <w:noProof/>
                <w:sz w:val="18"/>
              </w:rPr>
              <w:t>7</w:t>
            </w:r>
          </w:p>
        </w:tc>
        <w:tc>
          <w:tcPr>
            <w:tcW w:w="693" w:type="dxa"/>
            <w:tcBorders>
              <w:top w:val="nil"/>
              <w:left w:val="nil"/>
              <w:bottom w:val="single" w:sz="4" w:space="0" w:color="000000"/>
              <w:right w:val="single" w:sz="4" w:space="0" w:color="000000"/>
            </w:tcBorders>
            <w:vAlign w:val="center"/>
          </w:tcPr>
          <w:p>
            <w:pPr>
              <w:spacing w:after="0"/>
              <w:jc w:val="center"/>
              <w:rPr>
                <w:noProof/>
                <w:color w:val="000000"/>
                <w:sz w:val="18"/>
                <w:szCs w:val="18"/>
              </w:rPr>
            </w:pPr>
            <w:r>
              <w:rPr>
                <w:noProof/>
                <w:sz w:val="18"/>
              </w:rPr>
              <w:t>100 %</w:t>
            </w:r>
          </w:p>
        </w:tc>
        <w:tc>
          <w:tcPr>
            <w:tcW w:w="1181" w:type="dxa"/>
            <w:tcBorders>
              <w:top w:val="nil"/>
              <w:left w:val="nil"/>
              <w:bottom w:val="nil"/>
              <w:right w:val="single" w:sz="4" w:space="0" w:color="000000"/>
            </w:tcBorders>
            <w:vAlign w:val="center"/>
          </w:tcPr>
          <w:p>
            <w:pPr>
              <w:spacing w:after="0"/>
              <w:jc w:val="center"/>
              <w:rPr>
                <w:noProof/>
                <w:color w:val="000000"/>
                <w:sz w:val="18"/>
                <w:szCs w:val="18"/>
              </w:rPr>
            </w:pPr>
            <w:r>
              <w:rPr>
                <w:noProof/>
                <w:sz w:val="18"/>
              </w:rPr>
              <w:t>7</w:t>
            </w:r>
          </w:p>
        </w:tc>
        <w:tc>
          <w:tcPr>
            <w:tcW w:w="567" w:type="dxa"/>
            <w:tcBorders>
              <w:top w:val="nil"/>
              <w:left w:val="nil"/>
              <w:bottom w:val="nil"/>
              <w:right w:val="single" w:sz="4" w:space="0" w:color="000000"/>
            </w:tcBorders>
            <w:vAlign w:val="center"/>
          </w:tcPr>
          <w:p>
            <w:pPr>
              <w:spacing w:after="0"/>
              <w:jc w:val="center"/>
              <w:rPr>
                <w:noProof/>
                <w:color w:val="000000"/>
                <w:sz w:val="18"/>
                <w:szCs w:val="18"/>
              </w:rPr>
            </w:pPr>
            <w:r>
              <w:rPr>
                <w:noProof/>
                <w:sz w:val="18"/>
              </w:rPr>
              <w:t>0</w:t>
            </w:r>
          </w:p>
        </w:tc>
        <w:tc>
          <w:tcPr>
            <w:tcW w:w="709" w:type="dxa"/>
            <w:tcBorders>
              <w:top w:val="nil"/>
              <w:left w:val="nil"/>
              <w:bottom w:val="nil"/>
              <w:right w:val="single" w:sz="4" w:space="0" w:color="000000"/>
            </w:tcBorders>
            <w:vAlign w:val="center"/>
          </w:tcPr>
          <w:p>
            <w:pPr>
              <w:spacing w:after="0"/>
              <w:jc w:val="center"/>
              <w:rPr>
                <w:noProof/>
                <w:color w:val="000000"/>
                <w:sz w:val="18"/>
                <w:szCs w:val="18"/>
              </w:rPr>
            </w:pPr>
            <w:r>
              <w:rPr>
                <w:noProof/>
                <w:sz w:val="18"/>
              </w:rPr>
              <w:t>0</w:t>
            </w:r>
          </w:p>
        </w:tc>
        <w:tc>
          <w:tcPr>
            <w:tcW w:w="677" w:type="dxa"/>
            <w:tcBorders>
              <w:top w:val="nil"/>
              <w:left w:val="nil"/>
              <w:bottom w:val="nil"/>
              <w:right w:val="single" w:sz="12" w:space="0" w:color="000000"/>
            </w:tcBorders>
            <w:vAlign w:val="center"/>
          </w:tcPr>
          <w:p>
            <w:pPr>
              <w:spacing w:after="0"/>
              <w:jc w:val="center"/>
              <w:rPr>
                <w:noProof/>
                <w:color w:val="000000"/>
                <w:sz w:val="18"/>
                <w:szCs w:val="18"/>
              </w:rPr>
            </w:pPr>
            <w:r>
              <w:rPr>
                <w:noProof/>
                <w:sz w:val="18"/>
              </w:rPr>
              <w:t>0</w:t>
            </w:r>
          </w:p>
        </w:tc>
      </w:tr>
      <w:tr>
        <w:trPr>
          <w:trHeight w:val="246"/>
          <w:jc w:val="center"/>
        </w:trPr>
        <w:tc>
          <w:tcPr>
            <w:tcW w:w="917" w:type="dxa"/>
            <w:vMerge/>
            <w:tcBorders>
              <w:top w:val="nil"/>
              <w:left w:val="single" w:sz="12" w:space="0" w:color="000000"/>
              <w:bottom w:val="single" w:sz="4" w:space="0" w:color="000000"/>
              <w:right w:val="single" w:sz="4" w:space="0" w:color="000000"/>
            </w:tcBorders>
            <w:vAlign w:val="center"/>
          </w:tcPr>
          <w:p>
            <w:pPr>
              <w:spacing w:after="0"/>
              <w:jc w:val="left"/>
              <w:rPr>
                <w:noProof/>
                <w:color w:val="000000"/>
                <w:szCs w:val="24"/>
              </w:rPr>
            </w:pPr>
          </w:p>
        </w:tc>
        <w:tc>
          <w:tcPr>
            <w:tcW w:w="1445" w:type="dxa"/>
            <w:tcBorders>
              <w:top w:val="single" w:sz="8" w:space="0" w:color="000000"/>
              <w:left w:val="nil"/>
              <w:bottom w:val="nil"/>
              <w:right w:val="single" w:sz="4" w:space="0" w:color="000000"/>
            </w:tcBorders>
            <w:shd w:val="clear" w:color="auto" w:fill="F2F2F2"/>
            <w:vAlign w:val="bottom"/>
          </w:tcPr>
          <w:p>
            <w:pPr>
              <w:spacing w:after="0"/>
              <w:jc w:val="left"/>
              <w:rPr>
                <w:noProof/>
                <w:color w:val="000000"/>
                <w:sz w:val="18"/>
                <w:szCs w:val="18"/>
              </w:rPr>
            </w:pPr>
            <w:r>
              <w:rPr>
                <w:b/>
                <w:noProof/>
                <w:sz w:val="18"/>
              </w:rPr>
              <w:t>2015 г. Общо</w:t>
            </w:r>
          </w:p>
        </w:tc>
        <w:tc>
          <w:tcPr>
            <w:tcW w:w="831" w:type="dxa"/>
            <w:tcBorders>
              <w:top w:val="single" w:sz="8" w:space="0" w:color="000000"/>
              <w:left w:val="nil"/>
              <w:bottom w:val="nil"/>
              <w:right w:val="single" w:sz="12" w:space="0" w:color="000000"/>
            </w:tcBorders>
            <w:shd w:val="clear" w:color="auto" w:fill="F2F2F2"/>
            <w:vAlign w:val="center"/>
          </w:tcPr>
          <w:p>
            <w:pPr>
              <w:spacing w:after="0"/>
              <w:jc w:val="center"/>
              <w:rPr>
                <w:noProof/>
                <w:color w:val="000000"/>
                <w:sz w:val="18"/>
                <w:szCs w:val="18"/>
              </w:rPr>
            </w:pPr>
            <w:r>
              <w:rPr>
                <w:b/>
                <w:noProof/>
                <w:sz w:val="18"/>
              </w:rPr>
              <w:t>216</w:t>
            </w:r>
          </w:p>
        </w:tc>
        <w:tc>
          <w:tcPr>
            <w:tcW w:w="728" w:type="dxa"/>
            <w:tcBorders>
              <w:top w:val="single" w:sz="8" w:space="0" w:color="000000"/>
              <w:left w:val="single" w:sz="12" w:space="0" w:color="000000"/>
              <w:bottom w:val="nil"/>
              <w:right w:val="single" w:sz="4" w:space="0" w:color="000000"/>
            </w:tcBorders>
            <w:shd w:val="clear" w:color="auto" w:fill="F2F2F2"/>
            <w:vAlign w:val="center"/>
          </w:tcPr>
          <w:p>
            <w:pPr>
              <w:spacing w:after="0"/>
              <w:jc w:val="center"/>
              <w:rPr>
                <w:b/>
                <w:noProof/>
                <w:color w:val="000000"/>
                <w:sz w:val="18"/>
                <w:szCs w:val="18"/>
              </w:rPr>
            </w:pPr>
            <w:r>
              <w:rPr>
                <w:b/>
                <w:noProof/>
                <w:sz w:val="18"/>
              </w:rPr>
              <w:t>15</w:t>
            </w:r>
          </w:p>
        </w:tc>
        <w:tc>
          <w:tcPr>
            <w:tcW w:w="850" w:type="dxa"/>
            <w:tcBorders>
              <w:top w:val="single" w:sz="8" w:space="0" w:color="000000"/>
              <w:left w:val="nil"/>
              <w:bottom w:val="nil"/>
              <w:right w:val="single" w:sz="12" w:space="0" w:color="000000"/>
            </w:tcBorders>
            <w:shd w:val="clear" w:color="auto" w:fill="F2F2F2"/>
            <w:vAlign w:val="center"/>
          </w:tcPr>
          <w:p>
            <w:pPr>
              <w:spacing w:after="0"/>
              <w:jc w:val="center"/>
              <w:rPr>
                <w:b/>
                <w:noProof/>
                <w:color w:val="000000"/>
                <w:sz w:val="18"/>
                <w:szCs w:val="18"/>
              </w:rPr>
            </w:pPr>
            <w:r>
              <w:rPr>
                <w:b/>
                <w:noProof/>
                <w:sz w:val="18"/>
              </w:rPr>
              <w:t>7 %</w:t>
            </w:r>
          </w:p>
        </w:tc>
        <w:tc>
          <w:tcPr>
            <w:tcW w:w="676" w:type="dxa"/>
            <w:tcBorders>
              <w:top w:val="single" w:sz="8" w:space="0" w:color="000000"/>
              <w:left w:val="single" w:sz="12" w:space="0" w:color="000000"/>
              <w:bottom w:val="nil"/>
              <w:right w:val="single" w:sz="4" w:space="0" w:color="000000"/>
            </w:tcBorders>
            <w:shd w:val="clear" w:color="auto" w:fill="F2F2F2"/>
            <w:vAlign w:val="center"/>
          </w:tcPr>
          <w:p>
            <w:pPr>
              <w:spacing w:after="0"/>
              <w:jc w:val="center"/>
              <w:rPr>
                <w:b/>
                <w:noProof/>
                <w:color w:val="000000"/>
                <w:sz w:val="18"/>
                <w:szCs w:val="18"/>
              </w:rPr>
            </w:pPr>
            <w:r>
              <w:rPr>
                <w:b/>
                <w:noProof/>
                <w:sz w:val="18"/>
              </w:rPr>
              <w:t>201</w:t>
            </w:r>
          </w:p>
        </w:tc>
        <w:tc>
          <w:tcPr>
            <w:tcW w:w="693" w:type="dxa"/>
            <w:tcBorders>
              <w:top w:val="single" w:sz="8" w:space="0" w:color="000000"/>
              <w:left w:val="nil"/>
              <w:bottom w:val="nil"/>
              <w:right w:val="single" w:sz="8" w:space="0" w:color="000000"/>
            </w:tcBorders>
            <w:shd w:val="clear" w:color="auto" w:fill="F2F2F2"/>
            <w:vAlign w:val="center"/>
          </w:tcPr>
          <w:p>
            <w:pPr>
              <w:spacing w:after="0"/>
              <w:jc w:val="center"/>
              <w:rPr>
                <w:b/>
                <w:noProof/>
                <w:color w:val="000000"/>
                <w:sz w:val="18"/>
                <w:szCs w:val="18"/>
              </w:rPr>
            </w:pPr>
            <w:r>
              <w:rPr>
                <w:b/>
                <w:noProof/>
                <w:sz w:val="18"/>
              </w:rPr>
              <w:t>93 %</w:t>
            </w:r>
          </w:p>
        </w:tc>
        <w:tc>
          <w:tcPr>
            <w:tcW w:w="1181" w:type="dxa"/>
            <w:tcBorders>
              <w:top w:val="single" w:sz="8" w:space="0" w:color="000000"/>
              <w:left w:val="single" w:sz="4" w:space="0" w:color="000000"/>
              <w:bottom w:val="nil"/>
              <w:right w:val="single" w:sz="4" w:space="0" w:color="000000"/>
            </w:tcBorders>
            <w:shd w:val="clear" w:color="auto" w:fill="F2F2F2"/>
            <w:vAlign w:val="center"/>
          </w:tcPr>
          <w:p>
            <w:pPr>
              <w:spacing w:after="0"/>
              <w:jc w:val="center"/>
              <w:rPr>
                <w:b/>
                <w:noProof/>
                <w:color w:val="000000"/>
                <w:sz w:val="18"/>
                <w:szCs w:val="18"/>
              </w:rPr>
            </w:pPr>
            <w:r>
              <w:rPr>
                <w:b/>
                <w:noProof/>
                <w:sz w:val="18"/>
              </w:rPr>
              <w:t>186</w:t>
            </w:r>
          </w:p>
        </w:tc>
        <w:tc>
          <w:tcPr>
            <w:tcW w:w="567" w:type="dxa"/>
            <w:tcBorders>
              <w:top w:val="single" w:sz="8" w:space="0" w:color="000000"/>
              <w:left w:val="nil"/>
              <w:bottom w:val="nil"/>
              <w:right w:val="single" w:sz="4" w:space="0" w:color="000000"/>
            </w:tcBorders>
            <w:shd w:val="clear" w:color="auto" w:fill="F2F2F2"/>
            <w:vAlign w:val="center"/>
          </w:tcPr>
          <w:p>
            <w:pPr>
              <w:spacing w:after="0"/>
              <w:jc w:val="center"/>
              <w:rPr>
                <w:b/>
                <w:noProof/>
                <w:color w:val="000000"/>
                <w:sz w:val="18"/>
                <w:szCs w:val="18"/>
              </w:rPr>
            </w:pPr>
            <w:r>
              <w:rPr>
                <w:b/>
                <w:noProof/>
                <w:sz w:val="18"/>
              </w:rPr>
              <w:t>15</w:t>
            </w:r>
          </w:p>
        </w:tc>
        <w:tc>
          <w:tcPr>
            <w:tcW w:w="709" w:type="dxa"/>
            <w:tcBorders>
              <w:top w:val="single" w:sz="8" w:space="0" w:color="000000"/>
              <w:left w:val="nil"/>
              <w:bottom w:val="nil"/>
              <w:right w:val="single" w:sz="4" w:space="0" w:color="000000"/>
            </w:tcBorders>
            <w:shd w:val="clear" w:color="auto" w:fill="F2F2F2"/>
            <w:vAlign w:val="center"/>
          </w:tcPr>
          <w:p>
            <w:pPr>
              <w:spacing w:after="0"/>
              <w:jc w:val="center"/>
              <w:rPr>
                <w:b/>
                <w:noProof/>
                <w:color w:val="000000"/>
                <w:sz w:val="18"/>
                <w:szCs w:val="18"/>
              </w:rPr>
            </w:pPr>
            <w:r>
              <w:rPr>
                <w:b/>
                <w:noProof/>
                <w:sz w:val="18"/>
              </w:rPr>
              <w:t>0</w:t>
            </w:r>
          </w:p>
        </w:tc>
        <w:tc>
          <w:tcPr>
            <w:tcW w:w="677" w:type="dxa"/>
            <w:tcBorders>
              <w:top w:val="single" w:sz="8" w:space="0" w:color="000000"/>
              <w:left w:val="nil"/>
              <w:bottom w:val="nil"/>
              <w:right w:val="single" w:sz="12" w:space="0" w:color="000000"/>
            </w:tcBorders>
            <w:shd w:val="clear" w:color="auto" w:fill="F2F2F2"/>
            <w:vAlign w:val="center"/>
          </w:tcPr>
          <w:p>
            <w:pPr>
              <w:spacing w:after="0"/>
              <w:jc w:val="center"/>
              <w:rPr>
                <w:b/>
                <w:noProof/>
                <w:color w:val="000000"/>
                <w:sz w:val="18"/>
                <w:szCs w:val="18"/>
              </w:rPr>
            </w:pPr>
            <w:r>
              <w:rPr>
                <w:b/>
                <w:noProof/>
                <w:sz w:val="18"/>
              </w:rPr>
              <w:t>0</w:t>
            </w:r>
          </w:p>
        </w:tc>
      </w:tr>
      <w:tr>
        <w:trPr>
          <w:trHeight w:val="225"/>
          <w:jc w:val="center"/>
        </w:trPr>
        <w:tc>
          <w:tcPr>
            <w:tcW w:w="2362" w:type="dxa"/>
            <w:gridSpan w:val="2"/>
            <w:tcBorders>
              <w:top w:val="single" w:sz="8" w:space="0" w:color="000000"/>
              <w:left w:val="single" w:sz="12" w:space="0" w:color="000000"/>
              <w:bottom w:val="single" w:sz="4" w:space="0" w:color="000000"/>
              <w:right w:val="single" w:sz="4" w:space="0" w:color="000000"/>
            </w:tcBorders>
            <w:shd w:val="clear" w:color="auto" w:fill="D9D9D9"/>
            <w:vAlign w:val="center"/>
          </w:tcPr>
          <w:p>
            <w:pPr>
              <w:spacing w:after="0"/>
              <w:jc w:val="left"/>
              <w:rPr>
                <w:noProof/>
                <w:color w:val="000000"/>
                <w:szCs w:val="24"/>
              </w:rPr>
            </w:pPr>
            <w:r>
              <w:rPr>
                <w:b/>
                <w:noProof/>
                <w:sz w:val="18"/>
              </w:rPr>
              <w:t>ОБЩО 2011—2015 г. </w:t>
            </w:r>
          </w:p>
        </w:tc>
        <w:tc>
          <w:tcPr>
            <w:tcW w:w="831" w:type="dxa"/>
            <w:tcBorders>
              <w:top w:val="single" w:sz="8" w:space="0" w:color="000000"/>
              <w:left w:val="nil"/>
              <w:bottom w:val="single" w:sz="4" w:space="0" w:color="000000"/>
              <w:right w:val="single" w:sz="12" w:space="0" w:color="000000"/>
            </w:tcBorders>
            <w:shd w:val="clear" w:color="auto" w:fill="D9D9D9"/>
            <w:vAlign w:val="center"/>
          </w:tcPr>
          <w:p>
            <w:pPr>
              <w:spacing w:after="0"/>
              <w:jc w:val="center"/>
              <w:rPr>
                <w:noProof/>
                <w:color w:val="000000"/>
                <w:szCs w:val="24"/>
              </w:rPr>
            </w:pPr>
            <w:r>
              <w:rPr>
                <w:b/>
                <w:noProof/>
                <w:sz w:val="18"/>
              </w:rPr>
              <w:t>1725</w:t>
            </w:r>
          </w:p>
        </w:tc>
        <w:tc>
          <w:tcPr>
            <w:tcW w:w="728" w:type="dxa"/>
            <w:tcBorders>
              <w:top w:val="single" w:sz="8" w:space="0" w:color="000000"/>
              <w:left w:val="single" w:sz="12" w:space="0" w:color="000000"/>
              <w:bottom w:val="single" w:sz="4" w:space="0" w:color="000000"/>
              <w:right w:val="single" w:sz="4" w:space="0" w:color="000000"/>
            </w:tcBorders>
            <w:shd w:val="clear" w:color="auto" w:fill="D9D9D9"/>
            <w:vAlign w:val="center"/>
          </w:tcPr>
          <w:p>
            <w:pPr>
              <w:spacing w:after="0"/>
              <w:jc w:val="center"/>
              <w:rPr>
                <w:noProof/>
                <w:color w:val="000000"/>
                <w:szCs w:val="24"/>
              </w:rPr>
            </w:pPr>
            <w:r>
              <w:rPr>
                <w:b/>
                <w:noProof/>
                <w:sz w:val="18"/>
              </w:rPr>
              <w:t>1270</w:t>
            </w:r>
          </w:p>
        </w:tc>
        <w:tc>
          <w:tcPr>
            <w:tcW w:w="850" w:type="dxa"/>
            <w:tcBorders>
              <w:top w:val="single" w:sz="8" w:space="0" w:color="000000"/>
              <w:left w:val="nil"/>
              <w:bottom w:val="single" w:sz="4" w:space="0" w:color="000000"/>
              <w:right w:val="single" w:sz="12" w:space="0" w:color="000000"/>
            </w:tcBorders>
            <w:shd w:val="clear" w:color="auto" w:fill="D9D9D9"/>
            <w:vAlign w:val="center"/>
          </w:tcPr>
          <w:p>
            <w:pPr>
              <w:spacing w:after="0"/>
              <w:jc w:val="center"/>
              <w:rPr>
                <w:noProof/>
                <w:color w:val="000000"/>
                <w:szCs w:val="24"/>
              </w:rPr>
            </w:pPr>
            <w:r>
              <w:rPr>
                <w:b/>
                <w:noProof/>
                <w:sz w:val="18"/>
              </w:rPr>
              <w:t>74 %</w:t>
            </w:r>
          </w:p>
        </w:tc>
        <w:tc>
          <w:tcPr>
            <w:tcW w:w="676" w:type="dxa"/>
            <w:tcBorders>
              <w:top w:val="single" w:sz="8" w:space="0" w:color="000000"/>
              <w:left w:val="single" w:sz="12" w:space="0" w:color="000000"/>
              <w:bottom w:val="single" w:sz="4" w:space="0" w:color="000000"/>
              <w:right w:val="single" w:sz="4" w:space="0" w:color="000000"/>
            </w:tcBorders>
            <w:shd w:val="clear" w:color="auto" w:fill="D9D9D9"/>
            <w:vAlign w:val="center"/>
          </w:tcPr>
          <w:p>
            <w:pPr>
              <w:spacing w:after="0"/>
              <w:jc w:val="center"/>
              <w:rPr>
                <w:noProof/>
                <w:color w:val="000000"/>
                <w:szCs w:val="24"/>
              </w:rPr>
            </w:pPr>
            <w:r>
              <w:rPr>
                <w:b/>
                <w:noProof/>
                <w:sz w:val="18"/>
              </w:rPr>
              <w:t>455</w:t>
            </w:r>
          </w:p>
        </w:tc>
        <w:tc>
          <w:tcPr>
            <w:tcW w:w="693" w:type="dxa"/>
            <w:tcBorders>
              <w:top w:val="single" w:sz="8" w:space="0" w:color="000000"/>
              <w:left w:val="nil"/>
              <w:bottom w:val="single" w:sz="4" w:space="0" w:color="000000"/>
              <w:right w:val="single" w:sz="4" w:space="0" w:color="000000"/>
            </w:tcBorders>
            <w:shd w:val="clear" w:color="auto" w:fill="D9D9D9"/>
            <w:vAlign w:val="center"/>
          </w:tcPr>
          <w:p>
            <w:pPr>
              <w:spacing w:after="0"/>
              <w:jc w:val="center"/>
              <w:rPr>
                <w:noProof/>
                <w:color w:val="000000"/>
                <w:szCs w:val="24"/>
              </w:rPr>
            </w:pPr>
            <w:r>
              <w:rPr>
                <w:b/>
                <w:noProof/>
                <w:sz w:val="18"/>
              </w:rPr>
              <w:t>26 %</w:t>
            </w:r>
          </w:p>
        </w:tc>
        <w:tc>
          <w:tcPr>
            <w:tcW w:w="1181" w:type="dxa"/>
            <w:tcBorders>
              <w:top w:val="single" w:sz="8" w:space="0" w:color="000000"/>
              <w:left w:val="nil"/>
              <w:bottom w:val="single" w:sz="4" w:space="0" w:color="000000"/>
              <w:right w:val="single" w:sz="4" w:space="0" w:color="000000"/>
            </w:tcBorders>
            <w:shd w:val="clear" w:color="auto" w:fill="D9D9D9"/>
            <w:vAlign w:val="center"/>
          </w:tcPr>
          <w:p>
            <w:pPr>
              <w:spacing w:after="0"/>
              <w:jc w:val="center"/>
              <w:rPr>
                <w:noProof/>
                <w:color w:val="000000"/>
                <w:szCs w:val="24"/>
              </w:rPr>
            </w:pPr>
            <w:r>
              <w:rPr>
                <w:b/>
                <w:noProof/>
                <w:sz w:val="18"/>
              </w:rPr>
              <w:t>235</w:t>
            </w:r>
          </w:p>
        </w:tc>
        <w:tc>
          <w:tcPr>
            <w:tcW w:w="567" w:type="dxa"/>
            <w:tcBorders>
              <w:top w:val="single" w:sz="8" w:space="0" w:color="000000"/>
              <w:left w:val="nil"/>
              <w:bottom w:val="single" w:sz="4" w:space="0" w:color="000000"/>
              <w:right w:val="single" w:sz="4" w:space="0" w:color="000000"/>
            </w:tcBorders>
            <w:shd w:val="clear" w:color="auto" w:fill="D9D9D9"/>
            <w:vAlign w:val="center"/>
          </w:tcPr>
          <w:p>
            <w:pPr>
              <w:spacing w:after="0"/>
              <w:jc w:val="center"/>
              <w:rPr>
                <w:noProof/>
                <w:color w:val="000000"/>
                <w:szCs w:val="24"/>
              </w:rPr>
            </w:pPr>
            <w:r>
              <w:rPr>
                <w:b/>
                <w:noProof/>
                <w:sz w:val="18"/>
              </w:rPr>
              <w:t>103</w:t>
            </w:r>
          </w:p>
        </w:tc>
        <w:tc>
          <w:tcPr>
            <w:tcW w:w="709" w:type="dxa"/>
            <w:tcBorders>
              <w:top w:val="single" w:sz="8" w:space="0" w:color="000000"/>
              <w:left w:val="nil"/>
              <w:bottom w:val="single" w:sz="4" w:space="0" w:color="000000"/>
              <w:right w:val="single" w:sz="4" w:space="0" w:color="000000"/>
            </w:tcBorders>
            <w:shd w:val="clear" w:color="auto" w:fill="D9D9D9"/>
            <w:vAlign w:val="center"/>
          </w:tcPr>
          <w:p>
            <w:pPr>
              <w:spacing w:after="0"/>
              <w:jc w:val="center"/>
              <w:rPr>
                <w:noProof/>
                <w:color w:val="000000"/>
                <w:szCs w:val="24"/>
              </w:rPr>
            </w:pPr>
            <w:r>
              <w:rPr>
                <w:b/>
                <w:noProof/>
                <w:sz w:val="18"/>
              </w:rPr>
              <w:t>48</w:t>
            </w:r>
          </w:p>
        </w:tc>
        <w:tc>
          <w:tcPr>
            <w:tcW w:w="677" w:type="dxa"/>
            <w:tcBorders>
              <w:top w:val="single" w:sz="8" w:space="0" w:color="000000"/>
              <w:left w:val="nil"/>
              <w:bottom w:val="single" w:sz="4" w:space="0" w:color="000000"/>
              <w:right w:val="single" w:sz="12" w:space="0" w:color="000000"/>
            </w:tcBorders>
            <w:shd w:val="clear" w:color="auto" w:fill="D9D9D9"/>
            <w:vAlign w:val="center"/>
          </w:tcPr>
          <w:p>
            <w:pPr>
              <w:spacing w:after="0"/>
              <w:jc w:val="center"/>
              <w:rPr>
                <w:noProof/>
                <w:color w:val="000000"/>
                <w:szCs w:val="24"/>
              </w:rPr>
            </w:pPr>
            <w:r>
              <w:rPr>
                <w:b/>
                <w:noProof/>
                <w:sz w:val="18"/>
              </w:rPr>
              <w:t>69</w:t>
            </w:r>
          </w:p>
        </w:tc>
      </w:tr>
      <w:tr>
        <w:trPr>
          <w:trHeight w:val="246"/>
          <w:jc w:val="center"/>
        </w:trPr>
        <w:tc>
          <w:tcPr>
            <w:tcW w:w="2362" w:type="dxa"/>
            <w:gridSpan w:val="2"/>
            <w:tcBorders>
              <w:top w:val="nil"/>
              <w:left w:val="single" w:sz="12" w:space="0" w:color="000000"/>
              <w:bottom w:val="single" w:sz="12" w:space="0" w:color="000000"/>
              <w:right w:val="single" w:sz="4" w:space="0" w:color="000000"/>
            </w:tcBorders>
            <w:shd w:val="clear" w:color="auto" w:fill="D9D9D9"/>
            <w:vAlign w:val="center"/>
          </w:tcPr>
          <w:p>
            <w:pPr>
              <w:spacing w:after="0"/>
              <w:jc w:val="left"/>
              <w:rPr>
                <w:noProof/>
                <w:color w:val="000000"/>
                <w:szCs w:val="24"/>
              </w:rPr>
            </w:pPr>
            <w:r>
              <w:rPr>
                <w:b/>
                <w:noProof/>
                <w:sz w:val="18"/>
              </w:rPr>
              <w:t>От тях „критични“ или „много важни“</w:t>
            </w:r>
            <w:r>
              <w:rPr>
                <w:noProof/>
                <w:sz w:val="18"/>
              </w:rPr>
              <w:t> </w:t>
            </w:r>
          </w:p>
        </w:tc>
        <w:tc>
          <w:tcPr>
            <w:tcW w:w="831" w:type="dxa"/>
            <w:tcBorders>
              <w:top w:val="nil"/>
              <w:left w:val="nil"/>
              <w:bottom w:val="single" w:sz="12" w:space="0" w:color="000000"/>
              <w:right w:val="single" w:sz="12" w:space="0" w:color="000000"/>
            </w:tcBorders>
            <w:shd w:val="clear" w:color="auto" w:fill="D9D9D9"/>
            <w:vAlign w:val="center"/>
          </w:tcPr>
          <w:p>
            <w:pPr>
              <w:spacing w:after="0"/>
              <w:jc w:val="center"/>
              <w:rPr>
                <w:noProof/>
                <w:color w:val="000000"/>
                <w:szCs w:val="24"/>
              </w:rPr>
            </w:pPr>
            <w:r>
              <w:rPr>
                <w:b/>
                <w:noProof/>
                <w:sz w:val="18"/>
              </w:rPr>
              <w:t>570</w:t>
            </w:r>
          </w:p>
        </w:tc>
        <w:tc>
          <w:tcPr>
            <w:tcW w:w="728" w:type="dxa"/>
            <w:tcBorders>
              <w:top w:val="nil"/>
              <w:left w:val="single" w:sz="12" w:space="0" w:color="000000"/>
              <w:bottom w:val="single" w:sz="12" w:space="0" w:color="000000"/>
              <w:right w:val="single" w:sz="4" w:space="0" w:color="000000"/>
            </w:tcBorders>
            <w:shd w:val="clear" w:color="auto" w:fill="D9D9D9"/>
            <w:vAlign w:val="center"/>
          </w:tcPr>
          <w:p>
            <w:pPr>
              <w:spacing w:after="0"/>
              <w:jc w:val="center"/>
              <w:rPr>
                <w:noProof/>
                <w:color w:val="000000"/>
                <w:szCs w:val="24"/>
              </w:rPr>
            </w:pPr>
            <w:r>
              <w:rPr>
                <w:b/>
                <w:noProof/>
                <w:sz w:val="18"/>
              </w:rPr>
              <w:t>407</w:t>
            </w:r>
          </w:p>
        </w:tc>
        <w:tc>
          <w:tcPr>
            <w:tcW w:w="850" w:type="dxa"/>
            <w:tcBorders>
              <w:top w:val="nil"/>
              <w:left w:val="nil"/>
              <w:bottom w:val="single" w:sz="12" w:space="0" w:color="000000"/>
              <w:right w:val="single" w:sz="12" w:space="0" w:color="000000"/>
            </w:tcBorders>
            <w:shd w:val="clear" w:color="auto" w:fill="D9D9D9"/>
            <w:vAlign w:val="center"/>
          </w:tcPr>
          <w:p>
            <w:pPr>
              <w:spacing w:after="0"/>
              <w:jc w:val="center"/>
              <w:rPr>
                <w:noProof/>
                <w:color w:val="000000"/>
                <w:szCs w:val="24"/>
              </w:rPr>
            </w:pPr>
            <w:r>
              <w:rPr>
                <w:b/>
                <w:noProof/>
                <w:sz w:val="18"/>
              </w:rPr>
              <w:t>72 %</w:t>
            </w:r>
          </w:p>
        </w:tc>
        <w:tc>
          <w:tcPr>
            <w:tcW w:w="676" w:type="dxa"/>
            <w:tcBorders>
              <w:top w:val="nil"/>
              <w:left w:val="single" w:sz="12" w:space="0" w:color="000000"/>
              <w:bottom w:val="single" w:sz="12" w:space="0" w:color="000000"/>
              <w:right w:val="single" w:sz="4" w:space="0" w:color="000000"/>
            </w:tcBorders>
            <w:shd w:val="clear" w:color="auto" w:fill="D9D9D9"/>
            <w:vAlign w:val="center"/>
          </w:tcPr>
          <w:p>
            <w:pPr>
              <w:spacing w:after="0"/>
              <w:jc w:val="center"/>
              <w:rPr>
                <w:noProof/>
                <w:color w:val="000000"/>
                <w:szCs w:val="24"/>
              </w:rPr>
            </w:pPr>
            <w:r>
              <w:rPr>
                <w:b/>
                <w:noProof/>
                <w:sz w:val="18"/>
              </w:rPr>
              <w:t>163</w:t>
            </w:r>
          </w:p>
        </w:tc>
        <w:tc>
          <w:tcPr>
            <w:tcW w:w="693" w:type="dxa"/>
            <w:tcBorders>
              <w:top w:val="nil"/>
              <w:left w:val="nil"/>
              <w:bottom w:val="single" w:sz="12" w:space="0" w:color="000000"/>
              <w:right w:val="single" w:sz="4" w:space="0" w:color="000000"/>
            </w:tcBorders>
            <w:shd w:val="clear" w:color="auto" w:fill="D9D9D9"/>
            <w:vAlign w:val="center"/>
          </w:tcPr>
          <w:p>
            <w:pPr>
              <w:spacing w:after="0"/>
              <w:jc w:val="center"/>
              <w:rPr>
                <w:noProof/>
                <w:color w:val="000000"/>
                <w:szCs w:val="24"/>
              </w:rPr>
            </w:pPr>
            <w:r>
              <w:rPr>
                <w:b/>
                <w:noProof/>
                <w:sz w:val="18"/>
              </w:rPr>
              <w:t>28 %</w:t>
            </w:r>
          </w:p>
        </w:tc>
        <w:tc>
          <w:tcPr>
            <w:tcW w:w="1181" w:type="dxa"/>
            <w:tcBorders>
              <w:top w:val="nil"/>
              <w:left w:val="nil"/>
              <w:bottom w:val="single" w:sz="12" w:space="0" w:color="000000"/>
              <w:right w:val="single" w:sz="4" w:space="0" w:color="000000"/>
            </w:tcBorders>
            <w:shd w:val="clear" w:color="auto" w:fill="D9D9D9"/>
            <w:vAlign w:val="center"/>
          </w:tcPr>
          <w:p>
            <w:pPr>
              <w:spacing w:after="0"/>
              <w:jc w:val="center"/>
              <w:rPr>
                <w:noProof/>
                <w:color w:val="000000"/>
                <w:szCs w:val="24"/>
              </w:rPr>
            </w:pPr>
            <w:r>
              <w:rPr>
                <w:b/>
                <w:noProof/>
                <w:sz w:val="18"/>
              </w:rPr>
              <w:t>90</w:t>
            </w:r>
          </w:p>
        </w:tc>
        <w:tc>
          <w:tcPr>
            <w:tcW w:w="567" w:type="dxa"/>
            <w:tcBorders>
              <w:top w:val="nil"/>
              <w:left w:val="nil"/>
              <w:bottom w:val="single" w:sz="12" w:space="0" w:color="000000"/>
              <w:right w:val="single" w:sz="4" w:space="0" w:color="000000"/>
            </w:tcBorders>
            <w:shd w:val="clear" w:color="auto" w:fill="D9D9D9"/>
            <w:vAlign w:val="center"/>
          </w:tcPr>
          <w:p>
            <w:pPr>
              <w:spacing w:after="0"/>
              <w:jc w:val="center"/>
              <w:rPr>
                <w:noProof/>
                <w:color w:val="000000"/>
                <w:szCs w:val="24"/>
              </w:rPr>
            </w:pPr>
            <w:r>
              <w:rPr>
                <w:b/>
                <w:noProof/>
                <w:sz w:val="18"/>
              </w:rPr>
              <w:t>42</w:t>
            </w:r>
          </w:p>
        </w:tc>
        <w:tc>
          <w:tcPr>
            <w:tcW w:w="709" w:type="dxa"/>
            <w:tcBorders>
              <w:top w:val="nil"/>
              <w:left w:val="nil"/>
              <w:bottom w:val="single" w:sz="12" w:space="0" w:color="000000"/>
              <w:right w:val="single" w:sz="4" w:space="0" w:color="000000"/>
            </w:tcBorders>
            <w:shd w:val="clear" w:color="auto" w:fill="D9D9D9"/>
            <w:vAlign w:val="center"/>
          </w:tcPr>
          <w:p>
            <w:pPr>
              <w:spacing w:after="0"/>
              <w:jc w:val="center"/>
              <w:rPr>
                <w:noProof/>
                <w:color w:val="000000"/>
                <w:szCs w:val="24"/>
              </w:rPr>
            </w:pPr>
            <w:r>
              <w:rPr>
                <w:b/>
                <w:noProof/>
                <w:sz w:val="18"/>
              </w:rPr>
              <w:t>15</w:t>
            </w:r>
          </w:p>
        </w:tc>
        <w:tc>
          <w:tcPr>
            <w:tcW w:w="677" w:type="dxa"/>
            <w:tcBorders>
              <w:top w:val="nil"/>
              <w:left w:val="nil"/>
              <w:bottom w:val="single" w:sz="12" w:space="0" w:color="000000"/>
              <w:right w:val="single" w:sz="12" w:space="0" w:color="000000"/>
            </w:tcBorders>
            <w:shd w:val="clear" w:color="auto" w:fill="D9D9D9"/>
            <w:vAlign w:val="center"/>
          </w:tcPr>
          <w:p>
            <w:pPr>
              <w:spacing w:after="0"/>
              <w:jc w:val="center"/>
              <w:rPr>
                <w:noProof/>
                <w:color w:val="000000"/>
                <w:szCs w:val="24"/>
              </w:rPr>
            </w:pPr>
            <w:r>
              <w:rPr>
                <w:b/>
                <w:noProof/>
                <w:sz w:val="18"/>
              </w:rPr>
              <w:t>16</w:t>
            </w:r>
          </w:p>
        </w:tc>
      </w:tr>
    </w:tbl>
    <w:p>
      <w:pPr>
        <w:spacing w:before="100" w:beforeAutospacing="1"/>
        <w:ind w:left="567"/>
        <w:rPr>
          <w:noProof/>
        </w:rPr>
      </w:pPr>
    </w:p>
    <w:p>
      <w:pPr>
        <w:ind w:left="567"/>
        <w:rPr>
          <w:noProof/>
        </w:rPr>
      </w:pPr>
      <w:r>
        <w:rPr>
          <w:noProof/>
        </w:rPr>
        <w:t>Голямото повишение на общия брой отворени препоръки се обяснява предимно с факта, че с централизирането на функцията за вътрешен одит препоръките на бившето звено за вътрешен одит са поети от IAS.</w:t>
      </w:r>
    </w:p>
    <w:p>
      <w:pPr>
        <w:ind w:left="567"/>
        <w:rPr>
          <w:noProof/>
        </w:rPr>
      </w:pPr>
      <w:r>
        <w:rPr>
          <w:noProof/>
        </w:rPr>
        <w:t xml:space="preserve">Одитираните субекти считат за изпълнени общо 1270 или 74 % от общия брой приети препоръки, отправени в периода 2011—2015 г., а 455 препоръки (или 26 %) остават в процес на изпълнение. От тези общо 455 препоръки в процес на изпълнение една е критична, но не е забавена, а 162 препоръки са много важни. </w:t>
      </w:r>
    </w:p>
    <w:p>
      <w:pPr>
        <w:ind w:left="567"/>
        <w:rPr>
          <w:noProof/>
        </w:rPr>
      </w:pPr>
      <w:r>
        <w:rPr>
          <w:noProof/>
        </w:rPr>
        <w:t>От общо 455-те препоръки в процес на изпълнение са просрочени 220, което представлява 13 % от общия брой приети препоръки, от които 31 много важни препоръки са значително просрочени (с повече от 6 месеца в сравнение с първоначалния срок). Към тези данни следва да се добави една значително просрочена много важна препоръка от одитен доклад, публикуван преди настоящия отчетен период (2011—2015 г.). Най-общо това представлява само 1,9 % от общия брой приети препоръки за периода 2011—2015 г.</w:t>
      </w:r>
    </w:p>
    <w:p>
      <w:pPr>
        <w:spacing w:before="120"/>
        <w:ind w:left="567"/>
        <w:rPr>
          <w:noProof/>
        </w:rPr>
      </w:pPr>
      <w:r>
        <w:rPr>
          <w:noProof/>
        </w:rPr>
        <w:t xml:space="preserve">Като цяло IAS оценява това положение като добро, съпоставимо с предходните доклади и показателно за това, че службите на Комисията се стараят да изпълнят много важните препоръки и така да намалят установените рискове. Въпреки това трябва да се обърне внимание на препоръките, оценени като „много важни“, които са значително просрочени, т.е. с повече от шест месеца. Комитетът за контрол на одитите (ККО) редовно беше уведомяван за актуалното състояние относно изпълнението на препоръките на IAS (оценка от ръководството и резултати от последващите ангажименти, извършени от IAS). Специално внимание беше обърнато на много важните препоръки, просрочени с повече от шест месеца. ККО реши да предприеме конкретни действия, като припомни на службите отговорностите им, свързани с изпълнението на препоръките на IAS, когато е необходимо. </w:t>
      </w:r>
    </w:p>
    <w:p>
      <w:pPr>
        <w:ind w:left="567"/>
        <w:rPr>
          <w:noProof/>
        </w:rPr>
      </w:pPr>
      <w:r>
        <w:rPr>
          <w:noProof/>
        </w:rPr>
        <w:t>Общият брой препоръки, отправени през периода 2011—2015 г., за които е извършен последващ одит, възлиза на 1004 в сравнение с 1270, докладвани от одитираните субекти като „готови за преглед“.</w:t>
      </w:r>
    </w:p>
    <w:p>
      <w:pPr>
        <w:ind w:left="567"/>
        <w:rPr>
          <w:noProof/>
        </w:rPr>
      </w:pPr>
      <w:r>
        <w:rPr>
          <w:noProof/>
        </w:rPr>
        <w:t>През този период от одитора са приключени 911 (91 %) от общия брой отправени и проследени препоръки (1004). Това означава, че средн</w:t>
      </w:r>
      <w:r>
        <w:rPr>
          <w:noProof/>
          <w:lang w:val="bg-BG"/>
        </w:rPr>
        <w:t>о</w:t>
      </w:r>
      <w:r>
        <w:rPr>
          <w:noProof/>
        </w:rPr>
        <w:t xml:space="preserve"> според оценката на IAS 9 % от препоръките все още не биха могли да бъдат счетени за ефективно изпълнени и следователно не са приключени след извършването на последващия одит. Това представлява увеличение в сравнение с предходната година (5%). Увеличението се обяснява с факта, че през втората половина на 2015 г. IAS извърши няколко последващи одита, което включваше също и преглед на ситуацията във връзка с изпълнението на препоръките, които все още не бяха оценени от одитираните субекти като „готови за преглед“. Повечето от тези препоръки бяха на звеното за вътрешен одит, като IAS имаше възможност да оцени актуалното им състояние по времето, по което оценяваше други препоръки от същия одит, счетени от одитираните субекти като „готови за преглед“. Освен това IAS оцени постигнатия напредък във връзка с изпълнението на избрани препоръки, пряко свързани с процеса на изграждане на гаранции в контекста на процеса на изготвяне на годишния отчет за дейността (ГОД), за да предостави на генералните дирекции актуална информация за настоящата ситуация, която да бъде включена в ГОД. Това беше нов подход в сравнение с предходните години.</w:t>
      </w:r>
    </w:p>
    <w:p>
      <w:pPr>
        <w:ind w:left="567"/>
        <w:rPr>
          <w:noProof/>
        </w:rPr>
      </w:pPr>
      <w:r>
        <w:rPr>
          <w:noProof/>
        </w:rPr>
        <w:t>Ако се неутрализира този ефект (т.е. като се вземат под внимание само препоръки, докладвани от ръководството като „готови за преглед“), общият процент на препоръките, оценени след последващ одит като „в процес на изпълнение“, спада на 4 %, което е в съответствие с предходните доклади.</w:t>
      </w:r>
    </w:p>
    <w:p>
      <w:pPr>
        <w:pStyle w:val="Heading1"/>
        <w:rPr>
          <w:noProof/>
        </w:rPr>
      </w:pPr>
      <w:bookmarkStart w:id="29" w:name="_Toc459182011"/>
      <w:bookmarkStart w:id="30" w:name="_Toc460576841"/>
      <w:r>
        <w:rPr>
          <w:noProof/>
        </w:rPr>
        <w:t>Обобщение на одитната дейност</w:t>
      </w:r>
      <w:bookmarkEnd w:id="29"/>
      <w:bookmarkEnd w:id="30"/>
    </w:p>
    <w:p>
      <w:pPr>
        <w:pStyle w:val="Heading2"/>
        <w:rPr>
          <w:noProof/>
        </w:rPr>
      </w:pPr>
      <w:bookmarkStart w:id="31" w:name="_Toc384658386"/>
      <w:bookmarkStart w:id="32" w:name="_Toc448503097"/>
      <w:bookmarkStart w:id="33" w:name="_Toc449541315"/>
      <w:bookmarkStart w:id="34" w:name="_Toc459182012"/>
      <w:bookmarkStart w:id="35" w:name="_Toc460576842"/>
      <w:bookmarkStart w:id="36" w:name="_Toc351391794"/>
      <w:bookmarkStart w:id="37" w:name="_Toc351391889"/>
      <w:bookmarkStart w:id="38" w:name="_Toc351391996"/>
      <w:bookmarkStart w:id="39" w:name="_Toc351392062"/>
      <w:bookmarkStart w:id="40" w:name="_Toc351392105"/>
      <w:r>
        <w:rPr>
          <w:noProof/>
        </w:rPr>
        <w:t>Заключения относно одитите на изпълнението</w:t>
      </w:r>
      <w:bookmarkEnd w:id="31"/>
      <w:bookmarkEnd w:id="32"/>
      <w:bookmarkEnd w:id="33"/>
      <w:bookmarkEnd w:id="34"/>
      <w:bookmarkEnd w:id="35"/>
      <w:r>
        <w:rPr>
          <w:noProof/>
        </w:rPr>
        <w:t xml:space="preserve"> </w:t>
      </w:r>
    </w:p>
    <w:p>
      <w:pPr>
        <w:tabs>
          <w:tab w:val="left" w:pos="2302"/>
        </w:tabs>
        <w:spacing w:after="120"/>
        <w:ind w:left="567"/>
        <w:rPr>
          <w:noProof/>
        </w:rPr>
      </w:pPr>
      <w:r>
        <w:rPr>
          <w:noProof/>
        </w:rPr>
        <w:t>През 2015 г. IAS продължи да извършва одити на изпълнението</w:t>
      </w:r>
      <w:r>
        <w:rPr>
          <w:noProof/>
          <w:vertAlign w:val="superscript"/>
        </w:rPr>
        <w:footnoteReference w:id="14"/>
      </w:r>
      <w:r>
        <w:rPr>
          <w:noProof/>
        </w:rPr>
        <w:t xml:space="preserve"> и одити, които включват важни елементи на изпълнението (всеобхватни одити), като част от своя стратегически план за одит за периода 2013—2015 г. в отговор на преминаването на Комисията към нова култура, основана на изпълнението и на поставянето на по-голям акцент върху съотношението качество/цена.</w:t>
      </w:r>
    </w:p>
    <w:p>
      <w:pPr>
        <w:tabs>
          <w:tab w:val="left" w:pos="2302"/>
        </w:tabs>
        <w:ind w:left="567"/>
        <w:rPr>
          <w:noProof/>
        </w:rPr>
      </w:pPr>
      <w:r>
        <w:rPr>
          <w:noProof/>
        </w:rPr>
        <w:t xml:space="preserve">Тези одити бяха насочени към редица аспекти, свързани с изпълнението: </w:t>
      </w:r>
    </w:p>
    <w:p>
      <w:pPr>
        <w:numPr>
          <w:ilvl w:val="0"/>
          <w:numId w:val="25"/>
        </w:numPr>
        <w:spacing w:after="120"/>
        <w:ind w:left="1196" w:hanging="357"/>
        <w:rPr>
          <w:noProof/>
        </w:rPr>
      </w:pPr>
      <w:r>
        <w:rPr>
          <w:noProof/>
        </w:rPr>
        <w:t xml:space="preserve">Генералните дирекции и службите са изправени пред нарастващ натиск върху финансовите и човешките ресурси, като едновременно с това трябва да покажат, че работят за постигането на своите цели и на съотношението качество/цена. IAS постави акцент върху следното: 1) начина, по който генералните дирекции и службите управляват, наблюдават и докладват за специфичните цели, които са под техен контрол и могат да бъдат постигнати чрез резултатите и действията им, 2) използването на вътрешните им ресурси и 3) начина, по който оценяват ползите от вътрешните си процеси и контрол. </w:t>
      </w:r>
    </w:p>
    <w:p>
      <w:pPr>
        <w:numPr>
          <w:ilvl w:val="0"/>
          <w:numId w:val="25"/>
        </w:numPr>
        <w:rPr>
          <w:noProof/>
        </w:rPr>
      </w:pPr>
      <w:r>
        <w:rPr>
          <w:noProof/>
        </w:rPr>
        <w:t xml:space="preserve">В многогодишната финансова рамка за периода 2014—2020 г. се поставя по-силен акцент върху постигането на резултатите, а нови разпоредби в правните основания въведоха механизми, насочени към укрепване на рамката на изпълнението на разходните програми за периода 2014—2020 г. </w:t>
      </w:r>
    </w:p>
    <w:p>
      <w:pPr>
        <w:tabs>
          <w:tab w:val="left" w:pos="2302"/>
        </w:tabs>
        <w:ind w:left="562"/>
        <w:rPr>
          <w:noProof/>
        </w:rPr>
      </w:pPr>
      <w:r>
        <w:rPr>
          <w:noProof/>
        </w:rPr>
        <w:t xml:space="preserve">IAS постави акцент върху това как генералните дирекции и службите управляват, наблюдават и докладват за изпълнението на политиките на ЕС. Това се отнася както за разходните програми, така и за неразходните дейности. Целите на политиката по принцип се определят чрез общи цели, за чието постигане до известна степен допринасят генералните дирекции и службите. Постигането на общите цели обаче се влияе също и от други външни фактори, както и от трети страни. </w:t>
      </w:r>
    </w:p>
    <w:p>
      <w:pPr>
        <w:tabs>
          <w:tab w:val="left" w:pos="2302"/>
        </w:tabs>
        <w:spacing w:after="120"/>
        <w:ind w:left="567"/>
        <w:rPr>
          <w:noProof/>
        </w:rPr>
      </w:pPr>
      <w:r>
        <w:rPr>
          <w:noProof/>
        </w:rPr>
        <w:t>В съответствие със своите методология и добри практики IAS подходи към изпълнението по непряк начин, т.е. извърши оценка на това дали и по какъв начин ръководството е създало системи, предназначени за измерване на изпълнението (ефикасност и ефективност) на дейностите. С този подход IAS се стреми да гарантира, на първо място, че генералните дирекции и службите са създали рамки за изпълнението, включително инструменти за измерване на изпълнението (т.е. ключови показатели), както и системи за наблюдение</w:t>
      </w:r>
      <w:r>
        <w:rPr>
          <w:noProof/>
          <w:vertAlign w:val="superscript"/>
        </w:rPr>
        <w:footnoteReference w:id="15"/>
      </w:r>
      <w:r>
        <w:rPr>
          <w:noProof/>
        </w:rPr>
        <w:t>. Това отчасти се дължи на факта, че в голям брой правни основания за разходните програми се поставят цели с по-голям обхват от това, което Комисията наистина може да постигне сама. Това означава, че целите и конкретните, измерими, постижими, реалистични и срочни (SMART) показатели първо трябва да се създадат на равнището на Комисията, за да може доколкото е възможно да се разделят специфичните цели и изпълнението на Комисията от тези на разходните програми, чието постигане също зависи от други основни ключови участници, особено когато програмите на ЕС се изпълняват при споделено и непряко управление (държави членки, региони и т.н.).</w:t>
      </w:r>
    </w:p>
    <w:p>
      <w:pPr>
        <w:tabs>
          <w:tab w:val="left" w:pos="2302"/>
        </w:tabs>
        <w:ind w:left="562"/>
        <w:rPr>
          <w:noProof/>
        </w:rPr>
      </w:pPr>
      <w:r>
        <w:rPr>
          <w:noProof/>
        </w:rPr>
        <w:t>В точките по-долу се посочват заключенията на IAS относно различите аспекти на изпълнението в извършените от нея одити през 2015 г.</w:t>
      </w:r>
    </w:p>
    <w:p>
      <w:pPr>
        <w:keepNext/>
        <w:numPr>
          <w:ilvl w:val="2"/>
          <w:numId w:val="18"/>
        </w:numPr>
        <w:tabs>
          <w:tab w:val="clear" w:pos="7667"/>
          <w:tab w:val="num" w:pos="1430"/>
        </w:tabs>
        <w:ind w:left="1430"/>
        <w:outlineLvl w:val="2"/>
        <w:rPr>
          <w:i/>
          <w:noProof/>
          <w:spacing w:val="-2"/>
        </w:rPr>
      </w:pPr>
      <w:bookmarkStart w:id="41" w:name="_Toc459182013"/>
      <w:bookmarkStart w:id="42" w:name="_Toc460576843"/>
      <w:r>
        <w:rPr>
          <w:i/>
          <w:noProof/>
          <w:spacing w:val="-2"/>
        </w:rPr>
        <w:t>Изпълнение от страна на генералните дирекции на Комисията, службите и изпълнителните агенции: хоризонтални процеси (човешки ресурси, информационни технологии, борба с измамите и т.н.)</w:t>
      </w:r>
      <w:bookmarkEnd w:id="41"/>
      <w:bookmarkEnd w:id="42"/>
    </w:p>
    <w:p>
      <w:pPr>
        <w:pStyle w:val="Heading4"/>
        <w:rPr>
          <w:noProof/>
        </w:rPr>
      </w:pPr>
      <w:r>
        <w:rPr>
          <w:noProof/>
        </w:rPr>
        <w:t>Стратегическо планиране и програмиране</w:t>
      </w:r>
    </w:p>
    <w:p>
      <w:pPr>
        <w:tabs>
          <w:tab w:val="left" w:pos="2302"/>
        </w:tabs>
        <w:spacing w:after="120"/>
        <w:ind w:left="567"/>
        <w:rPr>
          <w:noProof/>
        </w:rPr>
      </w:pPr>
      <w:r>
        <w:rPr>
          <w:noProof/>
        </w:rPr>
        <w:t>В областта на стратегическото планиране и програмирането Комисията прилага стабилна рамка за изпълнението, основаваща се на: 1) предварително поставяне на общи и специфични цели от генералните дирекции и службите в планове им за управление, произтичащи от политическите насоки на Комисията, 2) редовно измерване и наблюдение на показателите за изпълнението и 3) докладване за постиженията в годишните им отчети за дейността. Тези децентрализирани отговорности се компенсират на институционално равнище от Генералния секретариат (SG) и ГД „Бюджет“ (ГД BUDG), които осигуряват общата рамка, координират работата и предоставят насоки и подкрепа. IAS установи, че са необходими допълнителни усилия както на институционално, така и на децентрализирано равнище, за да се подобри още качеството на показателите. Резултат от одита: централните служби междувременно извършиха обстоен преглед на цикъла на стратегическо планиране и програмиране и бяха дадени нови указания за документите за планиране през ноември 2015 г. IAS все още не е извършила последващ одит. (Вж. работния документ на службите на Комисията, част 1, точка 1.2).</w:t>
      </w:r>
    </w:p>
    <w:p>
      <w:pPr>
        <w:tabs>
          <w:tab w:val="left" w:pos="2302"/>
        </w:tabs>
        <w:ind w:left="562"/>
        <w:rPr>
          <w:noProof/>
        </w:rPr>
      </w:pPr>
      <w:r>
        <w:rPr>
          <w:noProof/>
        </w:rPr>
        <w:t>В този контекст по молба на ръководството на ГД „Финансова стабилност, финансови услуги и съюз на капиталовите пазари“ (ГД FISMA) IAS изпълни също така ангажимент, свързан с предоставяне на консултации, което доведе до редица препоръки и предложения относно стратегическите и годишните планове за управление на генералната дирекция, и в по-общ план до преминаването към нова култура, основана на изпълнението. (Вж. работния документ на службите на Комисията, част 1, точка 7.5).</w:t>
      </w:r>
    </w:p>
    <w:p>
      <w:pPr>
        <w:pStyle w:val="Heading4"/>
        <w:rPr>
          <w:noProof/>
        </w:rPr>
      </w:pPr>
      <w:r>
        <w:rPr>
          <w:noProof/>
        </w:rPr>
        <w:t>Борба с измамите</w:t>
      </w:r>
    </w:p>
    <w:p>
      <w:pPr>
        <w:tabs>
          <w:tab w:val="left" w:pos="2302"/>
        </w:tabs>
        <w:ind w:left="562"/>
        <w:rPr>
          <w:noProof/>
        </w:rPr>
      </w:pPr>
      <w:r>
        <w:rPr>
          <w:noProof/>
        </w:rPr>
        <w:t xml:space="preserve">В областта на борбата с измамите IAS установи, че всички одитирани генерални дирекции и служби са разработили и приложили по ефективен начин стратегия за борба с измамите в съответствие с насоките в тази област, предоставени от OLAF. За да се повиши ефективността на стратегията за борба с измамите обаче, са необходими допълнителни подобрения на институционално и на оперативно равнище. IAS препоръча да се укрепи институционалната рамка за борба с измамите и насоките, както и самостоятелните оценки на високо равнище да се развият в координирана дейност, включена в цикъла на стратегическо планиране и програмиране, като по този начин действията, свързани с борбата с измамите, бъдат ефективно интегрирани в системите за вътрешен контрол на генералните дирекции и службите. Освен това IAS счете, че са необходими </w:t>
      </w:r>
      <w:r>
        <w:rPr>
          <w:i/>
          <w:noProof/>
        </w:rPr>
        <w:t>ad hoc</w:t>
      </w:r>
      <w:r>
        <w:rPr>
          <w:noProof/>
        </w:rPr>
        <w:t xml:space="preserve"> действия за установяване на статута на съдебно-счетоводните одити в ГД „Международно сътрудничество и развитие“ (ГД DEVCO), както и за засилване на контрола на проектите „COFUND“ в Изпълнителната агенция за научни изследвания (REA). (Вж. работния документ на службите на Комисията, част 1, точка 1.3).</w:t>
      </w:r>
    </w:p>
    <w:p>
      <w:pPr>
        <w:pStyle w:val="Heading4"/>
        <w:rPr>
          <w:noProof/>
        </w:rPr>
      </w:pPr>
      <w:r>
        <w:rPr>
          <w:noProof/>
        </w:rPr>
        <w:t>Сигурност на информационните технологии</w:t>
      </w:r>
    </w:p>
    <w:p>
      <w:pPr>
        <w:tabs>
          <w:tab w:val="left" w:pos="2302"/>
        </w:tabs>
        <w:ind w:left="567"/>
        <w:rPr>
          <w:noProof/>
        </w:rPr>
      </w:pPr>
      <w:r>
        <w:rPr>
          <w:noProof/>
        </w:rPr>
        <w:t>Ефективната сигурност в областта на информационните технологии представлява значително предизвикателство с оглед на непрекъснато възникващите заплахи, които могат да засегнат поверителността, целостта и наличието на съхраняваната и обработваната от Комисията информация. В предходните одити, извършени през последните години от IAS, се посочват редица системни и повтарящи се слабости в тази област, които са обобщени в писмо на ръководството, предназначено за службите, отговарящи за сигурността на информационните технологии. Въпреки наличието на активно ангажирана и технически компетентна работна сила на оперативно ниво, IAS установи, че Комисията трябва да засили ефективния контрол по въпросите, свързани със сигурността на информацията. (Вж. работния документ на службите на Комисията, част 1, точка 9.2)</w:t>
      </w:r>
    </w:p>
    <w:p>
      <w:pPr>
        <w:tabs>
          <w:tab w:val="left" w:pos="2302"/>
        </w:tabs>
        <w:ind w:left="567"/>
        <w:rPr>
          <w:noProof/>
        </w:rPr>
      </w:pPr>
      <w:r>
        <w:rPr>
          <w:noProof/>
        </w:rPr>
        <w:t>На локално ниво одитът на управлението на локалните информационни технологии в ГД „Конкуренция“ (ГД COMP) потвърди наличието на някои проблеми на сигурността на ИТ, като също така бяха посочени и други въпроси, свързани с финансирането на ИТ, синхронизирането бизнес — ИТ и управлението на проектите и качеството. (Вж. работния документ на службите на Комисията, част 1, точка 9.1).</w:t>
      </w:r>
    </w:p>
    <w:p>
      <w:pPr>
        <w:pStyle w:val="Heading4"/>
        <w:rPr>
          <w:noProof/>
        </w:rPr>
      </w:pPr>
      <w:r>
        <w:rPr>
          <w:noProof/>
        </w:rPr>
        <w:t>Общ център за подпомагане в научноизследователската група (бизнес процес, инструменти в областта на ИТ, управление)</w:t>
      </w:r>
    </w:p>
    <w:p>
      <w:pPr>
        <w:tabs>
          <w:tab w:val="left" w:pos="2302"/>
        </w:tabs>
        <w:ind w:left="567"/>
        <w:rPr>
          <w:noProof/>
        </w:rPr>
      </w:pPr>
      <w:r>
        <w:rPr>
          <w:noProof/>
        </w:rPr>
        <w:t>Общият център за подпомагане предоставя общи бизнес процеси и ИТ, правни, одиторски и информационни услуги на групата на свързаните с научни изследвания генерални дирекции и служби. Освен това очакванията бяха централизирането на услугите за подпомагане да доведе до повишаване на ефективността в резултат от намаляването на разходите, направените икономии на работното място и рационализирането на процесите и процедурите. В одита, извършен от IAS в началния етап на функционирането на Центъра, бяха признати значителните постижения по отношение на хармонизирането и опростяването на бизнес процеса и на инструментите, свързани с ИТ, водещи до положителни резултати за бенефициерите на фондовете на ЕС (ограничено време за предоставяне на безвъзмездни средства, намалена административна тежест), въпреки че някои слабости, по-конкретно в управленската схема, остават. (Вж. работния документ на службите на Комисията, част 1, точка 4.7).</w:t>
      </w:r>
    </w:p>
    <w:p>
      <w:pPr>
        <w:pStyle w:val="Heading4"/>
        <w:rPr>
          <w:noProof/>
        </w:rPr>
      </w:pPr>
      <w:r>
        <w:rPr>
          <w:noProof/>
        </w:rPr>
        <w:t>Човешки ресурси</w:t>
      </w:r>
    </w:p>
    <w:p>
      <w:pPr>
        <w:tabs>
          <w:tab w:val="left" w:pos="2302"/>
        </w:tabs>
        <w:ind w:left="562"/>
        <w:rPr>
          <w:noProof/>
        </w:rPr>
      </w:pPr>
      <w:r>
        <w:rPr>
          <w:noProof/>
        </w:rPr>
        <w:t>В областта на човешките ресурси IAS установи, че процентът на отсъствията по болест в Комисията е стабилен, но средното ниво е значително по-високо в Службата за инфраструктура и логистика в Брюксел (OIB), Службата за инфраструктура и логистика в Люксембург (OIL), Службата за управление и плащане по индивидуални права (PMO). Отговорност за управлението на отсъствията по болест се носи както на оперативно, така и на институционално равнище (ГД „Човешки ресурси и сигурност“ (ГД HR)). И на двете равнища ръководителите са добре осведомени за отсъствията по болест и напълно ангажирани с управлението им в рамките на своите области на отговорност. Въпреки това, за да се подобрят измерването, наблюдението и докладването относно нивото на отсъствията по болест, определянето на референтни стойности за отсъствия по болест и потвърждаването на отсъствията по болест от медицинската служба, са необходими по-нататъшни действия и на двете равнища. (Вж. работния документ на службите на Комисията, част 1, точка 1.1).</w:t>
      </w:r>
    </w:p>
    <w:p>
      <w:pPr>
        <w:tabs>
          <w:tab w:val="left" w:pos="2302"/>
        </w:tabs>
        <w:ind w:left="562"/>
        <w:rPr>
          <w:noProof/>
        </w:rPr>
      </w:pPr>
      <w:r>
        <w:rPr>
          <w:noProof/>
        </w:rPr>
        <w:t>Друга важна тема в областта на човешките ресурси, обхваната през 2015 г., беше процесът на управление на знанията в ГД COMP, като IAS установи, че съществуващите системи за натрупване, съхранение и споделяне на знания като цяло са ефикасни и ефективни и осигуряват необходимата подкрепа на персонала на ДГ COMP по отношение на гарантирането на високо качество и последователност при разглеждането на случаите, свързани с конкуренцията. (Вж. работния документ на службите на Комисията, част 1, точка 7.4).</w:t>
      </w:r>
    </w:p>
    <w:p>
      <w:pPr>
        <w:keepNext/>
        <w:numPr>
          <w:ilvl w:val="2"/>
          <w:numId w:val="18"/>
        </w:numPr>
        <w:tabs>
          <w:tab w:val="clear" w:pos="7667"/>
          <w:tab w:val="num" w:pos="1430"/>
        </w:tabs>
        <w:ind w:left="1430"/>
        <w:outlineLvl w:val="2"/>
        <w:rPr>
          <w:i/>
          <w:noProof/>
        </w:rPr>
      </w:pPr>
      <w:bookmarkStart w:id="43" w:name="_Toc459182014"/>
      <w:bookmarkStart w:id="44" w:name="_Toc460576844"/>
      <w:r>
        <w:rPr>
          <w:i/>
          <w:noProof/>
        </w:rPr>
        <w:t>Резултати от изпълнението на оперативните бюджетни кредити</w:t>
      </w:r>
      <w:bookmarkEnd w:id="43"/>
      <w:bookmarkEnd w:id="44"/>
    </w:p>
    <w:p>
      <w:pPr>
        <w:pStyle w:val="Heading4"/>
        <w:rPr>
          <w:noProof/>
        </w:rPr>
      </w:pPr>
      <w:r>
        <w:rPr>
          <w:noProof/>
        </w:rPr>
        <w:t>Пряко управление</w:t>
      </w:r>
    </w:p>
    <w:p>
      <w:pPr>
        <w:keepNext/>
        <w:tabs>
          <w:tab w:val="left" w:pos="2302"/>
        </w:tabs>
        <w:ind w:left="562"/>
        <w:rPr>
          <w:noProof/>
        </w:rPr>
      </w:pPr>
      <w:r>
        <w:rPr>
          <w:noProof/>
        </w:rPr>
        <w:t>В областта на пряко управляваните средства, в няколко одита беше оценена готовността на системите за управление и контрол на генералните дирекции и службите за изпълнение на бюджета на разходните програми, за които отговарят (програма „Хоризонт 2020“, програмите „Потребители“ и „Здраве за растеж“, програмата LIFE, инструмента за МСП, Механизма за свързване на Европа). Някои от тези одити бяха насочени предимно към правилното разработване на процеса за управление на безвъзмездни средства, докато в други беше направена оценка на ефикасността и ефективността на съществуващите системи за управлението и контрола на конкретни програми. Най-общо одитите на IAS установиха, че одитираните генерални дирекции и служби (ГД „Съобщителни мрежи, съдържание и технологии“ (ГД CONNECT), ГД „</w:t>
      </w:r>
      <w:r>
        <w:rPr>
          <w:rStyle w:val="update"/>
          <w:noProof/>
        </w:rPr>
        <w:t>Научни и</w:t>
      </w:r>
      <w:r>
        <w:rPr>
          <w:noProof/>
        </w:rPr>
        <w:t xml:space="preserve">зследвания и иновации“ (ГД RTD), Изпълнителната агенция за </w:t>
      </w:r>
      <w:r>
        <w:rPr>
          <w:rStyle w:val="update"/>
          <w:noProof/>
        </w:rPr>
        <w:t>потребителите, здравеопазването, селското стопанство и храните</w:t>
      </w:r>
      <w:r>
        <w:rPr>
          <w:noProof/>
        </w:rPr>
        <w:t xml:space="preserve"> (CHAFEA) и Изпълнителната агенция на Европейския </w:t>
      </w:r>
      <w:r>
        <w:rPr>
          <w:rStyle w:val="update"/>
          <w:noProof/>
        </w:rPr>
        <w:t>научноизследователски</w:t>
      </w:r>
      <w:r>
        <w:rPr>
          <w:noProof/>
        </w:rPr>
        <w:t xml:space="preserve"> съвет (ERCEA)) са създали ефикасни и ефективни процеси за управление на безвъзмездни средства. Въпреки това в CHAFEA и Изпълнителната агенция за </w:t>
      </w:r>
      <w:r>
        <w:rPr>
          <w:rStyle w:val="update"/>
          <w:noProof/>
        </w:rPr>
        <w:t>малките и средните предприятия</w:t>
      </w:r>
      <w:r>
        <w:rPr>
          <w:noProof/>
        </w:rPr>
        <w:t xml:space="preserve"> (EASME) се установиха значителни слабости по отношение на процедурите за управление на безвъзмездни средства, които трябва да бъдат отстранени. Някои изпълнителни агенции, по-специално EASME и Изпълнителната агенция за иновации и мрежи (INEA), са изправени пред значителни предизвикателства по отношение на правилното управление и изпълнение на различните разходни програми, разработени от тях. Установените слабости в стратегията за контрол и процесите на изграждане на гаранции за различните програми, управлявани от EASME и INEA, пораждат конкретни опасения. (Вж. работния документ на службите на Комисията, част 1, точки 2.5 (CHAFEA), 4.1 (ГД CONNECT), 4.8 (ГД RTD), 4.10 (EASME), 4.11 (ERCEA), 4.12 (INEA)).</w:t>
      </w:r>
    </w:p>
    <w:p>
      <w:pPr>
        <w:pStyle w:val="Heading4"/>
        <w:rPr>
          <w:noProof/>
        </w:rPr>
      </w:pPr>
      <w:r>
        <w:rPr>
          <w:noProof/>
        </w:rPr>
        <w:t>Непряко управление</w:t>
      </w:r>
    </w:p>
    <w:p>
      <w:pPr>
        <w:tabs>
          <w:tab w:val="num" w:pos="2619"/>
        </w:tabs>
        <w:ind w:left="2619" w:hanging="708"/>
        <w:rPr>
          <w:noProof/>
        </w:rPr>
      </w:pPr>
      <w:r>
        <w:rPr>
          <w:noProof/>
        </w:rPr>
        <w:t xml:space="preserve">а) </w:t>
      </w:r>
      <w:r>
        <w:rPr>
          <w:noProof/>
        </w:rPr>
        <w:tab/>
        <w:t>Група на службите за външна дейност (доверителни фондове на ЕС)</w:t>
      </w:r>
    </w:p>
    <w:p>
      <w:pPr>
        <w:tabs>
          <w:tab w:val="left" w:pos="2302"/>
        </w:tabs>
        <w:ind w:left="562"/>
        <w:rPr>
          <w:noProof/>
        </w:rPr>
      </w:pPr>
      <w:r>
        <w:rPr>
          <w:noProof/>
        </w:rPr>
        <w:t>В групата на службите за външна дейност на генералните дирекции беше извършен одит на ГД DEVCO и ГД „Политика за съседство и преговори за разширяване“ (ГД NEAR) относно разработването и изпълнението на доверителните фондове на ЕС. Заключението беше, че макар с първите доверителни фондове да е постигнат известен успех за привличане на ограничен брой донори и за подобряване на видимостта на тяхната дейност, е необходимо да се положат допълнителни усилия, за да може в пълна степен да се извлече полза от този механизъм за финансиране с цел справяне със сложните оперативни и финансови предизвикателства, които възникват при изпълнението на проекти по време на криза и в нестабилна среда. По-специално процесите на управление и управлението на оперативното изпълнение на доверителните фондове следва да бъдат засилени. (Вж. работния документ на службите на Комисията, част 1, точка 5.1).</w:t>
      </w:r>
    </w:p>
    <w:p>
      <w:pPr>
        <w:tabs>
          <w:tab w:val="num" w:pos="2619"/>
        </w:tabs>
        <w:ind w:left="2619" w:hanging="708"/>
        <w:rPr>
          <w:noProof/>
        </w:rPr>
      </w:pPr>
      <w:r>
        <w:rPr>
          <w:noProof/>
        </w:rPr>
        <w:t xml:space="preserve">б) </w:t>
      </w:r>
      <w:r>
        <w:rPr>
          <w:noProof/>
        </w:rPr>
        <w:tab/>
        <w:t>Комбиниране на различни режими на управление: „Еразъм+“ (EAC и EACEA) и ENI/IPA (NEAR)</w:t>
      </w:r>
    </w:p>
    <w:p>
      <w:pPr>
        <w:tabs>
          <w:tab w:val="left" w:pos="2302"/>
        </w:tabs>
        <w:ind w:left="562"/>
        <w:rPr>
          <w:noProof/>
        </w:rPr>
      </w:pPr>
      <w:r>
        <w:rPr>
          <w:noProof/>
        </w:rPr>
        <w:t xml:space="preserve">Някои програми за финансиране се изпълняват чрез комбинация от различни режими на управление. Такъв е случаят с програма „Еразъм+“, управлявана от ГД „Образование и култура“ (ГД EAC) и Изпълнителната агенция за образование, аудиовизия и култура (EACEA), и с Европейския инструмент за съседство и Инструмента за предприсъединителна помощ, управлявани от ГД NEAR. </w:t>
      </w:r>
    </w:p>
    <w:p>
      <w:pPr>
        <w:tabs>
          <w:tab w:val="left" w:pos="2302"/>
        </w:tabs>
        <w:ind w:left="562"/>
        <w:rPr>
          <w:noProof/>
        </w:rPr>
      </w:pPr>
      <w:r>
        <w:rPr>
          <w:noProof/>
        </w:rPr>
        <w:t>При „Еразъм+“ както ГД EAC, така и EACEA са приложили ефективни системи за вътрешен контрол, които могат да осигурят разумни гаранции на оправомощените разпоредители с бюджетни кредити чрез вторично делегиране. (Вж. работния документ на службите на Комисията, част 1, точки 6.2 (ГД EAC) и 6.3 (EACEA)).</w:t>
      </w:r>
    </w:p>
    <w:p>
      <w:pPr>
        <w:tabs>
          <w:tab w:val="left" w:pos="2302"/>
        </w:tabs>
        <w:ind w:left="562"/>
        <w:rPr>
          <w:noProof/>
        </w:rPr>
      </w:pPr>
      <w:r>
        <w:rPr>
          <w:noProof/>
        </w:rPr>
        <w:t xml:space="preserve">В ГД „Политика за съседство и преговори за разширяване“ (ГД NEAR) обаче IAS установи значителни слабости в стратегията за контрол на Инструмента за предприсъединителна помощ, по-специално във връзка с получаването на гаранции относно наличието на държави бенефициери за изпълнението на бюджета. (Вж. работния документ на службите на Комисията, част 1, точка 5.3). </w:t>
      </w:r>
    </w:p>
    <w:p>
      <w:pPr>
        <w:tabs>
          <w:tab w:val="left" w:pos="2302"/>
        </w:tabs>
        <w:ind w:left="562"/>
        <w:rPr>
          <w:noProof/>
        </w:rPr>
      </w:pPr>
      <w:r>
        <w:rPr>
          <w:noProof/>
        </w:rPr>
        <w:t>Във връзка с новия Инструмент за предприсъединителна помощ по програмата за 2014—2020 г. ГД NEAR не е достатъчно подготвена за прилагането на рамка за оценка на изпълнението в държавите бенефициери. (Вж. работния документ на службите на Комисията, част 1, точка 5.2).</w:t>
      </w:r>
    </w:p>
    <w:p>
      <w:pPr>
        <w:tabs>
          <w:tab w:val="num" w:pos="2619"/>
        </w:tabs>
        <w:ind w:left="2619" w:hanging="708"/>
        <w:rPr>
          <w:noProof/>
        </w:rPr>
      </w:pPr>
      <w:r>
        <w:rPr>
          <w:noProof/>
        </w:rPr>
        <w:t>в)</w:t>
      </w:r>
      <w:r>
        <w:rPr>
          <w:noProof/>
        </w:rPr>
        <w:tab/>
        <w:t>Непряко управление: съществуващи разпоредби за надзор (ГД DEVCO, ГД „Енергетика“ (ГД ENER), ГД „Вътрешен пазар, промишленост, предприемачество и МСП“ (ГД GROW), ГД „Мобилност и транспорт“ (ГД MOVE))</w:t>
      </w:r>
    </w:p>
    <w:p>
      <w:pPr>
        <w:tabs>
          <w:tab w:val="left" w:pos="2302"/>
        </w:tabs>
        <w:ind w:left="562"/>
        <w:rPr>
          <w:noProof/>
        </w:rPr>
      </w:pPr>
      <w:r>
        <w:rPr>
          <w:noProof/>
        </w:rPr>
        <w:t>Няколко одита в областта на непряко управляваните средства бяха насочени върху съществуващите разпоредби за надзор в генералните дирекции и службите (ГД DEVCO, ГД ENER, ГД GROW, ГД MOVE) във връзка с управлението на конкретни програми (Механизъм за подкрепа на мира в Африка, Механизъм за свързване на Европа, програма за подпомагане на извеждането от експлоатация на ядрени съоръжения и програма „Галилео“). В тази област бяха установени няколко много значителни слабости в стратегиите на генералните дирекции за контрол и надзор, което може да застраши постигането на целите на политиката, като в резултат на това са отправени критични и много важни препоръки, в които се призовава за незабавни действия. (Вж. работния документ на службите на Комисията, част 1, точки 5.4 (ГД DEVCO), 4.4 (ГД ENER), 7.1 (ГД GROWTH), 4.6 (ГД MOVE)).</w:t>
      </w:r>
    </w:p>
    <w:p>
      <w:pPr>
        <w:pStyle w:val="Heading4"/>
        <w:rPr>
          <w:noProof/>
        </w:rPr>
      </w:pPr>
      <w:r>
        <w:rPr>
          <w:noProof/>
        </w:rPr>
        <w:t>Споделено управление</w:t>
      </w:r>
    </w:p>
    <w:p>
      <w:pPr>
        <w:tabs>
          <w:tab w:val="num" w:pos="2619"/>
        </w:tabs>
        <w:ind w:left="2619" w:hanging="708"/>
        <w:rPr>
          <w:noProof/>
        </w:rPr>
      </w:pPr>
      <w:r>
        <w:rPr>
          <w:noProof/>
        </w:rPr>
        <w:t>а)</w:t>
      </w:r>
      <w:r>
        <w:rPr>
          <w:noProof/>
        </w:rPr>
        <w:tab/>
        <w:t>Анализ на пропуските: готовност за управление на новите правни изисквания и акцент върху изпълнението на разходните програми и разработването на системи за управление и контрол</w:t>
      </w:r>
    </w:p>
    <w:p>
      <w:pPr>
        <w:tabs>
          <w:tab w:val="left" w:pos="2302"/>
        </w:tabs>
        <w:ind w:left="567"/>
        <w:rPr>
          <w:noProof/>
        </w:rPr>
      </w:pPr>
      <w:r>
        <w:rPr>
          <w:noProof/>
        </w:rPr>
        <w:t>През 2014 г. IAS съсредоточи работата си в редица одити относно това как генералните дирекции и службите са отговорили на новите законодателни изисквания за финансирането по програмите през новия период на програмиране 2014—2020 г. Тези прегледи на анализа на съществуващите празноти бяха завършени през 2015 г. (ГД „Морско дело и рибарство“ (ГД MARE) и ГД „Миграция и вътрешни работи“ (ГД HOME)) и бяха установени редица рискове, пред които Комисията е изправена вследствие на съвместния законодателен процес и които трябва да бъдат намалени при разработването и прилагането на системите за управление и контрол на генералните дирекции и службите. (Вж. работния документ на службите на Комисията, част 1, точки 2.4 (ГД MARE), 6.1 (ГД HOME)).</w:t>
      </w:r>
    </w:p>
    <w:p>
      <w:pPr>
        <w:tabs>
          <w:tab w:val="num" w:pos="2619"/>
        </w:tabs>
        <w:ind w:left="2619" w:hanging="708"/>
        <w:rPr>
          <w:noProof/>
        </w:rPr>
      </w:pPr>
      <w:r>
        <w:rPr>
          <w:noProof/>
        </w:rPr>
        <w:t>б)</w:t>
      </w:r>
      <w:r>
        <w:rPr>
          <w:noProof/>
        </w:rPr>
        <w:tab/>
        <w:t>Споделено управление: надзор на системите за управление и контрол на държавите членки, на ориентирането към резултатите и рамката за изпълнението, предварителни условия</w:t>
      </w:r>
    </w:p>
    <w:p>
      <w:pPr>
        <w:tabs>
          <w:tab w:val="left" w:pos="2302"/>
        </w:tabs>
        <w:ind w:left="567"/>
        <w:rPr>
          <w:noProof/>
        </w:rPr>
      </w:pPr>
      <w:r>
        <w:rPr>
          <w:noProof/>
        </w:rPr>
        <w:t>В областта на споделеното управление бяха установени значителни слабости в надзора на системите на държавите членки за управление и контрол, въведени за определени области на политиката (ГД AGRI — Екологизиране), което може да застраши постигането на целите на политиката. (Вж. Приложение 1, част 1, точка 2.1).</w:t>
      </w:r>
    </w:p>
    <w:p>
      <w:pPr>
        <w:tabs>
          <w:tab w:val="left" w:pos="2302"/>
        </w:tabs>
        <w:ind w:left="567"/>
        <w:rPr>
          <w:noProof/>
        </w:rPr>
      </w:pPr>
      <w:r>
        <w:rPr>
          <w:noProof/>
        </w:rPr>
        <w:t>Освен това оценката на свързаните с изпълнението елементи, ориентирането към резултатите и рамката на изпълнението, наблюдението и докладването на предварителните условия трябва да се подсили в няколко области на политиката (ГД REGIO и ГД EMPL), за да се гарантира, че се постигат целите и желаните резултати от политиката. (Вж. работния документ на службите на Комисията, част 1, точка 3.1). </w:t>
      </w:r>
    </w:p>
    <w:p>
      <w:pPr>
        <w:keepNext/>
        <w:numPr>
          <w:ilvl w:val="2"/>
          <w:numId w:val="18"/>
        </w:numPr>
        <w:tabs>
          <w:tab w:val="clear" w:pos="7667"/>
          <w:tab w:val="num" w:pos="1430"/>
        </w:tabs>
        <w:ind w:left="1430"/>
        <w:outlineLvl w:val="2"/>
        <w:rPr>
          <w:i/>
          <w:noProof/>
        </w:rPr>
      </w:pPr>
      <w:bookmarkStart w:id="45" w:name="_Toc459182015"/>
      <w:bookmarkStart w:id="46" w:name="_Toc460576845"/>
      <w:r>
        <w:rPr>
          <w:i/>
          <w:noProof/>
        </w:rPr>
        <w:t>Резултати в неразходните области на политиката</w:t>
      </w:r>
      <w:bookmarkEnd w:id="45"/>
      <w:bookmarkEnd w:id="46"/>
    </w:p>
    <w:p>
      <w:pPr>
        <w:tabs>
          <w:tab w:val="left" w:pos="2302"/>
        </w:tabs>
        <w:ind w:left="567"/>
        <w:rPr>
          <w:noProof/>
        </w:rPr>
      </w:pPr>
      <w:r>
        <w:rPr>
          <w:noProof/>
        </w:rPr>
        <w:t>По отношение на неразходните области на политиката в извършения в ГД „Търговия“ (ГД TRADE) одит беше направено заключение, че генералната дирекция е гарантирала ефикасно и ефективно управление на инструментите за търговска защита с цел защита на Европейския съюз срещу нарушения на търговията. (Вж. работния документ на службите на Комисията, част 1, точка 7.3).</w:t>
      </w:r>
    </w:p>
    <w:p>
      <w:pPr>
        <w:tabs>
          <w:tab w:val="left" w:pos="2302"/>
        </w:tabs>
        <w:ind w:left="567"/>
        <w:rPr>
          <w:noProof/>
        </w:rPr>
      </w:pPr>
      <w:r>
        <w:rPr>
          <w:noProof/>
        </w:rPr>
        <w:t>Друг одит беше насочен към предоставената от Евростат подкрепа за създаването на показатели, използвани за наблюдение на напредъка във връзка с постигането на стратегическите цели на ЕС. IAS установи, че оперативните процеси на Евростат за създаването на „европейска статистика“ и основни показатели като цяло са задоволителни, но че по отношение на „другата статистика“ тези данни не притежават същата степен на независимост, тежест и надеждност, както „европейска статистика“. По-конкретно IAS не намери доказателства, че „другата статистика“, използвана от генералните дирекции за показване на отбелязания напредък за постигане на целите на „Европа 2020“, е предмет на преглед за гарантиране на качеството, равностоен на процеса, извършен от Евростат за създаването на „европейската статистика“ (Вж. работния документ на службите на Комисията, част 1, точка 8.1).</w:t>
      </w:r>
    </w:p>
    <w:p>
      <w:pPr>
        <w:pStyle w:val="Heading2"/>
        <w:rPr>
          <w:noProof/>
        </w:rPr>
      </w:pPr>
      <w:bookmarkStart w:id="47" w:name="_Toc448503098"/>
      <w:bookmarkStart w:id="48" w:name="_Toc449541316"/>
      <w:bookmarkStart w:id="49" w:name="_Toc459182016"/>
      <w:bookmarkStart w:id="50" w:name="_Toc460576846"/>
      <w:bookmarkStart w:id="51" w:name="_Toc384658387"/>
      <w:r>
        <w:rPr>
          <w:noProof/>
        </w:rPr>
        <w:t>Ограничени заключения</w:t>
      </w:r>
      <w:bookmarkEnd w:id="47"/>
      <w:r>
        <w:rPr>
          <w:noProof/>
        </w:rPr>
        <w:t xml:space="preserve"> на IAS относно състоянието на вътрешния контрол във всяка генерална дирекция</w:t>
      </w:r>
      <w:bookmarkEnd w:id="48"/>
      <w:bookmarkEnd w:id="49"/>
      <w:bookmarkEnd w:id="50"/>
    </w:p>
    <w:p>
      <w:pPr>
        <w:ind w:left="567"/>
        <w:rPr>
          <w:noProof/>
          <w:szCs w:val="24"/>
        </w:rPr>
      </w:pPr>
      <w:r>
        <w:rPr>
          <w:noProof/>
        </w:rPr>
        <w:t>След централизирането на функцията за вътрешен контрол през февруари 2016 г. IAS за пръв път излезе със заключение относно състоянието на вътрешния контрол</w:t>
      </w:r>
      <w:r>
        <w:rPr>
          <w:rStyle w:val="FootnoteReference"/>
          <w:noProof/>
        </w:rPr>
        <w:footnoteReference w:id="16"/>
      </w:r>
      <w:r>
        <w:rPr>
          <w:noProof/>
        </w:rPr>
        <w:t xml:space="preserve"> във всяка генерална дирекция и служба. Тези заключения бяха предназначени да допринесат за изготвянето на годишните отчети за дейността през 2015 г. на съответните генерални дирекции и служби, както и да заменят становището на бившето звено за вътрешен одит относно състоянието на контрола. Заключенията относно състоянието на вътрешния контрол насочват вниманието върху одитната дейност през последните три години и обхващат всички отворени препоръки, отправени от IAS и от звената за вътрешен одит (доколкото са прехвърлени на IAS). Освен това заключенията насочват специално вниманието към всички отворени препоръки, оценени като „критични“, или към комбинирания ефект на редица препоръки, оценени като „много важни“, тъй като те може да изискват публикуването на резерви в годишния доклад за дейността на съответните генерални дирекции/служби. Заключението на IAS относно състоянието на вътрешния контрол се ограничава до системите за управление и контрол, които подлежат на одит, но не обхваща тези, които не са били одитирани от IAS или от звеното за вътрешен контрол (IAC) през последните три години.</w:t>
      </w:r>
    </w:p>
    <w:p>
      <w:pPr>
        <w:pStyle w:val="Heading2"/>
        <w:rPr>
          <w:noProof/>
        </w:rPr>
      </w:pPr>
      <w:bookmarkStart w:id="52" w:name="_Toc448503099"/>
      <w:bookmarkStart w:id="53" w:name="_Toc449541317"/>
      <w:bookmarkStart w:id="54" w:name="_Toc459182017"/>
      <w:bookmarkStart w:id="55" w:name="_Toc460576847"/>
      <w:r>
        <w:rPr>
          <w:noProof/>
        </w:rPr>
        <w:t xml:space="preserve">Общо становище относно финансовото </w:t>
      </w:r>
      <w:bookmarkEnd w:id="52"/>
      <w:r>
        <w:rPr>
          <w:noProof/>
        </w:rPr>
        <w:t>управление на Комисията</w:t>
      </w:r>
      <w:bookmarkEnd w:id="51"/>
      <w:bookmarkEnd w:id="53"/>
      <w:bookmarkEnd w:id="54"/>
      <w:bookmarkEnd w:id="55"/>
    </w:p>
    <w:p>
      <w:pPr>
        <w:ind w:left="567"/>
        <w:rPr>
          <w:noProof/>
        </w:rPr>
      </w:pPr>
      <w:r>
        <w:rPr>
          <w:noProof/>
        </w:rPr>
        <w:t>Съгласно изискванията в устава за мисията си, IAS публикува също така общо годишно становище</w:t>
      </w:r>
      <w:r>
        <w:rPr>
          <w:rStyle w:val="FootnoteReference"/>
          <w:noProof/>
        </w:rPr>
        <w:footnoteReference w:id="17"/>
      </w:r>
      <w:r>
        <w:rPr>
          <w:noProof/>
        </w:rPr>
        <w:t xml:space="preserve"> относно състоянието на финансовото управление в Комисията. То се основава на одитната дейност в областта на финансовото управление в Комисията, извършена както от IAS, така и от звената за вътрешен одит (IAC) през последните три години (2013—2015 г.). В общото становище също така се взема под внимание информацията от други източници, а именно от докладите на Европейската сметна палата (ЕСП). Общото становище се публикува едновременно с настоящия доклад и обхваща същата финансова година.</w:t>
      </w:r>
    </w:p>
    <w:p>
      <w:pPr>
        <w:ind w:left="567"/>
        <w:rPr>
          <w:noProof/>
        </w:rPr>
      </w:pPr>
      <w:r>
        <w:rPr>
          <w:noProof/>
        </w:rPr>
        <w:t>Както и в предишните издания, общото становище за 2015 г. се определя във връзка с посочените резерви в декларациите за достоверност на оправомощените разпоредители с бюджетни кредити. За да достигне до това становище, IAS взе предвид комбинираното въздействие на средствата, за които се предполага, че може да са в риск, както е оповестено в ГОД с оглед на коригиращите дейности, което е видно от финансовите корекции и събиранията в миналото. Предвид големия размер на финансовите корекции и събиранията в миналото и като се допусне, че корекциите на плащанията през 2015 г. ще бъдат направени на съпоставимо ниво, бюджетът на ЕС като цяло е защитен по подходящ начин (не непременно отделни области на политиката) и за известен период от време (понякога за няколко години назад).</w:t>
      </w:r>
    </w:p>
    <w:p>
      <w:pPr>
        <w:ind w:left="567"/>
        <w:rPr>
          <w:noProof/>
        </w:rPr>
      </w:pPr>
      <w:r>
        <w:rPr>
          <w:noProof/>
        </w:rPr>
        <w:t>Без допълнителни уговорки относно становището вътрешният одитор добави три пояснителни параграфа, които се отнасят до:</w:t>
      </w:r>
    </w:p>
    <w:p>
      <w:pPr>
        <w:numPr>
          <w:ilvl w:val="0"/>
          <w:numId w:val="25"/>
        </w:numPr>
        <w:spacing w:after="120"/>
        <w:ind w:left="1196" w:hanging="357"/>
        <w:rPr>
          <w:noProof/>
        </w:rPr>
      </w:pPr>
      <w:r>
        <w:rPr>
          <w:noProof/>
        </w:rPr>
        <w:t>стратегиите за контрол в областта на научноизследователската дейност за програмите за периода 2014—2020 г.;</w:t>
      </w:r>
    </w:p>
    <w:p>
      <w:pPr>
        <w:numPr>
          <w:ilvl w:val="0"/>
          <w:numId w:val="25"/>
        </w:numPr>
        <w:spacing w:after="120"/>
        <w:ind w:left="1196" w:hanging="357"/>
        <w:rPr>
          <w:noProof/>
        </w:rPr>
      </w:pPr>
      <w:r>
        <w:rPr>
          <w:noProof/>
        </w:rPr>
        <w:t>стратегиите за надзор по отношение на трети страни, които прилагат политиките и програмите; и</w:t>
      </w:r>
    </w:p>
    <w:p>
      <w:pPr>
        <w:numPr>
          <w:ilvl w:val="0"/>
          <w:numId w:val="25"/>
        </w:numPr>
        <w:spacing w:after="120"/>
        <w:ind w:left="1196" w:hanging="357"/>
        <w:rPr>
          <w:noProof/>
        </w:rPr>
      </w:pPr>
      <w:r>
        <w:rPr>
          <w:noProof/>
        </w:rPr>
        <w:t>програмата за извеждане от експлоатация на ядрени съоръжения и управление на радиоактивни отпадъци на Съвместния изследователски център (JRC).</w:t>
      </w:r>
    </w:p>
    <w:p>
      <w:pPr>
        <w:pStyle w:val="Heading1"/>
        <w:rPr>
          <w:noProof/>
        </w:rPr>
      </w:pPr>
      <w:bookmarkStart w:id="56" w:name="_Toc381869128"/>
      <w:bookmarkStart w:id="57" w:name="_Toc381869194"/>
      <w:bookmarkStart w:id="58" w:name="_Toc381869260"/>
      <w:bookmarkStart w:id="59" w:name="_Toc381869132"/>
      <w:bookmarkStart w:id="60" w:name="_Toc381869198"/>
      <w:bookmarkStart w:id="61" w:name="_Toc381869264"/>
      <w:bookmarkStart w:id="62" w:name="_Toc381869134"/>
      <w:bookmarkStart w:id="63" w:name="_Toc381869200"/>
      <w:bookmarkStart w:id="64" w:name="_Toc381869266"/>
      <w:bookmarkStart w:id="65" w:name="_Toc459182018"/>
      <w:bookmarkStart w:id="66" w:name="_Toc460576848"/>
      <w:bookmarkEnd w:id="36"/>
      <w:bookmarkEnd w:id="37"/>
      <w:bookmarkEnd w:id="38"/>
      <w:bookmarkEnd w:id="39"/>
      <w:bookmarkEnd w:id="40"/>
      <w:bookmarkEnd w:id="56"/>
      <w:bookmarkEnd w:id="57"/>
      <w:bookmarkEnd w:id="58"/>
      <w:bookmarkEnd w:id="59"/>
      <w:bookmarkEnd w:id="60"/>
      <w:bookmarkEnd w:id="61"/>
      <w:bookmarkEnd w:id="62"/>
      <w:bookmarkEnd w:id="63"/>
      <w:bookmarkEnd w:id="64"/>
      <w:r>
        <w:rPr>
          <w:noProof/>
        </w:rPr>
        <w:t>Консултации с органа на Комисията за разглеждане на финансови нередности</w:t>
      </w:r>
      <w:bookmarkEnd w:id="65"/>
      <w:bookmarkEnd w:id="66"/>
    </w:p>
    <w:p>
      <w:pPr>
        <w:pStyle w:val="Text1"/>
        <w:tabs>
          <w:tab w:val="left" w:pos="5529"/>
        </w:tabs>
        <w:rPr>
          <w:noProof/>
        </w:rPr>
      </w:pPr>
      <w:r>
        <w:rPr>
          <w:noProof/>
        </w:rPr>
        <w:t>През 2015 г. органът за разглеждане на финансови нередности по член 73, параграф 6 от Финансовия регламент, приложим към общия бюджет на Европейските общности, не докладва за наличие на системни проблеми.</w:t>
      </w:r>
    </w:p>
    <w:p>
      <w:pPr>
        <w:pStyle w:val="Heading1"/>
        <w:rPr>
          <w:noProof/>
        </w:rPr>
      </w:pPr>
      <w:bookmarkStart w:id="67" w:name="_Toc459182019"/>
      <w:bookmarkStart w:id="68" w:name="_Toc460576849"/>
      <w:r>
        <w:rPr>
          <w:noProof/>
        </w:rPr>
        <w:t>Заключения</w:t>
      </w:r>
      <w:bookmarkEnd w:id="67"/>
      <w:bookmarkEnd w:id="68"/>
      <w:r>
        <w:rPr>
          <w:noProof/>
        </w:rPr>
        <w:t xml:space="preserve"> </w:t>
      </w:r>
    </w:p>
    <w:bookmarkEnd w:id="9"/>
    <w:p>
      <w:pPr>
        <w:pStyle w:val="Text1"/>
        <w:rPr>
          <w:noProof/>
        </w:rPr>
      </w:pPr>
      <w:r>
        <w:rPr>
          <w:noProof/>
        </w:rPr>
        <w:t>IAS счита, че изпълнението на плановете за действие, изготвени в отговор на извършените от нея одити през тази и предходните години, допринася за постоянно подобряване на рамката за вътрешен контрол на Комисията.</w:t>
      </w:r>
    </w:p>
    <w:p>
      <w:pPr>
        <w:pStyle w:val="Text1"/>
        <w:rPr>
          <w:noProof/>
        </w:rPr>
      </w:pPr>
      <w:r>
        <w:rPr>
          <w:noProof/>
        </w:rPr>
        <w:t>IAS ще проведе последващи одити на изпълнението на плановете за действие, които одити ще бъдат разгледани от Комитета за контрол на одитите, който ще информира колегиума на членовете на Комисията по целесъобразност.</w:t>
      </w:r>
    </w:p>
    <w:p>
      <w:pPr>
        <w:pStyle w:val="Text1"/>
        <w:rPr>
          <w:noProof/>
        </w:rPr>
      </w:pPr>
      <w:r>
        <w:rPr>
          <w:noProof/>
        </w:rPr>
        <w:t>IAS ще продължи да съсредоточава усилията си върху финансовите одити, одитите на съответствието и одитите на изпълнението.</w:t>
      </w:r>
    </w:p>
    <w:p>
      <w:pPr>
        <w:pStyle w:val="Heading1"/>
        <w:rPr>
          <w:noProof/>
        </w:rPr>
      </w:pPr>
      <w:r>
        <w:rPr>
          <w:noProof/>
        </w:rPr>
        <w:br w:type="page"/>
      </w:r>
      <w:bookmarkStart w:id="69" w:name="_Toc459182020"/>
      <w:bookmarkStart w:id="70" w:name="_Toc460576850"/>
      <w:r>
        <w:rPr>
          <w:noProof/>
        </w:rPr>
        <w:t>Списък на съкращенията</w:t>
      </w:r>
      <w:bookmarkEnd w:id="69"/>
      <w:bookmarkEnd w:id="7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316"/>
      </w:tblGrid>
      <w:tr>
        <w:tc>
          <w:tcPr>
            <w:tcW w:w="2518" w:type="dxa"/>
            <w:shd w:val="clear" w:color="auto" w:fill="auto"/>
          </w:tcPr>
          <w:p>
            <w:pPr>
              <w:jc w:val="center"/>
              <w:rPr>
                <w:b/>
                <w:noProof/>
              </w:rPr>
            </w:pPr>
            <w:r>
              <w:rPr>
                <w:b/>
                <w:noProof/>
              </w:rPr>
              <w:t>Съкращение</w:t>
            </w:r>
          </w:p>
        </w:tc>
        <w:tc>
          <w:tcPr>
            <w:tcW w:w="6316" w:type="dxa"/>
            <w:shd w:val="clear" w:color="auto" w:fill="auto"/>
          </w:tcPr>
          <w:p>
            <w:pPr>
              <w:jc w:val="center"/>
              <w:rPr>
                <w:b/>
                <w:noProof/>
              </w:rPr>
            </w:pPr>
            <w:r>
              <w:rPr>
                <w:b/>
                <w:noProof/>
              </w:rPr>
              <w:t>Описание</w:t>
            </w:r>
          </w:p>
        </w:tc>
      </w:tr>
      <w:tr>
        <w:tc>
          <w:tcPr>
            <w:tcW w:w="2518" w:type="dxa"/>
            <w:shd w:val="clear" w:color="auto" w:fill="auto"/>
          </w:tcPr>
          <w:p>
            <w:pPr>
              <w:jc w:val="center"/>
              <w:rPr>
                <w:noProof/>
              </w:rPr>
            </w:pPr>
            <w:r>
              <w:rPr>
                <w:noProof/>
              </w:rPr>
              <w:t>ГОД</w:t>
            </w:r>
          </w:p>
        </w:tc>
        <w:tc>
          <w:tcPr>
            <w:tcW w:w="6316" w:type="dxa"/>
            <w:shd w:val="clear" w:color="auto" w:fill="auto"/>
          </w:tcPr>
          <w:p>
            <w:pPr>
              <w:jc w:val="center"/>
              <w:rPr>
                <w:noProof/>
              </w:rPr>
            </w:pPr>
            <w:r>
              <w:rPr>
                <w:noProof/>
              </w:rPr>
              <w:t>Годишен отчет за дейността</w:t>
            </w:r>
          </w:p>
        </w:tc>
      </w:tr>
      <w:tr>
        <w:tc>
          <w:tcPr>
            <w:tcW w:w="2518" w:type="dxa"/>
            <w:shd w:val="clear" w:color="auto" w:fill="auto"/>
          </w:tcPr>
          <w:p>
            <w:pPr>
              <w:jc w:val="center"/>
              <w:rPr>
                <w:noProof/>
                <w:color w:val="000000"/>
              </w:rPr>
            </w:pPr>
            <w:r>
              <w:rPr>
                <w:noProof/>
                <w:color w:val="000000"/>
              </w:rPr>
              <w:t>ОРБК</w:t>
            </w:r>
          </w:p>
        </w:tc>
        <w:tc>
          <w:tcPr>
            <w:tcW w:w="6316" w:type="dxa"/>
            <w:shd w:val="clear" w:color="auto" w:fill="auto"/>
          </w:tcPr>
          <w:p>
            <w:pPr>
              <w:jc w:val="center"/>
              <w:rPr>
                <w:noProof/>
              </w:rPr>
            </w:pPr>
            <w:r>
              <w:rPr>
                <w:noProof/>
              </w:rPr>
              <w:t>Оправомощен разпоредител с бюджетни кредити</w:t>
            </w:r>
          </w:p>
        </w:tc>
      </w:tr>
      <w:tr>
        <w:tc>
          <w:tcPr>
            <w:tcW w:w="2518" w:type="dxa"/>
            <w:shd w:val="clear" w:color="auto" w:fill="auto"/>
          </w:tcPr>
          <w:p>
            <w:pPr>
              <w:jc w:val="center"/>
              <w:rPr>
                <w:noProof/>
              </w:rPr>
            </w:pPr>
            <w:r>
              <w:rPr>
                <w:noProof/>
              </w:rPr>
              <w:t>ККО</w:t>
            </w:r>
          </w:p>
        </w:tc>
        <w:tc>
          <w:tcPr>
            <w:tcW w:w="6316" w:type="dxa"/>
            <w:shd w:val="clear" w:color="auto" w:fill="auto"/>
          </w:tcPr>
          <w:p>
            <w:pPr>
              <w:jc w:val="center"/>
              <w:rPr>
                <w:noProof/>
              </w:rPr>
            </w:pPr>
            <w:r>
              <w:rPr>
                <w:noProof/>
              </w:rPr>
              <w:t>Комитет за контрол на одитите</w:t>
            </w:r>
          </w:p>
        </w:tc>
      </w:tr>
      <w:tr>
        <w:tc>
          <w:tcPr>
            <w:tcW w:w="2518" w:type="dxa"/>
            <w:shd w:val="clear" w:color="auto" w:fill="auto"/>
          </w:tcPr>
          <w:p>
            <w:pPr>
              <w:jc w:val="center"/>
              <w:rPr>
                <w:noProof/>
              </w:rPr>
            </w:pPr>
            <w:r>
              <w:rPr>
                <w:noProof/>
              </w:rPr>
              <w:t>ОСП</w:t>
            </w:r>
          </w:p>
        </w:tc>
        <w:tc>
          <w:tcPr>
            <w:tcW w:w="6316" w:type="dxa"/>
            <w:shd w:val="clear" w:color="auto" w:fill="auto"/>
          </w:tcPr>
          <w:p>
            <w:pPr>
              <w:jc w:val="center"/>
              <w:rPr>
                <w:noProof/>
              </w:rPr>
            </w:pPr>
            <w:r>
              <w:rPr>
                <w:noProof/>
              </w:rPr>
              <w:t>Обща селскостопанска политика</w:t>
            </w:r>
          </w:p>
        </w:tc>
      </w:tr>
      <w:tr>
        <w:tc>
          <w:tcPr>
            <w:tcW w:w="2518" w:type="dxa"/>
            <w:shd w:val="clear" w:color="auto" w:fill="auto"/>
          </w:tcPr>
          <w:p>
            <w:pPr>
              <w:jc w:val="center"/>
              <w:rPr>
                <w:noProof/>
              </w:rPr>
            </w:pPr>
            <w:r>
              <w:rPr>
                <w:noProof/>
              </w:rPr>
              <w:t>КФ</w:t>
            </w:r>
          </w:p>
        </w:tc>
        <w:tc>
          <w:tcPr>
            <w:tcW w:w="6316" w:type="dxa"/>
            <w:shd w:val="clear" w:color="auto" w:fill="auto"/>
          </w:tcPr>
          <w:p>
            <w:pPr>
              <w:jc w:val="center"/>
              <w:rPr>
                <w:noProof/>
              </w:rPr>
            </w:pPr>
            <w:r>
              <w:rPr>
                <w:noProof/>
              </w:rPr>
              <w:t>Кохезионен фонд</w:t>
            </w:r>
          </w:p>
        </w:tc>
      </w:tr>
      <w:tr>
        <w:tc>
          <w:tcPr>
            <w:tcW w:w="2518" w:type="dxa"/>
            <w:shd w:val="clear" w:color="auto" w:fill="auto"/>
          </w:tcPr>
          <w:p>
            <w:pPr>
              <w:jc w:val="center"/>
              <w:rPr>
                <w:noProof/>
                <w:color w:val="000000"/>
              </w:rPr>
            </w:pPr>
            <w:r>
              <w:rPr>
                <w:noProof/>
                <w:color w:val="000000"/>
              </w:rPr>
              <w:t>CONT</w:t>
            </w:r>
          </w:p>
        </w:tc>
        <w:tc>
          <w:tcPr>
            <w:tcW w:w="6316" w:type="dxa"/>
            <w:shd w:val="clear" w:color="auto" w:fill="auto"/>
          </w:tcPr>
          <w:p>
            <w:pPr>
              <w:jc w:val="center"/>
              <w:rPr>
                <w:noProof/>
              </w:rPr>
            </w:pPr>
            <w:r>
              <w:rPr>
                <w:noProof/>
              </w:rPr>
              <w:t>Бюджетен контрол</w:t>
            </w:r>
          </w:p>
        </w:tc>
      </w:tr>
      <w:tr>
        <w:tc>
          <w:tcPr>
            <w:tcW w:w="2518" w:type="dxa"/>
            <w:shd w:val="clear" w:color="auto" w:fill="auto"/>
          </w:tcPr>
          <w:p>
            <w:pPr>
              <w:jc w:val="center"/>
              <w:rPr>
                <w:rFonts w:cs="TimesNewRomanPSMT"/>
                <w:noProof/>
              </w:rPr>
            </w:pPr>
            <w:r>
              <w:rPr>
                <w:noProof/>
              </w:rPr>
              <w:t>ОЦП</w:t>
            </w:r>
          </w:p>
        </w:tc>
        <w:tc>
          <w:tcPr>
            <w:tcW w:w="6316" w:type="dxa"/>
            <w:shd w:val="clear" w:color="auto" w:fill="auto"/>
          </w:tcPr>
          <w:p>
            <w:pPr>
              <w:jc w:val="center"/>
              <w:rPr>
                <w:noProof/>
              </w:rPr>
            </w:pPr>
            <w:r>
              <w:rPr>
                <w:noProof/>
              </w:rPr>
              <w:t>Общ център за подкрепа</w:t>
            </w:r>
          </w:p>
        </w:tc>
      </w:tr>
      <w:tr>
        <w:tc>
          <w:tcPr>
            <w:tcW w:w="2518" w:type="dxa"/>
            <w:shd w:val="clear" w:color="auto" w:fill="auto"/>
          </w:tcPr>
          <w:p>
            <w:pPr>
              <w:jc w:val="center"/>
              <w:rPr>
                <w:noProof/>
              </w:rPr>
            </w:pPr>
            <w:r>
              <w:rPr>
                <w:noProof/>
              </w:rPr>
              <w:t>ГД</w:t>
            </w:r>
          </w:p>
        </w:tc>
        <w:tc>
          <w:tcPr>
            <w:tcW w:w="6316" w:type="dxa"/>
            <w:shd w:val="clear" w:color="auto" w:fill="auto"/>
          </w:tcPr>
          <w:p>
            <w:pPr>
              <w:jc w:val="center"/>
              <w:rPr>
                <w:noProof/>
              </w:rPr>
            </w:pPr>
            <w:r>
              <w:rPr>
                <w:noProof/>
              </w:rPr>
              <w:t>Генерални дирекции</w:t>
            </w:r>
          </w:p>
        </w:tc>
      </w:tr>
      <w:tr>
        <w:tc>
          <w:tcPr>
            <w:tcW w:w="2518" w:type="dxa"/>
            <w:shd w:val="clear" w:color="auto" w:fill="auto"/>
          </w:tcPr>
          <w:p>
            <w:pPr>
              <w:jc w:val="center"/>
              <w:rPr>
                <w:noProof/>
              </w:rPr>
            </w:pPr>
            <w:r>
              <w:rPr>
                <w:noProof/>
              </w:rPr>
              <w:t>ЕСП</w:t>
            </w:r>
          </w:p>
        </w:tc>
        <w:tc>
          <w:tcPr>
            <w:tcW w:w="6316" w:type="dxa"/>
            <w:shd w:val="clear" w:color="auto" w:fill="auto"/>
          </w:tcPr>
          <w:p>
            <w:pPr>
              <w:jc w:val="center"/>
              <w:rPr>
                <w:noProof/>
              </w:rPr>
            </w:pPr>
            <w:r>
              <w:rPr>
                <w:noProof/>
              </w:rPr>
              <w:t>Европейска сметна палата</w:t>
            </w:r>
          </w:p>
        </w:tc>
      </w:tr>
      <w:tr>
        <w:tc>
          <w:tcPr>
            <w:tcW w:w="2518" w:type="dxa"/>
            <w:shd w:val="clear" w:color="auto" w:fill="auto"/>
          </w:tcPr>
          <w:p>
            <w:pPr>
              <w:jc w:val="center"/>
              <w:rPr>
                <w:noProof/>
              </w:rPr>
            </w:pPr>
            <w:r>
              <w:rPr>
                <w:noProof/>
              </w:rPr>
              <w:t>ЕСИФ</w:t>
            </w:r>
          </w:p>
        </w:tc>
        <w:tc>
          <w:tcPr>
            <w:tcW w:w="6316" w:type="dxa"/>
            <w:shd w:val="clear" w:color="auto" w:fill="auto"/>
          </w:tcPr>
          <w:p>
            <w:pPr>
              <w:jc w:val="center"/>
              <w:rPr>
                <w:noProof/>
              </w:rPr>
            </w:pPr>
            <w:r>
              <w:rPr>
                <w:noProof/>
              </w:rPr>
              <w:t>Европейски структурни и инвестиционни фондове</w:t>
            </w:r>
          </w:p>
        </w:tc>
      </w:tr>
      <w:tr>
        <w:tc>
          <w:tcPr>
            <w:tcW w:w="2518" w:type="dxa"/>
            <w:shd w:val="clear" w:color="auto" w:fill="auto"/>
          </w:tcPr>
          <w:p>
            <w:pPr>
              <w:jc w:val="center"/>
              <w:rPr>
                <w:noProof/>
              </w:rPr>
            </w:pPr>
            <w:r>
              <w:rPr>
                <w:noProof/>
              </w:rPr>
              <w:t>7РП</w:t>
            </w:r>
          </w:p>
        </w:tc>
        <w:tc>
          <w:tcPr>
            <w:tcW w:w="6316" w:type="dxa"/>
            <w:shd w:val="clear" w:color="auto" w:fill="auto"/>
          </w:tcPr>
          <w:p>
            <w:pPr>
              <w:jc w:val="center"/>
              <w:rPr>
                <w:noProof/>
              </w:rPr>
            </w:pPr>
            <w:r>
              <w:rPr>
                <w:noProof/>
              </w:rPr>
              <w:t>Седма рамкова програма за научни изследвания и технологично развитие</w:t>
            </w:r>
          </w:p>
        </w:tc>
      </w:tr>
      <w:tr>
        <w:tc>
          <w:tcPr>
            <w:tcW w:w="2518" w:type="dxa"/>
            <w:shd w:val="clear" w:color="auto" w:fill="auto"/>
          </w:tcPr>
          <w:p>
            <w:pPr>
              <w:jc w:val="center"/>
              <w:rPr>
                <w:noProof/>
                <w:color w:val="000000"/>
              </w:rPr>
            </w:pPr>
            <w:r>
              <w:rPr>
                <w:noProof/>
                <w:color w:val="000000"/>
              </w:rPr>
              <w:t>ФР</w:t>
            </w:r>
          </w:p>
        </w:tc>
        <w:tc>
          <w:tcPr>
            <w:tcW w:w="6316" w:type="dxa"/>
            <w:shd w:val="clear" w:color="auto" w:fill="auto"/>
          </w:tcPr>
          <w:p>
            <w:pPr>
              <w:jc w:val="center"/>
              <w:rPr>
                <w:noProof/>
              </w:rPr>
            </w:pPr>
            <w:r>
              <w:rPr>
                <w:noProof/>
              </w:rPr>
              <w:t>Финансов регламент</w:t>
            </w:r>
          </w:p>
        </w:tc>
      </w:tr>
      <w:tr>
        <w:tc>
          <w:tcPr>
            <w:tcW w:w="2518" w:type="dxa"/>
            <w:shd w:val="clear" w:color="auto" w:fill="auto"/>
          </w:tcPr>
          <w:p>
            <w:pPr>
              <w:jc w:val="center"/>
              <w:rPr>
                <w:noProof/>
              </w:rPr>
            </w:pPr>
            <w:r>
              <w:rPr>
                <w:noProof/>
              </w:rPr>
              <w:t>УЧР</w:t>
            </w:r>
          </w:p>
        </w:tc>
        <w:tc>
          <w:tcPr>
            <w:tcW w:w="6316" w:type="dxa"/>
            <w:shd w:val="clear" w:color="auto" w:fill="auto"/>
          </w:tcPr>
          <w:p>
            <w:pPr>
              <w:jc w:val="center"/>
              <w:rPr>
                <w:noProof/>
              </w:rPr>
            </w:pPr>
            <w:r>
              <w:rPr>
                <w:noProof/>
              </w:rPr>
              <w:t>Управление на човешките ресурси</w:t>
            </w:r>
          </w:p>
        </w:tc>
      </w:tr>
      <w:tr>
        <w:tc>
          <w:tcPr>
            <w:tcW w:w="2518" w:type="dxa"/>
            <w:shd w:val="clear" w:color="auto" w:fill="auto"/>
          </w:tcPr>
          <w:p>
            <w:pPr>
              <w:jc w:val="center"/>
              <w:rPr>
                <w:noProof/>
              </w:rPr>
            </w:pPr>
            <w:r>
              <w:rPr>
                <w:noProof/>
              </w:rPr>
              <w:t>IAS</w:t>
            </w:r>
          </w:p>
        </w:tc>
        <w:tc>
          <w:tcPr>
            <w:tcW w:w="6316" w:type="dxa"/>
            <w:shd w:val="clear" w:color="auto" w:fill="auto"/>
          </w:tcPr>
          <w:p>
            <w:pPr>
              <w:jc w:val="center"/>
              <w:rPr>
                <w:noProof/>
              </w:rPr>
            </w:pPr>
            <w:r>
              <w:rPr>
                <w:noProof/>
              </w:rPr>
              <w:t>Служба за вътрешен одит</w:t>
            </w:r>
          </w:p>
        </w:tc>
      </w:tr>
      <w:tr>
        <w:tc>
          <w:tcPr>
            <w:tcW w:w="2518" w:type="dxa"/>
            <w:shd w:val="clear" w:color="auto" w:fill="auto"/>
          </w:tcPr>
          <w:p>
            <w:pPr>
              <w:jc w:val="center"/>
              <w:rPr>
                <w:noProof/>
              </w:rPr>
            </w:pPr>
            <w:r>
              <w:rPr>
                <w:noProof/>
              </w:rPr>
              <w:t>ITSC</w:t>
            </w:r>
          </w:p>
        </w:tc>
        <w:tc>
          <w:tcPr>
            <w:tcW w:w="6316" w:type="dxa"/>
            <w:shd w:val="clear" w:color="auto" w:fill="auto"/>
          </w:tcPr>
          <w:p>
            <w:pPr>
              <w:jc w:val="center"/>
              <w:rPr>
                <w:noProof/>
              </w:rPr>
            </w:pPr>
            <w:r>
              <w:rPr>
                <w:noProof/>
              </w:rPr>
              <w:t>Ръководен комитет за ИТ</w:t>
            </w:r>
          </w:p>
        </w:tc>
      </w:tr>
      <w:tr>
        <w:tc>
          <w:tcPr>
            <w:tcW w:w="2518" w:type="dxa"/>
            <w:shd w:val="clear" w:color="auto" w:fill="auto"/>
          </w:tcPr>
          <w:p>
            <w:pPr>
              <w:jc w:val="center"/>
              <w:rPr>
                <w:rFonts w:cs="TimesNewRomanPSMT"/>
                <w:noProof/>
              </w:rPr>
            </w:pPr>
            <w:r>
              <w:rPr>
                <w:noProof/>
              </w:rPr>
              <w:t>СТИ</w:t>
            </w:r>
          </w:p>
        </w:tc>
        <w:tc>
          <w:tcPr>
            <w:tcW w:w="6316" w:type="dxa"/>
            <w:shd w:val="clear" w:color="auto" w:fill="auto"/>
          </w:tcPr>
          <w:p>
            <w:pPr>
              <w:jc w:val="center"/>
              <w:rPr>
                <w:rFonts w:cs="TimesNewRomanPSMT"/>
                <w:noProof/>
              </w:rPr>
            </w:pPr>
            <w:r>
              <w:rPr>
                <w:noProof/>
              </w:rPr>
              <w:t>Съвместни технологични инициативи</w:t>
            </w:r>
          </w:p>
        </w:tc>
      </w:tr>
      <w:tr>
        <w:tc>
          <w:tcPr>
            <w:tcW w:w="2518" w:type="dxa"/>
            <w:shd w:val="clear" w:color="auto" w:fill="auto"/>
          </w:tcPr>
          <w:p>
            <w:pPr>
              <w:jc w:val="center"/>
              <w:rPr>
                <w:noProof/>
              </w:rPr>
            </w:pPr>
            <w:r>
              <w:rPr>
                <w:noProof/>
              </w:rPr>
              <w:t>СП</w:t>
            </w:r>
          </w:p>
        </w:tc>
        <w:tc>
          <w:tcPr>
            <w:tcW w:w="6316" w:type="dxa"/>
            <w:shd w:val="clear" w:color="auto" w:fill="auto"/>
          </w:tcPr>
          <w:p>
            <w:pPr>
              <w:jc w:val="center"/>
              <w:rPr>
                <w:noProof/>
              </w:rPr>
            </w:pPr>
            <w:r>
              <w:rPr>
                <w:noProof/>
              </w:rPr>
              <w:t>Съвместни предприятия</w:t>
            </w:r>
          </w:p>
        </w:tc>
      </w:tr>
      <w:tr>
        <w:tc>
          <w:tcPr>
            <w:tcW w:w="2518" w:type="dxa"/>
            <w:shd w:val="clear" w:color="auto" w:fill="auto"/>
          </w:tcPr>
          <w:p>
            <w:pPr>
              <w:jc w:val="center"/>
              <w:rPr>
                <w:noProof/>
              </w:rPr>
            </w:pPr>
            <w:r>
              <w:rPr>
                <w:noProof/>
              </w:rPr>
              <w:t>КПЕ</w:t>
            </w:r>
          </w:p>
        </w:tc>
        <w:tc>
          <w:tcPr>
            <w:tcW w:w="6316" w:type="dxa"/>
            <w:shd w:val="clear" w:color="auto" w:fill="auto"/>
          </w:tcPr>
          <w:p>
            <w:pPr>
              <w:jc w:val="center"/>
              <w:rPr>
                <w:noProof/>
              </w:rPr>
            </w:pPr>
            <w:r>
              <w:rPr>
                <w:noProof/>
              </w:rPr>
              <w:t>Ключов показател за ефективност</w:t>
            </w:r>
          </w:p>
        </w:tc>
      </w:tr>
      <w:tr>
        <w:tc>
          <w:tcPr>
            <w:tcW w:w="2518" w:type="dxa"/>
            <w:shd w:val="clear" w:color="auto" w:fill="auto"/>
          </w:tcPr>
          <w:p>
            <w:pPr>
              <w:jc w:val="center"/>
              <w:rPr>
                <w:noProof/>
              </w:rPr>
            </w:pPr>
            <w:r>
              <w:rPr>
                <w:noProof/>
              </w:rPr>
              <w:t>ДЧ</w:t>
            </w:r>
          </w:p>
        </w:tc>
        <w:tc>
          <w:tcPr>
            <w:tcW w:w="6316" w:type="dxa"/>
            <w:shd w:val="clear" w:color="auto" w:fill="auto"/>
          </w:tcPr>
          <w:p>
            <w:pPr>
              <w:jc w:val="center"/>
              <w:rPr>
                <w:noProof/>
              </w:rPr>
            </w:pPr>
            <w:r>
              <w:rPr>
                <w:noProof/>
              </w:rPr>
              <w:t>Държави членки</w:t>
            </w:r>
          </w:p>
        </w:tc>
      </w:tr>
      <w:tr>
        <w:tc>
          <w:tcPr>
            <w:tcW w:w="2518" w:type="dxa"/>
            <w:shd w:val="clear" w:color="auto" w:fill="auto"/>
          </w:tcPr>
          <w:p>
            <w:pPr>
              <w:jc w:val="center"/>
              <w:rPr>
                <w:rFonts w:cs="TimesNewRomanPSMT"/>
                <w:noProof/>
              </w:rPr>
            </w:pPr>
            <w:r>
              <w:rPr>
                <w:noProof/>
                <w:color w:val="000000"/>
              </w:rPr>
              <w:t>ПОГ</w:t>
            </w:r>
          </w:p>
        </w:tc>
        <w:tc>
          <w:tcPr>
            <w:tcW w:w="6316" w:type="dxa"/>
            <w:shd w:val="clear" w:color="auto" w:fill="auto"/>
          </w:tcPr>
          <w:p>
            <w:pPr>
              <w:jc w:val="center"/>
              <w:rPr>
                <w:noProof/>
              </w:rPr>
            </w:pPr>
            <w:r>
              <w:rPr>
                <w:noProof/>
              </w:rPr>
              <w:t>Процент на остатъчните грешки</w:t>
            </w:r>
          </w:p>
        </w:tc>
      </w:tr>
      <w:tr>
        <w:tc>
          <w:tcPr>
            <w:tcW w:w="2518" w:type="dxa"/>
            <w:shd w:val="clear" w:color="auto" w:fill="auto"/>
          </w:tcPr>
          <w:p>
            <w:pPr>
              <w:jc w:val="center"/>
              <w:rPr>
                <w:noProof/>
              </w:rPr>
            </w:pPr>
            <w:r>
              <w:rPr>
                <w:noProof/>
              </w:rPr>
              <w:t>SG</w:t>
            </w:r>
          </w:p>
        </w:tc>
        <w:tc>
          <w:tcPr>
            <w:tcW w:w="6316" w:type="dxa"/>
            <w:shd w:val="clear" w:color="auto" w:fill="auto"/>
          </w:tcPr>
          <w:p>
            <w:pPr>
              <w:jc w:val="center"/>
              <w:rPr>
                <w:noProof/>
              </w:rPr>
            </w:pPr>
            <w:r>
              <w:rPr>
                <w:noProof/>
              </w:rPr>
              <w:t>Генерален секретариат</w:t>
            </w:r>
          </w:p>
        </w:tc>
      </w:tr>
      <w:tr>
        <w:tc>
          <w:tcPr>
            <w:tcW w:w="2518" w:type="dxa"/>
            <w:shd w:val="clear" w:color="auto" w:fill="auto"/>
          </w:tcPr>
          <w:p>
            <w:pPr>
              <w:jc w:val="center"/>
              <w:rPr>
                <w:noProof/>
              </w:rPr>
            </w:pPr>
            <w:r>
              <w:rPr>
                <w:noProof/>
              </w:rPr>
              <w:t>SWD</w:t>
            </w:r>
          </w:p>
        </w:tc>
        <w:tc>
          <w:tcPr>
            <w:tcW w:w="6316" w:type="dxa"/>
            <w:shd w:val="clear" w:color="auto" w:fill="auto"/>
          </w:tcPr>
          <w:p>
            <w:pPr>
              <w:jc w:val="center"/>
              <w:rPr>
                <w:noProof/>
              </w:rPr>
            </w:pPr>
            <w:r>
              <w:rPr>
                <w:noProof/>
              </w:rPr>
              <w:t>Работен документ на службите на Комисията</w:t>
            </w:r>
          </w:p>
        </w:tc>
      </w:tr>
      <w:tr>
        <w:tc>
          <w:tcPr>
            <w:tcW w:w="2518" w:type="dxa"/>
            <w:shd w:val="clear" w:color="auto" w:fill="auto"/>
          </w:tcPr>
          <w:p>
            <w:pPr>
              <w:jc w:val="center"/>
              <w:rPr>
                <w:noProof/>
              </w:rPr>
            </w:pPr>
            <w:r>
              <w:rPr>
                <w:noProof/>
              </w:rPr>
              <w:t>ДФЕС</w:t>
            </w:r>
          </w:p>
        </w:tc>
        <w:tc>
          <w:tcPr>
            <w:tcW w:w="6316" w:type="dxa"/>
            <w:shd w:val="clear" w:color="auto" w:fill="auto"/>
          </w:tcPr>
          <w:p>
            <w:pPr>
              <w:jc w:val="center"/>
              <w:rPr>
                <w:rFonts w:cs="TimesNewRomanPSMT"/>
                <w:noProof/>
              </w:rPr>
            </w:pPr>
            <w:r>
              <w:rPr>
                <w:noProof/>
              </w:rPr>
              <w:t>Договор за функционирането на Европейския съюз</w:t>
            </w:r>
          </w:p>
        </w:tc>
      </w:tr>
    </w:tbl>
    <w:p>
      <w:pPr>
        <w:pStyle w:val="Text1"/>
        <w:ind w:left="0"/>
        <w:rPr>
          <w:noProof/>
        </w:rPr>
      </w:pPr>
    </w:p>
    <w:sectPr>
      <w:headerReference w:type="even" r:id="rId22"/>
      <w:headerReference w:type="default" r:id="rId23"/>
      <w:footerReference w:type="even" r:id="rId24"/>
      <w:footerReference w:type="default" r:id="rId25"/>
      <w:headerReference w:type="first" r:id="rId26"/>
      <w:footerReference w:type="first" r:id="rId27"/>
      <w:pgSz w:w="11906" w:h="16838"/>
      <w:pgMar w:top="1020" w:right="1701" w:bottom="1020" w:left="1587" w:header="601" w:footer="107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
    <w:altName w:val="EUAlbertina"/>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3</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pPr>
        <w:spacing w:after="0"/>
      </w:pPr>
    </w:p>
  </w:footnote>
  <w:footnote w:id="2">
    <w:p>
      <w:pPr>
        <w:pStyle w:val="FootnoteText"/>
        <w:spacing w:after="120"/>
        <w:rPr>
          <w:szCs w:val="24"/>
        </w:rPr>
      </w:pPr>
      <w:r>
        <w:rPr>
          <w:rStyle w:val="FootnoteReference"/>
        </w:rPr>
        <w:footnoteRef/>
      </w:r>
      <w:r>
        <w:t xml:space="preserve"> </w:t>
      </w:r>
      <w:r>
        <w:tab/>
        <w:t>Докладът не обхваща децентрализираните европейски агенции, Европейската служба за външна дейност и други органи, одитирани от IAS, които получават отделни годишни доклади.</w:t>
      </w:r>
    </w:p>
  </w:footnote>
  <w:footnote w:id="3">
    <w:p>
      <w:pPr>
        <w:pStyle w:val="FootnoteText"/>
        <w:spacing w:after="120"/>
      </w:pPr>
      <w:r>
        <w:rPr>
          <w:rStyle w:val="FootnoteReference"/>
        </w:rPr>
        <w:footnoteRef/>
      </w:r>
      <w:r>
        <w:tab/>
        <w:t>Изискване съгласно стандарт за изпълнение 2060 от Международните стандарти за професионалното извършване на вътрешен одит (</w:t>
      </w:r>
      <w:r>
        <w:rPr>
          <w:i/>
        </w:rPr>
        <w:t>Стандартите</w:t>
      </w:r>
      <w:r>
        <w:t>), публикувани от Института на вътрешните одитори (ІІА).</w:t>
      </w:r>
    </w:p>
  </w:footnote>
  <w:footnote w:id="4">
    <w:p>
      <w:pPr>
        <w:pStyle w:val="FootnoteText"/>
      </w:pPr>
      <w:r>
        <w:rPr>
          <w:rStyle w:val="FootnoteReference"/>
        </w:rPr>
        <w:footnoteRef/>
      </w:r>
      <w:r>
        <w:t xml:space="preserve"> </w:t>
      </w:r>
      <w:r>
        <w:tab/>
        <w:t>Член 100 от Финансовия регламент.</w:t>
      </w:r>
    </w:p>
  </w:footnote>
  <w:footnote w:id="5">
    <w:p>
      <w:pPr>
        <w:pStyle w:val="FootnoteText"/>
      </w:pPr>
      <w:r>
        <w:rPr>
          <w:rStyle w:val="FootnoteReference"/>
        </w:rPr>
        <w:footnoteRef/>
      </w:r>
      <w:r>
        <w:t xml:space="preserve"> </w:t>
      </w:r>
      <w:r>
        <w:tab/>
        <w:t>C(2015)2541 (20 април 2015 г.), Съобщение до Комисията, Устав за мисията на Службата за вътрешен одит на Европейската Комисия.</w:t>
      </w:r>
    </w:p>
  </w:footnote>
  <w:footnote w:id="6">
    <w:p>
      <w:pPr>
        <w:pStyle w:val="FootnoteText"/>
      </w:pPr>
      <w:r>
        <w:rPr>
          <w:rStyle w:val="FootnoteReference"/>
        </w:rPr>
        <w:footnoteRef/>
      </w:r>
      <w:r>
        <w:t xml:space="preserve"> </w:t>
      </w:r>
      <w:r>
        <w:tab/>
        <w:t>В работния документ на службите на Комисията е направен преглед на всички приключени ангажименти за одити и за последващи одити.</w:t>
      </w:r>
    </w:p>
  </w:footnote>
  <w:footnote w:id="7">
    <w:p>
      <w:pPr>
        <w:pStyle w:val="FootnoteText"/>
        <w:spacing w:after="120"/>
        <w:rPr>
          <w:szCs w:val="24"/>
        </w:rPr>
      </w:pPr>
      <w:r>
        <w:rPr>
          <w:rStyle w:val="FootnoteReference"/>
        </w:rPr>
        <w:footnoteRef/>
      </w:r>
      <w:r>
        <w:t xml:space="preserve"> </w:t>
      </w:r>
      <w:r>
        <w:tab/>
        <w:t>Извършването на някои одити, по-специално одити на няколко ГД, може да доведе до повече от един одитен доклад.</w:t>
      </w:r>
    </w:p>
  </w:footnote>
  <w:footnote w:id="8">
    <w:p>
      <w:pPr>
        <w:pStyle w:val="FootnoteText"/>
        <w:spacing w:after="120"/>
        <w:rPr>
          <w:szCs w:val="24"/>
        </w:rPr>
      </w:pPr>
      <w:r>
        <w:rPr>
          <w:rStyle w:val="FootnoteReference"/>
        </w:rPr>
        <w:footnoteRef/>
      </w:r>
      <w:r>
        <w:t xml:space="preserve"> </w:t>
      </w:r>
      <w:r>
        <w:tab/>
        <w:t>„Анализ на пропуските в новото законодателство/разработването на периода на програмиране 2014—2020 г. за европейските структурни и инвестиционни фондове (ЕСИ фондове), втора фаза“, насочен към ГД „Регионална и селищна политика“ (ГД REGIO) и ГД „Трудова заетост, социални въпроси и приобщаване“ (ГД EMPL), се счита за два ангажимента.</w:t>
      </w:r>
    </w:p>
  </w:footnote>
  <w:footnote w:id="9">
    <w:p>
      <w:pPr>
        <w:pStyle w:val="FootnoteText"/>
        <w:spacing w:after="120"/>
      </w:pPr>
      <w:r>
        <w:rPr>
          <w:rStyle w:val="FootnoteReference"/>
        </w:rPr>
        <w:footnoteRef/>
      </w:r>
      <w:r>
        <w:t xml:space="preserve"> </w:t>
      </w:r>
      <w:r>
        <w:tab/>
        <w:t>„Одит на стратегията за контрол – прилагане в ГД „Земеделие и развитие на селските райони“ (ГД AGRI)“ се счита за два ангажимента, изпълнени от два различни одиторски екипа, завършили с единен одитен доклад.</w:t>
      </w:r>
    </w:p>
  </w:footnote>
  <w:footnote w:id="10">
    <w:p>
      <w:pPr>
        <w:pStyle w:val="FootnoteText"/>
      </w:pPr>
      <w:r>
        <w:rPr>
          <w:rStyle w:val="FootnoteReference"/>
        </w:rPr>
        <w:footnoteRef/>
      </w:r>
      <w:r>
        <w:t xml:space="preserve"> </w:t>
      </w:r>
      <w:r>
        <w:tab/>
        <w:t>След централизирането на функцията за вътрешен одит в началото на 2015 г., Службата за вътрешен одит (IAS) прие над 908 препоръки за проследяване от бившите звена за вътрешен отидт. При започването на последващите действия през 2015 г. IAS групира препоръките, произтичащи от редица одити, извършени по-рано от Звеното за вътрешен одит (IAC). Резултатите бяха докладвани в единен доклад или заключителна бележка. В таблицата не се посочват данни за броя на докладите предвид факта, че не бяха съставяни отделни доклади или заключителни бележки за всеки проследяван одит.</w:t>
      </w:r>
    </w:p>
  </w:footnote>
  <w:footnote w:id="11">
    <w:p>
      <w:pPr>
        <w:pStyle w:val="FootnoteText"/>
        <w:rPr>
          <w:lang w:val="bg-BG"/>
        </w:rPr>
      </w:pPr>
      <w:r>
        <w:rPr>
          <w:rStyle w:val="FootnoteReference"/>
        </w:rPr>
        <w:footnoteRef/>
      </w:r>
      <w:r>
        <w:t xml:space="preserve"> </w:t>
      </w:r>
      <w:r>
        <w:tab/>
        <w:t>Обща здравноосигурителна схема (ОЗОС)</w:t>
      </w:r>
      <w:r>
        <w:rPr>
          <w:lang w:val="bg-BG"/>
        </w:rPr>
        <w:t>.</w:t>
      </w:r>
    </w:p>
  </w:footnote>
  <w:footnote w:id="12">
    <w:p>
      <w:pPr>
        <w:ind w:left="357" w:hanging="357"/>
        <w:rPr>
          <w:sz w:val="20"/>
        </w:rPr>
      </w:pPr>
      <w:r>
        <w:rPr>
          <w:rStyle w:val="FootnoteReference"/>
        </w:rPr>
        <w:footnoteRef/>
      </w:r>
      <w:r>
        <w:t xml:space="preserve"> </w:t>
      </w:r>
      <w:r>
        <w:tab/>
      </w:r>
      <w:r>
        <w:rPr>
          <w:sz w:val="20"/>
        </w:rPr>
        <w:t>Тази таблица показва последната оценка на препоръките. Данните може да се различават от оценката в първоначалния доклад, ако предприетите впоследствие действия от одитираните субекти се счетат за достатъчни да доведат до частично намаляване на установените рискове и следователно до понижаване на процента на риска на препоръката.</w:t>
      </w:r>
    </w:p>
    <w:p>
      <w:pPr>
        <w:pStyle w:val="FootnoteText"/>
      </w:pPr>
    </w:p>
  </w:footnote>
  <w:footnote w:id="13">
    <w:p>
      <w:pPr>
        <w:pStyle w:val="FootnoteText"/>
      </w:pPr>
      <w:r>
        <w:rPr>
          <w:rStyle w:val="FootnoteReference"/>
        </w:rPr>
        <w:footnoteRef/>
      </w:r>
      <w:r>
        <w:t xml:space="preserve"> </w:t>
      </w:r>
      <w:r>
        <w:tab/>
        <w:t>Препоръки, изпълнени след крайната дата 31 януари 2016 г., не се вземат под внимание.</w:t>
      </w:r>
    </w:p>
  </w:footnote>
  <w:footnote w:id="14">
    <w:p>
      <w:pPr>
        <w:pStyle w:val="FootnoteText"/>
      </w:pPr>
      <w:r>
        <w:rPr>
          <w:rStyle w:val="FootnoteReference"/>
        </w:rPr>
        <w:footnoteRef/>
      </w:r>
      <w:r>
        <w:t xml:space="preserve"> </w:t>
      </w:r>
      <w:r>
        <w:tab/>
        <w:t>IAS извърши общо 35 одита на изпълнението и всеобхватни одита. За повече подробности вж. работния документ на службите на Комисията.</w:t>
      </w:r>
    </w:p>
  </w:footnote>
  <w:footnote w:id="15">
    <w:p>
      <w:pPr>
        <w:pStyle w:val="FootnoteText"/>
      </w:pPr>
      <w:r>
        <w:rPr>
          <w:rStyle w:val="FootnoteReference"/>
        </w:rPr>
        <w:footnoteRef/>
      </w:r>
      <w:r>
        <w:t xml:space="preserve"> </w:t>
      </w:r>
      <w:r>
        <w:tab/>
        <w:t>Вж. резолюцията на Европейския парламент от 28 април 2016 г., съдържаща наблюдения, които представляват неразделна част от решенията относно освобождаването от отговорност във връзка с изпълнението на общия бюджет на Европейския съюз за финансовата 2014 г., Раздел III – Комисията и изпълнителните агенции (2015/2154(DEC)) (реф. P8_TA-PROV(2016)0147), параграф 18: „преминаването към одити на изпълнението от по-високо ниво не може да се осъществи в рамките на един етап, тъй като одитите на изпълнението могат да бъдат извършени, едва след като основните правни актове и бюджетът бъдат изготвени с оглед съгласуване на политическите цели с показателите за качество или с оглед постигането на измерими резултати;“.</w:t>
      </w:r>
    </w:p>
  </w:footnote>
  <w:footnote w:id="16">
    <w:p>
      <w:pPr>
        <w:pStyle w:val="FootnoteText"/>
      </w:pPr>
      <w:r>
        <w:rPr>
          <w:rStyle w:val="FootnoteReference"/>
        </w:rPr>
        <w:footnoteRef/>
      </w:r>
      <w:r>
        <w:t xml:space="preserve"> </w:t>
      </w:r>
      <w:r>
        <w:tab/>
        <w:t>Допълнителна информация за ограничените заключения на IAS относно състоянието на вътрешния контрол е включена в точка 2.3 на Доклада на Комисията до Европейския парламент, Съвета и Сметната палата Годишен отчет за управлението и изпълнението на бюджета на ЕС за 2015 г. (COM(2016)446).</w:t>
      </w:r>
    </w:p>
  </w:footnote>
  <w:footnote w:id="17">
    <w:p>
      <w:pPr>
        <w:pStyle w:val="FootnoteText"/>
      </w:pPr>
      <w:r>
        <w:rPr>
          <w:rStyle w:val="FootnoteReference"/>
        </w:rPr>
        <w:footnoteRef/>
      </w:r>
      <w:r>
        <w:t xml:space="preserve"> </w:t>
      </w:r>
      <w:r>
        <w:tab/>
        <w:t>Допълнителна информация за общото становище за 2015 г. е включена в приложение 3 на Доклада на Комисията до Европейския парламент, Съвета и Сметната палата Годишен отчет за управлението и изпълнението на бюджета на ЕС за 2015 г. (COM(2016)446).</w:t>
      </w: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F734306"/>
    <w:multiLevelType w:val="multilevel"/>
    <w:tmpl w:val="CC8E0140"/>
    <w:lvl w:ilvl="0">
      <w:start w:val="1"/>
      <w:numFmt w:val="decimal"/>
      <w:pStyle w:val="Heading1"/>
      <w:lvlText w:val="%1."/>
      <w:lvlJc w:val="left"/>
      <w:pPr>
        <w:tabs>
          <w:tab w:val="num" w:pos="480"/>
        </w:tabs>
        <w:ind w:left="480" w:hanging="480"/>
      </w:pPr>
      <w:rPr>
        <w:rFonts w:hint="default"/>
      </w:rPr>
    </w:lvl>
    <w:lvl w:ilvl="1">
      <w:start w:val="1"/>
      <w:numFmt w:val="decimal"/>
      <w:pStyle w:val="Heading2"/>
      <w:lvlText w:val="%1.%2."/>
      <w:lvlJc w:val="left"/>
      <w:pPr>
        <w:tabs>
          <w:tab w:val="num" w:pos="1288"/>
        </w:tabs>
        <w:ind w:left="1288" w:hanging="720"/>
      </w:pPr>
      <w:rPr>
        <w:rFonts w:hint="default"/>
      </w:rPr>
    </w:lvl>
    <w:lvl w:ilvl="2">
      <w:start w:val="1"/>
      <w:numFmt w:val="decimal"/>
      <w:pStyle w:val="Heading3"/>
      <w:lvlText w:val="%1.%2.%3."/>
      <w:lvlJc w:val="left"/>
      <w:pPr>
        <w:tabs>
          <w:tab w:val="num" w:pos="7667"/>
        </w:tabs>
        <w:ind w:left="7667" w:hanging="720"/>
      </w:pPr>
      <w:rPr>
        <w:rFonts w:hint="default"/>
        <w:i w:val="0"/>
        <w:sz w:val="24"/>
        <w:szCs w:val="24"/>
      </w:rPr>
    </w:lvl>
    <w:lvl w:ilvl="3">
      <w:start w:val="1"/>
      <w:numFmt w:val="decimal"/>
      <w:pStyle w:val="Heading4"/>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6">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8">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1">
    <w:nsid w:val="40745765"/>
    <w:multiLevelType w:val="hybridMultilevel"/>
    <w:tmpl w:val="22ACA09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nsid w:val="42C53C81"/>
    <w:multiLevelType w:val="hybridMultilevel"/>
    <w:tmpl w:val="BD109B3A"/>
    <w:lvl w:ilvl="0" w:tplc="57780628">
      <w:start w:val="1"/>
      <w:numFmt w:val="bullet"/>
      <w:lvlText w:val="–"/>
      <w:lvlJc w:val="left"/>
      <w:pPr>
        <w:ind w:left="1202" w:hanging="360"/>
      </w:pPr>
      <w:rPr>
        <w:rFonts w:ascii="Times New Roman" w:hAnsi="Times New Roman" w:cs="Times New Roman"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13">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4">
    <w:nsid w:val="48286F8F"/>
    <w:multiLevelType w:val="hybridMultilevel"/>
    <w:tmpl w:val="0F28B1E6"/>
    <w:lvl w:ilvl="0" w:tplc="A8741F3E">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52A66529"/>
    <w:multiLevelType w:val="hybridMultilevel"/>
    <w:tmpl w:val="BB5AE2B6"/>
    <w:lvl w:ilvl="0" w:tplc="D1C88FB4">
      <w:start w:val="1"/>
      <w:numFmt w:val="bullet"/>
      <w:lvlText w:val="-"/>
      <w:lvlJc w:val="left"/>
      <w:pPr>
        <w:ind w:left="916" w:hanging="360"/>
      </w:pPr>
      <w:rPr>
        <w:rFonts w:ascii="Calibri" w:hAnsi="Calibri" w:hint="default"/>
      </w:rPr>
    </w:lvl>
    <w:lvl w:ilvl="1" w:tplc="08090003" w:tentative="1">
      <w:start w:val="1"/>
      <w:numFmt w:val="bullet"/>
      <w:lvlText w:val="o"/>
      <w:lvlJc w:val="left"/>
      <w:pPr>
        <w:ind w:left="1636" w:hanging="360"/>
      </w:pPr>
      <w:rPr>
        <w:rFonts w:ascii="Courier New" w:hAnsi="Courier New" w:cs="Courier New" w:hint="default"/>
      </w:rPr>
    </w:lvl>
    <w:lvl w:ilvl="2" w:tplc="08090005" w:tentative="1">
      <w:start w:val="1"/>
      <w:numFmt w:val="bullet"/>
      <w:lvlText w:val=""/>
      <w:lvlJc w:val="left"/>
      <w:pPr>
        <w:ind w:left="2356" w:hanging="360"/>
      </w:pPr>
      <w:rPr>
        <w:rFonts w:ascii="Wingdings" w:hAnsi="Wingdings" w:hint="default"/>
      </w:rPr>
    </w:lvl>
    <w:lvl w:ilvl="3" w:tplc="08090001" w:tentative="1">
      <w:start w:val="1"/>
      <w:numFmt w:val="bullet"/>
      <w:lvlText w:val=""/>
      <w:lvlJc w:val="left"/>
      <w:pPr>
        <w:ind w:left="3076" w:hanging="360"/>
      </w:pPr>
      <w:rPr>
        <w:rFonts w:ascii="Symbol" w:hAnsi="Symbol" w:hint="default"/>
      </w:rPr>
    </w:lvl>
    <w:lvl w:ilvl="4" w:tplc="08090003" w:tentative="1">
      <w:start w:val="1"/>
      <w:numFmt w:val="bullet"/>
      <w:lvlText w:val="o"/>
      <w:lvlJc w:val="left"/>
      <w:pPr>
        <w:ind w:left="3796" w:hanging="360"/>
      </w:pPr>
      <w:rPr>
        <w:rFonts w:ascii="Courier New" w:hAnsi="Courier New" w:cs="Courier New" w:hint="default"/>
      </w:rPr>
    </w:lvl>
    <w:lvl w:ilvl="5" w:tplc="08090005" w:tentative="1">
      <w:start w:val="1"/>
      <w:numFmt w:val="bullet"/>
      <w:lvlText w:val=""/>
      <w:lvlJc w:val="left"/>
      <w:pPr>
        <w:ind w:left="4516" w:hanging="360"/>
      </w:pPr>
      <w:rPr>
        <w:rFonts w:ascii="Wingdings" w:hAnsi="Wingdings" w:hint="default"/>
      </w:rPr>
    </w:lvl>
    <w:lvl w:ilvl="6" w:tplc="08090001" w:tentative="1">
      <w:start w:val="1"/>
      <w:numFmt w:val="bullet"/>
      <w:lvlText w:val=""/>
      <w:lvlJc w:val="left"/>
      <w:pPr>
        <w:ind w:left="5236" w:hanging="360"/>
      </w:pPr>
      <w:rPr>
        <w:rFonts w:ascii="Symbol" w:hAnsi="Symbol" w:hint="default"/>
      </w:rPr>
    </w:lvl>
    <w:lvl w:ilvl="7" w:tplc="08090003" w:tentative="1">
      <w:start w:val="1"/>
      <w:numFmt w:val="bullet"/>
      <w:lvlText w:val="o"/>
      <w:lvlJc w:val="left"/>
      <w:pPr>
        <w:ind w:left="5956" w:hanging="360"/>
      </w:pPr>
      <w:rPr>
        <w:rFonts w:ascii="Courier New" w:hAnsi="Courier New" w:cs="Courier New" w:hint="default"/>
      </w:rPr>
    </w:lvl>
    <w:lvl w:ilvl="8" w:tplc="08090005" w:tentative="1">
      <w:start w:val="1"/>
      <w:numFmt w:val="bullet"/>
      <w:lvlText w:val=""/>
      <w:lvlJc w:val="left"/>
      <w:pPr>
        <w:ind w:left="6676" w:hanging="360"/>
      </w:pPr>
      <w:rPr>
        <w:rFonts w:ascii="Wingdings" w:hAnsi="Wingdings" w:hint="default"/>
      </w:rPr>
    </w:lvl>
  </w:abstractNum>
  <w:abstractNum w:abstractNumId="1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7">
    <w:nsid w:val="5A327DB2"/>
    <w:multiLevelType w:val="hybridMultilevel"/>
    <w:tmpl w:val="AD7E3CC4"/>
    <w:lvl w:ilvl="0" w:tplc="04020001">
      <w:start w:val="1"/>
      <w:numFmt w:val="bullet"/>
      <w:lvlText w:val=""/>
      <w:lvlJc w:val="left"/>
      <w:pPr>
        <w:ind w:left="2631" w:hanging="360"/>
      </w:pPr>
      <w:rPr>
        <w:rFonts w:ascii="Symbol" w:hAnsi="Symbol" w:hint="default"/>
      </w:rPr>
    </w:lvl>
    <w:lvl w:ilvl="1" w:tplc="04020003" w:tentative="1">
      <w:start w:val="1"/>
      <w:numFmt w:val="bullet"/>
      <w:lvlText w:val="o"/>
      <w:lvlJc w:val="left"/>
      <w:pPr>
        <w:ind w:left="3351" w:hanging="360"/>
      </w:pPr>
      <w:rPr>
        <w:rFonts w:ascii="Courier New" w:hAnsi="Courier New" w:cs="Courier New" w:hint="default"/>
      </w:rPr>
    </w:lvl>
    <w:lvl w:ilvl="2" w:tplc="04020005" w:tentative="1">
      <w:start w:val="1"/>
      <w:numFmt w:val="bullet"/>
      <w:lvlText w:val=""/>
      <w:lvlJc w:val="left"/>
      <w:pPr>
        <w:ind w:left="4071" w:hanging="360"/>
      </w:pPr>
      <w:rPr>
        <w:rFonts w:ascii="Wingdings" w:hAnsi="Wingdings" w:hint="default"/>
      </w:rPr>
    </w:lvl>
    <w:lvl w:ilvl="3" w:tplc="04020001" w:tentative="1">
      <w:start w:val="1"/>
      <w:numFmt w:val="bullet"/>
      <w:lvlText w:val=""/>
      <w:lvlJc w:val="left"/>
      <w:pPr>
        <w:ind w:left="4791" w:hanging="360"/>
      </w:pPr>
      <w:rPr>
        <w:rFonts w:ascii="Symbol" w:hAnsi="Symbol" w:hint="default"/>
      </w:rPr>
    </w:lvl>
    <w:lvl w:ilvl="4" w:tplc="04020003" w:tentative="1">
      <w:start w:val="1"/>
      <w:numFmt w:val="bullet"/>
      <w:lvlText w:val="o"/>
      <w:lvlJc w:val="left"/>
      <w:pPr>
        <w:ind w:left="5511" w:hanging="360"/>
      </w:pPr>
      <w:rPr>
        <w:rFonts w:ascii="Courier New" w:hAnsi="Courier New" w:cs="Courier New" w:hint="default"/>
      </w:rPr>
    </w:lvl>
    <w:lvl w:ilvl="5" w:tplc="04020005" w:tentative="1">
      <w:start w:val="1"/>
      <w:numFmt w:val="bullet"/>
      <w:lvlText w:val=""/>
      <w:lvlJc w:val="left"/>
      <w:pPr>
        <w:ind w:left="6231" w:hanging="360"/>
      </w:pPr>
      <w:rPr>
        <w:rFonts w:ascii="Wingdings" w:hAnsi="Wingdings" w:hint="default"/>
      </w:rPr>
    </w:lvl>
    <w:lvl w:ilvl="6" w:tplc="04020001" w:tentative="1">
      <w:start w:val="1"/>
      <w:numFmt w:val="bullet"/>
      <w:lvlText w:val=""/>
      <w:lvlJc w:val="left"/>
      <w:pPr>
        <w:ind w:left="6951" w:hanging="360"/>
      </w:pPr>
      <w:rPr>
        <w:rFonts w:ascii="Symbol" w:hAnsi="Symbol" w:hint="default"/>
      </w:rPr>
    </w:lvl>
    <w:lvl w:ilvl="7" w:tplc="04020003" w:tentative="1">
      <w:start w:val="1"/>
      <w:numFmt w:val="bullet"/>
      <w:lvlText w:val="o"/>
      <w:lvlJc w:val="left"/>
      <w:pPr>
        <w:ind w:left="7671" w:hanging="360"/>
      </w:pPr>
      <w:rPr>
        <w:rFonts w:ascii="Courier New" w:hAnsi="Courier New" w:cs="Courier New" w:hint="default"/>
      </w:rPr>
    </w:lvl>
    <w:lvl w:ilvl="8" w:tplc="04020005" w:tentative="1">
      <w:start w:val="1"/>
      <w:numFmt w:val="bullet"/>
      <w:lvlText w:val=""/>
      <w:lvlJc w:val="left"/>
      <w:pPr>
        <w:ind w:left="8391" w:hanging="360"/>
      </w:pPr>
      <w:rPr>
        <w:rFonts w:ascii="Wingdings" w:hAnsi="Wingdings" w:hint="default"/>
      </w:rPr>
    </w:lvl>
  </w:abstractNum>
  <w:abstractNum w:abstractNumId="18">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9">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1">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2">
    <w:nsid w:val="716500F4"/>
    <w:multiLevelType w:val="hybridMultilevel"/>
    <w:tmpl w:val="7A52123E"/>
    <w:lvl w:ilvl="0" w:tplc="08090001">
      <w:start w:val="1"/>
      <w:numFmt w:val="bullet"/>
      <w:lvlText w:val=""/>
      <w:lvlJc w:val="left"/>
      <w:pPr>
        <w:ind w:left="1276" w:hanging="360"/>
      </w:pPr>
      <w:rPr>
        <w:rFonts w:ascii="Symbol" w:hAnsi="Symbol" w:hint="default"/>
      </w:rPr>
    </w:lvl>
    <w:lvl w:ilvl="1" w:tplc="08090003" w:tentative="1">
      <w:start w:val="1"/>
      <w:numFmt w:val="bullet"/>
      <w:lvlText w:val="o"/>
      <w:lvlJc w:val="left"/>
      <w:pPr>
        <w:ind w:left="1996" w:hanging="360"/>
      </w:pPr>
      <w:rPr>
        <w:rFonts w:ascii="Courier New" w:hAnsi="Courier New" w:cs="Courier New" w:hint="default"/>
      </w:rPr>
    </w:lvl>
    <w:lvl w:ilvl="2" w:tplc="08090005" w:tentative="1">
      <w:start w:val="1"/>
      <w:numFmt w:val="bullet"/>
      <w:lvlText w:val=""/>
      <w:lvlJc w:val="left"/>
      <w:pPr>
        <w:ind w:left="2716" w:hanging="360"/>
      </w:pPr>
      <w:rPr>
        <w:rFonts w:ascii="Wingdings" w:hAnsi="Wingdings" w:hint="default"/>
      </w:rPr>
    </w:lvl>
    <w:lvl w:ilvl="3" w:tplc="08090001" w:tentative="1">
      <w:start w:val="1"/>
      <w:numFmt w:val="bullet"/>
      <w:lvlText w:val=""/>
      <w:lvlJc w:val="left"/>
      <w:pPr>
        <w:ind w:left="3436" w:hanging="360"/>
      </w:pPr>
      <w:rPr>
        <w:rFonts w:ascii="Symbol" w:hAnsi="Symbol" w:hint="default"/>
      </w:rPr>
    </w:lvl>
    <w:lvl w:ilvl="4" w:tplc="08090003" w:tentative="1">
      <w:start w:val="1"/>
      <w:numFmt w:val="bullet"/>
      <w:lvlText w:val="o"/>
      <w:lvlJc w:val="left"/>
      <w:pPr>
        <w:ind w:left="4156" w:hanging="360"/>
      </w:pPr>
      <w:rPr>
        <w:rFonts w:ascii="Courier New" w:hAnsi="Courier New" w:cs="Courier New" w:hint="default"/>
      </w:rPr>
    </w:lvl>
    <w:lvl w:ilvl="5" w:tplc="08090005" w:tentative="1">
      <w:start w:val="1"/>
      <w:numFmt w:val="bullet"/>
      <w:lvlText w:val=""/>
      <w:lvlJc w:val="left"/>
      <w:pPr>
        <w:ind w:left="4876" w:hanging="360"/>
      </w:pPr>
      <w:rPr>
        <w:rFonts w:ascii="Wingdings" w:hAnsi="Wingdings" w:hint="default"/>
      </w:rPr>
    </w:lvl>
    <w:lvl w:ilvl="6" w:tplc="08090001" w:tentative="1">
      <w:start w:val="1"/>
      <w:numFmt w:val="bullet"/>
      <w:lvlText w:val=""/>
      <w:lvlJc w:val="left"/>
      <w:pPr>
        <w:ind w:left="5596" w:hanging="360"/>
      </w:pPr>
      <w:rPr>
        <w:rFonts w:ascii="Symbol" w:hAnsi="Symbol" w:hint="default"/>
      </w:rPr>
    </w:lvl>
    <w:lvl w:ilvl="7" w:tplc="08090003" w:tentative="1">
      <w:start w:val="1"/>
      <w:numFmt w:val="bullet"/>
      <w:lvlText w:val="o"/>
      <w:lvlJc w:val="left"/>
      <w:pPr>
        <w:ind w:left="6316" w:hanging="360"/>
      </w:pPr>
      <w:rPr>
        <w:rFonts w:ascii="Courier New" w:hAnsi="Courier New" w:cs="Courier New" w:hint="default"/>
      </w:rPr>
    </w:lvl>
    <w:lvl w:ilvl="8" w:tplc="08090005" w:tentative="1">
      <w:start w:val="1"/>
      <w:numFmt w:val="bullet"/>
      <w:lvlText w:val=""/>
      <w:lvlJc w:val="left"/>
      <w:pPr>
        <w:ind w:left="7036" w:hanging="360"/>
      </w:pPr>
      <w:rPr>
        <w:rFonts w:ascii="Wingdings" w:hAnsi="Wingdings" w:hint="default"/>
      </w:rPr>
    </w:lvl>
  </w:abstractNum>
  <w:abstractNum w:abstractNumId="23">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10"/>
  </w:num>
  <w:num w:numId="4">
    <w:abstractNumId w:val="5"/>
  </w:num>
  <w:num w:numId="5">
    <w:abstractNumId w:val="9"/>
  </w:num>
  <w:num w:numId="6">
    <w:abstractNumId w:val="20"/>
  </w:num>
  <w:num w:numId="7">
    <w:abstractNumId w:val="21"/>
  </w:num>
  <w:num w:numId="8">
    <w:abstractNumId w:val="7"/>
  </w:num>
  <w:num w:numId="9">
    <w:abstractNumId w:val="19"/>
  </w:num>
  <w:num w:numId="10">
    <w:abstractNumId w:val="18"/>
  </w:num>
  <w:num w:numId="11">
    <w:abstractNumId w:val="13"/>
  </w:num>
  <w:num w:numId="12">
    <w:abstractNumId w:val="16"/>
  </w:num>
  <w:num w:numId="13">
    <w:abstractNumId w:val="4"/>
  </w:num>
  <w:num w:numId="14">
    <w:abstractNumId w:val="8"/>
  </w:num>
  <w:num w:numId="15">
    <w:abstractNumId w:val="2"/>
  </w:num>
  <w:num w:numId="16">
    <w:abstractNumId w:val="6"/>
  </w:num>
  <w:num w:numId="17">
    <w:abstractNumId w:val="23"/>
  </w:num>
  <w:num w:numId="18">
    <w:abstractNumId w:val="3"/>
  </w:num>
  <w:num w:numId="19">
    <w:abstractNumId w:val="15"/>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0"/>
  </w:num>
  <w:num w:numId="23">
    <w:abstractNumId w:val="3"/>
  </w:num>
  <w:num w:numId="24">
    <w:abstractNumId w:val="14"/>
  </w:num>
  <w:num w:numId="25">
    <w:abstractNumId w:val="12"/>
  </w:num>
  <w:num w:numId="26">
    <w:abstractNumId w:val="11"/>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numFmt w:val="chicago"/>
    <w:footnote w:id="-1"/>
    <w:footnote w:id="0"/>
    <w:footnote w:id="1"/>
  </w:footnotePr>
  <w:endnotePr>
    <w:endnote w:id="-1"/>
    <w:endnote w:id="0"/>
    <w:endnote w:id="1"/>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D81B275C3F5A4F7BB3876C63B1366951"/>
    <w:docVar w:name="LW_CROSSREFERENCE" w:val="{SWD(2016) 322 final}"/>
    <w:docVar w:name="LW_DocType" w:val="REP"/>
    <w:docVar w:name="LW_EMISSION" w:val="30.9.2016"/>
    <w:docVar w:name="LW_EMISSION_ISODATE" w:val="2016-09-30"/>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628"/>
    <w:docVar w:name="LW_REF.INTERNE" w:val="&lt;UNUSED&gt;"/>
    <w:docVar w:name="LW_SOUS.TITRE.OBJ.CP" w:val="&lt;UNUSED&gt;"/>
    <w:docVar w:name="LW_SUPERTITRE" w:val="&lt;UNUSED&gt;"/>
    <w:docVar w:name="LW_TITRE.OBJ.CP" w:val="\u1043?\u1086?\u1076?\u1080?\u1096?\u1077?\u1085? \u1076?\u1086?\u1082?\u1083?\u1072?\u1076? \u1086?\u1090?\u1085?\u1086?\u1089?\u1085?\u1086? \u1074?\u1098?\u1090?\u1088?\u1077?\u1096?\u1085?\u1080?\u1090?\u1077? \u1086?\u1076?\u1080?\u1090?\u1080?, \u1080?\u1079?\u1074?\u1098?\u1088?\u1096?\u1077?\u1085?\u1080? \u1087?\u1088?\u1077?\u1079? 2015 \u1075?._x000b_(\u1095?\u1083?\u1077?\u1085? 99, \u1087?\u1072?\u1088?\u1072?\u1075?\u1088?\u1072?\u1092? 5 \u1086?\u1090? \u1060?\u1080?\u1085?\u1072?\u1085?\u1089?\u1086?\u1074?\u1080?\u1103? \u1088?\u1077?\u1075?\u1083?\u1072?\u1084?\u1077?\u1085?\u1090?)"/>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footnote text" w:uiPriority="99" w:qFormat="1"/>
    <w:lsdException w:name="header" w:uiPriority="99"/>
    <w:lsdException w:name="footer" w:uiPriority="99"/>
    <w:lsdException w:name="caption" w:semiHidden="0" w:unhideWhenUsed="0" w:qFormat="1"/>
    <w:lsdException w:name="footnote reference" w:uiPriority="99" w:qFormat="1"/>
    <w:lsdException w:name="line number" w:uiPriority="99"/>
    <w:lsdException w:name="Title" w:semiHidden="0" w:unhideWhenUsed="0" w:qFormat="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val="en-GB"/>
    </w:rPr>
  </w:style>
  <w:style w:type="paragraph" w:styleId="Heading1">
    <w:name w:val="heading 1"/>
    <w:basedOn w:val="Normal"/>
    <w:next w:val="Text1"/>
    <w:link w:val="Heading1Char"/>
    <w:qFormat/>
    <w:pPr>
      <w:keepNext/>
      <w:numPr>
        <w:numId w:val="18"/>
      </w:numPr>
      <w:spacing w:before="240"/>
      <w:outlineLvl w:val="0"/>
    </w:pPr>
    <w:rPr>
      <w:b/>
      <w:smallCaps/>
    </w:rPr>
  </w:style>
  <w:style w:type="paragraph" w:styleId="Heading2">
    <w:name w:val="heading 2"/>
    <w:basedOn w:val="Normal"/>
    <w:next w:val="Text2"/>
    <w:link w:val="Heading2Char"/>
    <w:qFormat/>
    <w:pPr>
      <w:keepNext/>
      <w:numPr>
        <w:ilvl w:val="1"/>
        <w:numId w:val="18"/>
      </w:numPr>
      <w:outlineLvl w:val="1"/>
    </w:pPr>
    <w:rPr>
      <w:b/>
    </w:rPr>
  </w:style>
  <w:style w:type="paragraph" w:styleId="Heading3">
    <w:name w:val="heading 3"/>
    <w:basedOn w:val="Normal"/>
    <w:next w:val="Text3"/>
    <w:link w:val="Heading3Char"/>
    <w:qFormat/>
    <w:pPr>
      <w:keepNext/>
      <w:numPr>
        <w:ilvl w:val="2"/>
        <w:numId w:val="18"/>
      </w:numPr>
      <w:outlineLvl w:val="2"/>
    </w:pPr>
    <w:rPr>
      <w:i/>
    </w:rPr>
  </w:style>
  <w:style w:type="paragraph" w:styleId="Heading4">
    <w:name w:val="heading 4"/>
    <w:basedOn w:val="Normal"/>
    <w:next w:val="Text4"/>
    <w:link w:val="Heading4Char"/>
    <w:qFormat/>
    <w:pPr>
      <w:keepNext/>
      <w:numPr>
        <w:ilvl w:val="3"/>
        <w:numId w:val="18"/>
      </w:numPr>
      <w:outlineLvl w:val="3"/>
    </w:pPr>
  </w:style>
  <w:style w:type="paragraph" w:styleId="Heading5">
    <w:name w:val="heading 5"/>
    <w:basedOn w:val="Normal"/>
    <w:next w:val="Normal"/>
    <w:link w:val="Heading5Char"/>
    <w:qFormat/>
    <w:pPr>
      <w:tabs>
        <w:tab w:val="num" w:pos="0"/>
      </w:tabs>
      <w:spacing w:before="240" w:after="60"/>
      <w:outlineLvl w:val="4"/>
    </w:pPr>
    <w:rPr>
      <w:rFonts w:ascii="Arial" w:hAnsi="Arial"/>
      <w:sz w:val="22"/>
    </w:rPr>
  </w:style>
  <w:style w:type="paragraph" w:styleId="Heading6">
    <w:name w:val="heading 6"/>
    <w:basedOn w:val="Normal"/>
    <w:next w:val="Normal"/>
    <w:link w:val="Heading6Char"/>
    <w:qFormat/>
    <w:pPr>
      <w:tabs>
        <w:tab w:val="num" w:pos="0"/>
      </w:tabs>
      <w:spacing w:before="240" w:after="60"/>
      <w:outlineLvl w:val="5"/>
    </w:pPr>
    <w:rPr>
      <w:rFonts w:ascii="Arial" w:hAnsi="Arial"/>
      <w:i/>
      <w:sz w:val="22"/>
    </w:rPr>
  </w:style>
  <w:style w:type="paragraph" w:styleId="Heading7">
    <w:name w:val="heading 7"/>
    <w:basedOn w:val="Normal"/>
    <w:next w:val="Normal"/>
    <w:link w:val="Heading7Char"/>
    <w:qFormat/>
    <w:pPr>
      <w:tabs>
        <w:tab w:val="num" w:pos="0"/>
      </w:tabs>
      <w:spacing w:before="240" w:after="60"/>
      <w:outlineLvl w:val="6"/>
    </w:pPr>
    <w:rPr>
      <w:rFonts w:ascii="Arial" w:hAnsi="Arial"/>
      <w:sz w:val="20"/>
    </w:rPr>
  </w:style>
  <w:style w:type="paragraph" w:styleId="Heading8">
    <w:name w:val="heading 8"/>
    <w:basedOn w:val="Normal"/>
    <w:next w:val="Normal"/>
    <w:link w:val="Heading8Char"/>
    <w:qFormat/>
    <w:pPr>
      <w:tabs>
        <w:tab w:val="num" w:pos="0"/>
      </w:tabs>
      <w:spacing w:before="240" w:after="60"/>
      <w:outlineLvl w:val="7"/>
    </w:pPr>
    <w:rPr>
      <w:rFonts w:ascii="Arial" w:hAnsi="Arial"/>
      <w:i/>
      <w:sz w:val="20"/>
    </w:rPr>
  </w:style>
  <w:style w:type="paragraph" w:styleId="Heading9">
    <w:name w:val="heading 9"/>
    <w:basedOn w:val="Normal"/>
    <w:next w:val="Normal"/>
    <w:link w:val="Heading9Char"/>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
    <w:pPr>
      <w:tabs>
        <w:tab w:val="left" w:pos="2302"/>
      </w:tabs>
      <w:ind w:left="1202"/>
    </w:pPr>
  </w:style>
  <w:style w:type="character" w:customStyle="1" w:styleId="Text2Char">
    <w:name w:val="Text 2 Char"/>
    <w:link w:val="Text2"/>
    <w:rPr>
      <w:sz w:val="24"/>
      <w:lang w:val="en-GB" w:eastAsia="en-US" w:bidi="ar-SA"/>
    </w:rPr>
  </w:style>
  <w:style w:type="paragraph" w:customStyle="1" w:styleId="Text3">
    <w:name w:val="Text 3"/>
    <w:basedOn w:val="Normal"/>
    <w:link w:val="Text3Char"/>
    <w:pPr>
      <w:tabs>
        <w:tab w:val="left" w:pos="2302"/>
      </w:tabs>
      <w:ind w:left="1202"/>
    </w:pPr>
  </w:style>
  <w:style w:type="character" w:customStyle="1" w:styleId="Text3Char">
    <w:name w:val="Text 3 Char"/>
    <w:link w:val="Text3"/>
    <w:rPr>
      <w:sz w:val="24"/>
      <w:lang w:val="en-GB" w:eastAsia="en-US" w:bidi="ar-SA"/>
    </w:r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rPr>
  </w:style>
  <w:style w:type="paragraph" w:styleId="BodyTextFirstIndent">
    <w:name w:val="Body Text First Indent"/>
    <w:basedOn w:val="BodyText"/>
    <w:link w:val="BodyTextFirstIndentChar"/>
    <w:pPr>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link w:val="ClosingChar"/>
    <w:pPr>
      <w:ind w:left="4252"/>
    </w:pPr>
  </w:style>
  <w:style w:type="paragraph" w:styleId="CommentText">
    <w:name w:val="annotation text"/>
    <w:basedOn w:val="Normal"/>
    <w:link w:val="CommentTextChar"/>
    <w:semiHidden/>
    <w:rPr>
      <w:sz w:val="20"/>
    </w:rPr>
  </w:style>
  <w:style w:type="paragraph" w:styleId="Date">
    <w:name w:val="Date"/>
    <w:basedOn w:val="Normal"/>
    <w:next w:val="References"/>
    <w:link w:val="DateChar"/>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link w:val="DocumentMapChar"/>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Char,ft, Car,Car,Fußnote,fn,Plonk"/>
    <w:basedOn w:val="Normal"/>
    <w:link w:val="FootnoteTextChar"/>
    <w:uiPriority w:val="99"/>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3"/>
      </w:numPr>
    </w:pPr>
  </w:style>
  <w:style w:type="paragraph" w:styleId="ListBullet2">
    <w:name w:val="List Bullet 2"/>
    <w:basedOn w:val="Text2"/>
    <w:pPr>
      <w:numPr>
        <w:numId w:val="5"/>
      </w:numPr>
      <w:tabs>
        <w:tab w:val="clear" w:pos="2302"/>
      </w:tabs>
    </w:pPr>
  </w:style>
  <w:style w:type="paragraph" w:styleId="ListBullet3">
    <w:name w:val="List Bullet 3"/>
    <w:basedOn w:val="Text3"/>
    <w:pPr>
      <w:numPr>
        <w:numId w:val="6"/>
      </w:numPr>
      <w:tabs>
        <w:tab w:val="clear" w:pos="2302"/>
      </w:tabs>
    </w:pPr>
  </w:style>
  <w:style w:type="paragraph" w:styleId="ListBullet4">
    <w:name w:val="List Bullet 4"/>
    <w:basedOn w:val="Text4"/>
    <w:pPr>
      <w:numPr>
        <w:numId w:val="7"/>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3"/>
      </w:numPr>
    </w:pPr>
  </w:style>
  <w:style w:type="paragraph" w:styleId="ListNumber2">
    <w:name w:val="List Number 2"/>
    <w:basedOn w:val="Text2"/>
    <w:pPr>
      <w:numPr>
        <w:numId w:val="15"/>
      </w:numPr>
      <w:tabs>
        <w:tab w:val="clear" w:pos="2302"/>
      </w:tabs>
    </w:pPr>
  </w:style>
  <w:style w:type="paragraph" w:styleId="ListNumber3">
    <w:name w:val="List Number 3"/>
    <w:basedOn w:val="Text3"/>
    <w:pPr>
      <w:numPr>
        <w:numId w:val="16"/>
      </w:numPr>
      <w:tabs>
        <w:tab w:val="clear" w:pos="2302"/>
      </w:tabs>
    </w:pPr>
  </w:style>
  <w:style w:type="paragraph" w:styleId="ListNumber4">
    <w:name w:val="List Number 4"/>
    <w:basedOn w:val="Text4"/>
    <w:pPr>
      <w:numPr>
        <w:numId w:val="17"/>
      </w:numPr>
      <w:tabs>
        <w:tab w:val="clear" w:pos="2302"/>
      </w:tabs>
    </w:pPr>
  </w:style>
  <w:style w:type="paragraph" w:styleId="ListNumber5">
    <w:name w:val="List Number 5"/>
    <w:basedOn w:val="Normal"/>
    <w:pPr>
      <w:numPr>
        <w:numId w:val="2"/>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link w:val="NoteHeadingCha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link w:val="PlainTextChar"/>
    <w:rPr>
      <w:rFonts w:ascii="Courier New" w:hAnsi="Courier New"/>
      <w:sz w:val="20"/>
    </w:rPr>
  </w:style>
  <w:style w:type="paragraph" w:styleId="Salutation">
    <w:name w:val="Salutation"/>
    <w:basedOn w:val="Normal"/>
    <w:next w:val="Normal"/>
    <w:link w:val="SalutationChar"/>
  </w:style>
  <w:style w:type="paragraph" w:styleId="Signature">
    <w:name w:val="Signature"/>
    <w:basedOn w:val="Normal"/>
    <w:next w:val="Enclosures"/>
    <w:link w:val="SignatureChar"/>
    <w:pPr>
      <w:tabs>
        <w:tab w:val="left" w:pos="5103"/>
      </w:tabs>
      <w:spacing w:before="1200" w:after="0"/>
      <w:ind w:left="5103"/>
      <w:jc w:val="center"/>
    </w:pPr>
  </w:style>
  <w:style w:type="paragraph" w:styleId="Subtitle">
    <w:name w:val="Subtitle"/>
    <w:basedOn w:val="Normal"/>
    <w:link w:val="SubtitleChar"/>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link w:val="SubTitle2Char"/>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link w:val="TitleChar"/>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spacing w:before="120" w:after="0"/>
      <w:jc w:val="left"/>
    </w:pPr>
    <w:rPr>
      <w:rFonts w:ascii="Calibri" w:hAnsi="Calibri" w:cs="Calibri"/>
      <w:b/>
      <w:bCs/>
      <w:i/>
      <w:iCs/>
      <w:szCs w:val="24"/>
    </w:rPr>
  </w:style>
  <w:style w:type="paragraph" w:styleId="TOC2">
    <w:name w:val="toc 2"/>
    <w:basedOn w:val="Normal"/>
    <w:next w:val="Normal"/>
    <w:uiPriority w:val="39"/>
    <w:pPr>
      <w:spacing w:before="120" w:after="0"/>
      <w:ind w:left="240"/>
      <w:jc w:val="left"/>
    </w:pPr>
    <w:rPr>
      <w:rFonts w:ascii="Calibri" w:hAnsi="Calibri" w:cs="Calibri"/>
      <w:b/>
      <w:bCs/>
      <w:sz w:val="22"/>
      <w:szCs w:val="22"/>
    </w:rPr>
  </w:style>
  <w:style w:type="paragraph" w:styleId="TOC3">
    <w:name w:val="toc 3"/>
    <w:basedOn w:val="Normal"/>
    <w:next w:val="Normal"/>
    <w:uiPriority w:val="39"/>
    <w:pPr>
      <w:spacing w:after="0"/>
      <w:ind w:left="480"/>
      <w:jc w:val="left"/>
    </w:pPr>
    <w:rPr>
      <w:rFonts w:ascii="Calibri" w:hAnsi="Calibri" w:cs="Calibri"/>
      <w:sz w:val="20"/>
    </w:rPr>
  </w:style>
  <w:style w:type="paragraph" w:styleId="TOC4">
    <w:name w:val="toc 4"/>
    <w:basedOn w:val="Normal"/>
    <w:next w:val="Normal"/>
    <w:semiHidden/>
    <w:pPr>
      <w:spacing w:after="0"/>
      <w:ind w:left="720"/>
      <w:jc w:val="left"/>
    </w:pPr>
    <w:rPr>
      <w:rFonts w:ascii="Calibri" w:hAnsi="Calibri" w:cs="Calibri"/>
      <w:sz w:val="20"/>
    </w:rPr>
  </w:style>
  <w:style w:type="paragraph" w:styleId="TOC5">
    <w:name w:val="toc 5"/>
    <w:basedOn w:val="Normal"/>
    <w:next w:val="Normal"/>
    <w:semiHidden/>
    <w:pPr>
      <w:spacing w:after="0"/>
      <w:ind w:left="960"/>
      <w:jc w:val="left"/>
    </w:pPr>
    <w:rPr>
      <w:rFonts w:ascii="Calibri" w:hAnsi="Calibri" w:cs="Calibri"/>
      <w:sz w:val="20"/>
    </w:rPr>
  </w:style>
  <w:style w:type="paragraph" w:styleId="TOC6">
    <w:name w:val="toc 6"/>
    <w:basedOn w:val="Normal"/>
    <w:next w:val="Normal"/>
    <w:autoRedefine/>
    <w:semiHidden/>
    <w:pPr>
      <w:spacing w:after="0"/>
      <w:ind w:left="1200"/>
      <w:jc w:val="left"/>
    </w:pPr>
    <w:rPr>
      <w:rFonts w:ascii="Calibri" w:hAnsi="Calibri" w:cs="Calibri"/>
      <w:sz w:val="20"/>
    </w:rPr>
  </w:style>
  <w:style w:type="paragraph" w:styleId="TOC7">
    <w:name w:val="toc 7"/>
    <w:basedOn w:val="Normal"/>
    <w:next w:val="Normal"/>
    <w:autoRedefine/>
    <w:semiHidden/>
    <w:pPr>
      <w:spacing w:after="0"/>
      <w:ind w:left="1440"/>
      <w:jc w:val="left"/>
    </w:pPr>
    <w:rPr>
      <w:rFonts w:ascii="Calibri" w:hAnsi="Calibri" w:cs="Calibri"/>
      <w:sz w:val="20"/>
    </w:rPr>
  </w:style>
  <w:style w:type="paragraph" w:styleId="TOC8">
    <w:name w:val="toc 8"/>
    <w:basedOn w:val="Normal"/>
    <w:next w:val="Normal"/>
    <w:autoRedefine/>
    <w:semiHidden/>
    <w:pPr>
      <w:spacing w:after="0"/>
      <w:ind w:left="1680"/>
      <w:jc w:val="left"/>
    </w:pPr>
    <w:rPr>
      <w:rFonts w:ascii="Calibri" w:hAnsi="Calibri" w:cs="Calibri"/>
      <w:sz w:val="20"/>
    </w:rPr>
  </w:style>
  <w:style w:type="paragraph" w:styleId="TOC9">
    <w:name w:val="toc 9"/>
    <w:basedOn w:val="Normal"/>
    <w:next w:val="Normal"/>
    <w:autoRedefine/>
    <w:semiHidden/>
    <w:pPr>
      <w:spacing w:after="0"/>
      <w:ind w:left="1920"/>
      <w:jc w:val="left"/>
    </w:pPr>
    <w:rPr>
      <w:rFonts w:ascii="Calibri" w:hAnsi="Calibri" w:cs="Calibri"/>
      <w:sz w:val="20"/>
    </w:r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4"/>
      </w:numPr>
    </w:pPr>
  </w:style>
  <w:style w:type="paragraph" w:customStyle="1" w:styleId="ListDash">
    <w:name w:val="List Dash"/>
    <w:basedOn w:val="Normal"/>
    <w:pPr>
      <w:numPr>
        <w:numId w:val="8"/>
      </w:numPr>
    </w:pPr>
  </w:style>
  <w:style w:type="paragraph" w:customStyle="1" w:styleId="ListDash1">
    <w:name w:val="List Dash 1"/>
    <w:basedOn w:val="Text1"/>
    <w:pPr>
      <w:numPr>
        <w:numId w:val="9"/>
      </w:numPr>
    </w:pPr>
  </w:style>
  <w:style w:type="paragraph" w:customStyle="1" w:styleId="ListDash2">
    <w:name w:val="List Dash 2"/>
    <w:basedOn w:val="Text2"/>
    <w:pPr>
      <w:numPr>
        <w:numId w:val="10"/>
      </w:numPr>
      <w:tabs>
        <w:tab w:val="clear" w:pos="2302"/>
      </w:tabs>
    </w:pPr>
  </w:style>
  <w:style w:type="paragraph" w:customStyle="1" w:styleId="ListDash3">
    <w:name w:val="List Dash 3"/>
    <w:basedOn w:val="Text3"/>
    <w:pPr>
      <w:numPr>
        <w:numId w:val="11"/>
      </w:numPr>
      <w:tabs>
        <w:tab w:val="clear" w:pos="2302"/>
      </w:tabs>
    </w:pPr>
  </w:style>
  <w:style w:type="paragraph" w:customStyle="1" w:styleId="ListDash4">
    <w:name w:val="List Dash 4"/>
    <w:basedOn w:val="Text4"/>
    <w:pPr>
      <w:numPr>
        <w:numId w:val="12"/>
      </w:numPr>
      <w:tabs>
        <w:tab w:val="clear" w:pos="2302"/>
      </w:tabs>
    </w:pPr>
  </w:style>
  <w:style w:type="paragraph" w:customStyle="1" w:styleId="ListNumberLevel2">
    <w:name w:val="List Number (Level 2)"/>
    <w:basedOn w:val="Normal"/>
    <w:pPr>
      <w:numPr>
        <w:ilvl w:val="1"/>
        <w:numId w:val="13"/>
      </w:numPr>
    </w:pPr>
  </w:style>
  <w:style w:type="paragraph" w:customStyle="1" w:styleId="ListNumberLevel3">
    <w:name w:val="List Number (Level 3)"/>
    <w:basedOn w:val="Normal"/>
    <w:pPr>
      <w:numPr>
        <w:ilvl w:val="2"/>
        <w:numId w:val="13"/>
      </w:numPr>
    </w:pPr>
  </w:style>
  <w:style w:type="paragraph" w:customStyle="1" w:styleId="ListNumberLevel4">
    <w:name w:val="List Number (Level 4)"/>
    <w:basedOn w:val="Normal"/>
    <w:pPr>
      <w:numPr>
        <w:ilvl w:val="3"/>
        <w:numId w:val="13"/>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pPr>
  </w:style>
  <w:style w:type="paragraph" w:customStyle="1" w:styleId="ListNumber1Level3">
    <w:name w:val="List Number 1 (Level 3)"/>
    <w:basedOn w:val="Text1"/>
    <w:pPr>
      <w:numPr>
        <w:ilvl w:val="2"/>
        <w:numId w:val="14"/>
      </w:numPr>
    </w:pPr>
  </w:style>
  <w:style w:type="paragraph" w:customStyle="1" w:styleId="ListNumber1Level4">
    <w:name w:val="List Number 1 (Level 4)"/>
    <w:basedOn w:val="Text1"/>
    <w:pPr>
      <w:numPr>
        <w:ilvl w:val="3"/>
        <w:numId w:val="14"/>
      </w:numPr>
    </w:pPr>
  </w:style>
  <w:style w:type="paragraph" w:customStyle="1" w:styleId="ListNumber2Level2">
    <w:name w:val="List Number 2 (Level 2)"/>
    <w:basedOn w:val="Text2"/>
    <w:pPr>
      <w:numPr>
        <w:ilvl w:val="1"/>
        <w:numId w:val="15"/>
      </w:numPr>
      <w:tabs>
        <w:tab w:val="clear" w:pos="2302"/>
      </w:tabs>
    </w:pPr>
  </w:style>
  <w:style w:type="paragraph" w:customStyle="1" w:styleId="ListNumber2Level3">
    <w:name w:val="List Number 2 (Level 3)"/>
    <w:basedOn w:val="Text2"/>
    <w:pPr>
      <w:numPr>
        <w:ilvl w:val="2"/>
        <w:numId w:val="15"/>
      </w:numPr>
      <w:tabs>
        <w:tab w:val="clear" w:pos="2302"/>
      </w:tabs>
    </w:pPr>
  </w:style>
  <w:style w:type="paragraph" w:customStyle="1" w:styleId="ListNumber2Level4">
    <w:name w:val="List Number 2 (Level 4)"/>
    <w:basedOn w:val="Text2"/>
    <w:pPr>
      <w:numPr>
        <w:ilvl w:val="3"/>
        <w:numId w:val="15"/>
      </w:numPr>
      <w:tabs>
        <w:tab w:val="clear" w:pos="2302"/>
      </w:tabs>
    </w:pPr>
  </w:style>
  <w:style w:type="paragraph" w:customStyle="1" w:styleId="ListNumber3Level2">
    <w:name w:val="List Number 3 (Level 2)"/>
    <w:basedOn w:val="Text3"/>
    <w:pPr>
      <w:numPr>
        <w:ilvl w:val="1"/>
        <w:numId w:val="16"/>
      </w:numPr>
      <w:tabs>
        <w:tab w:val="clear" w:pos="2302"/>
      </w:tabs>
    </w:pPr>
  </w:style>
  <w:style w:type="paragraph" w:customStyle="1" w:styleId="ListNumber3Level3">
    <w:name w:val="List Number 3 (Level 3)"/>
    <w:basedOn w:val="Text3"/>
    <w:pPr>
      <w:numPr>
        <w:ilvl w:val="2"/>
        <w:numId w:val="16"/>
      </w:numPr>
      <w:tabs>
        <w:tab w:val="clear" w:pos="2302"/>
      </w:tabs>
    </w:pPr>
  </w:style>
  <w:style w:type="paragraph" w:customStyle="1" w:styleId="ListNumber3Level4">
    <w:name w:val="List Number 3 (Level 4)"/>
    <w:basedOn w:val="Text3"/>
    <w:pPr>
      <w:numPr>
        <w:ilvl w:val="3"/>
        <w:numId w:val="16"/>
      </w:numPr>
      <w:tabs>
        <w:tab w:val="clear" w:pos="2302"/>
      </w:tabs>
    </w:pPr>
  </w:style>
  <w:style w:type="paragraph" w:customStyle="1" w:styleId="ListNumber4Level2">
    <w:name w:val="List Number 4 (Level 2)"/>
    <w:basedOn w:val="Text4"/>
    <w:pPr>
      <w:numPr>
        <w:ilvl w:val="1"/>
        <w:numId w:val="17"/>
      </w:numPr>
      <w:tabs>
        <w:tab w:val="clear" w:pos="2302"/>
      </w:tabs>
    </w:pPr>
  </w:style>
  <w:style w:type="paragraph" w:customStyle="1" w:styleId="ListNumber4Level3">
    <w:name w:val="List Number 4 (Level 3)"/>
    <w:basedOn w:val="Text4"/>
    <w:pPr>
      <w:numPr>
        <w:ilvl w:val="2"/>
        <w:numId w:val="17"/>
      </w:numPr>
      <w:tabs>
        <w:tab w:val="clear" w:pos="2302"/>
      </w:tabs>
    </w:pPr>
  </w:style>
  <w:style w:type="paragraph" w:customStyle="1" w:styleId="ListNumber4Level4">
    <w:name w:val="List Number 4 (Level 4)"/>
    <w:basedOn w:val="Text4"/>
    <w:pPr>
      <w:numPr>
        <w:ilvl w:val="3"/>
        <w:numId w:val="17"/>
      </w:numPr>
      <w:tabs>
        <w:tab w:val="clear" w:pos="2302"/>
      </w:tabs>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lang w:eastAsia="en-GB"/>
    </w:rPr>
  </w:style>
  <w:style w:type="paragraph" w:customStyle="1" w:styleId="Langue">
    <w:name w:val="Langue"/>
    <w:basedOn w:val="Normal"/>
    <w:next w:val="Normal"/>
    <w:pPr>
      <w:spacing w:after="600"/>
      <w:jc w:val="center"/>
    </w:pPr>
    <w:rPr>
      <w:b/>
      <w:caps/>
      <w:lang w:eastAsia="zh-CN"/>
    </w:rPr>
  </w:style>
  <w:style w:type="paragraph" w:customStyle="1" w:styleId="Prliminairetitre">
    <w:name w:val="Préliminaire titre"/>
    <w:basedOn w:val="Normal"/>
    <w:next w:val="Normal"/>
    <w:pPr>
      <w:spacing w:before="360" w:after="360"/>
      <w:jc w:val="center"/>
    </w:pPr>
    <w:rPr>
      <w:b/>
      <w:lang w:eastAsia="zh-CN"/>
    </w:rPr>
  </w:style>
  <w:style w:type="paragraph" w:customStyle="1" w:styleId="Prliminairetype">
    <w:name w:val="Préliminaire type"/>
    <w:basedOn w:val="Normal"/>
    <w:next w:val="Normal"/>
    <w:pPr>
      <w:spacing w:before="360" w:after="0"/>
      <w:jc w:val="center"/>
    </w:pPr>
    <w:rPr>
      <w:b/>
      <w:lang w:eastAsia="zh-CN"/>
    </w:rPr>
  </w:style>
  <w:style w:type="character" w:styleId="PageNumber">
    <w:name w:val="page number"/>
    <w:basedOn w:val="DefaultParagraphFont"/>
  </w:style>
  <w:style w:type="paragraph" w:styleId="CommentSubject">
    <w:name w:val="annotation subject"/>
    <w:basedOn w:val="CommentText"/>
    <w:next w:val="CommentText"/>
    <w:link w:val="CommentSubjectChar"/>
    <w:semiHidden/>
    <w:pPr>
      <w:spacing w:after="0"/>
      <w:jc w:val="left"/>
    </w:pPr>
    <w:rPr>
      <w:b/>
      <w:bCs/>
      <w:lang w:eastAsia="en-GB"/>
    </w:rPr>
  </w:style>
  <w:style w:type="paragraph" w:styleId="BalloonText">
    <w:name w:val="Balloon Text"/>
    <w:basedOn w:val="Normal"/>
    <w:link w:val="BalloonTextChar"/>
    <w:semiHidden/>
    <w:pPr>
      <w:spacing w:after="0"/>
      <w:jc w:val="left"/>
    </w:pPr>
    <w:rPr>
      <w:rFonts w:ascii="Tahoma" w:hAnsi="Tahoma" w:cs="Tahoma"/>
      <w:sz w:val="16"/>
      <w:szCs w:val="16"/>
      <w:lang w:eastAsia="en-GB"/>
    </w:rPr>
  </w:style>
  <w:style w:type="paragraph" w:customStyle="1" w:styleId="Poprawka">
    <w:name w:val="Poprawka"/>
    <w:hidden/>
    <w:semiHidden/>
    <w:rPr>
      <w:sz w:val="24"/>
      <w:szCs w:val="24"/>
      <w:lang w:val="en-GB" w:eastAsia="en-GB"/>
    </w:rPr>
  </w:style>
  <w:style w:type="character" w:styleId="FootnoteReference">
    <w:name w:val="footnote reference"/>
    <w:aliases w:val="Footnote symbol Char Char Char,Footnote reference number Char Char Char,Times 10 Point Char Char Char,Exposant 3 Point Char Char Char,Ref Char Char Char,de nota al pie Char Char Char,note TESI Char Char Char,SUPERS Char Char Char,fr,o"/>
    <w:link w:val="FootnotesymbolCharChar"/>
    <w:uiPriority w:val="99"/>
    <w:qFormat/>
    <w:rPr>
      <w:vertAlign w:val="superscript"/>
    </w:rPr>
  </w:style>
  <w:style w:type="character" w:styleId="Hyperlink">
    <w:name w:val="Hyperlink"/>
    <w:uiPriority w:val="99"/>
    <w:rPr>
      <w:color w:val="0000FF"/>
      <w:u w:val="single"/>
    </w:rPr>
  </w:style>
  <w:style w:type="character" w:customStyle="1" w:styleId="Text1Char">
    <w:name w:val="Text 1 Char"/>
    <w:link w:val="Text1"/>
    <w:locked/>
    <w:rPr>
      <w:sz w:val="24"/>
      <w:lang w:val="en-GB" w:eastAsia="en-US" w:bidi="ar-SA"/>
    </w:rPr>
  </w:style>
  <w:style w:type="character" w:styleId="EndnoteReference">
    <w:name w:val="endnote reference"/>
    <w:semiHidden/>
    <w:rPr>
      <w:vertAlign w:val="superscript"/>
    </w:rPr>
  </w:style>
  <w:style w:type="character" w:customStyle="1" w:styleId="EndnoteTextChar">
    <w:name w:val="Endnote Text Char"/>
    <w:link w:val="EndnoteText"/>
    <w:semiHidden/>
    <w:locked/>
    <w:rPr>
      <w:lang w:val="en-GB" w:eastAsia="en-US" w:bidi="ar-SA"/>
    </w:rPr>
  </w:style>
  <w:style w:type="character" w:styleId="CommentReference">
    <w:name w:val="annotation reference"/>
    <w:semiHidden/>
    <w:rPr>
      <w:sz w:val="16"/>
      <w:szCs w:val="16"/>
    </w:rPr>
  </w:style>
  <w:style w:type="paragraph" w:styleId="NormalWeb">
    <w:name w:val="Normal (Web)"/>
    <w:basedOn w:val="Normal"/>
    <w:link w:val="NormalWebChar"/>
    <w:pPr>
      <w:spacing w:before="100" w:beforeAutospacing="1" w:after="100" w:afterAutospacing="1"/>
      <w:jc w:val="left"/>
    </w:pPr>
    <w:rPr>
      <w:szCs w:val="24"/>
      <w:lang w:eastAsia="en-GB"/>
    </w:rPr>
  </w:style>
  <w:style w:type="character" w:customStyle="1" w:styleId="hps">
    <w:name w:val="hps"/>
    <w:basedOn w:val="DefaultParagraphFont"/>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Char Char,ft Char, Car Char,Car Char"/>
    <w:link w:val="FootnoteText"/>
    <w:uiPriority w:val="99"/>
    <w:locked/>
    <w:rPr>
      <w:lang w:val="en-GB" w:eastAsia="en-US" w:bidi="ar-SA"/>
    </w:rPr>
  </w:style>
  <w:style w:type="table" w:styleId="TableGrid">
    <w:name w:val="Table Grid"/>
    <w:basedOn w:val="TableNormal"/>
    <w:uiPriority w:val="59"/>
    <w:pPr>
      <w:spacing w:after="2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symbolCharChar">
    <w:name w:val="Footnote symbol Char Char"/>
    <w:aliases w:val="Footnote reference number Char Char,Times 10 Point Char Char,Exposant 3 Point Char Char,Ref Char Char,de nota al pie Char Char,note TESI Char Char,SUPERS Char Char,EN Footnote Reference Char Char"/>
    <w:basedOn w:val="Normal"/>
    <w:link w:val="FootnoteReference"/>
    <w:uiPriority w:val="99"/>
    <w:pPr>
      <w:spacing w:after="160" w:line="240" w:lineRule="exact"/>
      <w:jc w:val="left"/>
    </w:pPr>
    <w:rPr>
      <w:sz w:val="20"/>
      <w:vertAlign w:val="superscript"/>
      <w:lang w:eastAsia="en-GB"/>
    </w:rPr>
  </w:style>
  <w:style w:type="character" w:customStyle="1" w:styleId="NormalWebChar">
    <w:name w:val="Normal (Web) Char"/>
    <w:link w:val="NormalWeb"/>
    <w:rPr>
      <w:sz w:val="24"/>
      <w:szCs w:val="24"/>
    </w:rPr>
  </w:style>
  <w:style w:type="character" w:customStyle="1" w:styleId="HeaderChar">
    <w:name w:val="Header Char"/>
    <w:link w:val="Header"/>
    <w:uiPriority w:val="99"/>
    <w:rPr>
      <w:sz w:val="24"/>
      <w:lang w:eastAsia="en-US"/>
    </w:rPr>
  </w:style>
  <w:style w:type="character" w:styleId="FollowedHyperlink">
    <w:name w:val="FollowedHyperlink"/>
    <w:uiPriority w:val="99"/>
    <w:semiHidden/>
    <w:unhideWhenUsed/>
    <w:rPr>
      <w:color w:val="800080"/>
      <w:u w:val="single"/>
    </w:rPr>
  </w:style>
  <w:style w:type="character" w:customStyle="1" w:styleId="MessageHeaderChar">
    <w:name w:val="Message Header Char"/>
    <w:link w:val="MessageHeader"/>
    <w:rPr>
      <w:rFonts w:ascii="Arial" w:hAnsi="Arial"/>
      <w:sz w:val="24"/>
      <w:shd w:val="pct20" w:color="auto" w:fill="auto"/>
      <w:lang w:eastAsia="en-US"/>
    </w:rPr>
  </w:style>
  <w:style w:type="character" w:customStyle="1" w:styleId="TitleChar">
    <w:name w:val="Title Char"/>
    <w:link w:val="Title"/>
    <w:rPr>
      <w:b/>
      <w:kern w:val="28"/>
      <w:sz w:val="48"/>
      <w:lang w:eastAsia="en-US"/>
    </w:rPr>
  </w:style>
  <w:style w:type="paragraph" w:customStyle="1" w:styleId="Char2">
    <w:name w:val="Char2"/>
    <w:basedOn w:val="Normal"/>
    <w:uiPriority w:val="99"/>
    <w:pPr>
      <w:spacing w:after="160" w:line="240" w:lineRule="exact"/>
      <w:jc w:val="left"/>
    </w:pPr>
    <w:rPr>
      <w:rFonts w:ascii="Calibri" w:eastAsia="Calibri" w:hAnsi="Calibri"/>
      <w:sz w:val="20"/>
      <w:vertAlign w:val="superscript"/>
      <w:lang w:val="nl" w:eastAsia="en-GB"/>
    </w:rPr>
  </w:style>
  <w:style w:type="character" w:customStyle="1" w:styleId="Heading4Char">
    <w:name w:val="Heading 4 Char"/>
    <w:link w:val="Heading4"/>
    <w:rPr>
      <w:sz w:val="24"/>
      <w:lang w:val="en-GB" w:eastAsia="en-US"/>
    </w:rPr>
  </w:style>
  <w:style w:type="paragraph" w:styleId="Revision">
    <w:name w:val="Revision"/>
    <w:hidden/>
    <w:uiPriority w:val="99"/>
    <w:semiHidden/>
    <w:rPr>
      <w:sz w:val="24"/>
      <w:lang w:val="en-GB"/>
    </w:rPr>
  </w:style>
  <w:style w:type="paragraph" w:customStyle="1" w:styleId="CM4">
    <w:name w:val="CM4"/>
    <w:basedOn w:val="Normal"/>
    <w:next w:val="Normal"/>
    <w:uiPriority w:val="99"/>
    <w:pPr>
      <w:autoSpaceDE w:val="0"/>
      <w:autoSpaceDN w:val="0"/>
      <w:adjustRightInd w:val="0"/>
      <w:spacing w:after="0"/>
      <w:jc w:val="left"/>
    </w:pPr>
    <w:rPr>
      <w:rFonts w:ascii="EUAlbertina" w:hAnsi="EUAlbertina"/>
      <w:szCs w:val="24"/>
      <w:lang w:eastAsia="en-GB"/>
    </w:rPr>
  </w:style>
  <w:style w:type="paragraph" w:customStyle="1" w:styleId="Default">
    <w:name w:val="Default"/>
    <w:pPr>
      <w:autoSpaceDE w:val="0"/>
      <w:autoSpaceDN w:val="0"/>
      <w:adjustRightInd w:val="0"/>
    </w:pPr>
    <w:rPr>
      <w:rFonts w:ascii="EUAlbertina" w:hAnsi="EUAlbertina" w:cs="EUAlbertina"/>
      <w:color w:val="000000"/>
      <w:sz w:val="24"/>
      <w:szCs w:val="24"/>
      <w:lang w:val="en-GB" w:eastAsia="en-GB"/>
    </w:rPr>
  </w:style>
  <w:style w:type="character" w:customStyle="1" w:styleId="st1">
    <w:name w:val="st1"/>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character" w:customStyle="1" w:styleId="update1">
    <w:name w:val="update1"/>
    <w:rPr>
      <w:color w:val="006666"/>
    </w:rPr>
  </w:style>
  <w:style w:type="character" w:styleId="Emphasis">
    <w:name w:val="Emphasis"/>
    <w:uiPriority w:val="20"/>
    <w:qFormat/>
    <w:rPr>
      <w:b/>
      <w:bCs/>
      <w:i w:val="0"/>
      <w:iCs w:val="0"/>
    </w:rPr>
  </w:style>
  <w:style w:type="character" w:customStyle="1" w:styleId="st">
    <w:name w:val="st"/>
  </w:style>
  <w:style w:type="character" w:customStyle="1" w:styleId="Corpsdutexte3">
    <w:name w:val="Corps du texte (3)_"/>
    <w:link w:val="Corpsdutexte30"/>
    <w:uiPriority w:val="99"/>
    <w:locked/>
    <w:rPr>
      <w:sz w:val="22"/>
      <w:szCs w:val="22"/>
      <w:shd w:val="clear" w:color="auto" w:fill="FFFFFF"/>
    </w:rPr>
  </w:style>
  <w:style w:type="paragraph" w:customStyle="1" w:styleId="Corpsdutexte30">
    <w:name w:val="Corps du texte (3)"/>
    <w:basedOn w:val="Normal"/>
    <w:link w:val="Corpsdutexte3"/>
    <w:uiPriority w:val="99"/>
    <w:pPr>
      <w:widowControl w:val="0"/>
      <w:shd w:val="clear" w:color="auto" w:fill="FFFFFF"/>
      <w:spacing w:before="1560" w:after="300" w:line="240" w:lineRule="atLeast"/>
      <w:ind w:hanging="280"/>
    </w:pPr>
    <w:rPr>
      <w:sz w:val="22"/>
      <w:szCs w:val="22"/>
      <w:lang w:eastAsia="en-GB"/>
    </w:rPr>
  </w:style>
  <w:style w:type="character" w:customStyle="1" w:styleId="Heading1Char">
    <w:name w:val="Heading 1 Char"/>
    <w:link w:val="Heading1"/>
    <w:rPr>
      <w:b/>
      <w:smallCaps/>
      <w:sz w:val="24"/>
      <w:lang w:eastAsia="en-US"/>
    </w:rPr>
  </w:style>
  <w:style w:type="character" w:customStyle="1" w:styleId="FooterChar">
    <w:name w:val="Footer Char"/>
    <w:link w:val="Footer"/>
    <w:uiPriority w:val="99"/>
    <w:rPr>
      <w:rFonts w:ascii="Arial" w:hAnsi="Arial"/>
      <w:sz w:val="16"/>
      <w:lang w:eastAsia="en-US"/>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rFonts w:eastAsia="Calibr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lang w:val="en-US"/>
    </w:rPr>
  </w:style>
  <w:style w:type="character" w:customStyle="1" w:styleId="SubTitle2Char">
    <w:name w:val="SubTitle 2 Char"/>
    <w:link w:val="SubTitle2"/>
    <w:rPr>
      <w:b/>
      <w:sz w:val="32"/>
      <w:lang w:val="en-GB" w:eastAsia="en-US"/>
    </w:rPr>
  </w:style>
  <w:style w:type="character" w:customStyle="1" w:styleId="FooterCoverPageChar">
    <w:name w:val="Footer Cover Page Char"/>
    <w:link w:val="FooterCoverPage"/>
    <w:rPr>
      <w:sz w:val="24"/>
    </w:rPr>
  </w:style>
  <w:style w:type="paragraph" w:customStyle="1" w:styleId="HeaderCoverPage">
    <w:name w:val="Header Cover Page"/>
    <w:basedOn w:val="Normal"/>
    <w:link w:val="HeaderCoverPageChar"/>
    <w:pPr>
      <w:tabs>
        <w:tab w:val="center" w:pos="4535"/>
        <w:tab w:val="right" w:pos="9071"/>
      </w:tabs>
      <w:spacing w:after="120"/>
    </w:pPr>
    <w:rPr>
      <w:lang w:val="en-US"/>
    </w:rPr>
  </w:style>
  <w:style w:type="character" w:customStyle="1" w:styleId="HeaderCoverPageChar">
    <w:name w:val="Header Cover Page Char"/>
    <w:link w:val="HeaderCoverPage"/>
    <w:rPr>
      <w:sz w:val="24"/>
    </w:rPr>
  </w:style>
  <w:style w:type="character" w:customStyle="1" w:styleId="Heading2Char">
    <w:name w:val="Heading 2 Char"/>
    <w:link w:val="Heading2"/>
    <w:rPr>
      <w:b/>
      <w:sz w:val="24"/>
      <w:lang w:eastAsia="en-US"/>
    </w:rPr>
  </w:style>
  <w:style w:type="paragraph" w:styleId="ListParagraph">
    <w:name w:val="List Paragraph"/>
    <w:basedOn w:val="Normal"/>
    <w:uiPriority w:val="34"/>
    <w:qFormat/>
    <w:pPr>
      <w:ind w:left="720"/>
      <w:contextualSpacing/>
    </w:pPr>
    <w:rPr>
      <w:lang w:eastAsia="ko-KR"/>
    </w:rPr>
  </w:style>
  <w:style w:type="character" w:customStyle="1" w:styleId="Heading3Char">
    <w:name w:val="Heading 3 Char"/>
    <w:link w:val="Heading3"/>
    <w:rPr>
      <w:i/>
      <w:sz w:val="24"/>
      <w:lang w:val="en-GB"/>
    </w:rPr>
  </w:style>
  <w:style w:type="character" w:customStyle="1" w:styleId="Heading5Char">
    <w:name w:val="Heading 5 Char"/>
    <w:link w:val="Heading5"/>
    <w:rPr>
      <w:rFonts w:ascii="Arial" w:hAnsi="Arial"/>
      <w:sz w:val="22"/>
      <w:lang w:val="en-GB"/>
    </w:rPr>
  </w:style>
  <w:style w:type="character" w:customStyle="1" w:styleId="Heading6Char">
    <w:name w:val="Heading 6 Char"/>
    <w:link w:val="Heading6"/>
    <w:rPr>
      <w:rFonts w:ascii="Arial" w:hAnsi="Arial"/>
      <w:i/>
      <w:sz w:val="22"/>
      <w:lang w:val="en-GB"/>
    </w:rPr>
  </w:style>
  <w:style w:type="character" w:customStyle="1" w:styleId="Heading7Char">
    <w:name w:val="Heading 7 Char"/>
    <w:link w:val="Heading7"/>
    <w:rPr>
      <w:rFonts w:ascii="Arial" w:hAnsi="Arial"/>
      <w:lang w:val="en-GB"/>
    </w:rPr>
  </w:style>
  <w:style w:type="character" w:customStyle="1" w:styleId="Heading8Char">
    <w:name w:val="Heading 8 Char"/>
    <w:link w:val="Heading8"/>
    <w:rPr>
      <w:rFonts w:ascii="Arial" w:hAnsi="Arial"/>
      <w:i/>
      <w:lang w:val="en-GB"/>
    </w:rPr>
  </w:style>
  <w:style w:type="character" w:customStyle="1" w:styleId="Heading9Char">
    <w:name w:val="Heading 9 Char"/>
    <w:link w:val="Heading9"/>
    <w:rPr>
      <w:rFonts w:ascii="Arial" w:hAnsi="Arial"/>
      <w:i/>
      <w:sz w:val="18"/>
      <w:lang w:val="en-GB"/>
    </w:rPr>
  </w:style>
  <w:style w:type="character" w:customStyle="1" w:styleId="BodyTextChar">
    <w:name w:val="Body Text Char"/>
    <w:link w:val="BodyText"/>
    <w:rPr>
      <w:sz w:val="24"/>
      <w:lang w:val="en-GB"/>
    </w:rPr>
  </w:style>
  <w:style w:type="character" w:customStyle="1" w:styleId="BodyText2Char">
    <w:name w:val="Body Text 2 Char"/>
    <w:link w:val="BodyText2"/>
    <w:rPr>
      <w:sz w:val="24"/>
      <w:lang w:val="en-GB"/>
    </w:rPr>
  </w:style>
  <w:style w:type="character" w:customStyle="1" w:styleId="BodyText3Char">
    <w:name w:val="Body Text 3 Char"/>
    <w:link w:val="BodyText3"/>
    <w:rPr>
      <w:sz w:val="16"/>
      <w:lang w:val="en-GB"/>
    </w:rPr>
  </w:style>
  <w:style w:type="character" w:customStyle="1" w:styleId="BodyTextFirstIndentChar">
    <w:name w:val="Body Text First Indent Char"/>
    <w:link w:val="BodyTextFirstIndent"/>
    <w:rPr>
      <w:sz w:val="24"/>
      <w:lang w:val="en-GB"/>
    </w:rPr>
  </w:style>
  <w:style w:type="character" w:customStyle="1" w:styleId="BodyTextIndentChar">
    <w:name w:val="Body Text Indent Char"/>
    <w:link w:val="BodyTextIndent"/>
    <w:rPr>
      <w:sz w:val="24"/>
      <w:lang w:val="en-GB"/>
    </w:rPr>
  </w:style>
  <w:style w:type="character" w:customStyle="1" w:styleId="BodyTextFirstIndent2Char">
    <w:name w:val="Body Text First Indent 2 Char"/>
    <w:link w:val="BodyTextFirstIndent2"/>
    <w:rPr>
      <w:sz w:val="24"/>
      <w:lang w:val="en-GB"/>
    </w:rPr>
  </w:style>
  <w:style w:type="character" w:customStyle="1" w:styleId="BodyTextIndent2Char">
    <w:name w:val="Body Text Indent 2 Char"/>
    <w:link w:val="BodyTextIndent2"/>
    <w:rPr>
      <w:sz w:val="24"/>
      <w:lang w:val="en-GB"/>
    </w:rPr>
  </w:style>
  <w:style w:type="character" w:customStyle="1" w:styleId="BodyTextIndent3Char">
    <w:name w:val="Body Text Indent 3 Char"/>
    <w:link w:val="BodyTextIndent3"/>
    <w:rPr>
      <w:sz w:val="16"/>
      <w:lang w:val="en-GB"/>
    </w:rPr>
  </w:style>
  <w:style w:type="character" w:customStyle="1" w:styleId="ClosingChar">
    <w:name w:val="Closing Char"/>
    <w:link w:val="Closing"/>
    <w:rPr>
      <w:sz w:val="24"/>
      <w:lang w:val="en-GB"/>
    </w:rPr>
  </w:style>
  <w:style w:type="character" w:customStyle="1" w:styleId="CommentTextChar">
    <w:name w:val="Comment Text Char"/>
    <w:link w:val="CommentText"/>
    <w:semiHidden/>
    <w:rPr>
      <w:lang w:val="en-GB"/>
    </w:rPr>
  </w:style>
  <w:style w:type="character" w:customStyle="1" w:styleId="DateChar">
    <w:name w:val="Date Char"/>
    <w:link w:val="Date"/>
    <w:rPr>
      <w:sz w:val="24"/>
      <w:lang w:val="en-GB"/>
    </w:rPr>
  </w:style>
  <w:style w:type="character" w:customStyle="1" w:styleId="DocumentMapChar">
    <w:name w:val="Document Map Char"/>
    <w:link w:val="DocumentMap"/>
    <w:semiHidden/>
    <w:rPr>
      <w:rFonts w:ascii="Tahoma" w:hAnsi="Tahoma"/>
      <w:sz w:val="24"/>
      <w:shd w:val="clear" w:color="auto" w:fill="000080"/>
      <w:lang w:val="en-GB"/>
    </w:rPr>
  </w:style>
  <w:style w:type="character" w:customStyle="1" w:styleId="MacroTextChar">
    <w:name w:val="Macro Text Char"/>
    <w:link w:val="MacroText"/>
    <w:semiHidden/>
    <w:rPr>
      <w:rFonts w:ascii="Courier New" w:hAnsi="Courier New"/>
      <w:lang w:val="en-GB"/>
    </w:rPr>
  </w:style>
  <w:style w:type="character" w:customStyle="1" w:styleId="NoteHeadingChar">
    <w:name w:val="Note Heading Char"/>
    <w:link w:val="NoteHeading"/>
    <w:rPr>
      <w:sz w:val="24"/>
      <w:lang w:val="en-GB"/>
    </w:rPr>
  </w:style>
  <w:style w:type="character" w:customStyle="1" w:styleId="PlainTextChar">
    <w:name w:val="Plain Text Char"/>
    <w:link w:val="PlainText"/>
    <w:rPr>
      <w:rFonts w:ascii="Courier New" w:hAnsi="Courier New"/>
      <w:lang w:val="en-GB"/>
    </w:rPr>
  </w:style>
  <w:style w:type="character" w:customStyle="1" w:styleId="SalutationChar">
    <w:name w:val="Salutation Char"/>
    <w:link w:val="Salutation"/>
    <w:rPr>
      <w:sz w:val="24"/>
      <w:lang w:val="en-GB"/>
    </w:rPr>
  </w:style>
  <w:style w:type="character" w:customStyle="1" w:styleId="SignatureChar">
    <w:name w:val="Signature Char"/>
    <w:link w:val="Signature"/>
    <w:rPr>
      <w:sz w:val="24"/>
      <w:lang w:val="en-GB"/>
    </w:rPr>
  </w:style>
  <w:style w:type="character" w:customStyle="1" w:styleId="SubtitleChar">
    <w:name w:val="Subtitle Char"/>
    <w:link w:val="Subtitle"/>
    <w:rPr>
      <w:rFonts w:ascii="Arial" w:hAnsi="Arial"/>
      <w:sz w:val="24"/>
      <w:lang w:val="en-GB"/>
    </w:rPr>
  </w:style>
  <w:style w:type="character" w:customStyle="1" w:styleId="CommentSubjectChar">
    <w:name w:val="Comment Subject Char"/>
    <w:link w:val="CommentSubject"/>
    <w:semiHidden/>
    <w:rPr>
      <w:b/>
      <w:bCs/>
      <w:lang w:val="en-GB" w:eastAsia="en-GB"/>
    </w:rPr>
  </w:style>
  <w:style w:type="character" w:customStyle="1" w:styleId="BalloonTextChar">
    <w:name w:val="Balloon Text Char"/>
    <w:link w:val="BalloonText"/>
    <w:semiHidden/>
    <w:rPr>
      <w:rFonts w:ascii="Tahoma" w:hAnsi="Tahoma" w:cs="Tahoma"/>
      <w:sz w:val="16"/>
      <w:szCs w:val="16"/>
      <w:lang w:val="en-GB" w:eastAsia="en-GB"/>
    </w:rPr>
  </w:style>
  <w:style w:type="character" w:customStyle="1" w:styleId="update">
    <w:name w:val="updat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41397">
      <w:bodyDiv w:val="1"/>
      <w:marLeft w:val="0"/>
      <w:marRight w:val="0"/>
      <w:marTop w:val="0"/>
      <w:marBottom w:val="0"/>
      <w:divBdr>
        <w:top w:val="none" w:sz="0" w:space="0" w:color="auto"/>
        <w:left w:val="none" w:sz="0" w:space="0" w:color="auto"/>
        <w:bottom w:val="none" w:sz="0" w:space="0" w:color="auto"/>
        <w:right w:val="none" w:sz="0" w:space="0" w:color="auto"/>
      </w:divBdr>
    </w:div>
    <w:div w:id="284242001">
      <w:bodyDiv w:val="1"/>
      <w:marLeft w:val="0"/>
      <w:marRight w:val="0"/>
      <w:marTop w:val="0"/>
      <w:marBottom w:val="0"/>
      <w:divBdr>
        <w:top w:val="none" w:sz="0" w:space="0" w:color="auto"/>
        <w:left w:val="none" w:sz="0" w:space="0" w:color="auto"/>
        <w:bottom w:val="none" w:sz="0" w:space="0" w:color="auto"/>
        <w:right w:val="none" w:sz="0" w:space="0" w:color="auto"/>
      </w:divBdr>
    </w:div>
    <w:div w:id="418252397">
      <w:bodyDiv w:val="1"/>
      <w:marLeft w:val="0"/>
      <w:marRight w:val="0"/>
      <w:marTop w:val="0"/>
      <w:marBottom w:val="0"/>
      <w:divBdr>
        <w:top w:val="none" w:sz="0" w:space="0" w:color="auto"/>
        <w:left w:val="none" w:sz="0" w:space="0" w:color="auto"/>
        <w:bottom w:val="none" w:sz="0" w:space="0" w:color="auto"/>
        <w:right w:val="none" w:sz="0" w:space="0" w:color="auto"/>
      </w:divBdr>
    </w:div>
    <w:div w:id="564493519">
      <w:bodyDiv w:val="1"/>
      <w:marLeft w:val="0"/>
      <w:marRight w:val="0"/>
      <w:marTop w:val="0"/>
      <w:marBottom w:val="0"/>
      <w:divBdr>
        <w:top w:val="none" w:sz="0" w:space="0" w:color="auto"/>
        <w:left w:val="none" w:sz="0" w:space="0" w:color="auto"/>
        <w:bottom w:val="none" w:sz="0" w:space="0" w:color="auto"/>
        <w:right w:val="none" w:sz="0" w:space="0" w:color="auto"/>
      </w:divBdr>
    </w:div>
    <w:div w:id="740253403">
      <w:bodyDiv w:val="1"/>
      <w:marLeft w:val="0"/>
      <w:marRight w:val="0"/>
      <w:marTop w:val="0"/>
      <w:marBottom w:val="0"/>
      <w:divBdr>
        <w:top w:val="none" w:sz="0" w:space="0" w:color="auto"/>
        <w:left w:val="none" w:sz="0" w:space="0" w:color="auto"/>
        <w:bottom w:val="none" w:sz="0" w:space="0" w:color="auto"/>
        <w:right w:val="none" w:sz="0" w:space="0" w:color="auto"/>
      </w:divBdr>
    </w:div>
    <w:div w:id="758016154">
      <w:bodyDiv w:val="1"/>
      <w:marLeft w:val="0"/>
      <w:marRight w:val="0"/>
      <w:marTop w:val="0"/>
      <w:marBottom w:val="0"/>
      <w:divBdr>
        <w:top w:val="none" w:sz="0" w:space="0" w:color="auto"/>
        <w:left w:val="none" w:sz="0" w:space="0" w:color="auto"/>
        <w:bottom w:val="none" w:sz="0" w:space="0" w:color="auto"/>
        <w:right w:val="none" w:sz="0" w:space="0" w:color="auto"/>
      </w:divBdr>
    </w:div>
    <w:div w:id="796870032">
      <w:bodyDiv w:val="1"/>
      <w:marLeft w:val="0"/>
      <w:marRight w:val="0"/>
      <w:marTop w:val="0"/>
      <w:marBottom w:val="0"/>
      <w:divBdr>
        <w:top w:val="none" w:sz="0" w:space="0" w:color="auto"/>
        <w:left w:val="none" w:sz="0" w:space="0" w:color="auto"/>
        <w:bottom w:val="none" w:sz="0" w:space="0" w:color="auto"/>
        <w:right w:val="none" w:sz="0" w:space="0" w:color="auto"/>
      </w:divBdr>
    </w:div>
    <w:div w:id="1053427758">
      <w:bodyDiv w:val="1"/>
      <w:marLeft w:val="0"/>
      <w:marRight w:val="0"/>
      <w:marTop w:val="0"/>
      <w:marBottom w:val="0"/>
      <w:divBdr>
        <w:top w:val="none" w:sz="0" w:space="0" w:color="auto"/>
        <w:left w:val="none" w:sz="0" w:space="0" w:color="auto"/>
        <w:bottom w:val="none" w:sz="0" w:space="0" w:color="auto"/>
        <w:right w:val="none" w:sz="0" w:space="0" w:color="auto"/>
      </w:divBdr>
    </w:div>
    <w:div w:id="1221601963">
      <w:bodyDiv w:val="1"/>
      <w:marLeft w:val="0"/>
      <w:marRight w:val="0"/>
      <w:marTop w:val="0"/>
      <w:marBottom w:val="0"/>
      <w:divBdr>
        <w:top w:val="none" w:sz="0" w:space="0" w:color="auto"/>
        <w:left w:val="none" w:sz="0" w:space="0" w:color="auto"/>
        <w:bottom w:val="none" w:sz="0" w:space="0" w:color="auto"/>
        <w:right w:val="none" w:sz="0" w:space="0" w:color="auto"/>
      </w:divBdr>
    </w:div>
    <w:div w:id="1226915445">
      <w:bodyDiv w:val="1"/>
      <w:marLeft w:val="0"/>
      <w:marRight w:val="0"/>
      <w:marTop w:val="0"/>
      <w:marBottom w:val="0"/>
      <w:divBdr>
        <w:top w:val="none" w:sz="0" w:space="0" w:color="auto"/>
        <w:left w:val="none" w:sz="0" w:space="0" w:color="auto"/>
        <w:bottom w:val="none" w:sz="0" w:space="0" w:color="auto"/>
        <w:right w:val="none" w:sz="0" w:space="0" w:color="auto"/>
      </w:divBdr>
    </w:div>
    <w:div w:id="1321538055">
      <w:bodyDiv w:val="1"/>
      <w:marLeft w:val="0"/>
      <w:marRight w:val="0"/>
      <w:marTop w:val="0"/>
      <w:marBottom w:val="0"/>
      <w:divBdr>
        <w:top w:val="none" w:sz="0" w:space="0" w:color="auto"/>
        <w:left w:val="none" w:sz="0" w:space="0" w:color="auto"/>
        <w:bottom w:val="none" w:sz="0" w:space="0" w:color="auto"/>
        <w:right w:val="none" w:sz="0" w:space="0" w:color="auto"/>
      </w:divBdr>
    </w:div>
    <w:div w:id="1343900794">
      <w:bodyDiv w:val="1"/>
      <w:marLeft w:val="0"/>
      <w:marRight w:val="0"/>
      <w:marTop w:val="0"/>
      <w:marBottom w:val="0"/>
      <w:divBdr>
        <w:top w:val="none" w:sz="0" w:space="0" w:color="auto"/>
        <w:left w:val="none" w:sz="0" w:space="0" w:color="auto"/>
        <w:bottom w:val="none" w:sz="0" w:space="0" w:color="auto"/>
        <w:right w:val="none" w:sz="0" w:space="0" w:color="auto"/>
      </w:divBdr>
    </w:div>
    <w:div w:id="1410427577">
      <w:bodyDiv w:val="1"/>
      <w:marLeft w:val="0"/>
      <w:marRight w:val="0"/>
      <w:marTop w:val="0"/>
      <w:marBottom w:val="0"/>
      <w:divBdr>
        <w:top w:val="none" w:sz="0" w:space="0" w:color="auto"/>
        <w:left w:val="none" w:sz="0" w:space="0" w:color="auto"/>
        <w:bottom w:val="none" w:sz="0" w:space="0" w:color="auto"/>
        <w:right w:val="none" w:sz="0" w:space="0" w:color="auto"/>
      </w:divBdr>
    </w:div>
    <w:div w:id="1447775333">
      <w:bodyDiv w:val="1"/>
      <w:marLeft w:val="0"/>
      <w:marRight w:val="0"/>
      <w:marTop w:val="0"/>
      <w:marBottom w:val="0"/>
      <w:divBdr>
        <w:top w:val="none" w:sz="0" w:space="0" w:color="auto"/>
        <w:left w:val="none" w:sz="0" w:space="0" w:color="auto"/>
        <w:bottom w:val="none" w:sz="0" w:space="0" w:color="auto"/>
        <w:right w:val="none" w:sz="0" w:space="0" w:color="auto"/>
      </w:divBdr>
    </w:div>
    <w:div w:id="1483350539">
      <w:bodyDiv w:val="1"/>
      <w:marLeft w:val="0"/>
      <w:marRight w:val="0"/>
      <w:marTop w:val="0"/>
      <w:marBottom w:val="0"/>
      <w:divBdr>
        <w:top w:val="none" w:sz="0" w:space="0" w:color="auto"/>
        <w:left w:val="none" w:sz="0" w:space="0" w:color="auto"/>
        <w:bottom w:val="none" w:sz="0" w:space="0" w:color="auto"/>
        <w:right w:val="none" w:sz="0" w:space="0" w:color="auto"/>
      </w:divBdr>
    </w:div>
    <w:div w:id="1680038697">
      <w:bodyDiv w:val="1"/>
      <w:marLeft w:val="0"/>
      <w:marRight w:val="0"/>
      <w:marTop w:val="0"/>
      <w:marBottom w:val="0"/>
      <w:divBdr>
        <w:top w:val="none" w:sz="0" w:space="0" w:color="auto"/>
        <w:left w:val="none" w:sz="0" w:space="0" w:color="auto"/>
        <w:bottom w:val="none" w:sz="0" w:space="0" w:color="auto"/>
        <w:right w:val="none" w:sz="0" w:space="0" w:color="auto"/>
      </w:divBdr>
      <w:divsChild>
        <w:div w:id="392390883">
          <w:marLeft w:val="0"/>
          <w:marRight w:val="0"/>
          <w:marTop w:val="0"/>
          <w:marBottom w:val="0"/>
          <w:divBdr>
            <w:top w:val="none" w:sz="0" w:space="0" w:color="auto"/>
            <w:left w:val="none" w:sz="0" w:space="0" w:color="auto"/>
            <w:bottom w:val="none" w:sz="0" w:space="0" w:color="auto"/>
            <w:right w:val="none" w:sz="0" w:space="0" w:color="auto"/>
          </w:divBdr>
        </w:div>
      </w:divsChild>
    </w:div>
    <w:div w:id="1722901977">
      <w:bodyDiv w:val="1"/>
      <w:marLeft w:val="0"/>
      <w:marRight w:val="0"/>
      <w:marTop w:val="0"/>
      <w:marBottom w:val="0"/>
      <w:divBdr>
        <w:top w:val="none" w:sz="0" w:space="0" w:color="auto"/>
        <w:left w:val="none" w:sz="0" w:space="0" w:color="auto"/>
        <w:bottom w:val="none" w:sz="0" w:space="0" w:color="auto"/>
        <w:right w:val="none" w:sz="0" w:space="0" w:color="auto"/>
      </w:divBdr>
    </w:div>
    <w:div w:id="1728412884">
      <w:bodyDiv w:val="1"/>
      <w:marLeft w:val="0"/>
      <w:marRight w:val="0"/>
      <w:marTop w:val="0"/>
      <w:marBottom w:val="0"/>
      <w:divBdr>
        <w:top w:val="none" w:sz="0" w:space="0" w:color="auto"/>
        <w:left w:val="none" w:sz="0" w:space="0" w:color="auto"/>
        <w:bottom w:val="none" w:sz="0" w:space="0" w:color="auto"/>
        <w:right w:val="none" w:sz="0" w:space="0" w:color="auto"/>
      </w:divBdr>
    </w:div>
    <w:div w:id="211146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eader" Target="header5.xml"/><Relationship Id="rId28" Type="http://schemas.openxmlformats.org/officeDocument/2006/relationships/fontTable" Target="fontTable.xml"/><Relationship Id="rId10" Type="http://schemas.microsoft.com/office/2007/relationships/stylesWithEffects" Target="stylesWithEffect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4.xml"/><Relationship Id="rId27"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FCF2D-2902-4CE6-840D-C592AEF34344}">
  <ds:schemaRefs>
    <ds:schemaRef ds:uri="http://schemas.openxmlformats.org/officeDocument/2006/bibliography"/>
  </ds:schemaRefs>
</ds:datastoreItem>
</file>

<file path=customXml/itemProps2.xml><?xml version="1.0" encoding="utf-8"?>
<ds:datastoreItem xmlns:ds="http://schemas.openxmlformats.org/officeDocument/2006/customXml" ds:itemID="{4592B96D-3779-43F1-BEF8-4D88615E9DDF}">
  <ds:schemaRefs>
    <ds:schemaRef ds:uri="http://schemas.openxmlformats.org/officeDocument/2006/bibliography"/>
  </ds:schemaRefs>
</ds:datastoreItem>
</file>

<file path=customXml/itemProps3.xml><?xml version="1.0" encoding="utf-8"?>
<ds:datastoreItem xmlns:ds="http://schemas.openxmlformats.org/officeDocument/2006/customXml" ds:itemID="{39D4C9A4-3D90-4F25-B0FB-77B2BE158FE9}">
  <ds:schemaRefs>
    <ds:schemaRef ds:uri="http://schemas.openxmlformats.org/officeDocument/2006/bibliography"/>
  </ds:schemaRefs>
</ds:datastoreItem>
</file>

<file path=customXml/itemProps4.xml><?xml version="1.0" encoding="utf-8"?>
<ds:datastoreItem xmlns:ds="http://schemas.openxmlformats.org/officeDocument/2006/customXml" ds:itemID="{969982EA-6A3B-4902-A789-6FBD0C24FC12}">
  <ds:schemaRefs>
    <ds:schemaRef ds:uri="http://schemas.openxmlformats.org/officeDocument/2006/bibliography"/>
  </ds:schemaRefs>
</ds:datastoreItem>
</file>

<file path=customXml/itemProps5.xml><?xml version="1.0" encoding="utf-8"?>
<ds:datastoreItem xmlns:ds="http://schemas.openxmlformats.org/officeDocument/2006/customXml" ds:itemID="{08B056EB-7A0C-467E-B801-EF26DAC5C154}">
  <ds:schemaRefs>
    <ds:schemaRef ds:uri="http://schemas.openxmlformats.org/officeDocument/2006/bibliography"/>
  </ds:schemaRefs>
</ds:datastoreItem>
</file>

<file path=customXml/itemProps6.xml><?xml version="1.0" encoding="utf-8"?>
<ds:datastoreItem xmlns:ds="http://schemas.openxmlformats.org/officeDocument/2006/customXml" ds:itemID="{699832B4-998D-47C6-AE72-8DE07C3DB88E}">
  <ds:schemaRefs>
    <ds:schemaRef ds:uri="http://schemas.openxmlformats.org/officeDocument/2006/bibliography"/>
  </ds:schemaRefs>
</ds:datastoreItem>
</file>

<file path=customXml/itemProps7.xml><?xml version="1.0" encoding="utf-8"?>
<ds:datastoreItem xmlns:ds="http://schemas.openxmlformats.org/officeDocument/2006/customXml" ds:itemID="{C5084CA2-576D-472B-B271-6407A0FDC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161</TotalTime>
  <Pages>18</Pages>
  <Words>5617</Words>
  <Characters>30501</Characters>
  <Application>Microsoft Office Word</Application>
  <DocSecurity>0</DocSecurity>
  <Lines>1089</Lines>
  <Paragraphs>708</Paragraphs>
  <ScaleCrop>false</ScaleCrop>
  <HeadingPairs>
    <vt:vector size="2" baseType="variant">
      <vt:variant>
        <vt:lpstr>Title</vt:lpstr>
      </vt:variant>
      <vt:variant>
        <vt:i4>1</vt:i4>
      </vt:variant>
    </vt:vector>
  </HeadingPairs>
  <TitlesOfParts>
    <vt:vector size="1" baseType="lpstr">
      <vt:lpstr>EN</vt:lpstr>
    </vt:vector>
  </TitlesOfParts>
  <Manager/>
  <Company/>
  <LinksUpToDate>false</LinksUpToDate>
  <CharactersWithSpaces>35410</CharactersWithSpaces>
  <SharedDoc>false</SharedDoc>
  <HLinks>
    <vt:vector size="90" baseType="variant">
      <vt:variant>
        <vt:i4>1507391</vt:i4>
      </vt:variant>
      <vt:variant>
        <vt:i4>86</vt:i4>
      </vt:variant>
      <vt:variant>
        <vt:i4>0</vt:i4>
      </vt:variant>
      <vt:variant>
        <vt:i4>5</vt:i4>
      </vt:variant>
      <vt:variant>
        <vt:lpwstr/>
      </vt:variant>
      <vt:variant>
        <vt:lpwstr>_Toc457555955</vt:lpwstr>
      </vt:variant>
      <vt:variant>
        <vt:i4>1507391</vt:i4>
      </vt:variant>
      <vt:variant>
        <vt:i4>80</vt:i4>
      </vt:variant>
      <vt:variant>
        <vt:i4>0</vt:i4>
      </vt:variant>
      <vt:variant>
        <vt:i4>5</vt:i4>
      </vt:variant>
      <vt:variant>
        <vt:lpwstr/>
      </vt:variant>
      <vt:variant>
        <vt:lpwstr>_Toc457555954</vt:lpwstr>
      </vt:variant>
      <vt:variant>
        <vt:i4>1507391</vt:i4>
      </vt:variant>
      <vt:variant>
        <vt:i4>74</vt:i4>
      </vt:variant>
      <vt:variant>
        <vt:i4>0</vt:i4>
      </vt:variant>
      <vt:variant>
        <vt:i4>5</vt:i4>
      </vt:variant>
      <vt:variant>
        <vt:lpwstr/>
      </vt:variant>
      <vt:variant>
        <vt:lpwstr>_Toc457555953</vt:lpwstr>
      </vt:variant>
      <vt:variant>
        <vt:i4>1507391</vt:i4>
      </vt:variant>
      <vt:variant>
        <vt:i4>68</vt:i4>
      </vt:variant>
      <vt:variant>
        <vt:i4>0</vt:i4>
      </vt:variant>
      <vt:variant>
        <vt:i4>5</vt:i4>
      </vt:variant>
      <vt:variant>
        <vt:lpwstr/>
      </vt:variant>
      <vt:variant>
        <vt:lpwstr>_Toc457555952</vt:lpwstr>
      </vt:variant>
      <vt:variant>
        <vt:i4>1507391</vt:i4>
      </vt:variant>
      <vt:variant>
        <vt:i4>62</vt:i4>
      </vt:variant>
      <vt:variant>
        <vt:i4>0</vt:i4>
      </vt:variant>
      <vt:variant>
        <vt:i4>5</vt:i4>
      </vt:variant>
      <vt:variant>
        <vt:lpwstr/>
      </vt:variant>
      <vt:variant>
        <vt:lpwstr>_Toc457555951</vt:lpwstr>
      </vt:variant>
      <vt:variant>
        <vt:i4>1507391</vt:i4>
      </vt:variant>
      <vt:variant>
        <vt:i4>56</vt:i4>
      </vt:variant>
      <vt:variant>
        <vt:i4>0</vt:i4>
      </vt:variant>
      <vt:variant>
        <vt:i4>5</vt:i4>
      </vt:variant>
      <vt:variant>
        <vt:lpwstr/>
      </vt:variant>
      <vt:variant>
        <vt:lpwstr>_Toc457555950</vt:lpwstr>
      </vt:variant>
      <vt:variant>
        <vt:i4>1441855</vt:i4>
      </vt:variant>
      <vt:variant>
        <vt:i4>50</vt:i4>
      </vt:variant>
      <vt:variant>
        <vt:i4>0</vt:i4>
      </vt:variant>
      <vt:variant>
        <vt:i4>5</vt:i4>
      </vt:variant>
      <vt:variant>
        <vt:lpwstr/>
      </vt:variant>
      <vt:variant>
        <vt:lpwstr>_Toc457555949</vt:lpwstr>
      </vt:variant>
      <vt:variant>
        <vt:i4>1441855</vt:i4>
      </vt:variant>
      <vt:variant>
        <vt:i4>44</vt:i4>
      </vt:variant>
      <vt:variant>
        <vt:i4>0</vt:i4>
      </vt:variant>
      <vt:variant>
        <vt:i4>5</vt:i4>
      </vt:variant>
      <vt:variant>
        <vt:lpwstr/>
      </vt:variant>
      <vt:variant>
        <vt:lpwstr>_Toc457555948</vt:lpwstr>
      </vt:variant>
      <vt:variant>
        <vt:i4>1441855</vt:i4>
      </vt:variant>
      <vt:variant>
        <vt:i4>38</vt:i4>
      </vt:variant>
      <vt:variant>
        <vt:i4>0</vt:i4>
      </vt:variant>
      <vt:variant>
        <vt:i4>5</vt:i4>
      </vt:variant>
      <vt:variant>
        <vt:lpwstr/>
      </vt:variant>
      <vt:variant>
        <vt:lpwstr>_Toc457555947</vt:lpwstr>
      </vt:variant>
      <vt:variant>
        <vt:i4>1441855</vt:i4>
      </vt:variant>
      <vt:variant>
        <vt:i4>32</vt:i4>
      </vt:variant>
      <vt:variant>
        <vt:i4>0</vt:i4>
      </vt:variant>
      <vt:variant>
        <vt:i4>5</vt:i4>
      </vt:variant>
      <vt:variant>
        <vt:lpwstr/>
      </vt:variant>
      <vt:variant>
        <vt:lpwstr>_Toc457555946</vt:lpwstr>
      </vt:variant>
      <vt:variant>
        <vt:i4>1441855</vt:i4>
      </vt:variant>
      <vt:variant>
        <vt:i4>26</vt:i4>
      </vt:variant>
      <vt:variant>
        <vt:i4>0</vt:i4>
      </vt:variant>
      <vt:variant>
        <vt:i4>5</vt:i4>
      </vt:variant>
      <vt:variant>
        <vt:lpwstr/>
      </vt:variant>
      <vt:variant>
        <vt:lpwstr>_Toc457555945</vt:lpwstr>
      </vt:variant>
      <vt:variant>
        <vt:i4>1441855</vt:i4>
      </vt:variant>
      <vt:variant>
        <vt:i4>20</vt:i4>
      </vt:variant>
      <vt:variant>
        <vt:i4>0</vt:i4>
      </vt:variant>
      <vt:variant>
        <vt:i4>5</vt:i4>
      </vt:variant>
      <vt:variant>
        <vt:lpwstr/>
      </vt:variant>
      <vt:variant>
        <vt:lpwstr>_Toc457555944</vt:lpwstr>
      </vt:variant>
      <vt:variant>
        <vt:i4>1441855</vt:i4>
      </vt:variant>
      <vt:variant>
        <vt:i4>14</vt:i4>
      </vt:variant>
      <vt:variant>
        <vt:i4>0</vt:i4>
      </vt:variant>
      <vt:variant>
        <vt:i4>5</vt:i4>
      </vt:variant>
      <vt:variant>
        <vt:lpwstr/>
      </vt:variant>
      <vt:variant>
        <vt:lpwstr>_Toc457555943</vt:lpwstr>
      </vt:variant>
      <vt:variant>
        <vt:i4>1441855</vt:i4>
      </vt:variant>
      <vt:variant>
        <vt:i4>8</vt:i4>
      </vt:variant>
      <vt:variant>
        <vt:i4>0</vt:i4>
      </vt:variant>
      <vt:variant>
        <vt:i4>5</vt:i4>
      </vt:variant>
      <vt:variant>
        <vt:lpwstr/>
      </vt:variant>
      <vt:variant>
        <vt:lpwstr>_Toc457555942</vt:lpwstr>
      </vt:variant>
      <vt:variant>
        <vt:i4>1441855</vt:i4>
      </vt:variant>
      <vt:variant>
        <vt:i4>2</vt:i4>
      </vt:variant>
      <vt:variant>
        <vt:i4>0</vt:i4>
      </vt:variant>
      <vt:variant>
        <vt:i4>5</vt:i4>
      </vt:variant>
      <vt:variant>
        <vt:lpwstr/>
      </vt:variant>
      <vt:variant>
        <vt:lpwstr>_Toc457555941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c:title>
  <dc:subject/>
  <dc:creator/>
  <cp:keywords>99.3</cp:keywords>
  <cp:lastModifiedBy>DIGIT/A3</cp:lastModifiedBy>
  <cp:revision>50</cp:revision>
  <cp:lastPrinted>2016-07-27T11:56:00Z</cp:lastPrinted>
  <dcterms:created xsi:type="dcterms:W3CDTF">2016-07-29T12:38:00Z</dcterms:created>
  <dcterms:modified xsi:type="dcterms:W3CDTF">2016-09-23T11:35:00Z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[20070312]</vt:lpwstr>
  </property>
  <property fmtid="{D5CDD505-2E9C-101B-9397-08002B2CF9AE}" pid="6" name="Formatting">
    <vt:lpwstr>4.1</vt:lpwstr>
  </property>
  <property fmtid="{D5CDD505-2E9C-101B-9397-08002B2CF9AE}" pid="7" name="Last edited using">
    <vt:lpwstr>EL </vt:lpwstr>
  </property>
  <property fmtid="{D5CDD505-2E9C-101B-9397-08002B2CF9AE}" pid="8" name="EL_Author">
    <vt:lpwstr>Brian GRAY</vt:lpwstr>
  </property>
  <property fmtid="{D5CDD505-2E9C-101B-9397-08002B2CF9AE}" pid="9" name="Type">
    <vt:lpwstr>Eurolook Report</vt:lpwstr>
  </property>
  <property fmtid="{D5CDD505-2E9C-101B-9397-08002B2CF9AE}" pid="10" name="Language">
    <vt:lpwstr>EN</vt:lpwstr>
  </property>
  <property fmtid="{D5CDD505-2E9C-101B-9397-08002B2CF9AE}" pid="11" name="EL_Language">
    <vt:lpwstr>EN</vt:lpwstr>
  </property>
  <property fmtid="{D5CDD505-2E9C-101B-9397-08002B2CF9AE}" pid="12" name="ELDocType">
    <vt:lpwstr>rep.dot</vt:lpwstr>
  </property>
  <property fmtid="{D5CDD505-2E9C-101B-9397-08002B2CF9AE}" pid="13" name="Part">
    <vt:lpwstr>1</vt:lpwstr>
  </property>
  <property fmtid="{D5CDD505-2E9C-101B-9397-08002B2CF9AE}" pid="14" name="Total parts">
    <vt:lpwstr>1</vt:lpwstr>
  </property>
  <property fmtid="{D5CDD505-2E9C-101B-9397-08002B2CF9AE}" pid="15" name="Classification">
    <vt:lpwstr> </vt:lpwstr>
  </property>
  <property fmtid="{D5CDD505-2E9C-101B-9397-08002B2CF9AE}" pid="16" name="DocStatus">
    <vt:lpwstr>Green</vt:lpwstr>
  </property>
</Properties>
</file>