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081ADD1278457DA1432CD6FB5B396C" style="width:450.7pt;height:489.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чиято цел е да се отстранят техническите пречки пред търговията с моторни превозни средства между договарящите се страни по Ревизираното споразумение от 1958 г. и да се гарантира,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(WP.29)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изменения.</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ноември 2016 г., предвидено да се проведе от 14 до 20 ноември 2016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одобрение на типа със съзнанието, че договарящите се страни ще признаят съответствието на продуктите им с тяхното национално законодателство. Тази схема направи възможно чрез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 приложен и към Директива 2007/46/ЕО, с която системите за одобряване в отделните държави членки бяха заменени с процедура на Съюза за одобряване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ИКЕ на ООН бяха инкорпорирани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биват инкорпорирани в законодателството на Съюза в рамките на системата на ЕС за одобряване на типа.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политиките на Съюза в областта на транспорта и енергетиката, които са надлежно взети предвид в процеса на изготвяне и приемане на правилата на ООН, попадащи обхвата на споразумението от 1958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на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такива международни инструменти, като предложения за правила на ООН, изменения на правила на ООН и проекти на глобални технически правила, и инкорпорирането им в системата на Съюза за одобряване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настоящото решение на Съвета Комисията се упълномощава да гласува от името на Съюза, като това решение е пропорционален инструмент в съответствие с член 5, параграф 1 от Решение 97/836/ЕО на Съвета за целите на определянето на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бъдат определени позициите, които да се заемат от името на Съюза в рамките на орган, създаден с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То обаче беше разгледано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изменения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одобряване на компоненти и системи не само в ЕС, но и на експортните пазари на договарящите се страни по споразумението от 1958 г. извън ЕС.</w:t>
      </w:r>
    </w:p>
    <w:p>
      <w:pPr>
        <w:rPr>
          <w:noProof/>
        </w:rPr>
      </w:pPr>
      <w:r>
        <w:rPr>
          <w:noProof/>
        </w:rPr>
        <w:t>Предложението има много положително въздействие върху конкурентоспособността на автомобилната промишленост в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пречки пред търговията и за отваряне или разширяване на достъпа до съответните пазари за автомобилни предприятия от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10"/>
        </w:numPr>
        <w:rPr>
          <w:noProof/>
        </w:rPr>
      </w:pPr>
      <w:r>
        <w:rPr>
          <w:noProof/>
        </w:rPr>
        <w:t xml:space="preserve">предложенията за изменения на правила №№ 7, 16, 37, 44, 45, 46, 48, 53, 78, 80, 83, 86, 87, 99, 105, 107, 110, 121, 128 и 129 на ООН; </w:t>
      </w:r>
    </w:p>
    <w:p>
      <w:pPr>
        <w:pStyle w:val="Tiret0"/>
        <w:rPr>
          <w:noProof/>
        </w:rPr>
      </w:pPr>
      <w:r>
        <w:rPr>
          <w:noProof/>
        </w:rPr>
        <w:t xml:space="preserve">предложението за ново правило на ООН относно системите за допълнително монтиране на работещи с два вида гориво двигатели с голяма мощност (HDDF-ERS); </w:t>
      </w:r>
    </w:p>
    <w:p>
      <w:pPr>
        <w:pStyle w:val="Tiret0"/>
        <w:rPr>
          <w:noProof/>
        </w:rPr>
      </w:pPr>
      <w:r>
        <w:rPr>
          <w:noProof/>
        </w:rPr>
        <w:t xml:space="preserve">предложенията за изменения на глобални технически правила на ООН №№ 15 и 16; </w:t>
      </w:r>
    </w:p>
    <w:p>
      <w:pPr>
        <w:pStyle w:val="Tiret0"/>
        <w:rPr>
          <w:noProof/>
        </w:rPr>
      </w:pPr>
      <w:r>
        <w:rPr>
          <w:noProof/>
        </w:rPr>
        <w:t xml:space="preserve">предложенията за две нови глобални технически правила на ООН относно процедурата за измерване за дву- и триколесни моторни превозни средства съответно по отношение на емисиите и на бордовата диагностика, както и на </w:t>
      </w:r>
    </w:p>
    <w:p>
      <w:pPr>
        <w:pStyle w:val="Tiret0"/>
        <w:rPr>
          <w:noProof/>
        </w:rPr>
      </w:pPr>
      <w:r>
        <w:rPr>
          <w:noProof/>
        </w:rPr>
        <w:t>предложението за нова резолюция относно общата спецификация на категориите светлинни източници (R.E.4).</w:t>
      </w:r>
    </w:p>
    <w:p>
      <w:pPr>
        <w:pStyle w:val="Tire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2016/0341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установяване на позицията, която да се заеме от името на Европейския съюз в рамките на съответните комитети на Икономическата комисия за Европа на Организацията на обединените нации по отношение на предложенията за изменения на правила №№ 7, 16, 37, 44, 45, 46, 48, 53, 78, 80, 83, 86, 87, 99, 105, 107, 110, 121, 128 и 129 на ООН, едно предложение за ново правило на ООН относно системите за допълнително монтиране на работещи с два вида гориво двигатели с голяма мощност (HDDF-ERS), предложенията за изменения на глобални технически правила №№ 15 и 16 на ООН, предложенията за две нови глобални технически правила на ООН относно процедурата за измерване за дву- и триколесни моторни превозни средства съответно по отношение на емисиите и на бордовата диагностика, и едно предложение за нова резолюция относно общата спецификация на категориите светлинни източници (R.E.4)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w:t>
      </w:r>
    </w:p>
    <w:p>
      <w:pPr>
        <w:pStyle w:val="ManualConsidrant"/>
        <w:rPr>
          <w:noProof/>
        </w:rPr>
      </w:pPr>
      <w:r>
        <w:t>(2)</w:t>
      </w:r>
      <w:r>
        <w:tab/>
      </w:r>
      <w:r>
        <w:rPr>
          <w:noProof/>
        </w:rPr>
        <w:t>В съответствие с Решение 2000/125/ЕО на Съвета</w:t>
      </w:r>
      <w:r>
        <w:rPr>
          <w:rStyle w:val="FootnoteReference"/>
          <w:noProof/>
        </w:rPr>
        <w:footnoteReference w:id="2"/>
      </w:r>
      <w:r>
        <w:rPr>
          <w:noProof/>
        </w:rPr>
        <w:t xml:space="preserve"> Съюзът се присъедини към Споразумението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w:t>
      </w:r>
    </w:p>
    <w:p>
      <w:pPr>
        <w:pStyle w:val="ManualConsidrant"/>
        <w:rPr>
          <w:noProof/>
        </w:rPr>
      </w:pPr>
      <w:r>
        <w:t>(3)</w:t>
      </w:r>
      <w:r>
        <w:tab/>
      </w:r>
      <w:r>
        <w:rPr>
          <w:noProof/>
        </w:rPr>
        <w:t>С Директива 2007/46/ЕО на Европейския парламент и на Съвета</w:t>
      </w:r>
      <w:r>
        <w:rPr>
          <w:rStyle w:val="FootnoteReference"/>
          <w:noProof/>
        </w:rPr>
        <w:footnoteReference w:id="3"/>
      </w:r>
      <w:r>
        <w:rPr>
          <w:noProof/>
        </w:rPr>
        <w:t xml:space="preserve"> системите за одобряване в отделните държави членки бяха заменени с процедура на Съюза за одобряване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приети съгласно Ревизираното споразумение от 1958 г. (наричани по-долу „правилата на ООН“), бяха инкорпорирани в системата на ЕС за одобряване на типа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се инкорпорират в законодателството на Съюза в рамките на системата на ЕС за одобряване на типа.</w:t>
      </w:r>
    </w:p>
    <w:p>
      <w:pPr>
        <w:pStyle w:val="ManualConsidrant"/>
        <w:rPr>
          <w:noProof/>
        </w:rPr>
      </w:pPr>
      <w:r>
        <w:t>(4)</w:t>
      </w:r>
      <w:r>
        <w:tab/>
      </w:r>
      <w:r>
        <w:rPr>
          <w:noProof/>
        </w:rPr>
        <w:t>С оглед на натрупания опит и на постигнатия техническия напредък изискванията по отношение на някои елементи или характеристики, попадащи в обхвата на правила №№ 7, 16, 37, 44, 45, 46, 48, 53, 78, 80, 83, 86, 87, 99, 105, 107, 110, 121, 128 и 129 на ООН, както и на глобални технически правила (ГТП) №№ 15 и 16 на ООН, е необходимо да бъдат адаптирани към техническия прогрес.</w:t>
      </w:r>
    </w:p>
    <w:p>
      <w:pPr>
        <w:pStyle w:val="ManualConsidrant"/>
        <w:rPr>
          <w:noProof/>
        </w:rPr>
      </w:pPr>
      <w:r>
        <w:t>(5)</w:t>
      </w:r>
      <w:r>
        <w:tab/>
      </w:r>
      <w:r>
        <w:rPr>
          <w:noProof/>
        </w:rPr>
        <w:t xml:space="preserve">С цел да се установят единни разпоредби относно одобряването на системи за допълнително монтиране на работещи с два вида гориво двигатели с голяма мощност (HDDF-ERS) следва да бъде прието ново правило на ООН. </w:t>
      </w:r>
    </w:p>
    <w:p>
      <w:pPr>
        <w:pStyle w:val="ManualConsidrant"/>
        <w:rPr>
          <w:noProof/>
        </w:rPr>
      </w:pPr>
      <w:r>
        <w:t>(6)</w:t>
      </w:r>
      <w:r>
        <w:tab/>
      </w:r>
      <w:r>
        <w:rPr>
          <w:noProof/>
        </w:rPr>
        <w:t>С цел да се установят единни технически разпоредби относно процедурата за измерване за дву- и триколесни моторни превозни средства съответно по отношение на емисиите и на бордовата диагностика следва да бъдат приети две нови ГТП на ООН.</w:t>
      </w:r>
    </w:p>
    <w:p>
      <w:pPr>
        <w:pStyle w:val="ManualConsidrant"/>
        <w:rPr>
          <w:noProof/>
        </w:rPr>
      </w:pPr>
      <w:r>
        <w:t>(7)</w:t>
      </w:r>
      <w:r>
        <w:tab/>
      </w:r>
      <w:r>
        <w:rPr>
          <w:noProof/>
        </w:rPr>
        <w:t>С цел да се установят единни разпоредби относно общата спецификация на категориите светлинни източници следва да бъде приета нова резолюция (R.E.4).</w:t>
      </w:r>
    </w:p>
    <w:p>
      <w:pPr>
        <w:pStyle w:val="ManualConsidrant"/>
        <w:rPr>
          <w:noProof/>
        </w:rPr>
      </w:pPr>
      <w:r>
        <w:t>(8)</w:t>
      </w:r>
      <w:r>
        <w:tab/>
      </w:r>
      <w:r>
        <w:rPr>
          <w:noProof/>
        </w:rPr>
        <w:t>Целесъобразно е да бъде определена позицията, която да се заеме от името на Съюза в рамките на съответните комитети на ИКЕ на ООН, а именно Административния комитет по Ревизираното споразумение от 1958 г. и Изпълнителния комитет по Паралелното споразумение, относно приемането на горепосочените актове на ООН,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по време на заседанието, което ще се проведе в периода 14—20 ноември 2016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0A63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B4A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BE91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8E0A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809F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D2C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C6D7E"/>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C5E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9 12:26: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8081ADD1278457DA1432CD6FB5B396C"/>
    <w:docVar w:name="LW_CROSSREFERENCE" w:val="&lt;UNUSED&gt;"/>
    <w:docVar w:name="LW_DocType" w:val="COM"/>
    <w:docVar w:name="LW_EMISSION" w:val="25.10.2016"/>
    <w:docVar w:name="LW_EMISSION_ISODATE" w:val="2016-10-2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1"/>
    <w:docVar w:name="LW_REF.II.NEW.CP_YEAR" w:val="2016"/>
    <w:docVar w:name="LW_REF.INST.NEW" w:val="COM"/>
    <w:docVar w:name="LW_REF.INST.NEW_ADOPTED" w:val="final"/>
    <w:docVar w:name="LW_REF.INST.NEW_TEXT" w:val="(2016) 684"/>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0?\u1079?\u1084?\u1077?\u1085?\u1077?\u1085?\u1080?\u1103? \u1085?\u1072? \u1087?\u1088?\u1072?\u1074?\u1080?\u1083?\u1072? \u8470?\u8470? 7, 16, 37, 44, 45, 46, 48, 53, 78, 80, 83, 86, 87, 99, 105, 107, 110, 121, 128 \u1080? 129 \u1085?\u1072? \u1054?\u1054?\u1053?, \u1077?\u1076?\u1085?\u1086? \u1087?\u1088?\u1077?\u1076?\u1083?\u1086?\u1078?\u1077?\u1085?\u1080?\u1077? \u1079?\u1072? \u1085?\u1086?\u1074?\u1086? \u1087?\u1088?\u1072?\u1074?\u1080?\u1083?\u1086? \u1085?\u1072? \u1054?\u1054?\u1053? \u1086?\u1090?\u1085?\u1086?\u1089?\u1085?\u1086? \u1089?\u1080?\u1089?\u1090?\u1077?\u1084?\u1080?\u1090?\u1077? \u1079?\u1072? \u1076?\u1086?\u1087?\u1098?\u1083?\u1085?\u1080?\u1090?\u1077?\u1083?\u1085?\u1086? \u1084?\u1086?\u1085?\u1090?\u1080?\u1088?\u1072?\u1085?\u1077? \u1085?\u1072? \u1088?\u1072?\u1073?\u1086?\u1090?\u1077?\u1097?\u1080? \u1089? \u1076?\u1074?\u1072? \u1074?\u1080?\u1076?\u1072? \u1075?\u1086?\u1088?\u1080?\u1074?\u1086? \u1076?\u1074?\u1080?\u1075?\u1072?\u1090?\u1077?\u1083?\u1080? \u1089? \u1075?\u1086?\u1083?\u1103?\u1084?\u1072? \u1084?\u1086?\u1097?\u1085?\u1086?\u1089?\u1090? (HDDF-ERS), \u1087?\u1088?\u1077?\u1076?\u1083?\u1086?\u1078?\u1077?\u1085?\u1080?\u1103?\u1090?\u1072? \u1079?\u1072? \u1080?\u1079?\u1084?\u1077?\u1085?\u1077?\u1085?\u1080?\u1103? \u1085?\u1072? \u1075?\u1083?\u1086?\u1073?\u1072?\u1083?\u1085?\u1080? \u1090?\u1077?\u1093?\u1085?\u1080?\u1095?\u1077?\u1089?\u1082?\u1080? \u1087?\u1088?\u1072?\u1074?\u1080?\u1083?\u1072? \u8470?\u8470? 15 \u1080? 16 \u1085?\u1072? \u1054?\u1054?\u1053?, \u1087?\u1088?\u1077?\u1076?\u1083?\u1086?\u1078?\u1077?\u1085?\u1080?\u1103?\u1090?\u1072? \u1079?\u1072? \u1076?\u1074?\u1077? \u1085?\u1086?\u1074?\u1080? \u1075?\u1083?\u1086?\u1073?\u1072?\u1083?\u1085?\u1080? \u1090?\u1077?\u1093?\u1085?\u1080?\u1095?\u1077?\u1089?\u1082?\u1080? \u1087?\u1088?\u1072?\u1074?\u1080?\u1083?\u1072? \u1085?\u1072? \u1054?\u1054?\u1053? \u1086?\u1090?\u1085?\u1086?\u1089?\u1085?\u1086? \u1087?\u1088?\u1086?\u1094?\u1077?\u1076?\u1091?\u1088?\u1072?\u1090?\u1072? \u1079?\u1072? \u1080?\u1079?\u1084?\u1077?\u1088?\u1074?\u1072?\u1085?\u1077? \u1079?\u1072? \u1076?\u1074?\u1091?- \u1080? \u1090?\u1088?\u1080?\u1082?\u1086?\u1083?\u1077?\u1089?\u1085?\u1080? \u1084?\u1086?\u1090?\u1086?\u1088?\u1085?\u1080? \u1087?\u1088?\u1077?\u1074?\u1086?\u1079?\u1085?\u1080? \u1089?\u1088?\u1077?\u1076?\u1089?\u1090?\u1074?\u1072? \u1089?\u1098?\u1086?\u1090?\u1074?\u1077?\u1090?\u1085?\u1086? \u1087?\u1086? \u1086?\u1090?\u1085?\u1086?\u1096?\u1077?\u1085?\u1080?\u1077? \u1085?\u1072? \u1077?\u1084?\u1080?\u1089?\u1080?\u1080?\u1090?\u1077? \u1080? \u1085?\u1072? \u1073?\u1086?\u1088?\u1076?\u1086?\u1074?\u1072?\u1090?\u1072? \u1076?\u1080?\u1072?\u1075?\u1085?\u1086?\u1089?\u1090?\u1080?\u1082?\u1072?, \u1080? \u1077?\u1076?\u1085?\u1086? \u1087?\u1088?\u1077?\u1076?\u1083?\u1086?\u1078?\u1077?\u1085?\u1080?\u1077? \u1079?\u1072? \u1085?\u1086?\u1074?\u1072? \u1088?\u1077?\u1079?\u1086?\u1083?\u1102?\u1094?\u1080?\u1103? \u1086?\u1090?\u1085?\u1086?\u1089?\u1085?\u1086? \u1086?\u1073?\u1097?\u1072?\u1090?\u1072? \u1089?\u1087?\u1077?\u1094?\u1080?\u1092?\u1080?\u1082?\u1072?\u1094?\u1080?\u1103? \u1085?\u1072? \u1082?\u1072?\u1090?\u1077?\u1075?\u1086?\u1088?\u1080?\u1080?\u1090?\u1077? \u1089?\u1074?\u1077?\u1090?\u1083?\u1080?\u1085?\u1085?\u1080? \u1080?\u1079?\u1090?\u1086?\u1095?\u1085?\u1080?\u1094?\u1080? (R.E.4)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A3A3-8624-400B-98ED-ED8E3662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2125</Words>
  <Characters>12155</Characters>
  <Application>Microsoft Office Word</Application>
  <DocSecurity>0</DocSecurity>
  <Lines>233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2016-10-05T14:04:00Z</cp:lastPrinted>
  <dcterms:created xsi:type="dcterms:W3CDTF">2016-10-18T14:28:00Z</dcterms:created>
  <dcterms:modified xsi:type="dcterms:W3CDTF">2016-10-19T10:26:00Z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