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63EE9B284C43A192932F8125B4108D" style="width:450.8pt;height:461.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amendments to existing UN Regulations or UN Global Technical Regulations (UN GTRs) are adopted in order to allow for technical progress. Prior to each WP.29 meeting these amendments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This Council Decision defines the Union's position in the voting of the Regulations, amendments, supplements and corrigenda submitted for vote in the November 2016 WP.29 meeting that will take place from 14 to 20 November 2016.</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has allowed for Regulation (EC) No 661/2009 on the general safety of motor vehicles to repeal more than 50 EU Directives and replace them with the corresponding Regulations developed under the 1958 Agreement.</w:t>
      </w:r>
    </w:p>
    <w:p>
      <w:pPr>
        <w:rPr>
          <w:noProof/>
        </w:rPr>
      </w:pPr>
      <w:r>
        <w:rPr>
          <w:noProof/>
        </w:rPr>
        <w:lastRenderedPageBreak/>
        <w:t>A similar approach has been taken with Directive 2007/46/EC, which has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and energy policies, which are duly considered in the process for the drafting and adoption of the UN Regulations falling under the 1958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rPr>
          <w:noProof/>
        </w:rPr>
      </w:pPr>
      <w:r>
        <w:rPr>
          <w:noProof/>
        </w:rPr>
        <w:t>The vote in favour of international instruments like proposals for UN Regulations, amendments to UN Regulations and draft Global Technical Regulations and their incorporation into the Union system for the type-approval of motor vehicles can only be done by the Union. This does not only prevent fragmentation of the internal market, but also ensures equal environmental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External expertise is not relevant in the case of this proposal. It has however been reviewed by the Technical Committee on Motor Vehicles.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In terms of administrative burden, the initiative does not have repercussions, as the amendment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This initiative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proposal defines the Union's position in the voting of </w:t>
      </w:r>
    </w:p>
    <w:p>
      <w:pPr>
        <w:pStyle w:val="Tiret0"/>
        <w:numPr>
          <w:ilvl w:val="0"/>
          <w:numId w:val="10"/>
        </w:numPr>
        <w:rPr>
          <w:noProof/>
        </w:rPr>
      </w:pPr>
      <w:r>
        <w:rPr>
          <w:noProof/>
        </w:rPr>
        <w:t xml:space="preserve">the amendments to UN Regulations Nos. 7, 16, 37, 44, 45, 46, 48, 53, 78, 80, 83, 86, 87, 99, 105, 107, 110, 121, 128 and 129; </w:t>
      </w:r>
    </w:p>
    <w:p>
      <w:pPr>
        <w:pStyle w:val="Tiret0"/>
        <w:rPr>
          <w:noProof/>
        </w:rPr>
      </w:pPr>
      <w:r>
        <w:rPr>
          <w:noProof/>
        </w:rPr>
        <w:lastRenderedPageBreak/>
        <w:t>the proposal for a new UN Regulation on Heavy Duty Dual-Fuel Engine Retrofit Systems (HDDF-ERS);</w:t>
      </w:r>
    </w:p>
    <w:p>
      <w:pPr>
        <w:pStyle w:val="Tiret0"/>
        <w:rPr>
          <w:noProof/>
        </w:rPr>
      </w:pPr>
      <w:r>
        <w:rPr>
          <w:noProof/>
        </w:rPr>
        <w:t xml:space="preserve">the proposals for amendments to UN Global Technical Regulations Nos. 15 and 16; </w:t>
      </w:r>
    </w:p>
    <w:p>
      <w:pPr>
        <w:pStyle w:val="Tiret0"/>
        <w:rPr>
          <w:noProof/>
        </w:rPr>
      </w:pPr>
      <w:r>
        <w:rPr>
          <w:noProof/>
        </w:rPr>
        <w:t xml:space="preserve">the proposals for two new UN Global Technical Regulations on the measurement procedure for two- or three-wheeled motor vehicles, regarding emissions and on-board diagnostics, respectively; and </w:t>
      </w:r>
    </w:p>
    <w:p>
      <w:pPr>
        <w:pStyle w:val="Tiret0"/>
        <w:rPr>
          <w:noProof/>
        </w:rPr>
      </w:pPr>
      <w:r>
        <w:rPr>
          <w:noProof/>
        </w:rPr>
        <w:t>the proposal for a new Resolution on the common specification of light source categories (R.E.4).</w:t>
      </w:r>
    </w:p>
    <w:p>
      <w:pPr>
        <w:pStyle w:val="Tire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2016/0341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establishing the position to be adopted on behalf of the European Union in the relevant Committees of the United Nations Economic Commission for Europe as regards the proposals for amendments to UN Regulations Nos. 7, 16, 37, 44, 45, 46, 48, 53, 78, 80, 83, 86, 87, 99, 105, 107, 110, 121, 128 and 129, one proposal for a new UN Regulation on Heavy Duty Dual-Fuel Engine Retrofit Systems (HDDF-ERS), the proposals for amendments to UN Global Technical Regulations 15 and 16, the proposals for two new UN Global Technical Regulations on the measurement procedure for two- or three-wheeled motor vehicles with regard to certain types of emissions and with regard to on-board diagnostics, respectively, and one proposal for a new Resolution on the common specification of light source categories (R.E.4) </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(the ‘Revised 1958 Agreement’).</w:t>
      </w:r>
    </w:p>
    <w:p>
      <w:pPr>
        <w:pStyle w:val="ManualConsidrant"/>
        <w:rPr>
          <w:noProof/>
        </w:rPr>
      </w:pPr>
      <w:r>
        <w:t>(2)</w:t>
      </w:r>
      <w:r>
        <w:tab/>
      </w:r>
      <w:r>
        <w:rPr>
          <w:noProof/>
        </w:rPr>
        <w:t>In accordance with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(the ‘Parallel Agreement’).</w:t>
      </w:r>
    </w:p>
    <w:p>
      <w:pPr>
        <w:pStyle w:val="ManualConsidrant"/>
        <w:rPr>
          <w:noProof/>
        </w:rPr>
      </w:pPr>
      <w:r>
        <w:lastRenderedPageBreak/>
        <w:t>(3)</w:t>
      </w:r>
      <w:r>
        <w:tab/>
      </w:r>
      <w:r>
        <w:rPr>
          <w:noProof/>
        </w:rPr>
        <w:t>Directive 2007/46/EC of the European Parliament and of the Council</w:t>
      </w:r>
      <w:r>
        <w:rPr>
          <w:rStyle w:val="FootnoteReference"/>
          <w:noProof/>
        </w:rPr>
        <w:footnoteReference w:id="3"/>
      </w:r>
      <w:r>
        <w:rPr>
          <w:bCs/>
          <w:noProof/>
        </w:rPr>
        <w:t xml:space="preserve"> </w:t>
      </w:r>
      <w:r>
        <w:rPr>
          <w:noProof/>
        </w:rPr>
        <w:t>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(hereinafter referred to as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Considrant"/>
        <w:rPr>
          <w:noProof/>
        </w:rPr>
      </w:pPr>
      <w:r>
        <w:t>(4)</w:t>
      </w:r>
      <w:r>
        <w:tab/>
      </w:r>
      <w:r>
        <w:rPr>
          <w:noProof/>
        </w:rPr>
        <w:t>In the light of experience and technical developments, the requirements relating to certain elements or features covered by UN Regulations Nos. 7, 16, 37, 44, 45, 46, 48, 53, 78, 80, 83, 86, 87, 99, 105, 107, 110, 121, 128 and 129, as well as by UN Global Technical Regulations (GTRs) Nos. 15 and 16, need to be adapted to technical progress.</w:t>
      </w:r>
    </w:p>
    <w:p>
      <w:pPr>
        <w:pStyle w:val="ManualConsidrant"/>
        <w:rPr>
          <w:noProof/>
        </w:rPr>
      </w:pPr>
      <w:r>
        <w:t>(5)</w:t>
      </w:r>
      <w:r>
        <w:tab/>
      </w:r>
      <w:r>
        <w:rPr>
          <w:noProof/>
        </w:rPr>
        <w:t xml:space="preserve">In order to lay down uniform provisions concerning the approval of Heavy Duty Dual-Fuel Engine Retrofit Systems (HDDF-ERS), a new UN Regulation should be adopted. </w:t>
      </w:r>
    </w:p>
    <w:p>
      <w:pPr>
        <w:pStyle w:val="ManualConsidrant"/>
        <w:rPr>
          <w:noProof/>
        </w:rPr>
      </w:pPr>
      <w:r>
        <w:t>(6)</w:t>
      </w:r>
      <w:r>
        <w:tab/>
      </w:r>
      <w:r>
        <w:rPr>
          <w:noProof/>
        </w:rPr>
        <w:t>In order to lay down uniform technical provisions concerning the measurement procedure for two- or three-wheeled motor vehicles with regard to certain types of emissions and with regard to on-board diagnostics, respectively, two new GTRs should be adopted.</w:t>
      </w:r>
    </w:p>
    <w:p>
      <w:pPr>
        <w:pStyle w:val="ManualConsidrant"/>
        <w:rPr>
          <w:noProof/>
        </w:rPr>
      </w:pPr>
      <w:r>
        <w:t>(7)</w:t>
      </w:r>
      <w:r>
        <w:tab/>
      </w:r>
      <w:r>
        <w:rPr>
          <w:noProof/>
        </w:rPr>
        <w:t>In order to lay down uniform provisions concerning the common specification of light source categories, a new Resolution should be adopted (R.E. 4).</w:t>
      </w:r>
    </w:p>
    <w:p>
      <w:pPr>
        <w:pStyle w:val="ManualConsidrant"/>
        <w:rPr>
          <w:noProof/>
        </w:rPr>
      </w:pPr>
      <w:r>
        <w:t>(8)</w:t>
      </w:r>
      <w:r>
        <w:tab/>
      </w:r>
      <w:r>
        <w:rPr>
          <w:noProof/>
        </w:rPr>
        <w:t>It is appropriate to establish the position to be adopted on behalf of the Union within the relevant Committees of the UNECE, namely the Administrative Committee of the Revised 1958 Agreement and the Executive Committee of the Parallel Agreement, as regards the adoption of the UN acts referred to above,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within the Administrative Committee of the Revised 1958 Agreement and the Executive Committee of the Parallel Agreement during the period from 14 to 20 November 2016 shall be to vote in favour of the proposals listed in the Annex to this Decision.</w:t>
      </w:r>
    </w:p>
    <w:p>
      <w:pPr>
        <w:pStyle w:val="Titrearticle"/>
        <w:rPr>
          <w:noProof/>
        </w:rPr>
      </w:pPr>
      <w:r>
        <w:rPr>
          <w:noProof/>
        </w:rPr>
        <w:t>Article 2</w:t>
      </w:r>
    </w:p>
    <w:p>
      <w:pPr>
        <w:keepNext/>
        <w:keepLines/>
        <w:rPr>
          <w:noProof/>
        </w:rPr>
      </w:pPr>
      <w:r>
        <w:rPr>
          <w:noProof/>
        </w:rPr>
        <w:t>This Decision shall enter into force on the date of its adoption.</w:t>
      </w:r>
    </w:p>
    <w:p>
      <w:pPr>
        <w:pStyle w:val="Fait"/>
        <w:rPr>
          <w:noProof/>
        </w:rPr>
      </w:pPr>
      <w:r>
        <w:rPr>
          <w:noProof/>
        </w:rPr>
        <w:lastRenderedPageBreak/>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0A63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B4A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BE9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8E0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809F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D2C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C6D7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C5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9 12:37: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263EE9B284C43A192932F8125B4108D"/>
    <w:docVar w:name="LW_CROSSREFERENCE" w:val="&lt;UNUSED&gt;"/>
    <w:docVar w:name="LW_DocType" w:val="COM"/>
    <w:docVar w:name="LW_EMISSION" w:val="25.10.2016"/>
    <w:docVar w:name="LW_EMISSION_ISODATE" w:val="2016-10-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41"/>
    <w:docVar w:name="LW_REF.II.NEW.CP_YEAR" w:val="2016"/>
    <w:docVar w:name="LW_REF.INST.NEW" w:val="COM"/>
    <w:docVar w:name="LW_REF.INST.NEW_ADOPTED" w:val="final"/>
    <w:docVar w:name="LW_REF.INST.NEW_TEXT" w:val="(2016) 684"/>
    <w:docVar w:name="LW_REF.INTERNE" w:val="&lt;UNUSED&gt;"/>
    <w:docVar w:name="LW_SOUS.TITRE.OBJ.CP" w:val="&lt;UNUSED&gt;"/>
    <w:docVar w:name="LW_STATUT.CP" w:val="Proposal for a"/>
    <w:docVar w:name="LW_SUPERTITRE" w:val="&lt;UNUSED&gt;"/>
    <w:docVar w:name="LW_TITRE.OBJ.CP" w:val="establishing the position to be adopted on behalf of the European Union in the relevant Committees of the United Nations Economic Commission for Europe as regards the proposals for amendments to UN Regulations Nos. 7, 16, 37, 44, 45, 46, 48, 53, 78, 80, 83, 86, 87, 99, 105, 107, 110, 121, 128 and 129, one proposal for a new UN Regulation on Heavy Duty Dual-Fuel Engine Retrofit Systems (HDDF-ERS), the proposals for amendments to UN Global Technical Regulations 15 and 16, the proposals for two new UN Global Technical Regulations on the measurement procedure for two- or three-wheeled motor vehicles with regard to certain types of emissions and with regard to on-board diagnostics, respectively, and one proposal for a new Resolution on the common specification of light source categories (R.E.4)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0AF3-51C3-48AB-A470-63F0DC2C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1949</Words>
  <Characters>10799</Characters>
  <Application>Microsoft Office Word</Application>
  <DocSecurity>0</DocSecurity>
  <Lines>196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2016-10-05T14:04:00Z</cp:lastPrinted>
  <dcterms:created xsi:type="dcterms:W3CDTF">2016-10-05T14:05:00Z</dcterms:created>
  <dcterms:modified xsi:type="dcterms:W3CDTF">2016-10-19T10:37:00Z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