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003" w:rsidRDefault="00D561D5">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4AEAF282D5D4531B5A0C9A09B2257AD" style="width:450.75pt;height:489pt">
            <v:imagedata r:id="rId9" o:title=""/>
          </v:shape>
        </w:pict>
      </w:r>
    </w:p>
    <w:p w:rsidR="003F5003" w:rsidRDefault="003F5003">
      <w:pPr>
        <w:rPr>
          <w:noProof/>
        </w:rPr>
        <w:sectPr w:rsidR="003F5003" w:rsidSect="00D561D5">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3F5003" w:rsidRDefault="00D561D5">
      <w:pPr>
        <w:pStyle w:val="Exposdesmotifstitre"/>
        <w:rPr>
          <w:noProof/>
        </w:rPr>
      </w:pPr>
      <w:r>
        <w:rPr>
          <w:noProof/>
        </w:rPr>
        <w:lastRenderedPageBreak/>
        <w:t>EXPOSÉ DES MOTIFS</w:t>
      </w:r>
    </w:p>
    <w:p w:rsidR="003F5003" w:rsidRDefault="00D561D5">
      <w:pPr>
        <w:pStyle w:val="ManualHeading1"/>
        <w:rPr>
          <w:noProof/>
        </w:rPr>
      </w:pPr>
      <w:r>
        <w:rPr>
          <w:noProof/>
        </w:rPr>
        <w:t>1.</w:t>
      </w:r>
      <w:r>
        <w:rPr>
          <w:noProof/>
        </w:rPr>
        <w:tab/>
        <w:t>CONTEXTE DE LA PROPOSITION</w:t>
      </w:r>
    </w:p>
    <w:p w:rsidR="003F5003" w:rsidRDefault="00D561D5">
      <w:pPr>
        <w:pStyle w:val="ManualHeading2"/>
        <w:rPr>
          <w:rFonts w:eastAsia="Arial Unicode MS"/>
          <w:noProof/>
        </w:rPr>
      </w:pPr>
      <w:r>
        <w:rPr>
          <w:noProof/>
          <w:color w:val="000000"/>
          <w:u w:color="000000"/>
          <w:bdr w:val="nil"/>
        </w:rPr>
        <w:t>•</w:t>
      </w:r>
      <w:r>
        <w:rPr>
          <w:noProof/>
        </w:rPr>
        <w:tab/>
        <w:t>Justification et objectifs de la proposition</w:t>
      </w:r>
    </w:p>
    <w:p w:rsidR="003F5003" w:rsidRDefault="00D561D5">
      <w:pPr>
        <w:rPr>
          <w:noProof/>
        </w:rPr>
      </w:pPr>
      <w:r>
        <w:rPr>
          <w:noProof/>
        </w:rPr>
        <w:t>Au niveau</w:t>
      </w:r>
      <w:r>
        <w:rPr>
          <w:noProof/>
        </w:rPr>
        <w:t xml:space="preserve"> international, la Commission économique pour l’Europe des Nations unies (CEE-ONU) élabore des prescriptions harmonisées ayant pour objet d’éliminer les entraves techniques au commerce des véhicules à moteur entre les parties contractantes à l’accord de 19</w:t>
      </w:r>
      <w:r>
        <w:rPr>
          <w:noProof/>
        </w:rPr>
        <w:t>58 révisé et d’assurer que lesdits véhicules offrent un niveau élevé de sécurité et de protection de l’environnement.</w:t>
      </w:r>
    </w:p>
    <w:p w:rsidR="003F5003" w:rsidRDefault="00D561D5">
      <w:pPr>
        <w:rPr>
          <w:noProof/>
        </w:rPr>
      </w:pPr>
      <w:r>
        <w:rPr>
          <w:noProof/>
        </w:rPr>
        <w:t>Conformément à la décision 97/836/CE du Conseil du 27 novembre 1997, l’Union a adhéré à l’accord de la Commission économique pour l’Europe</w:t>
      </w:r>
      <w:r>
        <w:rPr>
          <w:noProof/>
        </w:rPr>
        <w:t xml:space="preserve"> des Nations Unies («CEE-ONU») concernant l’adoption de prescriptions techniques uniformes applicables aux véhicules à roues, aux équipements et aux pièces susceptibles d’être montés ou utilisés sur un véhicule à roues et les conditions de reconnaissance r</w:t>
      </w:r>
      <w:r>
        <w:rPr>
          <w:noProof/>
        </w:rPr>
        <w:t>éciproque des homologations délivrées conformément à ces prescriptions («accord de 1958 révisé») et, conformément à la décision 2000/125/CE du Conseil du 31 janvier 2000 relative à la conclusion de l’accord concernant l’établissement de règlements techniqu</w:t>
      </w:r>
      <w:r>
        <w:rPr>
          <w:noProof/>
        </w:rPr>
        <w:t>es mondiaux applicables aux véhicules à roues ainsi qu’aux équipements et pièces qui peuvent être montés et/ou utilisés sur les véhicules à roues («accord parallèle»), l’Union a adhéré à l’accord parallèle.</w:t>
      </w:r>
    </w:p>
    <w:p w:rsidR="003F5003" w:rsidRDefault="00D561D5">
      <w:pPr>
        <w:rPr>
          <w:noProof/>
        </w:rPr>
      </w:pPr>
      <w:r>
        <w:rPr>
          <w:noProof/>
        </w:rPr>
        <w:t xml:space="preserve">Les réunions du Forum mondial de l’harmonisation </w:t>
      </w:r>
      <w:r>
        <w:rPr>
          <w:noProof/>
        </w:rPr>
        <w:t>des règlements concernant les véhicules de la CEE-ONU (WP.29) ont lieu trois fois par an, en mars, en juin et en novembre. À chaque réunion, de nouveaux règlements de l’ONU et des amendements aux règlements ou aux règlements techniques mondiaux (RTM) de l’</w:t>
      </w:r>
      <w:r>
        <w:rPr>
          <w:noProof/>
        </w:rPr>
        <w:t>ONU en vigueur sont adoptés afin de tenir compte du progrès technique. Ces amendements sont adoptés par l’un des six groupes de travail du WP.29 préalablement à chacune de ses réunions.</w:t>
      </w:r>
    </w:p>
    <w:p w:rsidR="003F5003" w:rsidRDefault="00D561D5">
      <w:pPr>
        <w:rPr>
          <w:noProof/>
        </w:rPr>
      </w:pPr>
      <w:r>
        <w:rPr>
          <w:noProof/>
        </w:rPr>
        <w:t>Au cours d’une réunion postérieure du WP.29, les amendements, les comp</w:t>
      </w:r>
      <w:r>
        <w:rPr>
          <w:noProof/>
        </w:rPr>
        <w:t>léments et les rectificatifs sont soumis au vote final si le quorum est atteint et si une majorité qualifiée se dégage parmi les parties contractantes. Dans le cadre du WP.29, l’UE est partie à deux accords (l’accord de 1958 et celui de 1998). Une décision</w:t>
      </w:r>
      <w:r>
        <w:rPr>
          <w:noProof/>
        </w:rPr>
        <w:t xml:space="preserve"> du Conseil, appelée «mégadécision», contenant la liste des règlements, des amendements, des compléments et des rectificatifs, est préparée pour chaque réunion du WP.29 et autorise la Commission à voter au nom de l’Union.</w:t>
      </w:r>
    </w:p>
    <w:p w:rsidR="003F5003" w:rsidRDefault="00D561D5">
      <w:pPr>
        <w:rPr>
          <w:noProof/>
        </w:rPr>
      </w:pPr>
      <w:r>
        <w:rPr>
          <w:noProof/>
        </w:rPr>
        <w:t>La présente décision du Conseil dé</w:t>
      </w:r>
      <w:r>
        <w:rPr>
          <w:noProof/>
        </w:rPr>
        <w:t>finit la position de l’Union concernant les règlements, les amendements, les compléments et les rectificatifs qui seront soumis au vote lors de la réunion de novembre 2016 du WP.29, prévue du 14 au 20 novembre 2016.</w:t>
      </w:r>
    </w:p>
    <w:p w:rsidR="003F5003" w:rsidRDefault="00D561D5">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w:t>
      </w:r>
      <w:r>
        <w:rPr>
          <w:noProof/>
        </w:rPr>
        <w:t>ntes dans le domaine d’action</w:t>
      </w:r>
    </w:p>
    <w:p w:rsidR="003F5003" w:rsidRDefault="00D561D5">
      <w:pPr>
        <w:rPr>
          <w:noProof/>
        </w:rPr>
      </w:pPr>
      <w:r>
        <w:rPr>
          <w:noProof/>
        </w:rPr>
        <w:t>La présente proposition complète et est parfaitement cohérente avec la politique du marché intérieur européenne en ce qui concerne l’industrie automobile.</w:t>
      </w:r>
    </w:p>
    <w:p w:rsidR="003F5003" w:rsidRDefault="00D561D5">
      <w:pPr>
        <w:rPr>
          <w:noProof/>
        </w:rPr>
      </w:pPr>
      <w:r>
        <w:rPr>
          <w:noProof/>
        </w:rPr>
        <w:t>Le système WP.29 renforce l’harmonisation internationale des normes pou</w:t>
      </w:r>
      <w:r>
        <w:rPr>
          <w:noProof/>
        </w:rPr>
        <w:t>r les véhicules. L’accord de 1958 révisé joue un rôle clé dans la réalisation de cet objectif dans la mesure où il permet aux constructeurs de l’UE de s’appuyer sur un ensemble commun de règlements relatifs à la réception par type, sachant que leurs produi</w:t>
      </w:r>
      <w:r>
        <w:rPr>
          <w:noProof/>
        </w:rPr>
        <w:t>ts seront reconnus par les parties contractantes comme étant conformes à leur législation nationale. Ce régime a permis que le règlement (CE) nº 661/2009 relatif à la sécurité générale des véhicules à moteur abroge plus de 50 directives de l’UE et les remp</w:t>
      </w:r>
      <w:r>
        <w:rPr>
          <w:noProof/>
        </w:rPr>
        <w:t>lace par les règlements correspondants élaborés dans le cadre de l’accord de 1958.</w:t>
      </w:r>
    </w:p>
    <w:p w:rsidR="003F5003" w:rsidRDefault="00D561D5">
      <w:pPr>
        <w:rPr>
          <w:noProof/>
        </w:rPr>
      </w:pPr>
      <w:r>
        <w:rPr>
          <w:noProof/>
        </w:rPr>
        <w:lastRenderedPageBreak/>
        <w:t>Une démarche similaire a été suivie avec la directive 2007/46/CE, qui a remplacé les systèmes de réception des États membres par une procédure de réception de l’Union et éta</w:t>
      </w:r>
      <w:r>
        <w:rPr>
          <w:noProof/>
        </w:rPr>
        <w:t>bli un cadre harmonisé contenant des dispositions administratives et des prescriptions techniques générales pour tous les nouveaux véhicules, systèmes, composants et entités techniques distinctes. Ladite directive a intégré des règlements de l’Organisation</w:t>
      </w:r>
      <w:r>
        <w:rPr>
          <w:noProof/>
        </w:rPr>
        <w:t xml:space="preserve"> des Nations unies (ONU) dans le système de réception UE par type, soit en tant que prescriptions pour la réception par type, soit en tant qu’alternatives à la législation de l’Union. Depuis l’adoption de cette directive, les règlements de l’ONU ont été in</w:t>
      </w:r>
      <w:r>
        <w:rPr>
          <w:noProof/>
        </w:rPr>
        <w:t>corporés progressivement dans la législation de l’Union dans le cadre de la réception UE par type.</w:t>
      </w:r>
    </w:p>
    <w:p w:rsidR="003F5003" w:rsidRDefault="00D561D5">
      <w:pPr>
        <w:pStyle w:val="ManualHeading2"/>
        <w:rPr>
          <w:rFonts w:eastAsia="Arial Unicode MS"/>
          <w:noProof/>
        </w:rPr>
      </w:pPr>
      <w:r>
        <w:rPr>
          <w:noProof/>
          <w:color w:val="000000"/>
          <w:u w:color="000000"/>
          <w:bdr w:val="nil"/>
        </w:rPr>
        <w:t>•</w:t>
      </w:r>
      <w:r>
        <w:rPr>
          <w:noProof/>
        </w:rPr>
        <w:tab/>
        <w:t>Cohérence avec les autres politiques de l’Union</w:t>
      </w:r>
    </w:p>
    <w:p w:rsidR="003F5003" w:rsidRDefault="00D561D5">
      <w:pPr>
        <w:rPr>
          <w:noProof/>
        </w:rPr>
      </w:pPr>
      <w:r>
        <w:rPr>
          <w:noProof/>
        </w:rPr>
        <w:t>Le système WP.29 est lié à la politique de l’Union concernant la compétitivité, sur laquelle la présente in</w:t>
      </w:r>
      <w:r>
        <w:rPr>
          <w:noProof/>
        </w:rPr>
        <w:t>itiative a une incidence positive. La présente proposition est également cohérente avec les politiques de l’Union dans les domaines des transports et de l’énergie, qui sont dûment prises en compte dans le processus de rédaction et d’adoption des règlements</w:t>
      </w:r>
      <w:r>
        <w:rPr>
          <w:noProof/>
        </w:rPr>
        <w:t xml:space="preserve"> de l’ONU relevant de l’accord de 1958.</w:t>
      </w:r>
    </w:p>
    <w:p w:rsidR="003F5003" w:rsidRDefault="00D561D5">
      <w:pPr>
        <w:pStyle w:val="ManualHeading1"/>
        <w:rPr>
          <w:noProof/>
        </w:rPr>
      </w:pPr>
      <w:r>
        <w:rPr>
          <w:noProof/>
        </w:rPr>
        <w:t>2.</w:t>
      </w:r>
      <w:r>
        <w:rPr>
          <w:noProof/>
        </w:rPr>
        <w:tab/>
        <w:t>BASE JURIDIQUE, SUBSIDIARITÉ ET PROPORTIONNALITÉ</w:t>
      </w:r>
    </w:p>
    <w:p w:rsidR="003F5003" w:rsidRDefault="00D561D5">
      <w:pPr>
        <w:pStyle w:val="ManualHeading2"/>
        <w:rPr>
          <w:rFonts w:eastAsia="Arial Unicode MS"/>
          <w:noProof/>
          <w:u w:color="000000"/>
          <w:bdr w:val="nil"/>
        </w:rPr>
      </w:pPr>
      <w:r>
        <w:rPr>
          <w:noProof/>
        </w:rPr>
        <w:t>•</w:t>
      </w:r>
      <w:r>
        <w:rPr>
          <w:noProof/>
        </w:rPr>
        <w:tab/>
        <w:t>Base juridique</w:t>
      </w:r>
    </w:p>
    <w:p w:rsidR="003F5003" w:rsidRDefault="00D561D5">
      <w:pPr>
        <w:rPr>
          <w:rFonts w:eastAsia="Arial Unicode MS"/>
          <w:noProof/>
        </w:rPr>
      </w:pPr>
      <w:r>
        <w:rPr>
          <w:noProof/>
        </w:rPr>
        <w:t xml:space="preserve">La base juridique de la présente proposition est l’article 114, en liaison avec l’article 218, paragraphe 9, du traité sur le fonctionnement de </w:t>
      </w:r>
      <w:r>
        <w:rPr>
          <w:noProof/>
        </w:rPr>
        <w:t>l’Union européenne.</w:t>
      </w:r>
    </w:p>
    <w:p w:rsidR="003F5003" w:rsidRDefault="00D561D5">
      <w:pPr>
        <w:pStyle w:val="ManualHeading2"/>
        <w:rPr>
          <w:rFonts w:eastAsia="Arial Unicode MS"/>
          <w:noProof/>
          <w:u w:color="000000"/>
          <w:bdr w:val="nil"/>
        </w:rPr>
      </w:pPr>
      <w:r>
        <w:rPr>
          <w:noProof/>
        </w:rPr>
        <w:t>•</w:t>
      </w:r>
      <w:r>
        <w:rPr>
          <w:noProof/>
        </w:rPr>
        <w:tab/>
        <w:t>Subsidiarité</w:t>
      </w:r>
    </w:p>
    <w:p w:rsidR="003F5003" w:rsidRDefault="00D561D5">
      <w:pPr>
        <w:rPr>
          <w:noProof/>
        </w:rPr>
      </w:pPr>
      <w:r>
        <w:rPr>
          <w:noProof/>
        </w:rPr>
        <w:t>Le vote en faveur d’instruments internationaux comme les propositions de règlements de l’ONU, d’amendements aux règlements et projets de règlements techniques mondiaux de l’ONU et de leur intégration au système de l’Union</w:t>
      </w:r>
      <w:r>
        <w:rPr>
          <w:noProof/>
        </w:rPr>
        <w:t xml:space="preserve"> pour la réception par type des véhicules à moteur ne peut être exprimé que par l’Union. Cette façon de procéder empêche la fragmentation du marché intérieur, tout en garantissant des normes équivalentes en matière d’environnement et de sécurité dans toute</w:t>
      </w:r>
      <w:r>
        <w:rPr>
          <w:noProof/>
        </w:rPr>
        <w:t xml:space="preserve"> l’UE. Il en résulte également des avantages liés aux économies d’échelle: les produits peuvent être conçus pour l’ensemble du marché de l’Union, voire pour le marché international, au lieu de devoir être adaptés pour obtenir une réception nationale par ty</w:t>
      </w:r>
      <w:r>
        <w:rPr>
          <w:noProof/>
        </w:rPr>
        <w:t>pe dans chaque État membre.</w:t>
      </w:r>
    </w:p>
    <w:p w:rsidR="003F5003" w:rsidRDefault="00D561D5">
      <w:pPr>
        <w:rPr>
          <w:noProof/>
        </w:rPr>
      </w:pPr>
      <w:r>
        <w:rPr>
          <w:noProof/>
        </w:rPr>
        <w:t>Cette proposition est donc conforme au principe de subsidiarité.</w:t>
      </w:r>
    </w:p>
    <w:p w:rsidR="003F5003" w:rsidRDefault="00D561D5">
      <w:pPr>
        <w:pStyle w:val="ManualHeading2"/>
        <w:rPr>
          <w:rFonts w:eastAsia="Arial Unicode MS"/>
          <w:noProof/>
          <w:u w:color="000000"/>
          <w:bdr w:val="nil"/>
        </w:rPr>
      </w:pPr>
      <w:r>
        <w:rPr>
          <w:noProof/>
        </w:rPr>
        <w:t>•</w:t>
      </w:r>
      <w:r>
        <w:rPr>
          <w:noProof/>
        </w:rPr>
        <w:tab/>
        <w:t>Proportionnalité</w:t>
      </w:r>
    </w:p>
    <w:p w:rsidR="003F5003" w:rsidRDefault="00D561D5">
      <w:pPr>
        <w:pBdr>
          <w:top w:val="nil"/>
          <w:left w:val="nil"/>
          <w:bottom w:val="nil"/>
          <w:right w:val="nil"/>
          <w:between w:val="nil"/>
          <w:bar w:val="nil"/>
        </w:pBdr>
        <w:spacing w:before="0" w:after="240"/>
        <w:rPr>
          <w:rFonts w:eastAsia="Arial Unicode MS"/>
          <w:noProof/>
        </w:rPr>
      </w:pPr>
      <w:r>
        <w:rPr>
          <w:noProof/>
        </w:rPr>
        <w:t>La présente décision du Conseil autorise la Commission à voter au nom de l’Union et est l’instrument proportionné, conformément à l’article 5, p</w:t>
      </w:r>
      <w:r>
        <w:rPr>
          <w:noProof/>
        </w:rPr>
        <w:t>aragraphe 1, de la décision 97/836/CE du Conseil, pour définir une position unifiée de l’UE au sein de la CEE-ONU en ce qui concerne le vote sur les documents de travail proposés à l’ordre du jour de la réunion du WP.29. Par conséquent, la présente proposi</w:t>
      </w:r>
      <w:r>
        <w:rPr>
          <w:noProof/>
        </w:rPr>
        <w:t>tion est conforme au principe de proportionnalité car elle ne va pas au-delà de ce qui est nécessaire pour atteindre l’objectif d’assurer le bon fonctionnement du marché intérieur tout en garantissant en même temps un niveau élevé de sécurité et de protect</w:t>
      </w:r>
      <w:r>
        <w:rPr>
          <w:noProof/>
        </w:rPr>
        <w:t>ion publiques.</w:t>
      </w:r>
    </w:p>
    <w:p w:rsidR="003F5003" w:rsidRDefault="00D561D5">
      <w:pPr>
        <w:pStyle w:val="ManualHeading2"/>
        <w:rPr>
          <w:rFonts w:eastAsia="Arial Unicode MS"/>
          <w:noProof/>
          <w:u w:color="000000"/>
          <w:bdr w:val="nil"/>
        </w:rPr>
      </w:pPr>
      <w:r>
        <w:rPr>
          <w:noProof/>
        </w:rPr>
        <w:t>•</w:t>
      </w:r>
      <w:r>
        <w:rPr>
          <w:noProof/>
        </w:rPr>
        <w:tab/>
        <w:t>Choix de l’instrument</w:t>
      </w:r>
    </w:p>
    <w:p w:rsidR="003F5003" w:rsidRDefault="00D561D5">
      <w:pPr>
        <w:rPr>
          <w:noProof/>
        </w:rPr>
      </w:pPr>
      <w:r>
        <w:rPr>
          <w:noProof/>
        </w:rPr>
        <w:t>Le recours à une décision du Conseil est requis par l’article 218, paragraphe 9, du TFUE aux fins d’établir les positions à adopter au nom de l’Union au sein d’une instance créée par un accord international.</w:t>
      </w:r>
    </w:p>
    <w:p w:rsidR="003F5003" w:rsidRDefault="00D561D5">
      <w:pPr>
        <w:pStyle w:val="ManualHeading1"/>
        <w:rPr>
          <w:noProof/>
        </w:rPr>
      </w:pPr>
      <w:r>
        <w:rPr>
          <w:noProof/>
        </w:rPr>
        <w:lastRenderedPageBreak/>
        <w:t>3.</w:t>
      </w:r>
      <w:r>
        <w:rPr>
          <w:noProof/>
        </w:rPr>
        <w:tab/>
        <w:t>RÉSULT</w:t>
      </w:r>
      <w:r>
        <w:rPr>
          <w:noProof/>
        </w:rPr>
        <w:t>ATS DES ÉVALUATIONS EX POST, DES CONSULTATIONS DES PARTIES INTÉRESSÉES ET DES ANALYSES D’IMPACT</w:t>
      </w:r>
    </w:p>
    <w:p w:rsidR="003F5003" w:rsidRDefault="00D561D5">
      <w:pPr>
        <w:pStyle w:val="ManualHeading2"/>
        <w:rPr>
          <w:rFonts w:eastAsia="Arial Unicode MS"/>
          <w:noProof/>
          <w:u w:color="000000"/>
          <w:bdr w:val="nil"/>
        </w:rPr>
      </w:pPr>
      <w:r>
        <w:rPr>
          <w:noProof/>
        </w:rPr>
        <w:t>•</w:t>
      </w:r>
      <w:r>
        <w:rPr>
          <w:noProof/>
        </w:rPr>
        <w:tab/>
        <w:t>Évaluations ex post/bilans de qualité de la législation existante</w:t>
      </w:r>
    </w:p>
    <w:p w:rsidR="003F5003" w:rsidRDefault="00D561D5">
      <w:pPr>
        <w:rPr>
          <w:noProof/>
        </w:rPr>
      </w:pPr>
      <w:r>
        <w:rPr>
          <w:noProof/>
        </w:rPr>
        <w:t>Sans objet.</w:t>
      </w:r>
    </w:p>
    <w:p w:rsidR="003F5003" w:rsidRDefault="00D561D5">
      <w:pPr>
        <w:pStyle w:val="ManualHeading2"/>
        <w:rPr>
          <w:rFonts w:eastAsia="Arial Unicode MS"/>
          <w:noProof/>
          <w:u w:color="000000"/>
          <w:bdr w:val="nil"/>
        </w:rPr>
      </w:pPr>
      <w:r>
        <w:rPr>
          <w:noProof/>
        </w:rPr>
        <w:t>•</w:t>
      </w:r>
      <w:r>
        <w:rPr>
          <w:noProof/>
        </w:rPr>
        <w:tab/>
        <w:t>Consultation des parties intéressées</w:t>
      </w:r>
    </w:p>
    <w:p w:rsidR="003F5003" w:rsidRDefault="00D561D5">
      <w:pPr>
        <w:rPr>
          <w:noProof/>
        </w:rPr>
      </w:pPr>
      <w:r>
        <w:rPr>
          <w:noProof/>
        </w:rPr>
        <w:t>Sans objet.</w:t>
      </w:r>
    </w:p>
    <w:p w:rsidR="003F5003" w:rsidRDefault="00D561D5">
      <w:pPr>
        <w:pStyle w:val="ManualHeading2"/>
        <w:rPr>
          <w:rFonts w:eastAsia="Arial Unicode MS"/>
          <w:noProof/>
          <w:u w:color="000000"/>
          <w:bdr w:val="nil"/>
        </w:rPr>
      </w:pPr>
      <w:r>
        <w:rPr>
          <w:noProof/>
        </w:rPr>
        <w:t>•</w:t>
      </w:r>
      <w:r>
        <w:rPr>
          <w:noProof/>
        </w:rPr>
        <w:tab/>
        <w:t>Obtention et utilisation d’</w:t>
      </w:r>
      <w:r>
        <w:rPr>
          <w:noProof/>
        </w:rPr>
        <w:t>expertise</w:t>
      </w:r>
    </w:p>
    <w:p w:rsidR="003F5003" w:rsidRDefault="00D561D5">
      <w:pPr>
        <w:rPr>
          <w:noProof/>
        </w:rPr>
      </w:pPr>
      <w:r>
        <w:rPr>
          <w:noProof/>
        </w:rPr>
        <w:t>Une expertise externe n’est pas pertinente dans le cas de la présente proposition. Celle-ci a cependant été examinée par le comité technique pour les véhicules à moteur.</w:t>
      </w:r>
    </w:p>
    <w:p w:rsidR="003F5003" w:rsidRDefault="00D561D5">
      <w:pPr>
        <w:pStyle w:val="ManualHeading2"/>
        <w:rPr>
          <w:rFonts w:eastAsia="Arial Unicode MS"/>
          <w:noProof/>
          <w:u w:color="000000"/>
          <w:bdr w:val="nil"/>
        </w:rPr>
      </w:pPr>
      <w:r>
        <w:rPr>
          <w:noProof/>
        </w:rPr>
        <w:t>•</w:t>
      </w:r>
      <w:r>
        <w:rPr>
          <w:noProof/>
        </w:rPr>
        <w:tab/>
        <w:t>Analyse d’impact</w:t>
      </w:r>
    </w:p>
    <w:p w:rsidR="003F5003" w:rsidRDefault="00D561D5">
      <w:pPr>
        <w:rPr>
          <w:noProof/>
        </w:rPr>
      </w:pPr>
      <w:r>
        <w:rPr>
          <w:noProof/>
        </w:rPr>
        <w:t>La présente proposition ne peut faire l’objet d’une analy</w:t>
      </w:r>
      <w:r>
        <w:rPr>
          <w:noProof/>
        </w:rPr>
        <w:t>se d’impact vu qu’elle n’est pas de nature législative et que des options stratégiques alternatives ne sont pas disponibles ou possibles.</w:t>
      </w:r>
    </w:p>
    <w:p w:rsidR="003F5003" w:rsidRDefault="00D561D5">
      <w:pPr>
        <w:pStyle w:val="ManualHeading2"/>
        <w:rPr>
          <w:rFonts w:eastAsia="Arial Unicode MS"/>
          <w:noProof/>
          <w:u w:color="000000"/>
          <w:bdr w:val="nil"/>
        </w:rPr>
      </w:pPr>
      <w:r>
        <w:rPr>
          <w:noProof/>
        </w:rPr>
        <w:t>•</w:t>
      </w:r>
      <w:r>
        <w:rPr>
          <w:noProof/>
        </w:rPr>
        <w:tab/>
        <w:t>Réglementation affûtée et simplification</w:t>
      </w:r>
    </w:p>
    <w:p w:rsidR="003F5003" w:rsidRDefault="00D561D5">
      <w:pPr>
        <w:rPr>
          <w:noProof/>
        </w:rPr>
      </w:pPr>
      <w:r>
        <w:rPr>
          <w:noProof/>
        </w:rPr>
        <w:t>L’initiative n’a pas de répercussions sur la charge administrative, car les</w:t>
      </w:r>
      <w:r>
        <w:rPr>
          <w:noProof/>
        </w:rPr>
        <w:t xml:space="preserve"> références de textes modifiés annexées à la mégadécision n’introduiront pas de nouvelles obligations administratives de déclaration ou autres pour les entreprises, y compris les PME. Au contraire, la réduction de la charge administrative fait partie des o</w:t>
      </w:r>
      <w:r>
        <w:rPr>
          <w:noProof/>
        </w:rPr>
        <w:t>bjectifs, car l’application de prescriptions harmonisées à l’échelle mondiale permet aux constructeurs de présenter le dossier de réception des systèmes et composants non seulement dans l’UE mais également sur les marchés d’exportation des parties contract</w:t>
      </w:r>
      <w:r>
        <w:rPr>
          <w:noProof/>
        </w:rPr>
        <w:t>antes à l’accord de 1958 qui ne font pas partie de l’UE.</w:t>
      </w:r>
    </w:p>
    <w:p w:rsidR="003F5003" w:rsidRDefault="00D561D5">
      <w:pPr>
        <w:rPr>
          <w:noProof/>
        </w:rPr>
      </w:pPr>
      <w:r>
        <w:rPr>
          <w:noProof/>
        </w:rPr>
        <w:t>La proposition a un effet très positif sur la compétitivité du secteur automobile et sur le commerce international de l’UE. L’acceptation, par les partenaires commerciaux de l’UE, des règlements harm</w:t>
      </w:r>
      <w:r>
        <w:rPr>
          <w:noProof/>
        </w:rPr>
        <w:t>onisés au niveau international sur les véhicules est reconnue comme la meilleure manière d’éliminer les barrières non tarifaires au commerce et d’ouvrir ou d’élargir l’accès au marché pour les entreprises du secteur automobile de l’UE.</w:t>
      </w:r>
    </w:p>
    <w:p w:rsidR="003F5003" w:rsidRDefault="00D561D5">
      <w:pPr>
        <w:pStyle w:val="ManualHeading2"/>
        <w:rPr>
          <w:rFonts w:eastAsia="Arial Unicode MS"/>
          <w:noProof/>
          <w:u w:color="000000"/>
          <w:bdr w:val="nil"/>
        </w:rPr>
      </w:pPr>
      <w:r>
        <w:rPr>
          <w:noProof/>
        </w:rPr>
        <w:t>•</w:t>
      </w:r>
      <w:r>
        <w:rPr>
          <w:noProof/>
        </w:rPr>
        <w:tab/>
        <w:t>Droits fondamentau</w:t>
      </w:r>
      <w:r>
        <w:rPr>
          <w:noProof/>
        </w:rPr>
        <w:t>x</w:t>
      </w:r>
    </w:p>
    <w:p w:rsidR="003F5003" w:rsidRDefault="00D561D5">
      <w:pPr>
        <w:rPr>
          <w:noProof/>
        </w:rPr>
      </w:pPr>
      <w:r>
        <w:rPr>
          <w:noProof/>
        </w:rPr>
        <w:t>La proposition n’a pas de conséquences pour la protection des droits fondamentaux.</w:t>
      </w:r>
    </w:p>
    <w:p w:rsidR="003F5003" w:rsidRDefault="00D561D5">
      <w:pPr>
        <w:pStyle w:val="ManualHeading1"/>
        <w:rPr>
          <w:noProof/>
        </w:rPr>
      </w:pPr>
      <w:r>
        <w:rPr>
          <w:noProof/>
        </w:rPr>
        <w:t>4.</w:t>
      </w:r>
      <w:r>
        <w:rPr>
          <w:noProof/>
        </w:rPr>
        <w:tab/>
        <w:t>INCIDENCE BUDGÉTAIRE</w:t>
      </w:r>
    </w:p>
    <w:p w:rsidR="003F5003" w:rsidRDefault="00D561D5">
      <w:pPr>
        <w:rPr>
          <w:noProof/>
        </w:rPr>
      </w:pPr>
      <w:r>
        <w:rPr>
          <w:noProof/>
        </w:rPr>
        <w:t>La présente initiative n’a aucune incidence budgétaire.</w:t>
      </w:r>
    </w:p>
    <w:p w:rsidR="003F5003" w:rsidRDefault="00D561D5">
      <w:pPr>
        <w:pStyle w:val="ManualHeading1"/>
        <w:rPr>
          <w:noProof/>
        </w:rPr>
      </w:pPr>
      <w:r>
        <w:rPr>
          <w:noProof/>
        </w:rPr>
        <w:t>5.</w:t>
      </w:r>
      <w:r>
        <w:rPr>
          <w:noProof/>
        </w:rPr>
        <w:tab/>
        <w:t>AUTRES ÉLÉMENTS</w:t>
      </w:r>
    </w:p>
    <w:p w:rsidR="003F5003" w:rsidRDefault="00D561D5">
      <w:pPr>
        <w:pStyle w:val="ManualHeading2"/>
        <w:rPr>
          <w:rFonts w:eastAsia="Arial Unicode MS"/>
          <w:noProof/>
          <w:u w:color="000000"/>
          <w:bdr w:val="nil"/>
        </w:rPr>
      </w:pPr>
      <w:r>
        <w:rPr>
          <w:noProof/>
        </w:rPr>
        <w:t>•</w:t>
      </w:r>
      <w:r>
        <w:rPr>
          <w:noProof/>
        </w:rPr>
        <w:tab/>
        <w:t xml:space="preserve">Plans de mise en œuvre et modalités de suivi, d’évaluation et </w:t>
      </w:r>
      <w:r>
        <w:rPr>
          <w:noProof/>
        </w:rPr>
        <w:t>d’information</w:t>
      </w:r>
    </w:p>
    <w:p w:rsidR="003F5003" w:rsidRDefault="00D561D5">
      <w:pPr>
        <w:rPr>
          <w:noProof/>
        </w:rPr>
      </w:pPr>
      <w:r>
        <w:rPr>
          <w:noProof/>
        </w:rPr>
        <w:t>Sans objet.</w:t>
      </w:r>
    </w:p>
    <w:p w:rsidR="003F5003" w:rsidRDefault="00D561D5">
      <w:pPr>
        <w:pStyle w:val="ManualHeading2"/>
        <w:rPr>
          <w:rFonts w:eastAsia="Arial Unicode MS"/>
          <w:noProof/>
          <w:u w:color="000000"/>
          <w:bdr w:val="nil"/>
        </w:rPr>
      </w:pPr>
      <w:r>
        <w:rPr>
          <w:noProof/>
        </w:rPr>
        <w:t>•</w:t>
      </w:r>
      <w:r>
        <w:rPr>
          <w:noProof/>
        </w:rPr>
        <w:tab/>
        <w:t>Documents explicatifs (pour les directives)</w:t>
      </w:r>
    </w:p>
    <w:p w:rsidR="003F5003" w:rsidRDefault="00D561D5">
      <w:pPr>
        <w:rPr>
          <w:noProof/>
        </w:rPr>
      </w:pPr>
      <w:r>
        <w:rPr>
          <w:noProof/>
        </w:rPr>
        <w:t>Sans objet.</w:t>
      </w:r>
    </w:p>
    <w:p w:rsidR="003F5003" w:rsidRDefault="00D561D5">
      <w:pPr>
        <w:pStyle w:val="ManualHeading2"/>
        <w:rPr>
          <w:rFonts w:eastAsia="Arial Unicode MS"/>
          <w:noProof/>
          <w:u w:color="000000"/>
          <w:bdr w:val="nil"/>
        </w:rPr>
      </w:pPr>
      <w:r>
        <w:rPr>
          <w:noProof/>
        </w:rPr>
        <w:t>•</w:t>
      </w:r>
      <w:r>
        <w:rPr>
          <w:noProof/>
        </w:rPr>
        <w:tab/>
        <w:t>Explication détaillée des différentes dispositions de la proposition</w:t>
      </w:r>
    </w:p>
    <w:p w:rsidR="003F5003" w:rsidRDefault="00D561D5">
      <w:pPr>
        <w:keepNext/>
        <w:rPr>
          <w:noProof/>
        </w:rPr>
      </w:pPr>
      <w:r>
        <w:rPr>
          <w:noProof/>
        </w:rPr>
        <w:t>La proposition définit la position de l’Union sur le vote:</w:t>
      </w:r>
    </w:p>
    <w:p w:rsidR="003F5003" w:rsidRDefault="00D561D5">
      <w:pPr>
        <w:pStyle w:val="Tiret0"/>
        <w:numPr>
          <w:ilvl w:val="0"/>
          <w:numId w:val="10"/>
        </w:numPr>
        <w:rPr>
          <w:noProof/>
        </w:rPr>
      </w:pPr>
      <w:r>
        <w:rPr>
          <w:noProof/>
        </w:rPr>
        <w:t>des amendements aux règlements n</w:t>
      </w:r>
      <w:r>
        <w:rPr>
          <w:noProof/>
          <w:vertAlign w:val="superscript"/>
        </w:rPr>
        <w:t>os</w:t>
      </w:r>
      <w:r>
        <w:rPr>
          <w:noProof/>
        </w:rPr>
        <w:t xml:space="preserve"> 7, 16, </w:t>
      </w:r>
      <w:r>
        <w:rPr>
          <w:noProof/>
        </w:rPr>
        <w:t>37, 44, 45, 46, 48, 53, 78, 80, 83, 86, 87, 99, 105, 107, 110, 121, 128 et 129 de l’ONU,</w:t>
      </w:r>
    </w:p>
    <w:p w:rsidR="003F5003" w:rsidRDefault="00D561D5">
      <w:pPr>
        <w:pStyle w:val="Tiret0"/>
        <w:rPr>
          <w:noProof/>
        </w:rPr>
      </w:pPr>
      <w:r>
        <w:rPr>
          <w:noProof/>
        </w:rPr>
        <w:t>de la proposition de nouveau règlement de l’ONU sur les systèmes d’adaptation des moteurs de véhicules utilitaires lourds à la bicarburation,</w:t>
      </w:r>
    </w:p>
    <w:p w:rsidR="003F5003" w:rsidRDefault="00D561D5">
      <w:pPr>
        <w:pStyle w:val="Tiret0"/>
        <w:rPr>
          <w:noProof/>
        </w:rPr>
      </w:pPr>
      <w:r>
        <w:rPr>
          <w:noProof/>
        </w:rPr>
        <w:t>des propositions d’amende</w:t>
      </w:r>
      <w:r>
        <w:rPr>
          <w:noProof/>
        </w:rPr>
        <w:t>ments aux règlements techniques mondiaux n</w:t>
      </w:r>
      <w:r>
        <w:rPr>
          <w:noProof/>
          <w:vertAlign w:val="superscript"/>
        </w:rPr>
        <w:t>os</w:t>
      </w:r>
      <w:r>
        <w:rPr>
          <w:noProof/>
        </w:rPr>
        <w:t xml:space="preserve"> 15 et 16 de l’ONU,</w:t>
      </w:r>
    </w:p>
    <w:p w:rsidR="003F5003" w:rsidRDefault="00D561D5">
      <w:pPr>
        <w:pStyle w:val="Tiret0"/>
        <w:rPr>
          <w:noProof/>
        </w:rPr>
      </w:pPr>
      <w:r>
        <w:rPr>
          <w:noProof/>
        </w:rPr>
        <w:t>des propositions de deux nouveaux règlements techniques mondiaux de l’ONU sur la procédure de mesure applicable aux véhicules à deux ou trois roues équipés d’un moteur à combustion interne, l’</w:t>
      </w:r>
      <w:r>
        <w:rPr>
          <w:noProof/>
        </w:rPr>
        <w:t>un concernant les émissions et l’autre les systèmes d’autodiagnostic,</w:t>
      </w:r>
    </w:p>
    <w:p w:rsidR="003F5003" w:rsidRDefault="00D561D5">
      <w:pPr>
        <w:pStyle w:val="Tiret0"/>
        <w:rPr>
          <w:noProof/>
        </w:rPr>
      </w:pPr>
      <w:r>
        <w:rPr>
          <w:noProof/>
        </w:rPr>
        <w:t>de la proposition de nouvelle résolution sur une spécification commune des catégories de sources lumineuses (R.E.4).</w:t>
      </w:r>
    </w:p>
    <w:p w:rsidR="003F5003" w:rsidRDefault="003F5003">
      <w:pPr>
        <w:pStyle w:val="Tiret0"/>
        <w:rPr>
          <w:noProof/>
        </w:rPr>
        <w:sectPr w:rsidR="003F5003" w:rsidSect="00D561D5">
          <w:footerReference w:type="default" r:id="rId16"/>
          <w:footerReference w:type="first" r:id="rId17"/>
          <w:pgSz w:w="11907" w:h="16839"/>
          <w:pgMar w:top="1134" w:right="1417" w:bottom="1134" w:left="1417" w:header="709" w:footer="709" w:gutter="0"/>
          <w:cols w:space="708"/>
          <w:docGrid w:linePitch="360"/>
        </w:sectPr>
      </w:pPr>
    </w:p>
    <w:p w:rsidR="003F5003" w:rsidRDefault="00D561D5">
      <w:pPr>
        <w:pStyle w:val="Rfrenceinterinstitutionnelle"/>
        <w:rPr>
          <w:noProof/>
        </w:rPr>
      </w:pPr>
      <w:r>
        <w:rPr>
          <w:noProof/>
        </w:rPr>
        <w:t>2016/0341 (NLE)</w:t>
      </w:r>
    </w:p>
    <w:p w:rsidR="003F5003" w:rsidRDefault="00D561D5">
      <w:pPr>
        <w:pStyle w:val="Statut"/>
        <w:rPr>
          <w:noProof/>
        </w:rPr>
      </w:pPr>
      <w:r>
        <w:rPr>
          <w:noProof/>
        </w:rPr>
        <w:t>Proposition de</w:t>
      </w:r>
    </w:p>
    <w:p w:rsidR="003F5003" w:rsidRDefault="00D561D5">
      <w:pPr>
        <w:pStyle w:val="Typedudocument"/>
        <w:rPr>
          <w:noProof/>
        </w:rPr>
      </w:pPr>
      <w:r>
        <w:rPr>
          <w:noProof/>
        </w:rPr>
        <w:t>DÉCISION DU CONSEIL</w:t>
      </w:r>
    </w:p>
    <w:p w:rsidR="003F5003" w:rsidRDefault="00D561D5">
      <w:pPr>
        <w:pStyle w:val="Titreobjet"/>
        <w:rPr>
          <w:noProof/>
        </w:rPr>
      </w:pPr>
      <w:r>
        <w:rPr>
          <w:noProof/>
        </w:rPr>
        <w:t>établissant la position à adopter au nom de l’Union européenne, au sein des comités compétents de la Commission économique pour l’Euro</w:t>
      </w:r>
      <w:r>
        <w:rPr>
          <w:noProof/>
        </w:rPr>
        <w:t>pe des Nations unies, sur les propositions d’amendements aux règlements n</w:t>
      </w:r>
      <w:r>
        <w:rPr>
          <w:noProof/>
          <w:vertAlign w:val="superscript"/>
        </w:rPr>
        <w:t>os</w:t>
      </w:r>
      <w:r>
        <w:rPr>
          <w:noProof/>
        </w:rPr>
        <w:t xml:space="preserve"> 7, 16, 37, 44, 45, 46, 48, 53, 78, 80, 83, 86, 87, 99, 105, 107, 110, 121, 128 et 129 de l’ONU, sur une proposition de nouveau règlement de l’ONU sur les systèmes d’adaptation des </w:t>
      </w:r>
      <w:r>
        <w:rPr>
          <w:noProof/>
        </w:rPr>
        <w:t>moteurs de véhicules utilitaires lourds à la bicarburation, sur les propositions d’amendements aux règlements techniques mondiaux n</w:t>
      </w:r>
      <w:r>
        <w:rPr>
          <w:noProof/>
          <w:vertAlign w:val="superscript"/>
        </w:rPr>
        <w:t>os</w:t>
      </w:r>
      <w:r>
        <w:rPr>
          <w:noProof/>
        </w:rPr>
        <w:t xml:space="preserve"> 15 et 16 de l’ONU, sur les propositions de deux nouveaux règlements techniques mondiaux de l’ONU sur la procédure de mesur</w:t>
      </w:r>
      <w:r>
        <w:rPr>
          <w:noProof/>
        </w:rPr>
        <w:t>e applicable aux véhicules à deux ou trois roues équipés d’un moteur à combustion interne, l’un concernant certains types d’émissions et l’autre les systèmes d’autodiagnostic, ainsi que sur la proposition de nouvelle résolution sur une spécification commun</w:t>
      </w:r>
      <w:r>
        <w:rPr>
          <w:noProof/>
        </w:rPr>
        <w:t>e des catégories de sources lumineuses (R.E.4)</w:t>
      </w:r>
    </w:p>
    <w:p w:rsidR="003F5003" w:rsidRDefault="00D561D5">
      <w:pPr>
        <w:pStyle w:val="Institutionquiagit"/>
        <w:rPr>
          <w:noProof/>
        </w:rPr>
      </w:pPr>
      <w:r>
        <w:rPr>
          <w:noProof/>
        </w:rPr>
        <w:t>LE CONSEIL DE L’UNION EUROPÉENNE,</w:t>
      </w:r>
    </w:p>
    <w:p w:rsidR="003F5003" w:rsidRDefault="00D561D5">
      <w:pPr>
        <w:rPr>
          <w:noProof/>
        </w:rPr>
      </w:pPr>
      <w:r>
        <w:rPr>
          <w:noProof/>
        </w:rPr>
        <w:t>vu le traité sur le fonctionnement de l’Union européenne, et notamment son article 114, en liaison avec l’article 218, paragraphe 9,</w:t>
      </w:r>
    </w:p>
    <w:p w:rsidR="003F5003" w:rsidRDefault="00D561D5">
      <w:pPr>
        <w:rPr>
          <w:noProof/>
        </w:rPr>
      </w:pPr>
      <w:r>
        <w:rPr>
          <w:noProof/>
        </w:rPr>
        <w:t>vu la proposition de la Commission europée</w:t>
      </w:r>
      <w:r>
        <w:rPr>
          <w:noProof/>
        </w:rPr>
        <w:t>nne,</w:t>
      </w:r>
    </w:p>
    <w:p w:rsidR="003F5003" w:rsidRDefault="00D561D5">
      <w:pPr>
        <w:rPr>
          <w:noProof/>
        </w:rPr>
      </w:pPr>
      <w:r>
        <w:rPr>
          <w:noProof/>
        </w:rPr>
        <w:t>considérant ce qui suit:</w:t>
      </w:r>
    </w:p>
    <w:p w:rsidR="003F5003" w:rsidRDefault="00D561D5">
      <w:pPr>
        <w:pStyle w:val="ManualConsidrant"/>
        <w:rPr>
          <w:noProof/>
        </w:rPr>
      </w:pPr>
      <w:r>
        <w:t>(1)</w:t>
      </w:r>
      <w:r>
        <w:tab/>
      </w:r>
      <w:r>
        <w:rPr>
          <w:noProof/>
        </w:rPr>
        <w:t>Conformément à la décision 97/836/CE du Conseil</w:t>
      </w:r>
      <w:r>
        <w:rPr>
          <w:rStyle w:val="FootnoteReference"/>
          <w:noProof/>
        </w:rPr>
        <w:footnoteReference w:id="1"/>
      </w:r>
      <w:r>
        <w:rPr>
          <w:noProof/>
        </w:rPr>
        <w:t xml:space="preserve">, l’Union a adhéré à l’accord de la Commission économique pour l’Europe des Nations unies («CEE-ONU») concernant l’adoption de prescriptions techniques uniformes applicables </w:t>
      </w:r>
      <w:r>
        <w:rPr>
          <w:noProof/>
        </w:rPr>
        <w:t>aux véhicules à roues, aux équipements et aux pièces susceptibles d’être montés ou utilisés sur un véhicule à roues et les conditions de reconnaissance réciproque des homologations délivrées conformément à ces prescriptions («accord de 1958 révisé»).</w:t>
      </w:r>
    </w:p>
    <w:p w:rsidR="003F5003" w:rsidRDefault="00D561D5">
      <w:pPr>
        <w:pStyle w:val="ManualConsidrant"/>
        <w:rPr>
          <w:noProof/>
        </w:rPr>
      </w:pPr>
      <w:r>
        <w:t>(2)</w:t>
      </w:r>
      <w:r>
        <w:tab/>
      </w:r>
      <w:r>
        <w:rPr>
          <w:noProof/>
        </w:rPr>
        <w:t>Conformément à la décision 2000/125/CE du Conseil</w:t>
      </w:r>
      <w:r>
        <w:rPr>
          <w:rStyle w:val="FootnoteReference"/>
          <w:noProof/>
        </w:rPr>
        <w:footnoteReference w:id="2"/>
      </w:r>
      <w:r>
        <w:rPr>
          <w:noProof/>
        </w:rPr>
        <w:t>, l’Union a adhéré à l’accord concernant l’établissement de règlements techniques mondiaux applicables aux véhicules à roues ainsi qu’aux équipements et pièces qui peuvent être montés et/ou utilisés sur les</w:t>
      </w:r>
      <w:r>
        <w:rPr>
          <w:noProof/>
        </w:rPr>
        <w:t xml:space="preserve"> véhicules à roues («accord parallèle»).</w:t>
      </w:r>
    </w:p>
    <w:p w:rsidR="003F5003" w:rsidRDefault="00D561D5">
      <w:pPr>
        <w:pStyle w:val="ManualConsidrant"/>
        <w:rPr>
          <w:noProof/>
        </w:rPr>
      </w:pPr>
      <w:r>
        <w:t>(3)</w:t>
      </w:r>
      <w:r>
        <w:tab/>
      </w:r>
      <w:r>
        <w:rPr>
          <w:noProof/>
        </w:rPr>
        <w:t>La directive 2007/46/CE du Parlement européen et du Conseil</w:t>
      </w:r>
      <w:r>
        <w:rPr>
          <w:rStyle w:val="FootnoteReference"/>
          <w:noProof/>
        </w:rPr>
        <w:footnoteReference w:id="3"/>
      </w:r>
      <w:r>
        <w:rPr>
          <w:noProof/>
        </w:rPr>
        <w:t xml:space="preserve"> a remplacé les systèmes de réception des États membres par une procédure de réception de l’Union et établi un cadre harmonisé contenant des dispositio</w:t>
      </w:r>
      <w:r>
        <w:rPr>
          <w:noProof/>
        </w:rPr>
        <w:t>ns administratives et des prescriptions techniques générales pour tous les nouveaux véhicules, systèmes, composants et entités techniques distinctes. Ladite directive a intégré des règlements adoptés en vertu de l’accord de 1958 révisé (ci-après dénommés «</w:t>
      </w:r>
      <w:r>
        <w:rPr>
          <w:noProof/>
        </w:rPr>
        <w:t>règlements de l’ONU») dans le système de réception UE par type, soit en tant que prescriptions pour la réception par type, soit en tant qu’alternatives à la législation de l’Union. Depuis l’adoption de cette directive, les règlements de l’ONU ont été incor</w:t>
      </w:r>
      <w:r>
        <w:rPr>
          <w:noProof/>
        </w:rPr>
        <w:t>porés progressivement dans la législation de l’Union dans le cadre de la réception UE par type.</w:t>
      </w:r>
    </w:p>
    <w:p w:rsidR="003F5003" w:rsidRDefault="00D561D5">
      <w:pPr>
        <w:pStyle w:val="ManualConsidrant"/>
        <w:rPr>
          <w:noProof/>
        </w:rPr>
      </w:pPr>
      <w:r>
        <w:t>(4)</w:t>
      </w:r>
      <w:r>
        <w:tab/>
      </w:r>
      <w:r>
        <w:rPr>
          <w:noProof/>
        </w:rPr>
        <w:t>Compte tenu de l’expérience acquise et de l’évolution technique, il convient d’adapter au progrès technique les exigences relatives à certains éléments ou c</w:t>
      </w:r>
      <w:r>
        <w:rPr>
          <w:noProof/>
        </w:rPr>
        <w:t>aractéristiques faisant l’objet des règlements n</w:t>
      </w:r>
      <w:r>
        <w:rPr>
          <w:noProof/>
          <w:vertAlign w:val="superscript"/>
        </w:rPr>
        <w:t>os</w:t>
      </w:r>
      <w:r>
        <w:rPr>
          <w:noProof/>
        </w:rPr>
        <w:t xml:space="preserve"> 7, 16, 37, 44, 45, 46, 48, 53, 78, 80, 83, 86, 87, 99, 105, 107, 110, 121, 128 et 129 de l’ONU, ainsi que des règlements techniques mondiaux (RTM) n</w:t>
      </w:r>
      <w:r>
        <w:rPr>
          <w:noProof/>
          <w:vertAlign w:val="superscript"/>
        </w:rPr>
        <w:t>os</w:t>
      </w:r>
      <w:r>
        <w:rPr>
          <w:noProof/>
        </w:rPr>
        <w:t xml:space="preserve"> 15 et 16 de l’ONU.</w:t>
      </w:r>
    </w:p>
    <w:p w:rsidR="003F5003" w:rsidRDefault="00D561D5">
      <w:pPr>
        <w:pStyle w:val="ManualConsidrant"/>
        <w:rPr>
          <w:noProof/>
        </w:rPr>
      </w:pPr>
      <w:r>
        <w:t>(5)</w:t>
      </w:r>
      <w:r>
        <w:tab/>
      </w:r>
      <w:r>
        <w:rPr>
          <w:noProof/>
        </w:rPr>
        <w:t>Afin d’établir des prescription</w:t>
      </w:r>
      <w:r>
        <w:rPr>
          <w:noProof/>
        </w:rPr>
        <w:t>s uniformes sur l’homologation des systèmes d’adaptation des moteurs de véhicules utilitaires lourds à la bicarburation, il convient d’adopter un nouveau règlement de l’ONU.</w:t>
      </w:r>
    </w:p>
    <w:p w:rsidR="003F5003" w:rsidRDefault="00D561D5">
      <w:pPr>
        <w:pStyle w:val="ManualConsidrant"/>
        <w:rPr>
          <w:noProof/>
        </w:rPr>
      </w:pPr>
      <w:r>
        <w:t>(6)</w:t>
      </w:r>
      <w:r>
        <w:tab/>
      </w:r>
      <w:r>
        <w:rPr>
          <w:noProof/>
        </w:rPr>
        <w:t>Afin d’établir des prescriptions techniques uniformes sur la procédure de mesu</w:t>
      </w:r>
      <w:r>
        <w:rPr>
          <w:noProof/>
        </w:rPr>
        <w:t>re applicable aux véhicules à deux ou trois roues équipés d’un moteur à combustion interne en ce qui concerne, d’une part, certains types d’émissions et, d’autre part, les systèmes d’autodiagnostic, il convient d’adopter deux nouveaux RTM.</w:t>
      </w:r>
    </w:p>
    <w:p w:rsidR="003F5003" w:rsidRDefault="00D561D5">
      <w:pPr>
        <w:pStyle w:val="ManualConsidrant"/>
        <w:rPr>
          <w:noProof/>
        </w:rPr>
      </w:pPr>
      <w:r>
        <w:t>(7)</w:t>
      </w:r>
      <w:r>
        <w:tab/>
      </w:r>
      <w:r>
        <w:rPr>
          <w:noProof/>
        </w:rPr>
        <w:t>Afin d’établ</w:t>
      </w:r>
      <w:r>
        <w:rPr>
          <w:noProof/>
        </w:rPr>
        <w:t>ir des prescriptions uniformes sur une spécification commune des catégories de sources lumineuses, il convient d’adopter une nouvelle résolution (R.E.4).</w:t>
      </w:r>
    </w:p>
    <w:p w:rsidR="003F5003" w:rsidRDefault="00D561D5">
      <w:pPr>
        <w:pStyle w:val="ManualConsidrant"/>
        <w:rPr>
          <w:noProof/>
        </w:rPr>
      </w:pPr>
      <w:r>
        <w:t>(8)</w:t>
      </w:r>
      <w:r>
        <w:tab/>
      </w:r>
      <w:r>
        <w:rPr>
          <w:noProof/>
        </w:rPr>
        <w:t>Il convient d’établir la position à prendre au nom de l’Union, au sein des comités compétents de l</w:t>
      </w:r>
      <w:r>
        <w:rPr>
          <w:noProof/>
        </w:rPr>
        <w:t>a CEE-ONU, à savoir du comité d’administration de l’accord de 1958 révisé et du comité exécutif de l’accord parallèle, en ce qui concerne l’adoption des actes de l’ONU précités,</w:t>
      </w:r>
    </w:p>
    <w:p w:rsidR="003F5003" w:rsidRDefault="00D561D5">
      <w:pPr>
        <w:pStyle w:val="Formuledadoption"/>
        <w:rPr>
          <w:noProof/>
        </w:rPr>
      </w:pPr>
      <w:r>
        <w:rPr>
          <w:noProof/>
        </w:rPr>
        <w:t>A ADOPTÉ LA PRÉSENTE DÉCISION:</w:t>
      </w:r>
    </w:p>
    <w:p w:rsidR="003F5003" w:rsidRDefault="00D561D5">
      <w:pPr>
        <w:pStyle w:val="Titrearticle"/>
        <w:rPr>
          <w:noProof/>
        </w:rPr>
      </w:pPr>
      <w:r>
        <w:rPr>
          <w:noProof/>
        </w:rPr>
        <w:t>Article premier</w:t>
      </w:r>
    </w:p>
    <w:p w:rsidR="003F5003" w:rsidRDefault="00D561D5">
      <w:pPr>
        <w:rPr>
          <w:noProof/>
        </w:rPr>
      </w:pPr>
      <w:r>
        <w:rPr>
          <w:noProof/>
        </w:rPr>
        <w:t>La position à prendre au nom de</w:t>
      </w:r>
      <w:r>
        <w:rPr>
          <w:noProof/>
        </w:rPr>
        <w:t xml:space="preserve"> l’Union au sein du comité d’administration de l’accord de 1958 révisé et du comité exécutif de l’accord parallèle, lors de la réunion du 14 au 20 novembre 2016, est de voter en faveur des propositions énumérées à l’annexe de la présente décision.</w:t>
      </w:r>
    </w:p>
    <w:p w:rsidR="003F5003" w:rsidRDefault="00D561D5">
      <w:pPr>
        <w:pStyle w:val="Titrearticle"/>
        <w:rPr>
          <w:noProof/>
        </w:rPr>
      </w:pPr>
      <w:r>
        <w:rPr>
          <w:noProof/>
        </w:rPr>
        <w:t>Article </w:t>
      </w:r>
      <w:r>
        <w:rPr>
          <w:noProof/>
        </w:rPr>
        <w:t>2</w:t>
      </w:r>
    </w:p>
    <w:p w:rsidR="003F5003" w:rsidRDefault="00D561D5">
      <w:pPr>
        <w:keepNext/>
        <w:keepLines/>
        <w:rPr>
          <w:noProof/>
        </w:rPr>
      </w:pPr>
      <w:r>
        <w:rPr>
          <w:noProof/>
        </w:rPr>
        <w:t>La présente décision entre en vigueur le jour de son adoption.</w:t>
      </w:r>
    </w:p>
    <w:p w:rsidR="003F5003" w:rsidRDefault="00D561D5">
      <w:pPr>
        <w:pStyle w:val="Fait"/>
        <w:rPr>
          <w:noProof/>
        </w:rPr>
      </w:pPr>
      <w:r>
        <w:rPr>
          <w:noProof/>
        </w:rPr>
        <w:t>Fait à Bruxelles, le</w:t>
      </w:r>
    </w:p>
    <w:p w:rsidR="003F5003" w:rsidRDefault="00D561D5">
      <w:pPr>
        <w:pStyle w:val="Institutionquisigne"/>
        <w:rPr>
          <w:noProof/>
        </w:rPr>
      </w:pPr>
      <w:r>
        <w:rPr>
          <w:noProof/>
        </w:rPr>
        <w:tab/>
        <w:t>Par le Conseil</w:t>
      </w:r>
    </w:p>
    <w:p w:rsidR="003F5003" w:rsidRDefault="00D561D5">
      <w:pPr>
        <w:pStyle w:val="Personnequisigne"/>
        <w:rPr>
          <w:noProof/>
        </w:rPr>
      </w:pPr>
      <w:r>
        <w:rPr>
          <w:noProof/>
        </w:rPr>
        <w:tab/>
        <w:t>Le président</w:t>
      </w:r>
    </w:p>
    <w:sectPr w:rsidR="003F5003" w:rsidSect="00D561D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003" w:rsidRDefault="00D561D5">
      <w:pPr>
        <w:spacing w:before="0" w:after="0"/>
      </w:pPr>
      <w:r>
        <w:separator/>
      </w:r>
    </w:p>
  </w:endnote>
  <w:endnote w:type="continuationSeparator" w:id="0">
    <w:p w:rsidR="003F5003" w:rsidRDefault="00D561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1D5" w:rsidRPr="00D561D5" w:rsidRDefault="00D561D5" w:rsidP="00D561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003" w:rsidRPr="00D561D5" w:rsidRDefault="00D561D5" w:rsidP="00D561D5">
    <w:pPr>
      <w:pStyle w:val="Footer"/>
      <w:rPr>
        <w:rFonts w:ascii="Arial" w:hAnsi="Arial" w:cs="Arial"/>
        <w:b/>
        <w:sz w:val="48"/>
      </w:rPr>
    </w:pPr>
    <w:r w:rsidRPr="00D561D5">
      <w:rPr>
        <w:rFonts w:ascii="Arial" w:hAnsi="Arial" w:cs="Arial"/>
        <w:b/>
        <w:sz w:val="48"/>
      </w:rPr>
      <w:t>FR</w:t>
    </w:r>
    <w:r w:rsidRPr="00D561D5">
      <w:rPr>
        <w:rFonts w:ascii="Arial" w:hAnsi="Arial" w:cs="Arial"/>
        <w:b/>
        <w:sz w:val="48"/>
      </w:rPr>
      <w:tab/>
    </w:r>
    <w:r w:rsidRPr="00D561D5">
      <w:rPr>
        <w:rFonts w:ascii="Arial" w:hAnsi="Arial" w:cs="Arial"/>
        <w:b/>
        <w:sz w:val="48"/>
      </w:rPr>
      <w:tab/>
    </w:r>
    <w:fldSimple w:instr=" DOCVARIABLE &quot;LW_Confidence&quot; \* MERGEFORMAT ">
      <w:r>
        <w:t xml:space="preserve"> </w:t>
      </w:r>
    </w:fldSimple>
    <w:r w:rsidRPr="00D561D5">
      <w:tab/>
    </w:r>
    <w:proofErr w:type="spellStart"/>
    <w:r w:rsidRPr="00D561D5">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1D5" w:rsidRPr="00D561D5" w:rsidRDefault="00D561D5" w:rsidP="00D561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003" w:rsidRPr="00D561D5" w:rsidRDefault="00D561D5" w:rsidP="00D561D5">
    <w:pPr>
      <w:pStyle w:val="Footer"/>
      <w:rPr>
        <w:rFonts w:ascii="Arial" w:hAnsi="Arial" w:cs="Arial"/>
        <w:b/>
        <w:sz w:val="48"/>
      </w:rPr>
    </w:pPr>
    <w:r w:rsidRPr="00D561D5">
      <w:rPr>
        <w:rFonts w:ascii="Arial" w:hAnsi="Arial" w:cs="Arial"/>
        <w:b/>
        <w:sz w:val="48"/>
      </w:rPr>
      <w:t>FR</w:t>
    </w:r>
    <w:r w:rsidRPr="00D561D5">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fldSimple w:instr=" DOCVARIABLE &quot;LW_Confidence&quot; \* MERGEFORMAT ">
      <w:r>
        <w:t xml:space="preserve"> </w:t>
      </w:r>
    </w:fldSimple>
    <w:r w:rsidRPr="00D561D5">
      <w:tab/>
    </w:r>
    <w:r w:rsidRPr="00D561D5">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1D5" w:rsidRPr="00D561D5" w:rsidRDefault="00D561D5" w:rsidP="00D561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003" w:rsidRDefault="00D561D5">
      <w:pPr>
        <w:spacing w:before="0" w:after="0"/>
      </w:pPr>
      <w:r>
        <w:separator/>
      </w:r>
    </w:p>
  </w:footnote>
  <w:footnote w:type="continuationSeparator" w:id="0">
    <w:p w:rsidR="003F5003" w:rsidRDefault="00D561D5">
      <w:pPr>
        <w:spacing w:before="0" w:after="0"/>
      </w:pPr>
      <w:r>
        <w:continuationSeparator/>
      </w:r>
    </w:p>
  </w:footnote>
  <w:footnote w:id="1">
    <w:p w:rsidR="003F5003" w:rsidRDefault="00D561D5">
      <w:pPr>
        <w:pStyle w:val="FootnoteText"/>
      </w:pPr>
      <w:r>
        <w:rPr>
          <w:rStyle w:val="FootnoteReference"/>
        </w:rPr>
        <w:footnoteRef/>
      </w:r>
      <w:r>
        <w:tab/>
        <w:t xml:space="preserve">Décision 97/836/CE du Conseil du 27 novembre 1997 en vue de l’adhésion de la Communauté européenne à l’accord de la Commission </w:t>
      </w:r>
      <w:r>
        <w:t>économique pour l’Europe des Nations unies concernant l’adoption de prescriptions techniques uniformes applicables aux véhicules à roues, aux équipements et aux pièces susceptibles d’être montés ou utilisés sur un véhicule à roues et les conditions de reco</w:t>
      </w:r>
      <w:r>
        <w:t>nnaissance réciproque des homologations délivrées conformément à ces prescriptions («accord de 1958 révisé») (JO L 346 du 17.12.1997, p. 78).</w:t>
      </w:r>
    </w:p>
  </w:footnote>
  <w:footnote w:id="2">
    <w:p w:rsidR="003F5003" w:rsidRDefault="00D561D5">
      <w:pPr>
        <w:pStyle w:val="FootnoteText"/>
      </w:pPr>
      <w:r>
        <w:rPr>
          <w:rStyle w:val="FootnoteReference"/>
        </w:rPr>
        <w:footnoteRef/>
      </w:r>
      <w:r>
        <w:tab/>
        <w:t>Décision 2000/125/CE du Conseil du 31 janvier 2000 relative à la conclusion de l’accord concernant l’établisseme</w:t>
      </w:r>
      <w:r>
        <w:t>nt de règlements techniques mondiaux applicables aux véhicules à roues ainsi qu’aux équipements et pièces qui peuvent être montés et/ou utilisés sur les véhicules à roues («accord parallèle») (JO L 35 du 10.2.2000, p. 12).</w:t>
      </w:r>
    </w:p>
  </w:footnote>
  <w:footnote w:id="3">
    <w:p w:rsidR="003F5003" w:rsidRDefault="00D561D5">
      <w:pPr>
        <w:pStyle w:val="FootnoteText"/>
      </w:pPr>
      <w:r>
        <w:rPr>
          <w:rStyle w:val="FootnoteReference"/>
        </w:rPr>
        <w:footnoteRef/>
      </w:r>
      <w:r>
        <w:tab/>
        <w:t>Directive 2007/46/CE du Parleme</w:t>
      </w:r>
      <w:r>
        <w:t xml:space="preserve">nt européen et du Conseil du 5 septembre 2007 établissant un cadre pour la réception des véhicules à moteur, de leurs remorques et des systèmes, des composants et des entités techniques destinés à ces véhicules (directive-cadre) (JO L 263 du 9.10.2007, p. </w:t>
      </w:r>
      <w:r>
        <w:t>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1D5" w:rsidRPr="00D561D5" w:rsidRDefault="00D561D5" w:rsidP="00D561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1D5" w:rsidRPr="00D561D5" w:rsidRDefault="00D561D5" w:rsidP="00D561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1D5" w:rsidRPr="00D561D5" w:rsidRDefault="00D561D5" w:rsidP="00D561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00A63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1B4A6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BBE91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A8E0A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2809F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8D2CA0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AEC6D7E"/>
    <w:lvl w:ilvl="0">
      <w:start w:val="1"/>
      <w:numFmt w:val="decimal"/>
      <w:pStyle w:val="ListNumber"/>
      <w:lvlText w:val="%1."/>
      <w:lvlJc w:val="left"/>
      <w:pPr>
        <w:tabs>
          <w:tab w:val="num" w:pos="360"/>
        </w:tabs>
        <w:ind w:left="360" w:hanging="360"/>
      </w:pPr>
    </w:lvl>
  </w:abstractNum>
  <w:abstractNum w:abstractNumId="7">
    <w:nsid w:val="FFFFFF89"/>
    <w:multiLevelType w:val="singleLevel"/>
    <w:tmpl w:val="033C5E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proofState w:spelling="clean" w:grammar="clean"/>
  <w:attachedTemplate r:id="rId1"/>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9 12:38: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CONFIDENCE" w:val=" "/>
    <w:docVar w:name="LW_CONST_RESTREINT_UE" w:val="RESTREINT UE/EU RESTRICTED"/>
    <w:docVar w:name="LW_CORRIGENDUM" w:val="&lt;UNUSED&gt;"/>
    <w:docVar w:name="LW_COVERPAGE_GUID" w:val="94AEAF282D5D4531B5A0C9A09B2257AD"/>
    <w:docVar w:name="LW_CROSSREFERENCE" w:val="&lt;UNUSED&gt;"/>
    <w:docVar w:name="LW_DocType" w:val="COM"/>
    <w:docVar w:name="LW_EMISSION" w:val="25.10.2016"/>
    <w:docVar w:name="LW_EMISSION_ISODATE" w:val="2016-10-25"/>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341"/>
    <w:docVar w:name="LW_REF.II.NEW.CP_YEAR" w:val="2016"/>
    <w:docVar w:name="LW_REF.INST.NEW" w:val="COM"/>
    <w:docVar w:name="LW_REF.INST.NEW_ADOPTED" w:val="final"/>
    <w:docVar w:name="LW_REF.INST.NEW_TEXT" w:val="(2016) 684"/>
    <w:docVar w:name="LW_REF.INTERNE" w:val="&lt;UNUSED&gt;"/>
    <w:docVar w:name="LW_SOUS.TITRE.OBJ.CP" w:val="&lt;UNUSED&gt;"/>
    <w:docVar w:name="LW_STATUT.CP" w:val="Proposition de"/>
    <w:docVar w:name="LW_SUPERTITRE" w:val="&lt;UNUSED&gt;"/>
    <w:docVar w:name="LW_TITRE.OBJ.CP" w:val="établissant la position à adopter au nom de l\u8217?Union européenne, au sein des comités compétents de la Commission économique pour l\u8217?Europe des Nations unies, sur les propositions d\u8217?amendements aux règlements nos 7, 16, 37, 44, 45, 46, 48, 53, 78, 80, 83, 86, 87, 99, 105, 107, 110, 121, 128 et 129 de l\u8217?ONU, sur une proposition de nouveau règlement de l\u8217?ONU sur les systèmes d\u8217?adaptation des moteurs de véhicules utilitaires lourds à la bicarburation, sur les propositions d\u8217?amendements aux règlements techniques mondiaux nos 15 et 16 de l\u8217?ONU, sur les propositions de deux nouveaux règlements techniques mondiaux de l\u8217?ONU sur la procédure de mesure applicable aux véhicules à deux ou trois roues équipés d\u8217?un moteur à combustion interne, l\u8217?un concernant certains types d\u8217?émissions et l\u8217?autre les systèmes d\u8217?autodiagnostic, ainsi que sur la proposition de nouvelle résolution sur une spécification commune des catégories de sources lumineuses (R.E.4)"/>
    <w:docVar w:name="LW_TITRE.OBJ_CONTENT_FMTD" w:val="établissant la position à adopter au nom de l\u8217?Union européenne, au sein des comités compétents de la Commission économique pour l\u8217?Europe des Nations unies, sur les propositions d\u8217?amendements aux règlements n&lt;FMT:super&gt;os&lt;/FMT&gt; 7, 16, 37, 44, 45, 46, 48, 53, 78, 80, 83, 86, 87, 99, 105, 107, 110, 121, 128 et 129 de l\u8217?ONU, sur une proposition de nouveau règlement de l\u8217?ONU sur les systèmes d\u8217?adaptation des moteurs de véhicules utilitaires lourds à la bicarburation, sur les propositions d\u8217?amendements aux règlements techniques mondiaux n&lt;FMT:super&gt;os&lt;/FMT&gt; 15 et 16 de l\u8217?ONU, sur les propositions de deux nouveaux règlements techniques mondiaux de l\u8217?ONU sur la procédure de mesure applicable aux véhicules à deux ou trois roues équipés d\u8217?un moteur à combustion interne, l\u8217?un concernant certains types d\u8217?émissions et l\u8217?autre les systèmes d\u8217?autodiagnostic, ainsi que sur la proposition de nouvelle résolution sur une spécification commune des catégories de sources lumineuses (R.E.4)"/>
    <w:docVar w:name="LW_TITRE.OBJ_USEMAINTEXTFORCP" w:val="1"/>
    <w:docVar w:name="LW_TYPE.DOC.CP" w:val="DÉCISION DU CONSEIL"/>
  </w:docVars>
  <w:rsids>
    <w:rsidRoot w:val="003F5003"/>
    <w:rsid w:val="003F5003"/>
    <w:rsid w:val="00D561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992B9-FCAE-4C8C-95D2-D9126A513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8</Pages>
  <Words>2182</Words>
  <Characters>12211</Characters>
  <Application>Microsoft Office Word</Application>
  <DocSecurity>0</DocSecurity>
  <Lines>212</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19</cp:revision>
  <cp:lastPrinted>2016-10-19T10:42:00Z</cp:lastPrinted>
  <dcterms:created xsi:type="dcterms:W3CDTF">2016-10-14T09:43:00Z</dcterms:created>
  <dcterms:modified xsi:type="dcterms:W3CDTF">2016-10-19T10:44:00Z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