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0E26E8B24EA4F49AD69EE6264EF901F" style="width:451.25pt;height:520.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tbl>
      <w:tblPr>
        <w:tblW w:w="7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736"/>
      </w:tblGrid>
      <w:tr>
        <w:trPr>
          <w:trHeight w:val="630"/>
        </w:trPr>
        <w:tc>
          <w:tcPr>
            <w:tcW w:w="4955" w:type="dxa"/>
            <w:shd w:val="clear" w:color="auto" w:fill="auto"/>
            <w:hideMark/>
          </w:tcPr>
          <w:p>
            <w:pPr>
              <w:spacing w:before="0" w:after="0"/>
              <w:jc w:val="left"/>
              <w:rPr>
                <w:rFonts w:eastAsia="Times New Roman"/>
                <w:b/>
                <w:bCs/>
                <w:noProof/>
                <w:szCs w:val="24"/>
              </w:rPr>
            </w:pPr>
            <w:r>
              <w:rPr>
                <w:b/>
                <w:noProof/>
              </w:rPr>
              <w:t>Titre du point de l’ordre du jour</w:t>
            </w:r>
          </w:p>
        </w:tc>
        <w:tc>
          <w:tcPr>
            <w:tcW w:w="2736" w:type="dxa"/>
            <w:shd w:val="clear" w:color="auto" w:fill="auto"/>
            <w:hideMark/>
          </w:tcPr>
          <w:p>
            <w:pPr>
              <w:spacing w:before="0" w:after="0"/>
              <w:jc w:val="left"/>
              <w:rPr>
                <w:rFonts w:eastAsia="Times New Roman"/>
                <w:b/>
                <w:bCs/>
                <w:noProof/>
                <w:szCs w:val="24"/>
              </w:rPr>
            </w:pPr>
            <w:r>
              <w:rPr>
                <w:b/>
                <w:noProof/>
              </w:rPr>
              <w:t>Référence du document</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25 à la série 02 d’amendements au règlement nº 7 de l’ONU (feux de position, feux-stop et feux d’encombrement)</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ECE/TRANS/WP.29/2016/75</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8 à la série 06 d’amendements au règlement nº 16 de l’ONU (ceintures de sécurité, ISOFIX et i-Size)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ECE/TRANS/WP.29/2016/98</w:t>
            </w:r>
          </w:p>
          <w:p>
            <w:pPr>
              <w:spacing w:before="0" w:after="0"/>
              <w:jc w:val="left"/>
              <w:rPr>
                <w:rFonts w:ascii="Times" w:eastAsia="Times New Roman" w:hAnsi="Times" w:cs="Times"/>
                <w:noProof/>
                <w:sz w:val="20"/>
                <w:szCs w:val="20"/>
              </w:rPr>
            </w:pPr>
            <w:r>
              <w:rPr>
                <w:rFonts w:ascii="Times" w:hAnsi="Times"/>
                <w:noProof/>
                <w:sz w:val="20"/>
              </w:rPr>
              <w:t>et document informel WP.29-170-04</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série 07 d’amendements au règlement nº 16 de l’ONU (ancrages de ceintures de sécurité, de systèmes ISOFIX et de systèmes i-Size)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ECE/TRANS/WP.29/2016/99</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45 à la série 03 d’amendements au règlement nº 37 de l’ONU (lampes à incandescence)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ECE/TRANS/WP.29/2016/76</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rectificatif 2 à la révision 3 du règlement nº 44 de l’ONU (dispositifs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ECE/TRANS/WP.29/2016/100</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12 à la série 04 d’amendements au règlement nº 44 de l’ONU (dispositifs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ECE/TRANS/WP.29/2016/101</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12 à la série 04 d’amendements au règlement nº 44 de l’ONU (dispositifs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ECE/TRANS/WP.29/2016/102</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10 à la série 01 d’amendements au règlement nº 45 de l’ONU (nettoie-projecteurs)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ECE/TRANS/WP.29/2016/77</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4 à la série 04 d’amendements au règlement nº 46 de l’ONU (systèmes de vision indirecte)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ECE/TRANS/WP.29/2016/89</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17 à la série 04 d’amendements au règlement nº 48 de l’ONU (installation des dispositifs d’éclairage et de signalisation lumineuse)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ECE/TRANS/WP.29/2016/78</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10 à la série 05 d’amendements au règlement nº 48 de l’ONU (installation des dispositifs d’éclairage et de signalisation lumineuse)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ECE/TRANS/WP.29/2016/79</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8 à la série 06 d’amendements au règlement nº 48 de l’ONU (installation des dispositifs d’éclairage et de signalisation lumineuse)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ECE/TRANS/WP.29/2016/80</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19 à la série 01 d’amendements au règlement nº 53 de l’ONU (installation des dispositifs d’éclairage et de signalisation lumineuse pour les véhicules de la catégorie L</w:t>
            </w:r>
            <w:r>
              <w:rPr>
                <w:rFonts w:ascii="Times" w:hAnsi="Times"/>
                <w:noProof/>
                <w:sz w:val="20"/>
                <w:vertAlign w:val="subscript"/>
              </w:rPr>
              <w:t>3</w:t>
            </w:r>
            <w:r>
              <w:rPr>
                <w:rFonts w:ascii="Times" w:hAnsi="Times"/>
                <w:noProof/>
                <w:sz w:val="20"/>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ECE/TRANS/WP.29/2016/81</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 à la série 02 d’amendements au règlement nº 53 de l’ONU (installation des dispositifs d’éclairage et de signalisation lumineuse pour les véhicules de la catégorie L</w:t>
            </w:r>
            <w:r>
              <w:rPr>
                <w:rFonts w:ascii="Times" w:hAnsi="Times"/>
                <w:noProof/>
                <w:sz w:val="20"/>
                <w:vertAlign w:val="subscript"/>
              </w:rPr>
              <w:t>3</w:t>
            </w:r>
            <w:r>
              <w:rPr>
                <w:rFonts w:ascii="Times" w:hAnsi="Times"/>
                <w:noProof/>
                <w:sz w:val="20"/>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ECE/TRANS/WP.29/2016/82</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série 04 d’amendements au règlement nº 78 de l’ONU [freinage (véhicules des catégories L)]</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ECE/TRANS/WP.29/2016/114 et document informel</w:t>
            </w:r>
          </w:p>
          <w:p>
            <w:pPr>
              <w:spacing w:before="0" w:after="0"/>
              <w:jc w:val="left"/>
              <w:rPr>
                <w:rFonts w:ascii="Times" w:eastAsia="Times New Roman" w:hAnsi="Times" w:cs="Times"/>
                <w:noProof/>
                <w:sz w:val="20"/>
                <w:szCs w:val="20"/>
              </w:rPr>
            </w:pPr>
            <w:r>
              <w:rPr>
                <w:rFonts w:ascii="Times" w:hAnsi="Times"/>
                <w:noProof/>
                <w:sz w:val="20"/>
              </w:rPr>
              <w:t>GRRF-82-06</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2 à la série 03 d’amendements au règlement nº 80 de l’ONU [résistance des sièges et de leurs ancrages (autobus)]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ECE/TRANS/WP.29/2016/103</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8 à la série 06 d’amendements au règlement nº 83 de l’ONU (émissions des véhicules des catégories M</w:t>
            </w:r>
            <w:r>
              <w:rPr>
                <w:rFonts w:ascii="Times" w:hAnsi="Times"/>
                <w:noProof/>
                <w:sz w:val="20"/>
                <w:vertAlign w:val="subscript"/>
              </w:rPr>
              <w:t>1</w:t>
            </w:r>
            <w:r>
              <w:rPr>
                <w:rFonts w:ascii="Times" w:hAnsi="Times"/>
                <w:noProof/>
                <w:sz w:val="20"/>
              </w:rPr>
              <w:t xml:space="preserve"> et N</w:t>
            </w:r>
            <w:r>
              <w:rPr>
                <w:rFonts w:ascii="Times" w:hAnsi="Times"/>
                <w:noProof/>
                <w:sz w:val="20"/>
                <w:vertAlign w:val="subscript"/>
              </w:rPr>
              <w:t>1</w:t>
            </w:r>
            <w:r>
              <w:rPr>
                <w:rFonts w:ascii="Times" w:hAnsi="Times"/>
                <w:noProof/>
                <w:sz w:val="20"/>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ECE/TRANS/WP.29/2016/108</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lastRenderedPageBreak/>
              <w:t>Proposition de complément 4 à la série 07 d’amendements au règlement nº 83 de l’ONU (émissions des véhicules des catégories M</w:t>
            </w:r>
            <w:r>
              <w:rPr>
                <w:rFonts w:ascii="Times" w:hAnsi="Times"/>
                <w:noProof/>
                <w:sz w:val="20"/>
                <w:vertAlign w:val="subscript"/>
              </w:rPr>
              <w:t>1</w:t>
            </w:r>
            <w:r>
              <w:rPr>
                <w:rFonts w:ascii="Times" w:hAnsi="Times"/>
                <w:noProof/>
                <w:sz w:val="20"/>
              </w:rPr>
              <w:t xml:space="preserve"> et N</w:t>
            </w:r>
            <w:r>
              <w:rPr>
                <w:rFonts w:ascii="Times" w:hAnsi="Times"/>
                <w:noProof/>
                <w:sz w:val="20"/>
                <w:vertAlign w:val="subscript"/>
              </w:rPr>
              <w:t>1</w:t>
            </w:r>
            <w:r>
              <w:rPr>
                <w:rFonts w:ascii="Times" w:hAnsi="Times"/>
                <w:noProof/>
                <w:sz w:val="20"/>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ECE/TRANS/WP.29/2016/109</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série 01 d’amendements au règlement nº 86 de l’ONU (installation des dispositifs d’éclairage et de signalisation lumineuse des tracteurs agricoles)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ECE/TRANS/WP.29/2016/83</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18 au règlement nº 87 de l’ONU (feux de circulation diurne)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ECE/TRANS/WP.29/2016/84</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12 à la version originale du règlement nº 99 (sources lumineuses à décharge)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ECE/TRANS/WP.29/2016/85</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série 06 d’amendements au règlement nº 105 de l’ONU (véhicules ADR)</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ECE/TRANS/WP.29/2016/90</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5 à la série 04 d’amendements au règlement nº 107 de l’ONU (caractéristiques générales de construction d’autobus et d’autocars)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ECE/TRANS/WP.29/2016/91</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6 à la série 05 d’amendements au règlement nº 107 de l’ONU (construction générale des autobus et autocars)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ECE/TRANS/WP.29/2016/92</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6 à la série 06 d’amendements au règlement nº 107 de l’ONU (construction générale des autobus et autocars)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ECE/TRANS/WP.29/2016/93</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 à la série 07 d’amendements au règlement nº 107 de l’ONU (construction générale des autobus et autocars)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ECE/TRANS/WP.29/2016/94</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5 à la série 01 d’amendements au règlement nº 110 de l’ONU (véhicules alimentés au GNC/GNL)</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ECE/TRANS/WP.29/2016/95</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9 au règlement nº 121 de l’ONU (identification des commandes manuelles, des témoins et des indicateurs)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ECE/TRANS/WP.29/2016/96</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 à la série 01 d’amendements au règlement nº 121 de l’ONU (identification des commandes manuelles, des témoins et des indicateurs)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ECE/TRANS/WP.29/2016/97</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6 à la version originale du règlement nº 128 (sources lumineuses à diodes électroluminescentes)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ECE/TRANS/WP.29/2016/86</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rectificatif 2 au règlement nº 129 de l’ONU (dispositifs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ECE/TRANS/WP.29/2016/104</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5 au règlement nº 129 de l’ONU (dispositifs améliorés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ECE/TRANS/WP.29/2016/105</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complément 1 à la série 01 d’amendements au règlement nº 129 de l’ONU (dispositifs améliorés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ECE/TRANS/WP.29/2016/106</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série 02 d’amendements au règlement nº 129 de l’ONU (systèmes améliorés de retenue pour enfants)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ECE/TRANS/WP.29/2016/107</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nouveau règlement énonçant des prescriptions uniformes concernant l’homologation des systèmes d’adaptation des moteurs de véhicules utilitaires lourds à la bicarburation, conçus pour les moteurs diesel des véhicules utilitaires lourds et les véhicules utilitaires lourds à moteur diesel</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ECE/TRANS/WP.29/2016/110</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projet de résolution sur une spécification commune des catégories de sources lumineuses (R.E.4)</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ECE/TRANS/WP.29/2016/111</w:t>
            </w:r>
          </w:p>
        </w:tc>
      </w:tr>
      <w:tr>
        <w:trPr>
          <w:trHeight w:val="22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lastRenderedPageBreak/>
              <w:t>Proposition d’amendement 1 au règlement technique mondial (RTM) nº 15 de l’ONU [procédure d’essai mondiale harmonisée pour les voitures particulières et véhicules utilitaires légers (WLTP)]</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ECE/TRANS/WP.29/2016/68</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d’amendement 1 au règlement technique mondial (RTM) nº 16 de l’ONU (pneumatiques)</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ECE/TRANS/WP.29/2016/117</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nouveau règlement technique mondial de l’ONU sur la procédure de mesure applicable aux véhicules à deux ou trois roues équipés d’un moteur à combustion interne en ce qui concerne les systèmes d’autodiagnostic</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ECE/TRANS/WP.29/2016/112</w:t>
            </w:r>
          </w:p>
        </w:tc>
      </w:tr>
      <w:tr>
        <w:trPr>
          <w:trHeight w:val="567"/>
        </w:trPr>
        <w:tc>
          <w:tcPr>
            <w:tcW w:w="495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Proposition de nouveau règlement technique mondial (RTM) de l’ONU sur la procédure de mesure des émissions de gaz de carter et des émissions par évaporation des véhicules à deux ou trois roues équipés d’un moteur à combustion interne</w:t>
            </w:r>
          </w:p>
        </w:tc>
        <w:tc>
          <w:tcPr>
            <w:tcW w:w="2736"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ECE/TRANS/WP.29/2016/66</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BC5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7A0B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2C8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F68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04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C69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1438F4"/>
    <w:lvl w:ilvl="0">
      <w:start w:val="1"/>
      <w:numFmt w:val="decimal"/>
      <w:pStyle w:val="ListNumber"/>
      <w:lvlText w:val="%1."/>
      <w:lvlJc w:val="left"/>
      <w:pPr>
        <w:tabs>
          <w:tab w:val="num" w:pos="360"/>
        </w:tabs>
        <w:ind w:left="360" w:hanging="360"/>
      </w:pPr>
    </w:lvl>
  </w:abstractNum>
  <w:abstractNum w:abstractNumId="7">
    <w:nsid w:val="FFFFFF89"/>
    <w:multiLevelType w:val="singleLevel"/>
    <w:tmpl w:val="79B0CB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8 09:52: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0E26E8B24EA4F49AD69EE6264EF901F"/>
    <w:docVar w:name="LW_CROSSREFERENCE" w:val="&lt;UNUSED&gt;"/>
    <w:docVar w:name="LW_DocType" w:val="ANNEX"/>
    <w:docVar w:name="LW_EMISSION" w:val="25.10.2016"/>
    <w:docVar w:name="LW_EMISSION_ISODATE" w:val="2016-10-2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8217?Union européenne, au sein des comités compétents de la Commission économique pour l\u8217?Europe des Nations unies, sur les propositions d\u8217?amendements aux règlements nos 7, 16, 37, 44, 45, 46, 48, 53, 78, 80, 83, 86, 87, 99, 105, 107, 110, 121, 128 et 129 de l\u8217?ONU, sur une proposition de nouveau règlement de l\u8217?ONU sur les systèmes d\u8217?adaptation des moteurs de véhicules utilitaires lourds à la bicarburation, sur les propositions d\u8217?amendements aux règlements techniques mondiaux nos 15 et 16 de l\u8217?ONU, sur les propositions de deux nouveaux règlements techniques mondiaux de l\u8217?ONU sur la procédure de mesure applicable aux véhicules à deux ou trois roues équipés d\u8217?un moteur à combustion interne, l\u8217?un concernant certains types d\u8217?émissions et l\u8217?autre les systèmes d\u8217?autodiagnostic, ainsi que sur la proposition de nouvelle résolution sur une spécification commune des catégories de sources lumineuses (R.E.4)"/>
    <w:docVar w:name="LW_OBJETACTEPRINCIPAL.CP" w:val="établissant la position à adopter au nom de l\u8217?Union européenne, au sein des comités compétents de la Commission économique pour l\u8217?Europe des Nations unies, sur les propositions d\u8217?amendements aux règlements nos 7, 16, 37, 44, 45, 46, 48, 53, 78, 80, 83, 86, 87, 99, 105, 107, 110, 121, 128 et 129 de l\u8217?ONU, sur une proposition de nouveau règlement de l\u8217?ONU sur les systèmes d\u8217?adaptation des moteurs de véhicules utilitaires lourds à la bicarburation, sur les propositions d\u8217?amendements aux règlements techniques mondiaux nos 15 et 16 de l\u8217?ONU, sur les propositions de deux nouveaux règlements techniques mondiaux de l\u8217?ONU sur la procédure de mesure applicable aux véhicules à deux ou trois roues équipés d\u8217?un moteur à combustion interne, l\u8217?un concernant certains types d\u8217?émissions et l\u8217?autre les systèmes d\u8217?autodiagnostic, ainsi que sur la proposition de nouvelle résolution sur une spécification commune des catégories de sources lumineuses (R.E.4)"/>
    <w:docVar w:name="LW_PART_NBR" w:val="1"/>
    <w:docVar w:name="LW_PART_NBR_TOTAL" w:val="1"/>
    <w:docVar w:name="LW_REF.INST.NEW" w:val="COM"/>
    <w:docVar w:name="LW_REF.INST.NEW_ADOPTED" w:val="final"/>
    <w:docVar w:name="LW_REF.INST.NEW_TEXT" w:val="(2016) 68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129">
      <w:bodyDiv w:val="1"/>
      <w:marLeft w:val="0"/>
      <w:marRight w:val="0"/>
      <w:marTop w:val="0"/>
      <w:marBottom w:val="0"/>
      <w:divBdr>
        <w:top w:val="none" w:sz="0" w:space="0" w:color="auto"/>
        <w:left w:val="none" w:sz="0" w:space="0" w:color="auto"/>
        <w:bottom w:val="none" w:sz="0" w:space="0" w:color="auto"/>
        <w:right w:val="none" w:sz="0" w:space="0" w:color="auto"/>
      </w:divBdr>
    </w:div>
    <w:div w:id="141124683">
      <w:bodyDiv w:val="1"/>
      <w:marLeft w:val="0"/>
      <w:marRight w:val="0"/>
      <w:marTop w:val="0"/>
      <w:marBottom w:val="0"/>
      <w:divBdr>
        <w:top w:val="none" w:sz="0" w:space="0" w:color="auto"/>
        <w:left w:val="none" w:sz="0" w:space="0" w:color="auto"/>
        <w:bottom w:val="none" w:sz="0" w:space="0" w:color="auto"/>
        <w:right w:val="none" w:sz="0" w:space="0" w:color="auto"/>
      </w:divBdr>
    </w:div>
    <w:div w:id="181748893">
      <w:bodyDiv w:val="1"/>
      <w:marLeft w:val="0"/>
      <w:marRight w:val="0"/>
      <w:marTop w:val="0"/>
      <w:marBottom w:val="0"/>
      <w:divBdr>
        <w:top w:val="none" w:sz="0" w:space="0" w:color="auto"/>
        <w:left w:val="none" w:sz="0" w:space="0" w:color="auto"/>
        <w:bottom w:val="none" w:sz="0" w:space="0" w:color="auto"/>
        <w:right w:val="none" w:sz="0" w:space="0" w:color="auto"/>
      </w:divBdr>
    </w:div>
    <w:div w:id="271404448">
      <w:bodyDiv w:val="1"/>
      <w:marLeft w:val="0"/>
      <w:marRight w:val="0"/>
      <w:marTop w:val="0"/>
      <w:marBottom w:val="0"/>
      <w:divBdr>
        <w:top w:val="none" w:sz="0" w:space="0" w:color="auto"/>
        <w:left w:val="none" w:sz="0" w:space="0" w:color="auto"/>
        <w:bottom w:val="none" w:sz="0" w:space="0" w:color="auto"/>
        <w:right w:val="none" w:sz="0" w:space="0" w:color="auto"/>
      </w:divBdr>
    </w:div>
    <w:div w:id="322202832">
      <w:bodyDiv w:val="1"/>
      <w:marLeft w:val="0"/>
      <w:marRight w:val="0"/>
      <w:marTop w:val="0"/>
      <w:marBottom w:val="0"/>
      <w:divBdr>
        <w:top w:val="none" w:sz="0" w:space="0" w:color="auto"/>
        <w:left w:val="none" w:sz="0" w:space="0" w:color="auto"/>
        <w:bottom w:val="none" w:sz="0" w:space="0" w:color="auto"/>
        <w:right w:val="none" w:sz="0" w:space="0" w:color="auto"/>
      </w:divBdr>
    </w:div>
    <w:div w:id="432941524">
      <w:bodyDiv w:val="1"/>
      <w:marLeft w:val="0"/>
      <w:marRight w:val="0"/>
      <w:marTop w:val="0"/>
      <w:marBottom w:val="0"/>
      <w:divBdr>
        <w:top w:val="none" w:sz="0" w:space="0" w:color="auto"/>
        <w:left w:val="none" w:sz="0" w:space="0" w:color="auto"/>
        <w:bottom w:val="none" w:sz="0" w:space="0" w:color="auto"/>
        <w:right w:val="none" w:sz="0" w:space="0" w:color="auto"/>
      </w:divBdr>
    </w:div>
    <w:div w:id="582031224">
      <w:bodyDiv w:val="1"/>
      <w:marLeft w:val="0"/>
      <w:marRight w:val="0"/>
      <w:marTop w:val="0"/>
      <w:marBottom w:val="0"/>
      <w:divBdr>
        <w:top w:val="none" w:sz="0" w:space="0" w:color="auto"/>
        <w:left w:val="none" w:sz="0" w:space="0" w:color="auto"/>
        <w:bottom w:val="none" w:sz="0" w:space="0" w:color="auto"/>
        <w:right w:val="none" w:sz="0" w:space="0" w:color="auto"/>
      </w:divBdr>
    </w:div>
    <w:div w:id="617445644">
      <w:bodyDiv w:val="1"/>
      <w:marLeft w:val="0"/>
      <w:marRight w:val="0"/>
      <w:marTop w:val="0"/>
      <w:marBottom w:val="0"/>
      <w:divBdr>
        <w:top w:val="none" w:sz="0" w:space="0" w:color="auto"/>
        <w:left w:val="none" w:sz="0" w:space="0" w:color="auto"/>
        <w:bottom w:val="none" w:sz="0" w:space="0" w:color="auto"/>
        <w:right w:val="none" w:sz="0" w:space="0" w:color="auto"/>
      </w:divBdr>
    </w:div>
    <w:div w:id="649867829">
      <w:bodyDiv w:val="1"/>
      <w:marLeft w:val="0"/>
      <w:marRight w:val="0"/>
      <w:marTop w:val="0"/>
      <w:marBottom w:val="0"/>
      <w:divBdr>
        <w:top w:val="none" w:sz="0" w:space="0" w:color="auto"/>
        <w:left w:val="none" w:sz="0" w:space="0" w:color="auto"/>
        <w:bottom w:val="none" w:sz="0" w:space="0" w:color="auto"/>
        <w:right w:val="none" w:sz="0" w:space="0" w:color="auto"/>
      </w:divBdr>
    </w:div>
    <w:div w:id="1110662801">
      <w:bodyDiv w:val="1"/>
      <w:marLeft w:val="0"/>
      <w:marRight w:val="0"/>
      <w:marTop w:val="0"/>
      <w:marBottom w:val="0"/>
      <w:divBdr>
        <w:top w:val="none" w:sz="0" w:space="0" w:color="auto"/>
        <w:left w:val="none" w:sz="0" w:space="0" w:color="auto"/>
        <w:bottom w:val="none" w:sz="0" w:space="0" w:color="auto"/>
        <w:right w:val="none" w:sz="0" w:space="0" w:color="auto"/>
      </w:divBdr>
    </w:div>
    <w:div w:id="1114791289">
      <w:bodyDiv w:val="1"/>
      <w:marLeft w:val="0"/>
      <w:marRight w:val="0"/>
      <w:marTop w:val="0"/>
      <w:marBottom w:val="0"/>
      <w:divBdr>
        <w:top w:val="none" w:sz="0" w:space="0" w:color="auto"/>
        <w:left w:val="none" w:sz="0" w:space="0" w:color="auto"/>
        <w:bottom w:val="none" w:sz="0" w:space="0" w:color="auto"/>
        <w:right w:val="none" w:sz="0" w:space="0" w:color="auto"/>
      </w:divBdr>
    </w:div>
    <w:div w:id="1248029981">
      <w:bodyDiv w:val="1"/>
      <w:marLeft w:val="0"/>
      <w:marRight w:val="0"/>
      <w:marTop w:val="0"/>
      <w:marBottom w:val="0"/>
      <w:divBdr>
        <w:top w:val="none" w:sz="0" w:space="0" w:color="auto"/>
        <w:left w:val="none" w:sz="0" w:space="0" w:color="auto"/>
        <w:bottom w:val="none" w:sz="0" w:space="0" w:color="auto"/>
        <w:right w:val="none" w:sz="0" w:space="0" w:color="auto"/>
      </w:divBdr>
    </w:div>
    <w:div w:id="1344623960">
      <w:bodyDiv w:val="1"/>
      <w:marLeft w:val="0"/>
      <w:marRight w:val="0"/>
      <w:marTop w:val="0"/>
      <w:marBottom w:val="0"/>
      <w:divBdr>
        <w:top w:val="none" w:sz="0" w:space="0" w:color="auto"/>
        <w:left w:val="none" w:sz="0" w:space="0" w:color="auto"/>
        <w:bottom w:val="none" w:sz="0" w:space="0" w:color="auto"/>
        <w:right w:val="none" w:sz="0" w:space="0" w:color="auto"/>
      </w:divBdr>
    </w:div>
    <w:div w:id="1352100903">
      <w:bodyDiv w:val="1"/>
      <w:marLeft w:val="0"/>
      <w:marRight w:val="0"/>
      <w:marTop w:val="0"/>
      <w:marBottom w:val="0"/>
      <w:divBdr>
        <w:top w:val="none" w:sz="0" w:space="0" w:color="auto"/>
        <w:left w:val="none" w:sz="0" w:space="0" w:color="auto"/>
        <w:bottom w:val="none" w:sz="0" w:space="0" w:color="auto"/>
        <w:right w:val="none" w:sz="0" w:space="0" w:color="auto"/>
      </w:divBdr>
    </w:div>
    <w:div w:id="1629553094">
      <w:bodyDiv w:val="1"/>
      <w:marLeft w:val="0"/>
      <w:marRight w:val="0"/>
      <w:marTop w:val="0"/>
      <w:marBottom w:val="0"/>
      <w:divBdr>
        <w:top w:val="none" w:sz="0" w:space="0" w:color="auto"/>
        <w:left w:val="none" w:sz="0" w:space="0" w:color="auto"/>
        <w:bottom w:val="none" w:sz="0" w:space="0" w:color="auto"/>
        <w:right w:val="none" w:sz="0" w:space="0" w:color="auto"/>
      </w:divBdr>
    </w:div>
    <w:div w:id="1696884792">
      <w:bodyDiv w:val="1"/>
      <w:marLeft w:val="0"/>
      <w:marRight w:val="0"/>
      <w:marTop w:val="0"/>
      <w:marBottom w:val="0"/>
      <w:divBdr>
        <w:top w:val="none" w:sz="0" w:space="0" w:color="auto"/>
        <w:left w:val="none" w:sz="0" w:space="0" w:color="auto"/>
        <w:bottom w:val="none" w:sz="0" w:space="0" w:color="auto"/>
        <w:right w:val="none" w:sz="0" w:space="0" w:color="auto"/>
      </w:divBdr>
    </w:div>
    <w:div w:id="1698504897">
      <w:bodyDiv w:val="1"/>
      <w:marLeft w:val="0"/>
      <w:marRight w:val="0"/>
      <w:marTop w:val="0"/>
      <w:marBottom w:val="0"/>
      <w:divBdr>
        <w:top w:val="none" w:sz="0" w:space="0" w:color="auto"/>
        <w:left w:val="none" w:sz="0" w:space="0" w:color="auto"/>
        <w:bottom w:val="none" w:sz="0" w:space="0" w:color="auto"/>
        <w:right w:val="none" w:sz="0" w:space="0" w:color="auto"/>
      </w:divBdr>
    </w:div>
    <w:div w:id="1701392306">
      <w:bodyDiv w:val="1"/>
      <w:marLeft w:val="0"/>
      <w:marRight w:val="0"/>
      <w:marTop w:val="0"/>
      <w:marBottom w:val="0"/>
      <w:divBdr>
        <w:top w:val="none" w:sz="0" w:space="0" w:color="auto"/>
        <w:left w:val="none" w:sz="0" w:space="0" w:color="auto"/>
        <w:bottom w:val="none" w:sz="0" w:space="0" w:color="auto"/>
        <w:right w:val="none" w:sz="0" w:space="0" w:color="auto"/>
      </w:divBdr>
    </w:div>
    <w:div w:id="1776753372">
      <w:bodyDiv w:val="1"/>
      <w:marLeft w:val="0"/>
      <w:marRight w:val="0"/>
      <w:marTop w:val="0"/>
      <w:marBottom w:val="0"/>
      <w:divBdr>
        <w:top w:val="none" w:sz="0" w:space="0" w:color="auto"/>
        <w:left w:val="none" w:sz="0" w:space="0" w:color="auto"/>
        <w:bottom w:val="none" w:sz="0" w:space="0" w:color="auto"/>
        <w:right w:val="none" w:sz="0" w:space="0" w:color="auto"/>
      </w:divBdr>
    </w:div>
    <w:div w:id="2017419417">
      <w:bodyDiv w:val="1"/>
      <w:marLeft w:val="0"/>
      <w:marRight w:val="0"/>
      <w:marTop w:val="0"/>
      <w:marBottom w:val="0"/>
      <w:divBdr>
        <w:top w:val="none" w:sz="0" w:space="0" w:color="auto"/>
        <w:left w:val="none" w:sz="0" w:space="0" w:color="auto"/>
        <w:bottom w:val="none" w:sz="0" w:space="0" w:color="auto"/>
        <w:right w:val="none" w:sz="0" w:space="0" w:color="auto"/>
      </w:divBdr>
    </w:div>
    <w:div w:id="20620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920</Words>
  <Characters>5824</Characters>
  <Application>Microsoft Office Word</Application>
  <DocSecurity>0</DocSecurity>
  <Lines>176</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schulal</dc:creator>
  <cp:keywords/>
  <cp:lastModifiedBy>DIGIT/A3</cp:lastModifiedBy>
  <cp:revision>8</cp:revision>
  <cp:lastPrinted>2016-10-05T09:24:00Z</cp:lastPrinted>
  <dcterms:created xsi:type="dcterms:W3CDTF">2016-10-14T09:46:00Z</dcterms:created>
  <dcterms:modified xsi:type="dcterms:W3CDTF">2016-10-18T07:52:00Z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