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30097310"/>
      <w:bookmarkStart w:id="1" w:name="_Toc399517418"/>
      <w:bookmarkStart w:id="2" w:name="_Toc387228706"/>
      <w:bookmarkStart w:id="3" w:name="_Toc388541836"/>
      <w:bookmarkStart w:id="4" w:name="_Toc387229283"/>
      <w:bookmarkStart w:id="5" w:name="_Toc388542045"/>
      <w:bookmarkStart w:id="6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2C23245AFB546AC9669890F621F1718" style="width:450.75pt;height:393pt">
            <v:imagedata r:id="rId9" o:title=""/>
          </v:shape>
        </w:pict>
      </w:r>
    </w:p>
    <w:bookmarkEnd w:id="6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Subtitle"/>
        <w:spacing w:before="0" w:after="240"/>
        <w:rPr>
          <w:noProof/>
          <w:sz w:val="22"/>
          <w:szCs w:val="22"/>
        </w:rPr>
      </w:pPr>
      <w:bookmarkStart w:id="7" w:name="_GoBack"/>
      <w:bookmarkEnd w:id="7"/>
      <w:r>
        <w:rPr>
          <w:noProof/>
          <w:sz w:val="22"/>
        </w:rPr>
        <w:lastRenderedPageBreak/>
        <w:t>ПРИЛОЖЕНИЕ</w:t>
      </w:r>
      <w:bookmarkEnd w:id="0"/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Със следните фишове се прави обобщение на събраната към 31 декември 2015 г. информация за всяка от 12-те точки съгласно изискването в член 140, параграф 8 от Финансовия регламент. По-подробна информация може да бъде намерена в работния документ на службите на Комисията.</w:t>
      </w:r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Следва да се отбележи, че докато в член 140, параграф 8, буква к) се изисква съпоставка между </w:t>
      </w:r>
      <w:r>
        <w:rPr>
          <w:rFonts w:ascii="Times New Roman" w:hAnsi="Times New Roman"/>
          <w:i/>
          <w:noProof/>
        </w:rPr>
        <w:t>целевия</w:t>
      </w:r>
      <w:r>
        <w:rPr>
          <w:rFonts w:ascii="Times New Roman" w:hAnsi="Times New Roman"/>
          <w:noProof/>
        </w:rPr>
        <w:t xml:space="preserve"> и </w:t>
      </w:r>
      <w:r>
        <w:rPr>
          <w:rFonts w:ascii="Times New Roman" w:hAnsi="Times New Roman"/>
          <w:i/>
          <w:noProof/>
        </w:rPr>
        <w:t>постигнатия</w:t>
      </w:r>
      <w:r>
        <w:rPr>
          <w:rFonts w:ascii="Times New Roman" w:hAnsi="Times New Roman"/>
          <w:noProof/>
        </w:rPr>
        <w:t xml:space="preserve"> ефект на лоста, не е определян </w:t>
      </w:r>
      <w:r>
        <w:rPr>
          <w:rFonts w:ascii="Times New Roman" w:hAnsi="Times New Roman"/>
          <w:i/>
          <w:noProof/>
        </w:rPr>
        <w:t>целеви</w:t>
      </w:r>
      <w:r>
        <w:rPr>
          <w:rFonts w:ascii="Times New Roman" w:hAnsi="Times New Roman"/>
          <w:noProof/>
        </w:rPr>
        <w:t xml:space="preserve"> ефект на лоста за повечето финансови инструменти за периода 2007—2013 г. Информацията се ограничава до </w:t>
      </w:r>
      <w:r>
        <w:rPr>
          <w:rFonts w:ascii="Times New Roman" w:hAnsi="Times New Roman"/>
          <w:i/>
          <w:noProof/>
        </w:rPr>
        <w:t>постигнатия</w:t>
      </w:r>
      <w:r>
        <w:rPr>
          <w:rFonts w:ascii="Times New Roman" w:hAnsi="Times New Roman"/>
          <w:noProof/>
        </w:rPr>
        <w:t xml:space="preserve"> ефект на лоста, чието изчисляване е описано в съответния раздел на работния документ на службите на Комисията</w:t>
      </w:r>
      <w:r>
        <w:rPr>
          <w:rStyle w:val="FootnoteReference"/>
          <w:rFonts w:ascii="Times New Roman" w:hAnsi="Times New Roman"/>
          <w:noProof/>
        </w:rPr>
        <w:footnoteReference w:id="1"/>
      </w:r>
      <w:r>
        <w:rPr>
          <w:noProof/>
        </w:rPr>
        <w:t>.</w:t>
      </w:r>
      <w:r>
        <w:rPr>
          <w:rFonts w:ascii="Times New Roman" w:hAnsi="Times New Roman"/>
          <w:noProof/>
        </w:rPr>
        <w:t xml:space="preserve"> На този етап </w:t>
      </w:r>
      <w:r>
        <w:rPr>
          <w:rFonts w:ascii="Times New Roman" w:hAnsi="Times New Roman"/>
          <w:i/>
          <w:noProof/>
        </w:rPr>
        <w:t>постигнатият</w:t>
      </w:r>
      <w:r>
        <w:rPr>
          <w:rFonts w:ascii="Times New Roman" w:hAnsi="Times New Roman"/>
          <w:noProof/>
        </w:rPr>
        <w:t xml:space="preserve"> коефициент на ливъридж в много случаи все още не е окончателен, тъй като броят на крайните получатели продължава да се увеличава. За настоящите инструменти </w:t>
      </w:r>
      <w:r>
        <w:rPr>
          <w:rFonts w:ascii="Times New Roman" w:hAnsi="Times New Roman"/>
          <w:i/>
          <w:noProof/>
        </w:rPr>
        <w:t>целевият</w:t>
      </w:r>
      <w:r>
        <w:rPr>
          <w:rFonts w:ascii="Times New Roman" w:hAnsi="Times New Roman"/>
          <w:noProof/>
        </w:rPr>
        <w:t xml:space="preserve"> ефект на лоста е представен заедно с </w:t>
      </w:r>
      <w:r>
        <w:rPr>
          <w:rFonts w:ascii="Times New Roman" w:hAnsi="Times New Roman"/>
          <w:i/>
          <w:noProof/>
        </w:rPr>
        <w:t>очаквания</w:t>
      </w:r>
      <w:r>
        <w:rPr>
          <w:rFonts w:ascii="Times New Roman" w:hAnsi="Times New Roman"/>
          <w:noProof/>
        </w:rPr>
        <w:t xml:space="preserve"> въз основа на сумата за финансиране на допустимите крайни получатели, очаквана като резултат от операциите, които упълномощеният субект вече е подписал с финансовите посредници (или крайните получатели).</w:t>
      </w:r>
    </w:p>
    <w:p>
      <w:pPr>
        <w:spacing w:after="240"/>
        <w:jc w:val="both"/>
        <w:rPr>
          <w:rFonts w:ascii="Times New Roman" w:hAnsi="Times New Roman" w:cs="Times New Roman"/>
          <w:noProof/>
        </w:rPr>
      </w:pPr>
    </w:p>
    <w:p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p>
      <w:pPr>
        <w:pStyle w:val="Heading4"/>
        <w:spacing w:before="0" w:after="240"/>
        <w:ind w:left="357" w:hanging="357"/>
        <w:rPr>
          <w:noProof/>
          <w:sz w:val="22"/>
          <w:szCs w:val="22"/>
        </w:rPr>
      </w:pPr>
      <w:r>
        <w:rPr>
          <w:noProof/>
          <w:sz w:val="22"/>
        </w:rPr>
        <w:t>Капиталови инструменти</w:t>
      </w:r>
      <w:bookmarkEnd w:id="1"/>
    </w:p>
    <w:tbl>
      <w:tblPr>
        <w:tblW w:w="5036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2381"/>
        <w:gridCol w:w="2381"/>
        <w:gridCol w:w="2381"/>
      </w:tblGrid>
      <w:tr>
        <w:tc>
          <w:tcPr>
            <w:tcW w:w="221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381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Инструмент за висок растеж и иновационни МСП в рамките на CIP —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GIF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(V.1.1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„ИКОНОМИЧЕСКИ И ФИНАНСОВИ ВЪПРОСИ“/„ВЪТРЕШЕН ПАЗАР, ПРОМИШЛЕНОСТ, ПРЕДПРИЕМАЧЕСТВО И МСП“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Капиталов инструмент по Механизма за свързване на Европа – CEF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 1.2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„СЪОБЩИТЕЛНИ МРЕЖИ, СЪДЪРЖАНИЕ И ТЕХНОЛОГИИ“</w:t>
            </w: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Капиталов механизъм за растеж по COSME -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EFG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(V.1.3 SWD)</w:t>
            </w:r>
          </w:p>
          <w:p>
            <w:pPr>
              <w:spacing w:before="60" w:after="12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„Вътрешен пазар, промишленост, предприемачество и МСП“</w:t>
            </w:r>
          </w:p>
        </w:tc>
      </w:tr>
      <w:t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Идентификационен/основен акт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Решение № 1639/2006/ЕО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1316/2013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1287/2013</w:t>
            </w:r>
          </w:p>
        </w:tc>
      </w:tr>
      <w:t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 за увеличаване на предлагането на капитал за иновативни МСП в ранен етап на развитие и етап на разширяване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spacing w:after="60"/>
              <w:ind w:right="141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 за оптимизиране на използването на ограничените ресурси на CEF за по-малките и по-рискови проекти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инструмент, който предоставя рисков капитал и финансиране тип „мецанин“ за МСП на етапите на разширяването и растежа</w:t>
            </w:r>
          </w:p>
        </w:tc>
      </w:tr>
      <w:tr>
        <w:trPr>
          <w:trHeight w:val="958"/>
        </w:trP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 - все още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</w:tr>
      <w:tr>
        <w:trPr>
          <w:trHeight w:val="1540"/>
        </w:trP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625,2 млн. евро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414,2 млн. евро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 млн. евро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0 млн. евро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102,4 млн. евро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41,0 млн. евро</w:t>
            </w:r>
          </w:p>
        </w:tc>
      </w:tr>
      <w:tr>
        <w:trPr>
          <w:trHeight w:val="1208"/>
        </w:trP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С фондове за рисков капитал са подписани 43 споразумения за очаквано финансиране от 3,1 млрд. евро, предназначени за 850 допустими МСП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С фондове за рисков капитал са подписани 5 споразумения за очаквано финансиране от 394,5 млрд. евро, предназначени за 53 допустими МСП</w:t>
            </w:r>
          </w:p>
        </w:tc>
      </w:tr>
      <w:tr>
        <w:trPr>
          <w:trHeight w:val="1538"/>
        </w:trP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Над 90 %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823"/>
        </w:trP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94,7 млн. евро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38,5 млн. евро</w:t>
            </w:r>
          </w:p>
        </w:tc>
      </w:tr>
      <w:tr>
        <w:trPr>
          <w:trHeight w:val="835"/>
        </w:trP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Приходи: 19,5 млн. евро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-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318,1 млн. евро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Обезценки/активирани гаранции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5,3 млн. евро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303"/>
        </w:trPr>
        <w:tc>
          <w:tcPr>
            <w:tcW w:w="2212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5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5,6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5 до 10</w:t>
            </w:r>
          </w:p>
        </w:tc>
        <w:tc>
          <w:tcPr>
            <w:tcW w:w="2381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между 4 и 6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3,85</w:t>
            </w:r>
          </w:p>
        </w:tc>
      </w:tr>
      <w:tr>
        <w:trPr>
          <w:trHeight w:val="1416"/>
        </w:trPr>
        <w:tc>
          <w:tcPr>
            <w:tcW w:w="221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 xml:space="preserve">Подкрепа за повече от 1,2 млрд. евро финансиране за 437 допустими МСП;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Подкрепа за инвестиции в размер на 3,1 млрд. евро.</w:t>
            </w: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>
            <w:pPr>
              <w:pStyle w:val="ListParagraph"/>
              <w:spacing w:before="120" w:after="120" w:line="240" w:lineRule="auto"/>
              <w:ind w:left="0"/>
              <w:jc w:val="center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Очакваният обем на дяловите инвестиции в 53 допустими крайни получатели възлиза на почти 395 млн. евро;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 xml:space="preserve"> Все още няма инвестиции от МСП.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  <w:lang w:val="it-IT"/>
        </w:rPr>
      </w:pPr>
    </w:p>
    <w:p>
      <w:pPr>
        <w:rPr>
          <w:noProof/>
          <w:lang w:val="it-IT"/>
        </w:rPr>
      </w:pPr>
    </w:p>
    <w:p>
      <w:pPr>
        <w:rPr>
          <w:noProof/>
          <w:lang w:val="it-IT"/>
        </w:rPr>
      </w:pPr>
    </w:p>
    <w:p>
      <w:pPr>
        <w:rPr>
          <w:noProof/>
          <w:lang w:val="it-IT"/>
        </w:rPr>
      </w:pPr>
    </w:p>
    <w:tbl>
      <w:tblPr>
        <w:tblW w:w="2653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</w:tblGrid>
      <w:tr>
        <w:tc>
          <w:tcPr>
            <w:tcW w:w="23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55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Рисков капитал на InnovFin за МСП („Хоризонт 2020“)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(V.1.4.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„НАУЧНИ ИЗСЛЕДВАНИЯ И ИНОВАЦИИ“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Идентификационен/основен акт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1291/2013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1290/2013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 за рисков капитал и квазикапиталови инвестиции на ранни етапи в МСП с основна дейност научни изследвания и иновации и в дружества със средна пазарна капитализация</w:t>
            </w:r>
          </w:p>
        </w:tc>
      </w:tr>
      <w:tr>
        <w:trPr>
          <w:trHeight w:val="958"/>
        </w:trP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</w:tr>
      <w:tr>
        <w:trPr>
          <w:trHeight w:val="154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125,1 млн. евро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110,1 млн. евро</w:t>
            </w:r>
          </w:p>
        </w:tc>
      </w:tr>
      <w:tr>
        <w:trPr>
          <w:trHeight w:val="1208"/>
        </w:trP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споразумения за очаквано финансиране в размер на 237,6 млн. евро за приблизително 30 допустими МСП</w:t>
            </w:r>
          </w:p>
        </w:tc>
      </w:tr>
      <w:tr>
        <w:trPr>
          <w:trHeight w:val="1538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823"/>
        </w:trP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107,6 млн. евро</w:t>
            </w:r>
          </w:p>
        </w:tc>
      </w:tr>
      <w:tr>
        <w:trPr>
          <w:trHeight w:val="835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28,2 млн. евро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Обезценки/активи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рани гаранции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303"/>
        </w:trP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552" w:type="dxa"/>
            <w:shd w:val="clear" w:color="auto" w:fill="D3DFEE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6</w:t>
            </w:r>
          </w:p>
        </w:tc>
      </w:tr>
      <w:tr>
        <w:trPr>
          <w:trHeight w:val="1416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 xml:space="preserve">Очакваният обем на дяловите инвестиции в 30 допустими крайни получатели възлиза на 237,6 млн. евро;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Все още няма инвестиции от МСП.</w:t>
            </w:r>
          </w:p>
        </w:tc>
      </w:tr>
    </w:tbl>
    <w:p>
      <w:pPr>
        <w:pStyle w:val="Heading4"/>
        <w:rPr>
          <w:noProof/>
          <w:szCs w:val="22"/>
        </w:rPr>
      </w:pPr>
      <w:r>
        <w:rPr>
          <w:noProof/>
        </w:rPr>
        <w:br w:type="page"/>
      </w:r>
      <w:bookmarkStart w:id="8" w:name="_Toc399517419"/>
      <w:r>
        <w:rPr>
          <w:noProof/>
        </w:rPr>
        <w:t>Гаранционни инструменти</w:t>
      </w:r>
      <w:bookmarkEnd w:id="2"/>
      <w:bookmarkEnd w:id="3"/>
      <w:bookmarkEnd w:id="4"/>
      <w:bookmarkEnd w:id="5"/>
      <w:bookmarkEnd w:id="8"/>
    </w:p>
    <w:tbl>
      <w:tblPr>
        <w:tblW w:w="961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269"/>
        <w:gridCol w:w="2418"/>
      </w:tblGrid>
      <w:tr>
        <w:tc>
          <w:tcPr>
            <w:tcW w:w="26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pacing w:val="-6"/>
              </w:rPr>
            </w:pPr>
          </w:p>
        </w:tc>
        <w:tc>
          <w:tcPr>
            <w:tcW w:w="2268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гарантиране по отношение на МСП в рамките на CIP — SMEG07</w:t>
            </w:r>
          </w:p>
          <w:p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(V.2.1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„ВЪТРЕШЕН ПАЗАР, ПРОМИШЛЕНОСТ, ПРЕДПРИЕМАЧЕСТВО И МСП“ и „ИКОНОМИЧЕСКИ И ФИНАНСОВИ ВЪПРОСИ“</w:t>
            </w:r>
          </w:p>
        </w:tc>
        <w:tc>
          <w:tcPr>
            <w:tcW w:w="226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Гаранция по Европейския механизъм за микрофинансиране „Прогрес“ — EPMF-G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(V.2.2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„ТРУДОВА ЗАЕТОСТ, СОЦИАЛНИ ВЪПРОСИ И РАВНИ ВЪЗМОЖНОСТИ“ и „ИКОНОМИЧЕСКИ И ФИНАНСОВИ ВЪПРОСИ“</w:t>
            </w:r>
          </w:p>
        </w:tc>
        <w:tc>
          <w:tcPr>
            <w:tcW w:w="2418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Пилотен механизъм за гарантиране по отношение на МСП, свързани с НИРД, и малки дружества със средна пазарна капитализация (ИПР)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(V.2.5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 „НАУЧНИ ИЗСЛЕДВАНИЯ И ИНОВАЦИИ“</w:t>
            </w:r>
          </w:p>
        </w:tc>
      </w:tr>
      <w:t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Идентификационен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/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основен акт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i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Решение № 1639/2006/ЕО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i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Решение № 283/2010/ЕС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Решение № 1982/2006/ЕО</w:t>
            </w:r>
          </w:p>
        </w:tc>
      </w:tr>
      <w:t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подобряване на достъпа на МСП до финансиране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подобряване на достъпа на физическите лица и микропредприятията до микрофинансиране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подобряване на достъпа на инвестициите в НИРД до заемно финансиране</w:t>
            </w:r>
          </w:p>
        </w:tc>
      </w:tr>
      <w:t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</w:tr>
      <w:tr>
        <w:trPr>
          <w:trHeight w:val="1396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649,9 млн. евро</w:t>
            </w:r>
          </w:p>
          <w:p>
            <w:pPr>
              <w:pStyle w:val="ListParagraph"/>
              <w:keepNext/>
              <w:keepLines/>
              <w:spacing w:after="120" w:line="240" w:lineRule="auto"/>
              <w:ind w:left="0"/>
              <w:jc w:val="center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379,7 млн. евро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23,6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20,6 млн. евро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270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270 млн. евро</w:t>
            </w:r>
          </w:p>
        </w:tc>
      </w:tr>
      <w:t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72 споразумения с 55 финансови посредници за 23,9 млрд. евро очаквано финансиране, подкрепено с 567,0 млн. евро гарантирани обеми</w:t>
            </w:r>
            <w:r>
              <w:rPr>
                <w:noProof/>
                <w:spacing w:val="-6"/>
              </w:rPr>
              <w:t>.</w:t>
            </w:r>
            <w:r>
              <w:rPr>
                <w:rFonts w:ascii="Times New Roman" w:hAnsi="Times New Roman"/>
                <w:noProof/>
                <w:spacing w:val="-6"/>
              </w:rPr>
              <w:t xml:space="preserve"> 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36 споразумения за 284,9 млрд. евро очаквано финансиране, подкрепено с 21,9 млн. евро гарантирани обеми</w:t>
            </w:r>
            <w:r>
              <w:rPr>
                <w:noProof/>
                <w:spacing w:val="-6"/>
              </w:rPr>
              <w:t>.</w:t>
            </w:r>
            <w:r>
              <w:rPr>
                <w:rFonts w:ascii="Times New Roman" w:hAnsi="Times New Roman"/>
                <w:noProof/>
                <w:spacing w:val="-6"/>
              </w:rPr>
              <w:t xml:space="preserve"> 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36 споразумения за 3,3 млрд. евро очаквано финансиране за 3000 допустими крайни получатели.</w:t>
            </w:r>
            <w:r>
              <w:rPr>
                <w:rFonts w:ascii="Times New Roman" w:hAnsi="Times New Roman" w:cs="Times New Roman"/>
                <w:noProof/>
                <w:spacing w:val="-6"/>
              </w:rPr>
              <w:br/>
            </w:r>
          </w:p>
        </w:tc>
      </w:tr>
      <w:t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Над 60 %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Всички постъпления са били използвани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107,9 млн. евро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12,6 млн. евро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261,9 млн. евро</w:t>
            </w:r>
            <w:r>
              <w:rPr>
                <w:rStyle w:val="FootnoteReference"/>
                <w:rFonts w:ascii="Times New Roman" w:hAnsi="Times New Roman"/>
                <w:noProof/>
                <w:spacing w:val="-6"/>
              </w:rPr>
              <w:footnoteReference w:id="2"/>
            </w:r>
          </w:p>
        </w:tc>
      </w:tr>
      <w:t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12,1 млн. евро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349,4 хил. евро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1,8 млн. евро</w:t>
            </w:r>
          </w:p>
        </w:tc>
      </w:tr>
      <w:tr>
        <w:trPr>
          <w:trHeight w:val="1105"/>
        </w:trP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136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Обезценки/активирани гаранции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254,2 млн. евро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6,9 млн. евро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6,7 млн. евро</w:t>
            </w:r>
          </w:p>
        </w:tc>
      </w:tr>
      <w:tr>
        <w:trPr>
          <w:trHeight w:val="1332"/>
        </w:trPr>
        <w:tc>
          <w:tcPr>
            <w:tcW w:w="2660" w:type="dxa"/>
            <w:shd w:val="clear" w:color="auto" w:fill="D3DFEE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268" w:type="dxa"/>
            <w:shd w:val="clear" w:color="auto" w:fill="D3DFEE"/>
            <w:vAlign w:val="center"/>
          </w:tcPr>
          <w:p>
            <w:pPr>
              <w:tabs>
                <w:tab w:val="num" w:pos="1080"/>
              </w:tabs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31</w:t>
            </w:r>
          </w:p>
          <w:p>
            <w:pPr>
              <w:tabs>
                <w:tab w:val="num" w:pos="1080"/>
              </w:tabs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35,8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6,67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13,0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9,93</w:t>
            </w:r>
          </w:p>
        </w:tc>
        <w:tc>
          <w:tcPr>
            <w:tcW w:w="24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12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8,5</w:t>
            </w:r>
          </w:p>
        </w:tc>
      </w:tr>
      <w:tr>
        <w:trPr>
          <w:trHeight w:val="320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от 20,3 млрд. евро ново финансиране, достигащо до 377 502 МСП с 457 954 заеми;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29,5 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24 обхванати държави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  <w:lang w:val="it-IT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създадени/запазени 377 502 работни места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.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от 217,4 млн. евро нови микрокредити, достигащи до 18 490 допустими крайни получатели с 19 574 заема;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Подкрепа за инвестиции в размер на 310,6 млн. евро;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18 обхванати държави — членки на ЕС;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  <w:lang w:val="it-IT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подкрепени 33 222 работни места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.</w:t>
            </w:r>
          </w:p>
        </w:tc>
        <w:tc>
          <w:tcPr>
            <w:tcW w:w="24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подкрепа от 2,3 млрд. евро нови заеми за финансиране, достигащи 1 376 допустими крайни получатели;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4,7 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  <w:lang w:val="it-IT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18 обхванати държави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.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935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9"/>
        <w:gridCol w:w="2267"/>
        <w:gridCol w:w="2446"/>
      </w:tblGrid>
      <w:tr>
        <w:trPr>
          <w:trHeight w:val="1984"/>
        </w:trPr>
        <w:tc>
          <w:tcPr>
            <w:tcW w:w="23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26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bookmarkStart w:id="9" w:name="_Ref387223784"/>
            <w:bookmarkStart w:id="10" w:name="_Toc387228829"/>
            <w:bookmarkStart w:id="11" w:name="_Toc388541891"/>
            <w:bookmarkStart w:id="12" w:name="_Toc393281937"/>
            <w:bookmarkStart w:id="13" w:name="_Toc400446066"/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Микрофинансиране и Социални предприятия</w:t>
            </w:r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- Гаранции— EaSI-G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(V.2.3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„ТРУДОВА ЗАЕТОСТ, СОЦИАЛНИ ВЪПРОСИ И РАВНИ ВЪЗМОЖНОСТИ“ и „ИКОНОМИЧЕСКИ И ФИНАНСОВИ ВЪПРОСИ“</w:t>
            </w:r>
          </w:p>
        </w:tc>
        <w:tc>
          <w:tcPr>
            <w:tcW w:w="2267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гарантиране на заеми по COSME — МГЗ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(V.2.4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„ВЪТРЕШЕН ПАЗАР, ПРОМИШЛЕНОСТ, ПРЕДПРИЕМАЧЕСТВО И МСП“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pacing w:val="-6"/>
              </w:rPr>
              <w:footnoteReference w:id="3"/>
            </w:r>
          </w:p>
        </w:tc>
        <w:tc>
          <w:tcPr>
            <w:tcW w:w="2446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МСП и малки дружества със средна пазарна капитализация (Инструмент за кредитни услуги за научноизследователска и развойна дейност ) в рамките на „Хоризонт 2020“ — InnovFin SMEG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(V.2.6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„НАУЧНИ ИЗСЛЕДВАНИЯ И ИНОВАЦИИ“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pacing w:val="-6"/>
              </w:rPr>
              <w:footnoteReference w:id="4"/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Идентификационен/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br/>
            </w:r>
            <w:r>
              <w:rPr>
                <w:rFonts w:ascii="Times New Roman" w:hAnsi="Times New Roman"/>
                <w:b/>
                <w:noProof/>
                <w:spacing w:val="-6"/>
              </w:rPr>
              <w:t>основен акт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 1296/2013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 1287/2013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1291/2013 + Регламент (ЕС) № 1290/2013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насърчаване на заетостта и социалното приобщаване чрез увеличаване на достъпа до микрофинансиране и подпомагане на социалните предприятия</w: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 за предоставяне на гаранции и други механизми за поделяне на риска с цел подобряване на достъпа на МСП до финансиране</w:t>
            </w: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подобряване на достъпа до рисково финансиране на МСП, свързани с НИРД, и малки дружества със средна пазарна капитализация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59,8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9,9 млн. евро</w: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237,6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131,2 млн. евро</w:t>
            </w: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291,7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291,7 млн. евро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11 споразумения за 341,8 млн. евро очаквано финансиране за 30190 допустими крайни получатели, подкрепено с 27,2 млн. евро гарантирани обеми</w:t>
            </w:r>
            <w:r>
              <w:rPr>
                <w:noProof/>
                <w:spacing w:val="-6"/>
              </w:rPr>
              <w:t>.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Подписани са 27 споразумения с 26 финансови посредници за 7,1 млрд. евро очаквано финансиране за 110000 крайни получатели.  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споразумения за 3,7 млрд. евро очаквано финансиране за 8700 допустими крайни получатели.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9,8 млн. евро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125,5 млн. евро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294,1 млн. евро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0 млн. евро</w:t>
            </w: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511,5 хиляди евро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Обезценки/активи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рани гаранции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172,2 хиляди евро</w:t>
            </w: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163,0 хиляди евро</w:t>
            </w:r>
          </w:p>
        </w:tc>
      </w:tr>
      <w:tr>
        <w:tc>
          <w:tcPr>
            <w:tcW w:w="2376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269" w:type="dxa"/>
            <w:shd w:val="clear" w:color="auto" w:fill="D3DFEE"/>
            <w:vAlign w:val="center"/>
          </w:tcPr>
          <w:p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5,5</w:t>
            </w:r>
          </w:p>
          <w:p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 (цялостен):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</w:rPr>
              <w:t>5,7</w:t>
            </w:r>
          </w:p>
        </w:tc>
        <w:tc>
          <w:tcPr>
            <w:tcW w:w="2267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20 до 30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1 до 30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1 до 5</w:t>
            </w:r>
          </w:p>
        </w:tc>
        <w:tc>
          <w:tcPr>
            <w:tcW w:w="2446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9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9,24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1,1</w:t>
            </w:r>
          </w:p>
        </w:tc>
      </w:tr>
      <w:tr>
        <w:trPr>
          <w:trHeight w:val="761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2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6,8 млн. евро ново финансиране, достигащо 416 крайни получатели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9,7 млн. евро.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 обхванати държави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1,3 млн. евро ново финансиране, достигащо 51 099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1,8 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13 обхванати държави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  <w:tc>
          <w:tcPr>
            <w:tcW w:w="244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310 млн. евро нови заеми за финансиране, достигащи 727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443 млн. евро.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5000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669"/>
        <w:gridCol w:w="2428"/>
        <w:gridCol w:w="1984"/>
        <w:gridCol w:w="2207"/>
      </w:tblGrid>
      <w:tr>
        <w:trPr>
          <w:trHeight w:val="1984"/>
          <w:jc w:val="center"/>
        </w:trPr>
        <w:tc>
          <w:tcPr>
            <w:tcW w:w="243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42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гарантиране за секторите на културата и творчеството – CCSGF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 2.7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„СЪОБЩИТЕЛНИ МРЕЖИ, СЪДЪРЖАНИЕ И ТЕХНОЛОГИИ“ и „ОБРАЗОВАНИЕ И КУЛТУРА“</w:t>
            </w:r>
          </w:p>
        </w:tc>
        <w:tc>
          <w:tcPr>
            <w:tcW w:w="1997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tabs>
                <w:tab w:val="left" w:pos="678"/>
              </w:tabs>
              <w:spacing w:before="60" w:after="120" w:line="240" w:lineRule="auto"/>
              <w:ind w:left="-311" w:right="-204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гарантиране на студентски заеми (програма „Еразъм+“) — МГСЗ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(V.2.8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„ОБРАЗОВАНИЕ И КУЛТУРА“</w:t>
            </w:r>
          </w:p>
        </w:tc>
        <w:tc>
          <w:tcPr>
            <w:tcW w:w="243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bookmarkStart w:id="14" w:name="_Toc387228919"/>
            <w:bookmarkStart w:id="15" w:name="_Toc388541921"/>
            <w:bookmarkStart w:id="16" w:name="_Toc393281942"/>
            <w:bookmarkStart w:id="17" w:name="_Toc400446071"/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Инструменти за частно финансиране за енергийна ефективност -PF4EE</w:t>
            </w:r>
            <w:bookmarkEnd w:id="14"/>
            <w:bookmarkEnd w:id="15"/>
            <w:bookmarkEnd w:id="16"/>
            <w:bookmarkEnd w:id="17"/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(V.2.9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„ДЕЙСТВИЯ ПО КЛИМАТА“</w:t>
            </w:r>
          </w:p>
        </w:tc>
      </w:tr>
      <w:tr>
        <w:trPr>
          <w:trHeight w:val="670"/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Идентификационен/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основен акт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1295/2013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i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1288/2013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1293/2013</w:t>
            </w:r>
          </w:p>
        </w:tc>
      </w:tr>
      <w:tr>
        <w:trPr>
          <w:trHeight w:val="1286"/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укрепване на конкурентоспособността на сектора на културата и творчеството, подкрепящ заеми от финансови институции за МСП, осъществяващи дейност в сектора на културата и творчеството.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подкрепа на мобилността, справедливостта и високите постижения чрез заеми за мобилност на студенти за обучение за магистърска степен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(пилотна инициатива), предназначен да предоставя достъп до адекватно и достъпно търговско финансиране за допустими инвестиции за енергийна ефективност (EE)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EIB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1,0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0 млн. евро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61,3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19,8 млн. евро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50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12,1 млн. евро</w:t>
            </w:r>
          </w:p>
        </w:tc>
      </w:tr>
      <w:tr>
        <w:trPr>
          <w:trHeight w:val="986"/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2 споразумения за 517 млн. евро очаквано финансиране за 200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</w:rPr>
              <w:t>000 допустими крайни получатели, подкрепено с 9,7</w:t>
            </w:r>
            <w:r>
              <w:rPr>
                <w:rFonts w:ascii="Times New Roman" w:hAnsi="Times New Roman"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</w:rPr>
              <w:t>млн. евро гарантирани обеми</w:t>
            </w:r>
            <w:r>
              <w:rPr>
                <w:noProof/>
                <w:spacing w:val="-6"/>
              </w:rPr>
              <w:t>.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 (все още няма крайни получатели; 3 подписани споразумения)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15,8 млн. евро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11,6 млн. евро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0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rFonts w:ascii="Times New Roman" w:hAnsi="Times New Roman"/>
                <w:b/>
                <w:noProof/>
                <w:spacing w:val="-6"/>
                <w:lang w:val="it-IT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Обезценки/активирани гаранции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0</w:t>
            </w:r>
          </w:p>
        </w:tc>
      </w:tr>
      <w:tr>
        <w:trPr>
          <w:jc w:val="center"/>
        </w:trPr>
        <w:tc>
          <w:tcPr>
            <w:tcW w:w="243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428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5,7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5,7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8</w:t>
            </w:r>
          </w:p>
        </w:tc>
      </w:tr>
      <w:tr>
        <w:trPr>
          <w:trHeight w:val="1134"/>
          <w:jc w:val="center"/>
        </w:trPr>
        <w:tc>
          <w:tcPr>
            <w:tcW w:w="243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428" w:type="dxa"/>
            <w:tcBorders>
              <w:right w:val="nil"/>
            </w:tcBorders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690 млн. ново целево финансиране за културата и творческия сектор.</w:t>
            </w:r>
          </w:p>
        </w:tc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1,1 млн. евро за 85 студента по магистърски програми;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Подпомагане на транснационалната мобилност за студенти по магистърски програми.</w:t>
            </w:r>
          </w:p>
        </w:tc>
        <w:tc>
          <w:tcPr>
            <w:tcW w:w="243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Целевото финансиране от ЕИБ възлиза на 430 млн. евро, а свързаната с енергийната ефективност целева инвестиция около 540 млн.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 Също така се предвижда пилотен опит за възможна модернизация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br w:type="page"/>
      </w:r>
      <w:bookmarkStart w:id="18" w:name="_Toc399517420"/>
      <w:r>
        <w:rPr>
          <w:noProof/>
          <w:sz w:val="22"/>
        </w:rPr>
        <w:t>Инструменти за поделяне на риска</w:t>
      </w:r>
      <w:bookmarkEnd w:id="18"/>
    </w:p>
    <w:tbl>
      <w:tblPr>
        <w:tblStyle w:val="MediumShading1-Accent1"/>
        <w:tblW w:w="5032" w:type="pct"/>
        <w:tblLook w:val="04A0" w:firstRow="1" w:lastRow="0" w:firstColumn="1" w:lastColumn="0" w:noHBand="0" w:noVBand="1"/>
      </w:tblPr>
      <w:tblGrid>
        <w:gridCol w:w="2368"/>
        <w:gridCol w:w="2391"/>
        <w:gridCol w:w="2446"/>
        <w:gridCol w:w="214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noProof/>
                <w:spacing w:val="-6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Механизъм за финансиране с поделяне на риска - RSFF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(V.3.1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„Научни изследвания и иновации“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кредитни услуги за научноизследователска и развойна дейност в рамките на „Хоризонт 2020“ — InnovFin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(V.3.2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„НАУЧНИ ИЗСЛЕДВАНИЯ И ИНОВАЦИИ“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гарантиране на заеми (LGTT) —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(V.3.3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„МОБИЛНОСТ И ТРАНСПОРТ“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а)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Идентификационен/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br/>
              <w:t>основен акт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Решение № 1982/2006/ЕО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(ЕС) № 1291/2013 + Регламент (ЕС) № 1290/2013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Регламенти (ЕО) № 680/2007 + Регламент (ЕС) № 670/2012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б) Описание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Дългов финансов инструмент, насочен към подобряване на достъпа до рисково финансиране за крайните получатели за научни изследвания, развитие и иновации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Дългов финансов инструмент, насочен към подобряване на достъпа до финансиране на дълга за крайните получатели инвестиции в НИРД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поделяне на риска при гарантиране на заеми за транспортни проекти, основани на приходите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в) Участващи финансови институции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960,7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960,7 млн. евро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645,5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645,5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211,9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211,9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д) Изпълнение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Подписани са споразумения за 11,3 млрд. евро очаквано финансиране за 114 допустими крайни получатели.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Подписани са споразумения за 4,4 млрд. евро очаквано финансиране за 65 допустими крайни получатели. 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подписани са 5 проекта за 472 млн. евро действащи гаранции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е) Оценка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на използването на сумите, които са постъпили обратно във финансовия инструмент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440 млн. евро бяха заделени за Инструмента за кредитни услуги за научноизследователска и развойна дейност в рамките на „Хоризонт 2020“ — InnovFin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Няма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Сума (6,9 млн. евро), включена в първата загуба в портфейла.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ж) Баланс на доверителната сметка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927,3 млн. евро</w:t>
            </w:r>
            <w:r>
              <w:rPr>
                <w:rStyle w:val="FootnoteReference"/>
                <w:rFonts w:ascii="Times New Roman" w:hAnsi="Times New Roman"/>
                <w:noProof/>
                <w:spacing w:val="-6"/>
                <w:sz w:val="22"/>
              </w:rPr>
              <w:footnoteReference w:id="5"/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638,4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238,1 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з) Приходи и възстановени средства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178,8 млн. евро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0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4,25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и) Стойност на капиталовите инвестиции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й)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Обезценки/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br/>
              <w:t>активирани гаранции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10,7 млн. евро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90,2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Няма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к) „Ефект на лоста“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5 до 6,5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12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12,5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Очакван: 6,8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3,7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37,2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2379" w:type="dxa"/>
            <w:vAlign w:val="center"/>
          </w:tcPr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Подкрепа за 10,2 млрд. евро ново финансиране за риск, предназначено за 112 допустими крайни получатели; </w:t>
            </w:r>
          </w:p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за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инвестиции в размер на 20,4 млрд. евро;</w:t>
            </w:r>
          </w:p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25 обхванати държави</w:t>
            </w:r>
          </w:p>
        </w:tc>
        <w:tc>
          <w:tcPr>
            <w:tcW w:w="2378" w:type="dxa"/>
            <w:vAlign w:val="center"/>
          </w:tcPr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за 2,4 млрд. евро ново финансиране за риск, предназначено за 39 допустими крайни получатели;</w:t>
            </w:r>
          </w:p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за инвестиции в размер на 6,2 млрд. евро;</w:t>
            </w:r>
          </w:p>
          <w:p>
            <w:pPr>
              <w:spacing w:before="6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17 обхванати държави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за инвестиции в размер на почти 12 млрд. евро;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4 обхванати държави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tbl>
      <w:tblPr>
        <w:tblStyle w:val="MediumShading1-Accent1"/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324"/>
        <w:gridCol w:w="2381"/>
        <w:gridCol w:w="23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noProof/>
                <w:spacing w:val="-6"/>
              </w:rPr>
              <w:br w:type="page"/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Инициатива „Облигации за проекти“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(V.3.4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„МОБИЛНОСТ И ТРАНСПОРТ“,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„ЕНЕРГЕТИКА“(ENER), „СЪОБЩИТЕЛНИ МРЕЖИ, СЪДЪРЖАНИЕ И ТЕХНОЛОГИИ“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Дългов инструмент за поделяне на риска по Механизма за свързване на Европа – CEF DI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</w:rPr>
              <w:t>(V. 3.5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Отговорна Генерална дирекция: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</w:rPr>
              <w:t>„МОБИЛНОСТ И ТРАНСПОРТ“, „ЕНЕРГЕТИКА“(ENER), „СЪОБЩИТЕЛНИ МРЕЖИ, СЪДЪРЖАНИЕ И ТЕХНОЛОГИИ“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финансиране на природен капитал — NCFF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(V.3.6 SWD)</w:t>
            </w:r>
            <w:r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  <w:br/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„ОКОЛНА СРЕДА“/„ДЕЙСТВИЯ ПО КЛИМАТА“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а)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Идентификацио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br/>
              <w:t>нен/основен акт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(ЕС) № 670/2012 и Регламент (ЕС) № 1316/2013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(ЕС) № 1316/2013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(ЕС) № 1293/2013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б) Описание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поделяне на риска за стимулиране на финансиране от капиталовия пазар за инфраструктурни проекти (транспорт, енергетика и широколентов достъп)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поделяне на риска за заеми/гаранции/облигации за проекти, предназначени за улесняване на финансирането на инфраструктурни проекти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Инструмент за поделяне на риска за финансиране на инвестиции в природния капитал, генериращи приходи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в) Участващи финансови институции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230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230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246,7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НП 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30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11,7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д) Изпълнение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Подписани са 5 операции (3 в транспорта, 1 в енергетиката, 1 в телекомуникациите) за 230 млн. евро финансиране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 (все още няма инвестиции)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 (все още няма операции)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1,3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ж) Баланс на доверителната сметка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236,3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11,7 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з) Приходи и възстановени средства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12,4 млн. евро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и) Стойност на капиталовите инвестиции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й)</w:t>
            </w:r>
            <w:r>
              <w:rPr>
                <w:rFonts w:ascii="Times New Roman" w:hAnsi="Times New Roman"/>
                <w:noProof/>
                <w:spacing w:val="-6"/>
                <w:sz w:val="22"/>
                <w:lang w:val="it-IT"/>
              </w:rPr>
              <w:t> 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Обезценки/активирани гаранции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к) „Ефект на лоста“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12,6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6 до 15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2 до 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2324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подкрепени са 5 допустими проекта с кредитно подобрение в размер на 335 млн. евро, което представлява инвестиция в размер на почти 3 млрд. евро.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Целево финансиране от 18 до 45 млрд. евро, ако се допусне, че на инструмента са предоставени всички възможни бюджетни средства в размер на 2,4 млрд. евро.</w:t>
            </w:r>
          </w:p>
        </w:tc>
        <w:tc>
          <w:tcPr>
            <w:tcW w:w="2381" w:type="dxa"/>
            <w:vAlign w:val="center"/>
          </w:tcPr>
          <w:p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Целево финансиране от 120 до 240 млн. евро за насърчаване на биологичното разнообразие и адаптирането към изменението на климата. 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tbl>
      <w:tblPr>
        <w:tblStyle w:val="MediumShading1-Accent1"/>
        <w:tblW w:w="4592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23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>
            <w:pPr>
              <w:rPr>
                <w:rFonts w:ascii="Times New Roman" w:hAnsi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2"/>
              </w:rPr>
              <w:t>Инициативата за МСП (V. 3.7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2"/>
              </w:rPr>
              <w:t>Отговорна Генерална дирекция: „ИКОНОМИЧЕСКИ И ФИНАНСОВИ ВЪПРОСИ“, „НАУЧНИ ИЗСЛЕДВАНИЯ И ИНОВАЦИИ“, „ВЪТРЕШЕН ПАЗАР, ПРОМИШЛЕНОСТ, ПРЕДПРИЕМАЧЕСТВО И МСП“, „РЕГИОНАЛНО РАЗВИТИЕ“, „ЗЕМЕДЕЛИЕ И РАЗВИТИЕ НА СЕЛСКИТЕ РАЙОНИ“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а) Идентификацио</w:t>
            </w:r>
            <w:r>
              <w:rPr>
                <w:rFonts w:ascii="Times New Roman" w:hAnsi="Times New Roman"/>
                <w:noProof/>
                <w:sz w:val="22"/>
              </w:rPr>
              <w:br/>
              <w:t>нен/основен акт</w:t>
            </w:r>
          </w:p>
        </w:tc>
        <w:tc>
          <w:tcPr>
            <w:tcW w:w="2381" w:type="dxa"/>
            <w:vAlign w:val="center"/>
          </w:tcPr>
          <w:p>
            <w:pPr>
              <w:tabs>
                <w:tab w:val="left" w:pos="2286"/>
              </w:tabs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Регламенти (ЕС) № 1287/2013, 1291/2013, № 1303/2013.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б) Описание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Инструмент за поделяне на риска за допълване и възползване от взаимодействията между съществуващите национални и европейски програми за подпомагане на МСП, създаващ допълнително финансиране за МСП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в) Участващи финансови институции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ЕИБ, ЕИФ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14,4 млн. евро</w:t>
            </w:r>
            <w:r>
              <w:rPr>
                <w:rStyle w:val="FootnoteReference"/>
                <w:rFonts w:ascii="Times New Roman" w:hAnsi="Times New Roman"/>
                <w:noProof/>
                <w:sz w:val="22"/>
              </w:rPr>
              <w:footnoteReference w:id="6"/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12,5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д) Изпълнение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 - все още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ж) Баланс на доверителната сметка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з) Приходи и възстановени средства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и) Стойност на капиталовите инвестиции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й) Обезценки/акти</w:t>
            </w:r>
            <w:r>
              <w:rPr>
                <w:rFonts w:ascii="Times New Roman" w:hAnsi="Times New Roman"/>
                <w:noProof/>
                <w:sz w:val="22"/>
              </w:rPr>
              <w:br/>
              <w:t>вирани гаранции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к) „Ефект на лоста“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Целеви: 7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Очакван: 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2381" w:type="dxa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>Ще бъде генерирано целево финансиране от 5 723 млн. евро за всички испански региони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19" w:name="_Toc399517421"/>
      <w:r>
        <w:rPr>
          <w:noProof/>
        </w:rPr>
        <w:br w:type="page"/>
      </w:r>
      <w:r>
        <w:rPr>
          <w:noProof/>
          <w:sz w:val="22"/>
        </w:rPr>
        <w:t>Специални инвестиционни механизми</w:t>
      </w:r>
      <w:bookmarkEnd w:id="19"/>
    </w:p>
    <w:tbl>
      <w:tblPr>
        <w:tblStyle w:val="MediumShading1-Accent1"/>
        <w:tblW w:w="5032" w:type="pct"/>
        <w:jc w:val="center"/>
        <w:tblLook w:val="04A0" w:firstRow="1" w:lastRow="0" w:firstColumn="1" w:lastColumn="0" w:noHBand="0" w:noVBand="1"/>
      </w:tblPr>
      <w:tblGrid>
        <w:gridCol w:w="2368"/>
        <w:gridCol w:w="2307"/>
        <w:gridCol w:w="2303"/>
        <w:gridCol w:w="23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/>
              <w:jc w:val="center"/>
              <w:rPr>
                <w:rFonts w:ascii="Times New Roman" w:hAnsi="Times New Roman"/>
                <w:b w:val="0"/>
                <w:bCs w:val="0"/>
                <w:noProof/>
                <w:spacing w:val="-6"/>
                <w:sz w:val="22"/>
                <w:szCs w:val="22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Европейски механизъм за микрофинансиране „Прогрес“ — FCP-FIS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(V.4.1 SWD)</w:t>
            </w:r>
          </w:p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„ТРУДОВА ЗАЕТОСТ, СОЦИАЛНИ ВЪПРОСИ И РАВНИ ВЪЗМОЖНОСТИ“ и „ИКОНОМИЧЕСКИ И ФИНАНСОВИ ВЪПРОСИ“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Европейски фонд 2020 г. – Marguerite (V.4.2 SWD)</w:t>
            </w:r>
            <w:r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  <w:br/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„МОБИЛНОСТ И ТРАНСПОРТ“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Европейски фонд за енергийна ефективност (V.4.3 SWD)</w:t>
            </w:r>
            <w:r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  <w:br/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t>Отговорна Генерална дирекция: „ЕНЕРГЕТИКА“ (ENER)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а) Идентификационен/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br/>
              <w:t>основен акт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Решение № 283/2010/ЕС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(ЕО) № 680/2007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Регламент (ЕС) № 1233/2010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б) Описание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Некорпоративна съсобственост на ценни книжа и други допустими активи, насочена към увеличаване на достъпа до микрофинансиране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Общоевропейски фонд за дялово участие, който има за цел да подкрепя успешни дългосрочни инфраструктурни инвестиции в ЕС в транспорта, енергетиката и сектора на възобновяемите енергийни източници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Специализиран инвестиционен фонд (SICAV) за инвестиране в проекти за енергийна ефективност, възобновяема енергия и чист градски транспорт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в) Участващи финансови институции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ЕИФ (управляваващо дружество)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 (съинвеститор)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Съинвеститори: Франция (CDC), Италия (CdP), Германия (KfW), Испания (ICO) и Полша (PKO), както и ЕИБ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ЕИБ (упълномощен субект, инвеститор), Deutsche Bank (инвестиционен мениджър, инвеститор), CDP (инвеститор)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г) Общ размер на бюджетните задължения и плащания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80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74 млн. евро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80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43,7 млн. евро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146,3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113,2 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д) Изпълнение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Подписани са 42 споразумения за 390,8 млн. евро очаквано финансиране за над 60 000 допустими крайни получатели.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 Очаквано финансиране от 710 млн. евро под формата на капитал (на равнище фонд „Marguerite“) за 20 до 30 проекта;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Очаквано финансиране от 265 млн. евро под формата на капитал (на равнище фонд „Marguerite“) 19 проекта;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ж) Баланс на доверителната сметка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28,1 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з) Приходи и възстановени средства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12,7 млн. евро</w:t>
            </w:r>
          </w:p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31,3 млн. евро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и) Стойност на капиталовите инвестиции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Нетна стойност: 71 млн. евро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Нетна стойност: 37,9 млн. евро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Нетна стойност: 96,9 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й) Обезценки/</w:t>
            </w:r>
            <w:r>
              <w:rPr>
                <w:rFonts w:ascii="Times New Roman" w:hAnsi="Times New Roman"/>
                <w:noProof/>
                <w:spacing w:val="-6"/>
                <w:sz w:val="22"/>
              </w:rPr>
              <w:br/>
              <w:t>активирани гаранции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Неналично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0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НП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к) „Ефект на лоста“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2,33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Очакван: 5,2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2,33</w:t>
            </w: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Целеви: 125</w:t>
            </w: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157</w:t>
            </w: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</w:p>
          <w:p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Постигнат: 2,2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/>
                <w:bCs w:val="0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л) Принос към постигането на целите на политиката</w:t>
            </w:r>
          </w:p>
        </w:tc>
        <w:tc>
          <w:tcPr>
            <w:tcW w:w="1234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от 172,9 млн. евро ново финансиране, достигащо до 24 841 допустими крайни получатели с 45 999 микрокредита;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за инвестиции в размер на 247 млн. евро.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14 обхванати държави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от 295 млн. евро ново финансиране под формата на капитал за 10 проекта (3 транспортни в TEN-T и 7 в сектора на енергията от възобновяеми източници);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Подкрепа за инвестиции в размер на 4,9 млрд. евро;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>8 обхванати държави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</w:rPr>
            </w:pPr>
          </w:p>
        </w:tc>
        <w:tc>
          <w:tcPr>
            <w:tcW w:w="1268" w:type="pct"/>
            <w:vAlign w:val="center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6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  <w:sz w:val="22"/>
              </w:rPr>
              <w:t xml:space="preserve">Подкрепа от 120 млн. евро ново финансиране под формата на капитал за 10 проекта, което представлява инвестиция от общо 219 млн. евро. 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0" w:name="_Toc420402803"/>
      <w:bookmarkStart w:id="21" w:name="_Toc420402856"/>
      <w:bookmarkStart w:id="22" w:name="_Toc420402804"/>
      <w:bookmarkStart w:id="23" w:name="_Toc420402857"/>
      <w:bookmarkStart w:id="24" w:name="_Toc399517422"/>
      <w:bookmarkEnd w:id="20"/>
      <w:bookmarkEnd w:id="21"/>
      <w:bookmarkEnd w:id="22"/>
      <w:bookmarkEnd w:id="23"/>
      <w:r>
        <w:rPr>
          <w:noProof/>
        </w:rPr>
        <w:br w:type="page"/>
      </w:r>
      <w:r>
        <w:rPr>
          <w:noProof/>
          <w:sz w:val="22"/>
        </w:rPr>
        <w:t>Финансови инструменти в страните, участващи в процеса на разширяване</w:t>
      </w:r>
      <w:bookmarkEnd w:id="24"/>
    </w:p>
    <w:tbl>
      <w:tblPr>
        <w:tblW w:w="5033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368"/>
        <w:gridCol w:w="2328"/>
        <w:gridCol w:w="2326"/>
        <w:gridCol w:w="2327"/>
      </w:tblGrid>
      <w:tr>
        <w:tc>
          <w:tcPr>
            <w:tcW w:w="1182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127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Механизъм за гарантиране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footnoteReference w:id="7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 xml:space="preserve"> — GF WB 1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(V.5.1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1272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Механизъм за гарантиране II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footnoteReference w:id="8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 xml:space="preserve"> — GF WB 2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(V.5.2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1272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Фонд за разширяване на предприятията — ENEF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footnoteReference w:id="9"/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(V.5.3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 Идентификационен/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основен акт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231/2014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i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Гаранционен инструмент за създаване на условия за появата и развитието на иновационни МСП с голям потенциал в Западните Балкани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Пряко продължение на GF WB EDIF 1; Гаранционен инструмент за създаване на условия за появата и развитието на иновационни МСП с голям потенциал в Западните Балкани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 за финансиране на развитието и разрастването на вече съществуващи МСП в Западните Балкани</w:t>
            </w:r>
          </w:p>
        </w:tc>
      </w:tr>
      <w:tr>
        <w:trPr>
          <w:trHeight w:val="767"/>
        </w:trPr>
        <w:tc>
          <w:tcPr>
            <w:tcW w:w="1182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1272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 (попечител)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ЕБВР, DEG, OeEB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21,9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21,9 млн. евро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17,5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 млн. евро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11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10,4 млн. евро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Подписани са 6 споразумения с банки за очаквано финансиране от 98 млн. евро за крайни получатели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Очаквано финансиране: (поне) 17,5 млн. евро. 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Очаквано финансиране от 77 млн. евро под формата на капитал (на равнище фонд „ENEF “) за прибл. 15 крайни получатели 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20,12 млн. евро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 млн. евро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9,57 млн. евро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907"/>
        </w:trPr>
        <w:tc>
          <w:tcPr>
            <w:tcW w:w="1182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320,6 хиляди евро</w:t>
            </w:r>
          </w:p>
        </w:tc>
      </w:tr>
      <w:t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 Обезценки/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активирани гаранции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127,7 хиляди евро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182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127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7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5,4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4 до 5,2</w:t>
            </w:r>
          </w:p>
        </w:tc>
        <w:tc>
          <w:tcPr>
            <w:tcW w:w="127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10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7</w:t>
            </w:r>
          </w:p>
        </w:tc>
      </w:tr>
      <w:tr>
        <w:trPr>
          <w:trHeight w:val="761"/>
        </w:trPr>
        <w:tc>
          <w:tcPr>
            <w:tcW w:w="1182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127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117,9 млн. евро очаквано финансиране за 247 крайни получатели</w:t>
            </w:r>
          </w:p>
        </w:tc>
        <w:tc>
          <w:tcPr>
            <w:tcW w:w="1272" w:type="pct"/>
            <w:tcBorders>
              <w:left w:val="nil"/>
              <w:right w:val="nil"/>
            </w:tcBorders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Все още няма данни (10 операции в процес на подготовка). </w:t>
            </w:r>
          </w:p>
        </w:tc>
        <w:tc>
          <w:tcPr>
            <w:tcW w:w="1272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от 3 млн. евро ново финансиране за 1 краен получател</w:t>
            </w:r>
          </w:p>
          <w:p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tbl>
      <w:tblPr>
        <w:tblW w:w="5031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368"/>
        <w:gridCol w:w="2135"/>
        <w:gridCol w:w="2520"/>
        <w:gridCol w:w="2323"/>
      </w:tblGrid>
      <w:tr>
        <w:tc>
          <w:tcPr>
            <w:tcW w:w="1267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1142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Фонд за иновации в предприятията - ENIF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footnoteReference w:id="10"/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(V.5.4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1348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Европейски фонд за Югоизточна Европа — EFSE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(V.5.5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124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Фонд „Екология за растеж“ — GGF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(V.5.6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</w:tr>
      <w:tr>
        <w:tc>
          <w:tcPr>
            <w:tcW w:w="1267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 Идентификационен/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основен акт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  <w:tc>
          <w:tcPr>
            <w:tcW w:w="1348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  <w:tc>
          <w:tcPr>
            <w:tcW w:w="124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i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</w:tr>
      <w:t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Капиталов инструмент за финансиране на ранен етап на иновативни МСП на Западните Балкани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Публично-частно партньорство за подпомагане развитието на частния сектор в района на разширяване чрез подкрепа за МСП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Иновационен фонд, който да предостави финансиране за проекти за енергийна ефективност и възобновяема енергия в Югоизточна Европа и Турция</w:t>
            </w:r>
          </w:p>
        </w:tc>
      </w:tr>
      <w:tr>
        <w:trPr>
          <w:trHeight w:val="767"/>
        </w:trPr>
        <w:tc>
          <w:tcPr>
            <w:tcW w:w="1267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 (попечител)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ЕБВР, KfW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 (попечител)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Други инвеститори (напр. ЕБВР, KfW, ЕИБ)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 (попечител)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Съинвеститори (например ЕИБ, ЕБВР и KfW)</w:t>
            </w:r>
          </w:p>
        </w:tc>
      </w:tr>
      <w:t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21,2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21,2 млн. евро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87,68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87,68 млн. евро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38,6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38,6 млн. евро</w:t>
            </w:r>
          </w:p>
        </w:tc>
      </w:tr>
      <w:tr>
        <w:tc>
          <w:tcPr>
            <w:tcW w:w="1267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Очаквано финансиране от 50 млн. евро под формата на капитал (на равнище фонд „ENIF“) </w:t>
            </w:r>
          </w:p>
        </w:tc>
        <w:tc>
          <w:tcPr>
            <w:tcW w:w="1348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Дял на ЕС в размер на 113,5 млн. евро, заделени за фонд EFSE</w:t>
            </w:r>
          </w:p>
        </w:tc>
        <w:tc>
          <w:tcPr>
            <w:tcW w:w="124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Дял на ЕС в размер на 38,6 млн. евро, заделени за фонд GGF, с 367,7 млн евро очаквано финансиране </w:t>
            </w:r>
          </w:p>
        </w:tc>
      </w:tr>
      <w:t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Не се прилага.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267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20,76 млн. евро</w:t>
            </w:r>
          </w:p>
        </w:tc>
        <w:tc>
          <w:tcPr>
            <w:tcW w:w="1348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Не се прилага.</w:t>
            </w:r>
          </w:p>
        </w:tc>
        <w:tc>
          <w:tcPr>
            <w:tcW w:w="124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Не се прилага.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rPr>
          <w:trHeight w:val="907"/>
        </w:trPr>
        <w:tc>
          <w:tcPr>
            <w:tcW w:w="1267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348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113,5 млн. евро (на равнище EFSE)</w:t>
            </w:r>
          </w:p>
        </w:tc>
        <w:tc>
          <w:tcPr>
            <w:tcW w:w="124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39,3 млн. евро (на равнище GGF)</w:t>
            </w:r>
          </w:p>
        </w:tc>
      </w:tr>
      <w:t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</w:t>
            </w:r>
            <w:r>
              <w:rPr>
                <w:noProof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Обезценки/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активирани гаранции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267" w:type="pct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1142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2</w:t>
            </w:r>
          </w:p>
        </w:tc>
        <w:tc>
          <w:tcPr>
            <w:tcW w:w="1348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43</w:t>
            </w:r>
          </w:p>
        </w:tc>
        <w:tc>
          <w:tcPr>
            <w:tcW w:w="1243" w:type="pct"/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9,5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Очакван: 8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7,5</w:t>
            </w:r>
          </w:p>
        </w:tc>
      </w:tr>
      <w:tr>
        <w:trPr>
          <w:trHeight w:val="761"/>
        </w:trPr>
        <w:tc>
          <w:tcPr>
            <w:tcW w:w="1267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1142" w:type="pct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Очаквано финансиране от 50 млн. евро под формата на капитал (на равнище фонд „ENIF“).</w:t>
            </w:r>
          </w:p>
        </w:tc>
        <w:tc>
          <w:tcPr>
            <w:tcW w:w="13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3,8 млрд. евро ново финансиране за 598 735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EFSE е международен модел за микрофинансиране (вж. работния документ на службите на Комисията).</w:t>
            </w:r>
          </w:p>
        </w:tc>
        <w:tc>
          <w:tcPr>
            <w:tcW w:w="1243" w:type="pct"/>
            <w:tcBorders>
              <w:left w:val="nil"/>
              <w:right w:val="single" w:sz="8" w:space="0" w:color="7BA0CD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289 млн. евро ново финансиране за 18 203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1 275 780 MWh/г., годишни икономии на енергия;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Намаляване на емисиите на CO</w:t>
            </w:r>
            <w:r>
              <w:rPr>
                <w:rFonts w:ascii="Times New Roman" w:hAnsi="Times New Roman"/>
                <w:noProof/>
                <w:spacing w:val="-6"/>
                <w:vertAlign w:val="subscript"/>
              </w:rPr>
              <w:t>2</w:t>
            </w:r>
            <w:r>
              <w:rPr>
                <w:rFonts w:ascii="Times New Roman" w:hAnsi="Times New Roman"/>
                <w:noProof/>
                <w:spacing w:val="-6"/>
              </w:rPr>
              <w:t xml:space="preserve"> с 330 741 тона/годишно.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p>
      <w:pPr>
        <w:jc w:val="both"/>
        <w:rPr>
          <w:rFonts w:ascii="Times New Roman" w:hAnsi="Times New Roman" w:cs="Times New Roman"/>
          <w:noProof/>
        </w:rPr>
      </w:pPr>
    </w:p>
    <w:tbl>
      <w:tblPr>
        <w:tblW w:w="2578" w:type="pct"/>
        <w:tblInd w:w="-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9"/>
      </w:tblGrid>
      <w:tr>
        <w:trPr>
          <w:trHeight w:val="2171"/>
        </w:trPr>
        <w:tc>
          <w:tcPr>
            <w:tcW w:w="251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spacing w:before="60" w:after="12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noProof/>
                <w:spacing w:val="-6"/>
              </w:rPr>
              <w:br w:type="page"/>
            </w:r>
          </w:p>
        </w:tc>
        <w:tc>
          <w:tcPr>
            <w:tcW w:w="2484" w:type="pct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Заем за възстановяване на МСП за Турция — RSL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(V.5.7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pacing w:val="-6"/>
              </w:rPr>
              <w:t>Отговорна генерална дирекция: NEAR</w:t>
            </w:r>
          </w:p>
        </w:tc>
      </w:tr>
      <w:tr>
        <w:trPr>
          <w:trHeight w:val="968"/>
        </w:trP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 Идентификацио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нен/основен акт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 1085/2006 на Съвета</w:t>
            </w:r>
          </w:p>
        </w:tc>
      </w:tr>
      <w:tr>
        <w:trPr>
          <w:trHeight w:val="1984"/>
        </w:trP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 за съвместно финансиране за смекчаване на въздействието на кризата и подпомагане на МСП с цел развитие на турската икономика</w:t>
            </w:r>
          </w:p>
        </w:tc>
      </w:tr>
      <w:tr>
        <w:trPr>
          <w:trHeight w:val="1673"/>
        </w:trP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 (партньор за поделяне на риска)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Halkbank, Akbank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30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30 млн. евро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299,6 млн. евро вече предоставено финансиране за 265 крайни получатели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19,4 млн. евро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9,4 млн. евро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 Обезценки/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активирани гаранции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516" w:type="pct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10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10</w:t>
            </w:r>
          </w:p>
        </w:tc>
      </w:tr>
      <w:tr>
        <w:trPr>
          <w:trHeight w:val="761"/>
        </w:trPr>
        <w:tc>
          <w:tcPr>
            <w:tcW w:w="2516" w:type="pc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484" w:type="pct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299,6 млн. евро ново финансиране за 265 допустими крайни получатели</w:t>
            </w:r>
            <w:r>
              <w:rPr>
                <w:noProof/>
                <w:spacing w:val="-6"/>
              </w:rPr>
              <w:t>, предназначено за разкриването на 4 000 нови работни места.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25" w:name="_Toc399517423"/>
      <w:r>
        <w:rPr>
          <w:noProof/>
        </w:rPr>
        <w:br w:type="page"/>
      </w:r>
      <w:r>
        <w:rPr>
          <w:noProof/>
          <w:sz w:val="22"/>
        </w:rPr>
        <w:t>Финансови инструменти за държавите, обхванати от политиката на добросъседство, и държавите по ИСР</w:t>
      </w:r>
      <w:bookmarkEnd w:id="25"/>
    </w:p>
    <w:tbl>
      <w:tblPr>
        <w:tblW w:w="935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2442"/>
      </w:tblGrid>
      <w:tr>
        <w:tc>
          <w:tcPr>
            <w:tcW w:w="20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инвестиции по линия на добросъседството – NIF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(V.6.1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255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Инвестиционен механизъм за Централна Азия — IFCA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(V.6.2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„РАЗВИТИЕ И СЪТРУДНИЧЕСТВО“</w:t>
            </w:r>
          </w:p>
        </w:tc>
        <w:tc>
          <w:tcPr>
            <w:tcW w:w="2442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Механизъм за инвестиции в Азия — AIF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(V.6.2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„РАЗВИТИЕ И СЪТРУДНИЧЕСТВО“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 Идентификацио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нен/основен акт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 1638/2006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232/2014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236/2014.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 1905/2006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233/2014</w:t>
            </w:r>
          </w:p>
          <w:p>
            <w:pPr>
              <w:spacing w:before="60" w:after="120" w:line="240" w:lineRule="auto"/>
              <w:jc w:val="center"/>
              <w:rPr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236/2014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 1905/2006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233/2014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236/2014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Инструмент за насърчаване на инвестиции с акцент върху енергетиката, транспорта, околната среда, МСП и социално-икономическото развитие 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 за насърчаване на инвестиции и възлови инфраструктури с акцент върху енергетиката и околната среда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 за насърчаване на инвестиции и ключови инфраструктури с акцент върху климатичните изменения, „зелените“ инвестиции, МСП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ЕИБ, ЕБВР, CEB, NIB, AFD, KfW, AECID, SIMEST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ЕИБ, ЕБВР, NIB, KfW, AFD, SIMEST, AECID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ЕИБ, ЕБВР, NIB, KfW, AFD, SIMEST, AECID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1 454,1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545,7 млн. евро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145,6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52,7 млн. евро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142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28,8 млн. евро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13,8 млрд. евро одобрено финансиране за 112 проекта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Одобрено финансиране от 672 млн. евро (119 млн. евро участие на ЕС + 553 млн. евро чрез европейските финансови институции) за 20 проекта 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Одобрено финансиране от 1 525 млн. евро (89 млн. евро участие на ЕС + 1 436 млн. евро чрез европейските финансови институции) за 18 проекта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SANAD: 1,0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GGF: 2.1 млн. евро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MIFA „Дългов фонд“:                             0 млн. евро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За Инвестиционния механизъм за Централна Азия (IFCA)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15,3 млн. евро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9,6 млн. долара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8,9 млн. евро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За Инвестиционния механизъм за Централна Азия (IFCA)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 Обезценки/акти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вирани гаранции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Няма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2093" w:type="dxa"/>
            <w:tcBorders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4—5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 (2008—2014 г.): 11,41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 (2015 г.): 5,91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4—5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6,96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D3DFEE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4—5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29,4</w:t>
            </w:r>
          </w:p>
        </w:tc>
      </w:tr>
      <w:tr>
        <w:trPr>
          <w:trHeight w:val="761"/>
        </w:trPr>
        <w:tc>
          <w:tcPr>
            <w:tcW w:w="2093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28,8 млрд. евро (общо разходи за проекти);</w:t>
            </w:r>
          </w:p>
          <w:p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 обхванати държави.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Подкрепа за инвестиции в размер на 828 млн. евро;</w:t>
            </w: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5 обхванати държави.</w:t>
            </w:r>
          </w:p>
        </w:tc>
        <w:tc>
          <w:tcPr>
            <w:tcW w:w="244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Подкрепа за инвестиции в размер на 2,63 млрд. евро;</w:t>
            </w: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9 обхванати държави.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2409"/>
        <w:gridCol w:w="2410"/>
      </w:tblGrid>
      <w:tr>
        <w:trPr>
          <w:trHeight w:val="2608"/>
        </w:trPr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</w:p>
        </w:tc>
        <w:tc>
          <w:tcPr>
            <w:tcW w:w="2518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Инструмент за инвестиции в Латинска Америка — LAIF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(V.6.3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„РАЗВИТИЕ И СЪТРУДНИЧЕСТВО“</w:t>
            </w:r>
          </w:p>
        </w:tc>
        <w:tc>
          <w:tcPr>
            <w:tcW w:w="2409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Подкрепа за Инструмента за FEMIP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pacing w:val="-6"/>
              </w:rPr>
              <w:footnoteReference w:id="11"/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(V.6.4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„ПОЛИТИКА ЗА СЪСЕДСТВО И ПРЕГОВОРИ ЗА РАЗШИРЯВАНЕ“</w:t>
            </w:r>
          </w:p>
        </w:tc>
        <w:tc>
          <w:tcPr>
            <w:tcW w:w="241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center"/>
          </w:tcPr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GEEREF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(V.6.5 SWD)</w:t>
            </w:r>
          </w:p>
          <w:p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</w:rPr>
              <w:t>Отговорна Генерална дирекция: „РАЗВИТИЕ И СЪТРУДНИЧЕСТВО“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а) Идентификацио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нен/основен акт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 1905/2006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233/2014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(ЕС) № 236/2014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 (ЕО) № 1638/2006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Регламенти (ЕО) № 1905/2006, (ЕС) № 233/2014, № 236/2014.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б) Описание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Инструмент, който има за цел насърчаването на инвестициите и инфраструктури в сектори като транспорта, енергетиката, околната среда и социалния сектор в Латинска Америка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Инструмент за осигуряване на капитал за частния сектор при условия, които не са налични на местно равнище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Механизъм за финансиране, чиято цел е да се насърчават проекти за енергийна ефективност и възобновяема енергия чрез регионални фондове за дялово участие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в) Участващи финансови институции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EИБ, ЕБВР, AFD, AECID, KfW и SIMEST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ЕИФ (попечител)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ЕИБ,</w:t>
            </w:r>
          </w:p>
        </w:tc>
      </w:tr>
      <w:tr>
        <w:trPr>
          <w:trHeight w:val="2514"/>
        </w:trP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г) Общ размер на бюджетните задължения и плащания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252,8 млн. евро</w:t>
            </w:r>
          </w:p>
          <w:p>
            <w:pPr>
              <w:shd w:val="clear" w:color="auto" w:fill="FFFFFF"/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114,3 млн. евро</w:t>
            </w:r>
          </w:p>
          <w:p>
            <w:pPr>
              <w:shd w:val="clear" w:color="auto" w:fill="FFFFFF"/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Гише по изменението на климата:</w:t>
            </w:r>
          </w:p>
          <w:p>
            <w:pPr>
              <w:shd w:val="clear" w:color="auto" w:fill="FFFFFF"/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17,3 млн. евро</w:t>
            </w:r>
          </w:p>
          <w:p>
            <w:pPr>
              <w:shd w:val="clear" w:color="auto" w:fill="FFFFFF"/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15,8 млн. евро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224 млн. евро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224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81,1 млн. евро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</w:rPr>
              <w:t>79,5 млн. евро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д) Изпълнение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Одобрено финансиране от 3502 млн. евро (232 млн. евро участие на ЕС + 3270 млн. евро чрез европейските финансови институции) за 28 проекта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contextualSpacing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33 млн. евро бяха отпуснати за операции за техническа помощ;</w:t>
            </w:r>
          </w:p>
          <w:p>
            <w:pPr>
              <w:spacing w:before="60" w:after="120" w:line="240" w:lineRule="auto"/>
              <w:ind w:right="57"/>
              <w:contextualSpacing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180,3 млн. евро финансиране бяха отпуснати за 28 операции с рисков капитал;</w:t>
            </w:r>
          </w:p>
          <w:p>
            <w:pPr>
              <w:spacing w:before="60" w:after="120" w:line="240" w:lineRule="auto"/>
              <w:ind w:right="57"/>
              <w:contextualSpacing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Съфинансиране от ЕИБ с 2,3 млрд. евро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222 млн. евро за допустими проекти</w:t>
            </w:r>
          </w:p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  <w:highlight w:val="yellow"/>
              </w:rPr>
            </w:pPr>
            <w:r>
              <w:rPr>
                <w:rFonts w:ascii="Times New Roman" w:hAnsi="Times New Roman"/>
                <w:noProof/>
                <w:spacing w:val="-6"/>
              </w:rPr>
              <w:t xml:space="preserve"> </w:t>
            </w:r>
          </w:p>
        </w:tc>
      </w:tr>
      <w:tr>
        <w:trPr>
          <w:trHeight w:val="1531"/>
        </w:trP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ж) Баланс на доверителната сметка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62,4 млн. евро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1,6 млн. евро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з) Приходи и възстановени средства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9,8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и) Стойност на капиталовите инвестиции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8,0 млн. евро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Фондове за рисков капитал: 69,2 млн. евро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73,9 млн. евро</w:t>
            </w:r>
          </w:p>
        </w:tc>
      </w:tr>
      <w:t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й) Обезценки/акти</w:t>
            </w:r>
            <w:r>
              <w:rPr>
                <w:rFonts w:ascii="Times New Roman" w:hAnsi="Times New Roman"/>
                <w:b/>
                <w:noProof/>
                <w:spacing w:val="-6"/>
              </w:rPr>
              <w:br/>
              <w:t>вирани гаранции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7,9 млн. евро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Няма</w:t>
            </w:r>
          </w:p>
        </w:tc>
      </w:tr>
      <w:tr>
        <w:tc>
          <w:tcPr>
            <w:tcW w:w="1985" w:type="dxa"/>
            <w:shd w:val="clear" w:color="auto" w:fill="D3DFEE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к) „Ефект на лоста“</w:t>
            </w:r>
          </w:p>
        </w:tc>
        <w:tc>
          <w:tcPr>
            <w:tcW w:w="2518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4—5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29,6</w:t>
            </w:r>
          </w:p>
        </w:tc>
        <w:tc>
          <w:tcPr>
            <w:tcW w:w="2409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 (2007—2014 г.): 6,0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Очакван (2014 г.): 26,8</w:t>
            </w:r>
          </w:p>
        </w:tc>
        <w:tc>
          <w:tcPr>
            <w:tcW w:w="2410" w:type="dxa"/>
            <w:shd w:val="clear" w:color="auto" w:fill="D3DFEE"/>
            <w:vAlign w:val="center"/>
          </w:tcPr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Целеви: 2,7</w:t>
            </w:r>
          </w:p>
          <w:p>
            <w:pPr>
              <w:spacing w:before="60" w:after="120" w:line="240" w:lineRule="auto"/>
              <w:ind w:right="57"/>
              <w:jc w:val="center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Постигнат: 2,7</w:t>
            </w:r>
          </w:p>
        </w:tc>
      </w:tr>
      <w:tr>
        <w:trPr>
          <w:trHeight w:val="761"/>
        </w:trPr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л) Принос към постигането на целите на политиката</w:t>
            </w:r>
          </w:p>
        </w:tc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6,9 млрд. евро;</w:t>
            </w:r>
          </w:p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10 обхванати държави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Подкрепа за инвестиции в размер на почти 4,4 млрд. евро;</w:t>
            </w:r>
          </w:p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pacing w:val="-6"/>
              </w:rPr>
            </w:pPr>
            <w:r>
              <w:rPr>
                <w:rFonts w:ascii="Times New Roman" w:hAnsi="Times New Roman"/>
                <w:noProof/>
                <w:spacing w:val="-6"/>
              </w:rPr>
              <w:t>6 обхванати държави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ListParagraph"/>
              <w:spacing w:after="120" w:line="240" w:lineRule="auto"/>
              <w:ind w:left="0" w:right="57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Подкрепа за 143 млн. евро ново финансиране за 10 регионални фонда за дялово участие или корпоративни фонда;</w:t>
            </w:r>
          </w:p>
          <w:p>
            <w:pPr>
              <w:pStyle w:val="ListParagraph"/>
              <w:spacing w:after="120" w:line="240" w:lineRule="auto"/>
              <w:ind w:left="0" w:right="57"/>
              <w:rPr>
                <w:noProof/>
                <w:spacing w:val="-6"/>
              </w:rPr>
            </w:pPr>
          </w:p>
          <w:p>
            <w:pPr>
              <w:pStyle w:val="ListParagraph"/>
              <w:spacing w:after="120" w:line="240" w:lineRule="auto"/>
              <w:ind w:left="0" w:right="57"/>
              <w:rPr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Подкрепа за инвестиции в размер на прибл. 1 милиард евро за 33 проекта.</w:t>
            </w:r>
          </w:p>
          <w:p>
            <w:pPr>
              <w:spacing w:before="60" w:after="120" w:line="240" w:lineRule="auto"/>
              <w:rPr>
                <w:noProof/>
                <w:spacing w:val="-6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Действащият Финансов регламент и неговите правила за прилагане се нуждаят от единен подход при докладването за „ефекта на лоста“. Тъй като разпоредбите, свързани с финансовите инструменти, влязоха в сила от януари 2014 г., подходът ще бъде приложен по отношение на финансовите инструменти за периода 2014—2020 г.</w:t>
      </w:r>
    </w:p>
  </w:footnote>
  <w:footnote w:id="2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Моля, имайте предвид, че цифрата е включена също в механизма за финансиране с поделяне на риска.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 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Моля, имайте предвид, че в цифрата са включени данни за ИПР.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Цифрите се отнасят само до H2020, не е включен приносът на ЕФРР (вж. работния документ на службите на Комисията за повече подробности).</w:t>
      </w:r>
    </w:p>
  </w:footnote>
  <w:footnote w:id="7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Механизъм за развитие на предприятията и иновациите за Западните Балкани (WB EDIF).</w:t>
      </w:r>
    </w:p>
  </w:footnote>
  <w:footnote w:id="8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Механизъм за развитие на предприятията и иновациите за Западните Балкани (WB EDIF).</w:t>
      </w:r>
    </w:p>
  </w:footnote>
  <w:footnote w:id="9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По WB EDIF.</w:t>
      </w:r>
    </w:p>
  </w:footnote>
  <w:footnote w:id="10">
    <w:p>
      <w:pPr>
        <w:pStyle w:val="FootnoteText"/>
        <w:spacing w:before="0" w:after="120"/>
        <w:ind w:left="284" w:hanging="426"/>
        <w:jc w:val="both"/>
        <w:rPr>
          <w:color w:val="FF00FF"/>
        </w:rPr>
      </w:pPr>
      <w:r>
        <w:rPr>
          <w:rStyle w:val="FootnoteReference"/>
        </w:rPr>
        <w:footnoteRef/>
      </w:r>
      <w:r>
        <w:t xml:space="preserve"> </w:t>
      </w:r>
      <w:r>
        <w:tab/>
        <w:t>По WB EDIF.</w:t>
      </w:r>
    </w:p>
  </w:footnote>
  <w:footnote w:id="1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Евро-средиземноморски инвестиции и партньорство (EMIP).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52B"/>
    <w:multiLevelType w:val="hybridMultilevel"/>
    <w:tmpl w:val="CD049374"/>
    <w:styleLink w:val="1111111"/>
    <w:lvl w:ilvl="0" w:tplc="C4B26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517"/>
    <w:multiLevelType w:val="hybridMultilevel"/>
    <w:tmpl w:val="35AA3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4FF"/>
    <w:multiLevelType w:val="multilevel"/>
    <w:tmpl w:val="F9F01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8EE"/>
    <w:multiLevelType w:val="hybridMultilevel"/>
    <w:tmpl w:val="6AB87428"/>
    <w:lvl w:ilvl="0" w:tplc="00007380">
      <w:start w:val="1"/>
      <w:numFmt w:val="lowerLetter"/>
      <w:lvlRestart w:val="0"/>
      <w:pStyle w:val="Heading5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D422F80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653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2F11FC6"/>
    <w:multiLevelType w:val="multilevel"/>
    <w:tmpl w:val="B38ECDF0"/>
    <w:styleLink w:val="11111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503D7D"/>
    <w:multiLevelType w:val="multilevel"/>
    <w:tmpl w:val="64CA2D9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Heading4bi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bi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DC5D18"/>
    <w:multiLevelType w:val="hybridMultilevel"/>
    <w:tmpl w:val="5E845C8E"/>
    <w:lvl w:ilvl="0" w:tplc="2132D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22E3"/>
    <w:multiLevelType w:val="hybridMultilevel"/>
    <w:tmpl w:val="10FCDBC6"/>
    <w:lvl w:ilvl="0" w:tplc="D39A6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10">
    <w:nsid w:val="4B40124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26"/>
    <w:multiLevelType w:val="hybridMultilevel"/>
    <w:tmpl w:val="9EF6BB8C"/>
    <w:lvl w:ilvl="0" w:tplc="A36E351E">
      <w:start w:val="1"/>
      <w:numFmt w:val="bullet"/>
      <w:pStyle w:val="Key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2424">
      <w:start w:val="2"/>
      <w:numFmt w:val="bullet"/>
      <w:lvlText w:val="•"/>
      <w:lvlJc w:val="left"/>
      <w:pPr>
        <w:ind w:left="2370" w:hanging="57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B4628"/>
    <w:multiLevelType w:val="hybridMultilevel"/>
    <w:tmpl w:val="F1F62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A5764"/>
    <w:multiLevelType w:val="hybridMultilevel"/>
    <w:tmpl w:val="9C68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D69EB"/>
    <w:multiLevelType w:val="hybridMultilevel"/>
    <w:tmpl w:val="4EE4D2F2"/>
    <w:lvl w:ilvl="0" w:tplc="3DF2C3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1653D02"/>
    <w:multiLevelType w:val="hybridMultilevel"/>
    <w:tmpl w:val="977AC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B088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3902"/>
    <w:multiLevelType w:val="hybridMultilevel"/>
    <w:tmpl w:val="6894725A"/>
    <w:lvl w:ilvl="0" w:tplc="67440BF2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53B3"/>
    <w:multiLevelType w:val="hybridMultilevel"/>
    <w:tmpl w:val="F5E60D02"/>
    <w:lvl w:ilvl="0" w:tplc="434E88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60AD8"/>
    <w:multiLevelType w:val="hybridMultilevel"/>
    <w:tmpl w:val="BB6E089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AD412C9"/>
    <w:multiLevelType w:val="hybridMultilevel"/>
    <w:tmpl w:val="B80AFFEA"/>
    <w:lvl w:ilvl="0" w:tplc="4F88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013F7"/>
    <w:multiLevelType w:val="multilevel"/>
    <w:tmpl w:val="C8B4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4A"/>
    <w:multiLevelType w:val="hybridMultilevel"/>
    <w:tmpl w:val="4DCCF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B8"/>
    <w:multiLevelType w:val="hybridMultilevel"/>
    <w:tmpl w:val="A9965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73C7"/>
    <w:multiLevelType w:val="hybridMultilevel"/>
    <w:tmpl w:val="62BAEA30"/>
    <w:lvl w:ilvl="0" w:tplc="6898232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Heading4"/>
      <w:lvlText w:val="%1 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B6A27F8">
      <w:start w:val="1"/>
      <w:numFmt w:val="lowerLetter"/>
      <w:lvlText w:val="(%2)"/>
      <w:lvlJc w:val="left"/>
      <w:pPr>
        <w:ind w:left="1140" w:hanging="360"/>
      </w:pPr>
      <w:rPr>
        <w:rFonts w:hint="default"/>
      </w:rPr>
    </w:lvl>
    <w:lvl w:ilvl="2" w:tplc="87EA8504">
      <w:start w:val="2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3" w:tplc="130AAAFE">
      <w:start w:val="1"/>
      <w:numFmt w:val="lowerRoman"/>
      <w:lvlText w:val="%4)"/>
      <w:lvlJc w:val="left"/>
      <w:pPr>
        <w:ind w:left="2940" w:hanging="720"/>
      </w:pPr>
      <w:rPr>
        <w:rFonts w:hint="default"/>
      </w:rPr>
    </w:lvl>
    <w:lvl w:ilvl="4" w:tplc="2752EBEE">
      <w:start w:val="1"/>
      <w:numFmt w:val="decimal"/>
      <w:lvlText w:val="%5."/>
      <w:lvlJc w:val="left"/>
      <w:pPr>
        <w:ind w:left="33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7C247A"/>
    <w:multiLevelType w:val="hybridMultilevel"/>
    <w:tmpl w:val="1BC0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24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1"/>
  </w:num>
  <w:num w:numId="20">
    <w:abstractNumId w:val="19"/>
  </w:num>
  <w:num w:numId="21">
    <w:abstractNumId w:val="22"/>
  </w:num>
  <w:num w:numId="22">
    <w:abstractNumId w:val="15"/>
  </w:num>
  <w:num w:numId="23">
    <w:abstractNumId w:val="23"/>
  </w:num>
  <w:num w:numId="24">
    <w:abstractNumId w:val="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2C23245AFB546AC9669890F621F1718"/>
    <w:docVar w:name="LW_CROSSREFERENCE" w:val="{SWD(2016) 335 final}"/>
    <w:docVar w:name="LW_DocType" w:val="NORMAL"/>
    <w:docVar w:name="LW_EMISSION" w:val="24.10.2016"/>
    <w:docVar w:name="LW_EMISSION_ISODATE" w:val="2016-10-2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80?\u1085?\u1089?\u1090?\u1088?\u1091?\u1084?\u1077?\u1085?\u1090?\u1080?, \u1087?\u1086?\u1076?\u1082?\u1088?\u1077?\u1087?\u1077?\u1085?\u1080? \u1086?\u1090? \u1086?\u1073?\u1097?\u1080?\u1103? \u1073?\u1102?\u1076?\u1078?\u1077?\u1090? \u1089?\u1098?\u1075?\u1083?\u1072?\u1089?\u1085?\u1086? \u1095?\u1083?\u1077?\u1085? 140, \u1087?\u1072?\u1088?\u1072?\u1075?\u1088?\u1072?\u1092? 8 \u1086?\u1090? \u1060?\u1080?\u1085?\u1072?\u1085?\u1089?\u1086?\u1074?\u1080?\u1103? \u1088?\u1077?\u1075?\u1083?\u1072?\u1084?\u1077?\u1085?\u1090? \u1082?\u1098?\u1084? 31 \u1076?\u1077?\u1082?\u1077?\u1084?\u1074?\u1088?\u1080? 2015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6) 67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B22F-4074-4D4A-BD9C-3CCB980A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30</Pages>
  <Words>4942</Words>
  <Characters>27629</Characters>
  <Application>Microsoft Office Word</Application>
  <DocSecurity>0</DocSecurity>
  <Lines>2302</Lines>
  <Paragraphs>986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37</cp:revision>
  <cp:lastPrinted>2016-09-12T10:37:00Z</cp:lastPrinted>
  <dcterms:created xsi:type="dcterms:W3CDTF">2016-09-08T09:01:00Z</dcterms:created>
  <dcterms:modified xsi:type="dcterms:W3CDTF">2016-10-24T07:57:00Z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