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0097310"/>
      <w:bookmarkStart w:id="1" w:name="_Toc399517418"/>
      <w:bookmarkStart w:id="2" w:name="_Toc387228706"/>
      <w:bookmarkStart w:id="3" w:name="_Toc388541836"/>
      <w:bookmarkStart w:id="4" w:name="_Toc387229283"/>
      <w:bookmarkStart w:id="5" w:name="_Toc388542045"/>
      <w:bookmarkStart w:id="6"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09B967EA0E9D4F189C481C79A6F3F616" style="width:450pt;height:407.25pt">
            <v:imagedata r:id="rId9" o:title=""/>
          </v:shape>
        </w:pict>
      </w:r>
    </w:p>
    <w:bookmarkEnd w:id="6"/>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Subtitle"/>
        <w:spacing w:before="0" w:after="240"/>
        <w:rPr>
          <w:noProof/>
          <w:sz w:val="22"/>
          <w:szCs w:val="22"/>
        </w:rPr>
      </w:pPr>
      <w:bookmarkStart w:id="7" w:name="_GoBack"/>
      <w:bookmarkEnd w:id="7"/>
      <w:r>
        <w:rPr>
          <w:noProof/>
          <w:sz w:val="22"/>
          <w:szCs w:val="22"/>
        </w:rPr>
        <w:lastRenderedPageBreak/>
        <w:t>ANNEX</w:t>
      </w:r>
      <w:bookmarkEnd w:id="0"/>
    </w:p>
    <w:p>
      <w:pPr>
        <w:spacing w:after="240"/>
        <w:jc w:val="both"/>
        <w:rPr>
          <w:rFonts w:ascii="Times New Roman" w:hAnsi="Times New Roman" w:cs="Times New Roman"/>
          <w:noProof/>
        </w:rPr>
      </w:pPr>
      <w:r>
        <w:rPr>
          <w:rFonts w:ascii="Times New Roman" w:hAnsi="Times New Roman" w:cs="Times New Roman"/>
          <w:noProof/>
        </w:rPr>
        <w:t>The following fiches summarise information available as of 31 December 2015 on each of the 12 items in question, as required by Article 140(8) of the Financial Regulation. More details can be found in the SWD.</w:t>
      </w:r>
    </w:p>
    <w:p>
      <w:pPr>
        <w:spacing w:after="240"/>
        <w:jc w:val="both"/>
        <w:rPr>
          <w:rFonts w:ascii="Times New Roman" w:hAnsi="Times New Roman" w:cs="Times New Roman"/>
          <w:noProof/>
        </w:rPr>
      </w:pPr>
      <w:r>
        <w:rPr>
          <w:rFonts w:ascii="Times New Roman" w:hAnsi="Times New Roman" w:cs="Times New Roman"/>
          <w:noProof/>
        </w:rPr>
        <w:t xml:space="preserve">It should be noted that, while item k) in Article 140(8) requires a comparison between the </w:t>
      </w:r>
      <w:r>
        <w:rPr>
          <w:rFonts w:ascii="Times New Roman" w:hAnsi="Times New Roman" w:cs="Times New Roman"/>
          <w:i/>
          <w:noProof/>
        </w:rPr>
        <w:t>target</w:t>
      </w:r>
      <w:r>
        <w:rPr>
          <w:rFonts w:ascii="Times New Roman" w:hAnsi="Times New Roman" w:cs="Times New Roman"/>
          <w:noProof/>
        </w:rPr>
        <w:t xml:space="preserve"> and the </w:t>
      </w:r>
      <w:r>
        <w:rPr>
          <w:rFonts w:ascii="Times New Roman" w:hAnsi="Times New Roman" w:cs="Times New Roman"/>
          <w:i/>
          <w:noProof/>
        </w:rPr>
        <w:t>achieved</w:t>
      </w:r>
      <w:r>
        <w:rPr>
          <w:rFonts w:ascii="Times New Roman" w:hAnsi="Times New Roman" w:cs="Times New Roman"/>
          <w:noProof/>
        </w:rPr>
        <w:t xml:space="preserve"> leverage, no </w:t>
      </w:r>
      <w:r>
        <w:rPr>
          <w:rFonts w:ascii="Times New Roman" w:hAnsi="Times New Roman" w:cs="Times New Roman"/>
          <w:i/>
          <w:noProof/>
        </w:rPr>
        <w:t>target</w:t>
      </w:r>
      <w:r>
        <w:rPr>
          <w:rFonts w:ascii="Times New Roman" w:hAnsi="Times New Roman" w:cs="Times New Roman"/>
          <w:noProof/>
        </w:rPr>
        <w:t xml:space="preserve"> leverage was set for most of the 2007-2013 financial instruments. Information is thus limited to the </w:t>
      </w:r>
      <w:r>
        <w:rPr>
          <w:rFonts w:ascii="Times New Roman" w:hAnsi="Times New Roman" w:cs="Times New Roman"/>
          <w:i/>
          <w:noProof/>
        </w:rPr>
        <w:t>achieved</w:t>
      </w:r>
      <w:r>
        <w:rPr>
          <w:rFonts w:ascii="Times New Roman" w:hAnsi="Times New Roman" w:cs="Times New Roman"/>
          <w:noProof/>
        </w:rPr>
        <w:t xml:space="preserve"> leverage, the calculation of which is described in the relevant section of the SWD.</w:t>
      </w:r>
      <w:r>
        <w:rPr>
          <w:rStyle w:val="FootnoteReference"/>
          <w:rFonts w:ascii="Times New Roman" w:hAnsi="Times New Roman" w:cs="Times New Roman"/>
          <w:noProof/>
        </w:rPr>
        <w:footnoteReference w:id="1"/>
      </w:r>
      <w:r>
        <w:rPr>
          <w:rFonts w:ascii="Times New Roman" w:hAnsi="Times New Roman" w:cs="Times New Roman"/>
          <w:noProof/>
        </w:rPr>
        <w:t xml:space="preserve"> At this stage, the </w:t>
      </w:r>
      <w:r>
        <w:rPr>
          <w:rFonts w:ascii="Times New Roman" w:hAnsi="Times New Roman" w:cs="Times New Roman"/>
          <w:i/>
          <w:noProof/>
        </w:rPr>
        <w:t>achieved</w:t>
      </w:r>
      <w:r>
        <w:rPr>
          <w:rFonts w:ascii="Times New Roman" w:hAnsi="Times New Roman" w:cs="Times New Roman"/>
          <w:noProof/>
        </w:rPr>
        <w:t xml:space="preserve"> leverage is in many cases not yet final, as the number of final recipients is still increasing.. For current instruments, the </w:t>
      </w:r>
      <w:r>
        <w:rPr>
          <w:rFonts w:ascii="Times New Roman" w:hAnsi="Times New Roman" w:cs="Times New Roman"/>
          <w:i/>
          <w:noProof/>
        </w:rPr>
        <w:t>target</w:t>
      </w:r>
      <w:r>
        <w:rPr>
          <w:rFonts w:ascii="Times New Roman" w:hAnsi="Times New Roman" w:cs="Times New Roman"/>
          <w:noProof/>
        </w:rPr>
        <w:t xml:space="preserve"> leverage is presented, together with an </w:t>
      </w:r>
      <w:r>
        <w:rPr>
          <w:rFonts w:ascii="Times New Roman" w:hAnsi="Times New Roman" w:cs="Times New Roman"/>
          <w:i/>
          <w:noProof/>
        </w:rPr>
        <w:t>expected</w:t>
      </w:r>
      <w:r>
        <w:rPr>
          <w:rFonts w:ascii="Times New Roman" w:hAnsi="Times New Roman" w:cs="Times New Roman"/>
          <w:noProof/>
        </w:rPr>
        <w:t xml:space="preserve"> leverage, based on the amount of finance for eligible final recipients expected to result from operations that the entrusted entity has already signed with financial intermediaries (or final recipients).</w:t>
      </w:r>
    </w:p>
    <w:p>
      <w:pPr>
        <w:spacing w:after="24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cs="Times New Roman"/>
          <w:noProof/>
        </w:rPr>
        <w:br w:type="page"/>
      </w:r>
    </w:p>
    <w:p>
      <w:pPr>
        <w:pStyle w:val="Heading4"/>
        <w:spacing w:before="0" w:after="240"/>
        <w:ind w:left="357" w:hanging="357"/>
        <w:rPr>
          <w:noProof/>
          <w:sz w:val="22"/>
          <w:szCs w:val="22"/>
        </w:rPr>
      </w:pPr>
      <w:r>
        <w:rPr>
          <w:noProof/>
          <w:sz w:val="22"/>
          <w:szCs w:val="22"/>
        </w:rPr>
        <w:lastRenderedPageBreak/>
        <w:t>Equity instruments</w:t>
      </w:r>
      <w:bookmarkEnd w:id="1"/>
    </w:p>
    <w:tbl>
      <w:tblPr>
        <w:tblW w:w="5036" w:type="pct"/>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212"/>
        <w:gridCol w:w="2381"/>
        <w:gridCol w:w="2381"/>
        <w:gridCol w:w="2381"/>
      </w:tblGrid>
      <w:tr>
        <w:tc>
          <w:tcPr>
            <w:tcW w:w="2212" w:type="dxa"/>
            <w:tcBorders>
              <w:top w:val="single" w:sz="8" w:space="0" w:color="7BA0CD"/>
              <w:left w:val="single" w:sz="8" w:space="0" w:color="7BA0CD"/>
              <w:bottom w:val="single" w:sz="8" w:space="0" w:color="7BA0CD"/>
            </w:tcBorders>
            <w:shd w:val="clear" w:color="auto" w:fill="4F81BD"/>
            <w:vAlign w:val="center"/>
          </w:tcPr>
          <w:p>
            <w:pPr>
              <w:spacing w:before="60" w:after="60" w:line="360" w:lineRule="auto"/>
              <w:jc w:val="center"/>
              <w:rPr>
                <w:rFonts w:ascii="Times New Roman" w:hAnsi="Times New Roman" w:cs="Times New Roman"/>
                <w:b/>
                <w:bCs/>
                <w:noProof/>
                <w:color w:val="FFFFFF"/>
              </w:rPr>
            </w:pPr>
          </w:p>
        </w:tc>
        <w:tc>
          <w:tcPr>
            <w:tcW w:w="2381"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eastAsia="Times New Roman" w:hAnsi="Times New Roman" w:cs="Times New Roman"/>
                <w:b/>
                <w:bCs/>
                <w:noProof/>
                <w:color w:val="FFFFFF" w:themeColor="background1"/>
              </w:rPr>
            </w:pPr>
            <w:r>
              <w:rPr>
                <w:rFonts w:ascii="Times New Roman" w:eastAsia="Times New Roman" w:hAnsi="Times New Roman" w:cs="Times New Roman"/>
                <w:b/>
                <w:bCs/>
                <w:noProof/>
                <w:color w:val="FFFFFF" w:themeColor="background1"/>
              </w:rPr>
              <w:t>High Growth and Innovative SME Facility under CIP -</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GIF</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(V.1.1 SWD)</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Policy DG in charge: ECFIN / GROW</w:t>
            </w:r>
          </w:p>
        </w:tc>
        <w:tc>
          <w:tcPr>
            <w:tcW w:w="2381" w:type="dxa"/>
            <w:tcBorders>
              <w:top w:val="nil"/>
              <w:bottom w:val="nil"/>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The Connecting Europe Facility Equity Instrument – CEF</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(V. 1.2 SWD)</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Policy DG in charge: CNECT</w:t>
            </w:r>
          </w:p>
        </w:tc>
        <w:tc>
          <w:tcPr>
            <w:tcW w:w="2381" w:type="dxa"/>
            <w:tcBorders>
              <w:top w:val="nil"/>
              <w:bottom w:val="nil"/>
              <w:right w:val="nil"/>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Equity Facility for Growth under COSME -</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EFG</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(V.1.3 SWD)</w:t>
            </w:r>
          </w:p>
          <w:p>
            <w:pPr>
              <w:spacing w:before="60" w:after="120" w:line="360" w:lineRule="auto"/>
              <w:ind w:right="-108"/>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Policy DG in charge: GROW</w:t>
            </w:r>
          </w:p>
        </w:tc>
      </w:tr>
      <w:t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a) Identification/ basic act</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eastAsia="Times New Roman" w:hAnsi="Times New Roman" w:cs="Times New Roman"/>
                <w:noProof/>
              </w:rPr>
              <w:t>Decision No 1639/2006/EC</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Regulation (EU) No 1316/2013</w:t>
            </w:r>
          </w:p>
        </w:tc>
        <w:tc>
          <w:tcPr>
            <w:tcW w:w="2381" w:type="dxa"/>
            <w:tcBorders>
              <w:top w:val="nil"/>
            </w:tcBorders>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Regulation (EU) No 1287/2013</w:t>
            </w:r>
          </w:p>
        </w:tc>
      </w:tr>
      <w:t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b) Description</w:t>
            </w:r>
          </w:p>
        </w:tc>
        <w:tc>
          <w:tcPr>
            <w:tcW w:w="2381" w:type="dxa"/>
            <w:tcBorders>
              <w:left w:val="nil"/>
              <w:right w:val="nil"/>
            </w:tcBorders>
            <w:shd w:val="clear" w:color="auto" w:fill="auto"/>
            <w:vAlign w:val="center"/>
          </w:tcPr>
          <w:p>
            <w:pPr>
              <w:spacing w:before="120" w:after="120" w:line="240" w:lineRule="auto"/>
              <w:rPr>
                <w:rFonts w:ascii="Times New Roman" w:eastAsia="Times New Roman" w:hAnsi="Times New Roman" w:cs="Times New Roman"/>
                <w:noProof/>
              </w:rPr>
            </w:pPr>
            <w:r>
              <w:rPr>
                <w:rFonts w:ascii="Times New Roman" w:eastAsia="Times New Roman" w:hAnsi="Times New Roman" w:cs="Times New Roman"/>
                <w:noProof/>
              </w:rPr>
              <w:t>Equity instrument increasing the supply of equity for innovative SMEs in early and expansion stages</w:t>
            </w:r>
          </w:p>
        </w:tc>
        <w:tc>
          <w:tcPr>
            <w:tcW w:w="2381" w:type="dxa"/>
            <w:tcBorders>
              <w:left w:val="nil"/>
              <w:right w:val="nil"/>
            </w:tcBorders>
            <w:vAlign w:val="center"/>
          </w:tcPr>
          <w:p>
            <w:pPr>
              <w:spacing w:after="60"/>
              <w:ind w:right="141"/>
              <w:jc w:val="center"/>
              <w:rPr>
                <w:rFonts w:ascii="Times New Roman" w:hAnsi="Times New Roman" w:cs="Times New Roman"/>
                <w:noProof/>
              </w:rPr>
            </w:pPr>
            <w:r>
              <w:rPr>
                <w:rFonts w:ascii="Times New Roman" w:hAnsi="Times New Roman" w:cs="Times New Roman"/>
                <w:noProof/>
                <w:szCs w:val="24"/>
              </w:rPr>
              <w:t>Equity Instrument optimising the use of scarce CEF resources for smaller and more risky projects</w:t>
            </w:r>
          </w:p>
        </w:tc>
        <w:tc>
          <w:tcPr>
            <w:tcW w:w="2381" w:type="dxa"/>
            <w:tcBorders>
              <w:left w:val="nil"/>
            </w:tcBorders>
            <w:shd w:val="clear" w:color="auto" w:fill="auto"/>
            <w:vAlign w:val="center"/>
          </w:tcPr>
          <w:p>
            <w:pPr>
              <w:spacing w:before="120" w:after="120" w:line="240" w:lineRule="auto"/>
              <w:rPr>
                <w:rFonts w:ascii="Times New Roman" w:hAnsi="Times New Roman" w:cs="Times New Roman"/>
                <w:noProof/>
              </w:rPr>
            </w:pPr>
            <w:r>
              <w:rPr>
                <w:rFonts w:ascii="Times New Roman" w:hAnsi="Times New Roman" w:cs="Times New Roman"/>
                <w:noProof/>
              </w:rPr>
              <w:t>Equity instrument providing venture capital and mezzanine finance to SMEs in expansion and growth stages</w:t>
            </w:r>
          </w:p>
        </w:tc>
      </w:tr>
      <w:tr>
        <w:trPr>
          <w:trHeight w:val="958"/>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2381" w:type="dxa"/>
            <w:shd w:val="clear" w:color="auto" w:fill="D3DFEE"/>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EIF</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 yet</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EIF</w:t>
            </w:r>
          </w:p>
        </w:tc>
      </w:tr>
      <w:tr>
        <w:trPr>
          <w:trHeight w:val="1540"/>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2381" w:type="dxa"/>
            <w:tcBorders>
              <w:left w:val="nil"/>
              <w:righ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EUR 625,2 m</w:t>
            </w:r>
          </w:p>
          <w:p>
            <w:pPr>
              <w:spacing w:before="120" w:after="120" w:line="240" w:lineRule="auto"/>
              <w:jc w:val="center"/>
              <w:rPr>
                <w:rFonts w:ascii="Times New Roman" w:hAnsi="Times New Roman" w:cs="Times New Roman"/>
                <w:noProof/>
              </w:rPr>
            </w:pPr>
            <w:r>
              <w:rPr>
                <w:rFonts w:ascii="Times New Roman" w:hAnsi="Times New Roman" w:cs="Times New Roman"/>
                <w:noProof/>
              </w:rPr>
              <w:t>EUR 414,2 m</w:t>
            </w:r>
          </w:p>
        </w:tc>
        <w:tc>
          <w:tcPr>
            <w:tcW w:w="2381" w:type="dxa"/>
            <w:tcBorders>
              <w:left w:val="nil"/>
              <w:right w:val="nil"/>
            </w:tcBorders>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EUR 10 m</w:t>
            </w:r>
          </w:p>
          <w:p>
            <w:pPr>
              <w:spacing w:before="120" w:after="120" w:line="240" w:lineRule="auto"/>
              <w:jc w:val="center"/>
              <w:rPr>
                <w:rFonts w:ascii="Times New Roman" w:hAnsi="Times New Roman" w:cs="Times New Roman"/>
                <w:noProof/>
              </w:rPr>
            </w:pPr>
            <w:r>
              <w:rPr>
                <w:rFonts w:ascii="Times New Roman" w:hAnsi="Times New Roman" w:cs="Times New Roman"/>
                <w:noProof/>
              </w:rPr>
              <w:t>EUR 0</w:t>
            </w:r>
          </w:p>
        </w:tc>
        <w:tc>
          <w:tcPr>
            <w:tcW w:w="2381" w:type="dxa"/>
            <w:tcBorders>
              <w:lef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EUR 102,4 m</w:t>
            </w:r>
          </w:p>
          <w:p>
            <w:pPr>
              <w:spacing w:before="120" w:after="120" w:line="240" w:lineRule="auto"/>
              <w:jc w:val="center"/>
              <w:rPr>
                <w:rFonts w:ascii="Times New Roman" w:hAnsi="Times New Roman" w:cs="Times New Roman"/>
                <w:noProof/>
              </w:rPr>
            </w:pPr>
            <w:r>
              <w:rPr>
                <w:rFonts w:ascii="Times New Roman" w:hAnsi="Times New Roman" w:cs="Times New Roman"/>
                <w:noProof/>
              </w:rPr>
              <w:t>EUR 41,0 m</w:t>
            </w:r>
          </w:p>
        </w:tc>
      </w:tr>
      <w:tr>
        <w:trPr>
          <w:trHeight w:val="1208"/>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e) Performance</w:t>
            </w:r>
          </w:p>
        </w:tc>
        <w:tc>
          <w:tcPr>
            <w:tcW w:w="2381" w:type="dxa"/>
            <w:shd w:val="clear" w:color="auto" w:fill="D3DFEE"/>
            <w:vAlign w:val="center"/>
          </w:tcPr>
          <w:p>
            <w:pPr>
              <w:spacing w:before="120" w:after="120" w:line="240" w:lineRule="auto"/>
              <w:jc w:val="both"/>
              <w:rPr>
                <w:rFonts w:ascii="Times New Roman" w:hAnsi="Times New Roman" w:cs="Times New Roman"/>
                <w:noProof/>
              </w:rPr>
            </w:pPr>
            <w:r>
              <w:rPr>
                <w:rFonts w:ascii="Times New Roman" w:hAnsi="Times New Roman" w:cs="Times New Roman"/>
                <w:noProof/>
              </w:rPr>
              <w:t>43 agreements signed with venture capital funds, with expected  financing EUR 3,1 billion for 850 eligible SMEs</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5 agreements signed with risk capital funds with expected  financing EUR  394,5 million for 53 eligible SMEs</w:t>
            </w:r>
          </w:p>
        </w:tc>
      </w:tr>
      <w:tr>
        <w:trPr>
          <w:trHeight w:val="1538"/>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f) Evaluation of the use of any amounts returned to the instrument</w:t>
            </w:r>
          </w:p>
        </w:tc>
        <w:tc>
          <w:tcPr>
            <w:tcW w:w="2381" w:type="dxa"/>
            <w:tcBorders>
              <w:left w:val="nil"/>
              <w:righ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More than 90%</w:t>
            </w:r>
          </w:p>
        </w:tc>
        <w:tc>
          <w:tcPr>
            <w:tcW w:w="2381" w:type="dxa"/>
            <w:tcBorders>
              <w:left w:val="nil"/>
              <w:right w:val="nil"/>
            </w:tcBorders>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r>
      <w:tr>
        <w:trPr>
          <w:trHeight w:val="823"/>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EUR 94,7 m</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 xml:space="preserve">EUR </w:t>
            </w:r>
            <w:r>
              <w:rPr>
                <w:rFonts w:ascii="Times New Roman" w:hAnsi="Times New Roman" w:cs="Times New Roman"/>
                <w:bCs/>
                <w:noProof/>
              </w:rPr>
              <w:t>38,5 m</w:t>
            </w:r>
          </w:p>
        </w:tc>
      </w:tr>
      <w:tr>
        <w:trPr>
          <w:trHeight w:val="835"/>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h) Revenues and repayments</w:t>
            </w:r>
          </w:p>
        </w:tc>
        <w:tc>
          <w:tcPr>
            <w:tcW w:w="2381" w:type="dxa"/>
            <w:tcBorders>
              <w:left w:val="nil"/>
              <w:righ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Revenues: EUR 19,5 m</w:t>
            </w:r>
          </w:p>
        </w:tc>
        <w:tc>
          <w:tcPr>
            <w:tcW w:w="2381" w:type="dxa"/>
            <w:tcBorders>
              <w:left w:val="nil"/>
              <w:right w:val="nil"/>
            </w:tcBorders>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w:t>
            </w:r>
          </w:p>
        </w:tc>
        <w:tc>
          <w:tcPr>
            <w:tcW w:w="2381" w:type="dxa"/>
            <w:tcBorders>
              <w:lef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lastRenderedPageBreak/>
              <w:t>i) Value of equity investments</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EUR 318,1 m</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2381" w:type="dxa"/>
            <w:tcBorders>
              <w:left w:val="nil"/>
              <w:righ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EUR 5,3 m</w:t>
            </w:r>
          </w:p>
        </w:tc>
        <w:tc>
          <w:tcPr>
            <w:tcW w:w="2381" w:type="dxa"/>
            <w:tcBorders>
              <w:left w:val="nil"/>
              <w:right w:val="nil"/>
            </w:tcBorders>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r>
      <w:tr>
        <w:trPr>
          <w:trHeight w:val="303"/>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k) Leverage effect</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Expected: 5</w:t>
            </w:r>
          </w:p>
          <w:p>
            <w:pPr>
              <w:spacing w:before="120" w:after="120" w:line="240" w:lineRule="auto"/>
              <w:jc w:val="center"/>
              <w:rPr>
                <w:rFonts w:ascii="Times New Roman" w:hAnsi="Times New Roman" w:cs="Times New Roman"/>
                <w:noProof/>
              </w:rPr>
            </w:pPr>
            <w:r>
              <w:rPr>
                <w:rFonts w:ascii="Times New Roman" w:hAnsi="Times New Roman" w:cs="Times New Roman"/>
                <w:noProof/>
              </w:rPr>
              <w:t>Achieved: 5,6</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Target : 5 to 10</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Target: between 4 and 6</w:t>
            </w:r>
          </w:p>
          <w:p>
            <w:pPr>
              <w:spacing w:before="120" w:after="120" w:line="240" w:lineRule="auto"/>
              <w:jc w:val="center"/>
              <w:rPr>
                <w:rFonts w:ascii="Times New Roman" w:hAnsi="Times New Roman" w:cs="Times New Roman"/>
                <w:noProof/>
              </w:rPr>
            </w:pPr>
            <w:r>
              <w:rPr>
                <w:rFonts w:ascii="Times New Roman" w:hAnsi="Times New Roman" w:cs="Times New Roman"/>
                <w:noProof/>
              </w:rPr>
              <w:t>Expected: 3,85</w:t>
            </w:r>
          </w:p>
        </w:tc>
      </w:tr>
      <w:tr>
        <w:trPr>
          <w:trHeight w:val="1416"/>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2381" w:type="dxa"/>
            <w:tcBorders>
              <w:left w:val="nil"/>
              <w:right w:val="nil"/>
            </w:tcBorders>
            <w:shd w:val="clear" w:color="auto" w:fill="auto"/>
            <w:vAlign w:val="center"/>
          </w:tcPr>
          <w:p>
            <w:pPr>
              <w:pStyle w:val="ListParagraph"/>
              <w:spacing w:before="120" w:after="120" w:line="240" w:lineRule="auto"/>
              <w:ind w:left="0"/>
              <w:rPr>
                <w:noProof/>
                <w:sz w:val="22"/>
              </w:rPr>
            </w:pPr>
            <w:r>
              <w:rPr>
                <w:noProof/>
                <w:sz w:val="22"/>
              </w:rPr>
              <w:t xml:space="preserve">More than 1,2 billion EUR of financing supported for 437 eligible SMEs; </w:t>
            </w:r>
          </w:p>
          <w:p>
            <w:pPr>
              <w:pStyle w:val="ListParagraph"/>
              <w:spacing w:before="120" w:after="120" w:line="240" w:lineRule="auto"/>
              <w:ind w:left="0"/>
              <w:rPr>
                <w:noProof/>
                <w:sz w:val="22"/>
              </w:rPr>
            </w:pPr>
          </w:p>
          <w:p>
            <w:pPr>
              <w:pStyle w:val="ListParagraph"/>
              <w:spacing w:before="120" w:after="120" w:line="240" w:lineRule="auto"/>
              <w:ind w:left="0"/>
              <w:rPr>
                <w:noProof/>
                <w:sz w:val="22"/>
              </w:rPr>
            </w:pPr>
            <w:r>
              <w:rPr>
                <w:noProof/>
                <w:sz w:val="22"/>
              </w:rPr>
              <w:t>EUR 3,1 billion of investments supported.</w:t>
            </w:r>
          </w:p>
        </w:tc>
        <w:tc>
          <w:tcPr>
            <w:tcW w:w="2381" w:type="dxa"/>
            <w:tcBorders>
              <w:left w:val="nil"/>
              <w:right w:val="nil"/>
            </w:tcBorders>
            <w:vAlign w:val="center"/>
          </w:tcPr>
          <w:p>
            <w:pPr>
              <w:pStyle w:val="ListParagraph"/>
              <w:spacing w:before="120" w:after="120" w:line="240" w:lineRule="auto"/>
              <w:ind w:left="0"/>
              <w:jc w:val="center"/>
              <w:rPr>
                <w:noProof/>
                <w:sz w:val="22"/>
              </w:rPr>
            </w:pPr>
            <w:r>
              <w:rPr>
                <w:noProof/>
                <w:sz w:val="22"/>
              </w:rPr>
              <w:t>NA</w:t>
            </w:r>
          </w:p>
        </w:tc>
        <w:tc>
          <w:tcPr>
            <w:tcW w:w="2381" w:type="dxa"/>
            <w:tcBorders>
              <w:left w:val="nil"/>
            </w:tcBorders>
            <w:shd w:val="clear" w:color="auto" w:fill="auto"/>
            <w:vAlign w:val="center"/>
          </w:tcPr>
          <w:p>
            <w:pPr>
              <w:pStyle w:val="ListParagraph"/>
              <w:spacing w:before="120" w:after="120" w:line="240" w:lineRule="auto"/>
              <w:ind w:left="0"/>
              <w:rPr>
                <w:noProof/>
                <w:sz w:val="22"/>
              </w:rPr>
            </w:pPr>
            <w:r>
              <w:rPr>
                <w:noProof/>
                <w:sz w:val="22"/>
              </w:rPr>
              <w:t>The expected volume of equity investments into 53 eligible final recipients amounts to almost EUR 395 million;</w:t>
            </w:r>
          </w:p>
          <w:p>
            <w:pPr>
              <w:pStyle w:val="ListParagraph"/>
              <w:spacing w:before="120" w:after="120" w:line="240" w:lineRule="auto"/>
              <w:ind w:left="0"/>
              <w:rPr>
                <w:noProof/>
                <w:sz w:val="22"/>
              </w:rPr>
            </w:pPr>
            <w:r>
              <w:rPr>
                <w:noProof/>
                <w:sz w:val="22"/>
              </w:rPr>
              <w:t xml:space="preserve"> Investments by SMEs not yet available.</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bl>
      <w:tblPr>
        <w:tblW w:w="2473" w:type="pct"/>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212"/>
        <w:gridCol w:w="2382"/>
      </w:tblGrid>
      <w:tr>
        <w:tc>
          <w:tcPr>
            <w:tcW w:w="2212" w:type="dxa"/>
            <w:tcBorders>
              <w:top w:val="single" w:sz="8" w:space="0" w:color="7BA0CD"/>
              <w:left w:val="single" w:sz="8" w:space="0" w:color="7BA0CD"/>
              <w:bottom w:val="single" w:sz="8" w:space="0" w:color="7BA0CD"/>
            </w:tcBorders>
            <w:shd w:val="clear" w:color="auto" w:fill="4F81BD"/>
            <w:vAlign w:val="center"/>
          </w:tcPr>
          <w:p>
            <w:pPr>
              <w:spacing w:before="60" w:after="60" w:line="360" w:lineRule="auto"/>
              <w:jc w:val="center"/>
              <w:rPr>
                <w:rFonts w:ascii="Times New Roman" w:hAnsi="Times New Roman" w:cs="Times New Roman"/>
                <w:b/>
                <w:bCs/>
                <w:noProof/>
                <w:color w:val="FFFFFF"/>
              </w:rPr>
            </w:pPr>
          </w:p>
        </w:tc>
        <w:tc>
          <w:tcPr>
            <w:tcW w:w="2382" w:type="dxa"/>
            <w:tcBorders>
              <w:top w:val="single" w:sz="8" w:space="0" w:color="7BA0CD"/>
              <w:left w:val="nil"/>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InnovFin SME Venture Capital (Horizon 2020)</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(V.1.4. SWD)</w:t>
            </w:r>
          </w:p>
          <w:p>
            <w:pPr>
              <w:spacing w:before="60" w:after="120" w:line="360" w:lineRule="auto"/>
              <w:jc w:val="center"/>
              <w:rPr>
                <w:rFonts w:ascii="Times New Roman" w:hAnsi="Times New Roman" w:cs="Times New Roman"/>
                <w:b/>
                <w:bCs/>
                <w:noProof/>
                <w:color w:val="FF0000"/>
              </w:rPr>
            </w:pPr>
            <w:r>
              <w:rPr>
                <w:rFonts w:ascii="Times New Roman" w:hAnsi="Times New Roman" w:cs="Times New Roman"/>
                <w:b/>
                <w:bCs/>
                <w:noProof/>
                <w:color w:val="FFFFFF" w:themeColor="background1"/>
              </w:rPr>
              <w:t>Policy DG in charge: RTD</w:t>
            </w:r>
          </w:p>
        </w:tc>
      </w:tr>
      <w:t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a) Identification/ basic act</w:t>
            </w:r>
          </w:p>
        </w:tc>
        <w:tc>
          <w:tcPr>
            <w:tcW w:w="2382" w:type="dxa"/>
            <w:shd w:val="clear" w:color="auto" w:fill="D3DFEE"/>
            <w:vAlign w:val="center"/>
          </w:tcPr>
          <w:p>
            <w:pPr>
              <w:spacing w:before="120" w:after="120" w:line="240" w:lineRule="auto"/>
              <w:jc w:val="center"/>
              <w:rPr>
                <w:rFonts w:ascii="Times New Roman" w:hAnsi="Times New Roman" w:cs="Times New Roman"/>
                <w:noProof/>
                <w:lang w:val="pt-PT"/>
              </w:rPr>
            </w:pPr>
            <w:r>
              <w:rPr>
                <w:rFonts w:ascii="Times New Roman" w:hAnsi="Times New Roman" w:cs="Times New Roman"/>
                <w:noProof/>
                <w:lang w:val="pt-PT"/>
              </w:rPr>
              <w:t>Regulation (EU) No 1291/2013</w:t>
            </w:r>
          </w:p>
          <w:p>
            <w:pPr>
              <w:spacing w:before="120" w:after="120" w:line="240" w:lineRule="auto"/>
              <w:jc w:val="center"/>
              <w:rPr>
                <w:rFonts w:ascii="Times New Roman" w:hAnsi="Times New Roman" w:cs="Times New Roman"/>
                <w:noProof/>
                <w:lang w:val="pt-PT"/>
              </w:rPr>
            </w:pPr>
            <w:r>
              <w:rPr>
                <w:rFonts w:ascii="Times New Roman" w:hAnsi="Times New Roman" w:cs="Times New Roman"/>
                <w:noProof/>
                <w:lang w:val="pt-PT"/>
              </w:rPr>
              <w:t>Regulation (EU) No 1290/2013</w:t>
            </w:r>
          </w:p>
        </w:tc>
      </w:tr>
      <w:t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b) Description</w:t>
            </w:r>
          </w:p>
        </w:tc>
        <w:tc>
          <w:tcPr>
            <w:tcW w:w="2382" w:type="dxa"/>
            <w:tcBorders>
              <w:left w:val="nil"/>
            </w:tcBorders>
            <w:vAlign w:val="center"/>
          </w:tcPr>
          <w:p>
            <w:pPr>
              <w:spacing w:before="120" w:after="120" w:line="240" w:lineRule="auto"/>
              <w:rPr>
                <w:rFonts w:ascii="Times New Roman" w:hAnsi="Times New Roman" w:cs="Times New Roman"/>
                <w:noProof/>
              </w:rPr>
            </w:pPr>
            <w:r>
              <w:rPr>
                <w:rFonts w:ascii="Times New Roman" w:hAnsi="Times New Roman" w:cs="Times New Roman"/>
                <w:noProof/>
              </w:rPr>
              <w:t>Equity instrument making VC and quasi-equity early-stages investments in R&amp;I driven SMEs and small mid-caps</w:t>
            </w:r>
          </w:p>
        </w:tc>
      </w:tr>
      <w:tr>
        <w:trPr>
          <w:trHeight w:val="958"/>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2382"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EIF</w:t>
            </w:r>
          </w:p>
        </w:tc>
      </w:tr>
      <w:tr>
        <w:trPr>
          <w:trHeight w:val="1540"/>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2382" w:type="dxa"/>
            <w:tcBorders>
              <w:left w:val="nil"/>
            </w:tcBorders>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EUR 125,1 m</w:t>
            </w:r>
          </w:p>
          <w:p>
            <w:pPr>
              <w:spacing w:before="120" w:after="120" w:line="240" w:lineRule="auto"/>
              <w:jc w:val="center"/>
              <w:rPr>
                <w:rFonts w:ascii="Times New Roman" w:hAnsi="Times New Roman" w:cs="Times New Roman"/>
                <w:noProof/>
              </w:rPr>
            </w:pPr>
            <w:r>
              <w:rPr>
                <w:rFonts w:ascii="Times New Roman" w:hAnsi="Times New Roman" w:cs="Times New Roman"/>
                <w:noProof/>
              </w:rPr>
              <w:t>EUR 110,1 m</w:t>
            </w:r>
          </w:p>
        </w:tc>
      </w:tr>
      <w:tr>
        <w:trPr>
          <w:trHeight w:val="1208"/>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e) Performance</w:t>
            </w:r>
          </w:p>
        </w:tc>
        <w:tc>
          <w:tcPr>
            <w:tcW w:w="2382" w:type="dxa"/>
            <w:shd w:val="clear" w:color="auto" w:fill="D3DFEE"/>
            <w:vAlign w:val="center"/>
          </w:tcPr>
          <w:p>
            <w:pPr>
              <w:spacing w:before="120" w:after="120" w:line="240" w:lineRule="auto"/>
              <w:rPr>
                <w:rFonts w:ascii="Times New Roman" w:hAnsi="Times New Roman" w:cs="Times New Roman"/>
                <w:noProof/>
              </w:rPr>
            </w:pPr>
            <w:r>
              <w:rPr>
                <w:rFonts w:ascii="Times New Roman" w:hAnsi="Times New Roman" w:cs="Times New Roman"/>
                <w:noProof/>
              </w:rPr>
              <w:t>Agreements signed for expected  financing EUR 237,6 million for approx. 30 eligible SMEs</w:t>
            </w:r>
          </w:p>
        </w:tc>
      </w:tr>
      <w:tr>
        <w:trPr>
          <w:trHeight w:val="1538"/>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f) Evaluation of the use of any amounts returned to the instrument</w:t>
            </w:r>
          </w:p>
        </w:tc>
        <w:tc>
          <w:tcPr>
            <w:tcW w:w="2382" w:type="dxa"/>
            <w:tcBorders>
              <w:left w:val="nil"/>
            </w:tcBorders>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r>
      <w:tr>
        <w:trPr>
          <w:trHeight w:val="823"/>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2382"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EUR 107,6 m</w:t>
            </w:r>
          </w:p>
        </w:tc>
      </w:tr>
      <w:tr>
        <w:trPr>
          <w:trHeight w:val="835"/>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h) Revenues and repayments</w:t>
            </w:r>
          </w:p>
        </w:tc>
        <w:tc>
          <w:tcPr>
            <w:tcW w:w="2382" w:type="dxa"/>
            <w:tcBorders>
              <w:left w:val="nil"/>
            </w:tcBorders>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 xml:space="preserve">i) Value of equity </w:t>
            </w:r>
            <w:r>
              <w:rPr>
                <w:rFonts w:ascii="Times New Roman" w:hAnsi="Times New Roman" w:cs="Times New Roman"/>
                <w:b/>
                <w:bCs/>
                <w:noProof/>
              </w:rPr>
              <w:lastRenderedPageBreak/>
              <w:t>investments</w:t>
            </w:r>
          </w:p>
        </w:tc>
        <w:tc>
          <w:tcPr>
            <w:tcW w:w="2382"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lastRenderedPageBreak/>
              <w:t>EUR 28,2 m</w:t>
            </w:r>
          </w:p>
        </w:tc>
      </w:tr>
      <w:t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lastRenderedPageBreak/>
              <w:t>j) Impairments / called guarantees</w:t>
            </w:r>
          </w:p>
        </w:tc>
        <w:tc>
          <w:tcPr>
            <w:tcW w:w="2382" w:type="dxa"/>
            <w:tcBorders>
              <w:left w:val="nil"/>
            </w:tcBorders>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NA</w:t>
            </w:r>
          </w:p>
        </w:tc>
      </w:tr>
      <w:tr>
        <w:trPr>
          <w:trHeight w:val="303"/>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k) Leverage effect</w:t>
            </w:r>
          </w:p>
        </w:tc>
        <w:tc>
          <w:tcPr>
            <w:tcW w:w="2382"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cs="Times New Roman"/>
                <w:noProof/>
              </w:rPr>
              <w:t>Expected: 6</w:t>
            </w:r>
          </w:p>
        </w:tc>
      </w:tr>
      <w:tr>
        <w:trPr>
          <w:trHeight w:val="1416"/>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2382" w:type="dxa"/>
            <w:tcBorders>
              <w:left w:val="nil"/>
            </w:tcBorders>
            <w:vAlign w:val="center"/>
          </w:tcPr>
          <w:p>
            <w:pPr>
              <w:pStyle w:val="ListParagraph"/>
              <w:spacing w:before="120" w:after="120" w:line="240" w:lineRule="auto"/>
              <w:ind w:left="0"/>
              <w:rPr>
                <w:noProof/>
                <w:sz w:val="22"/>
              </w:rPr>
            </w:pPr>
            <w:r>
              <w:rPr>
                <w:noProof/>
                <w:sz w:val="22"/>
              </w:rPr>
              <w:t xml:space="preserve">The expected volume of equity investments into 30 eligible final recipients amounts to EUR 237,6 million; </w:t>
            </w:r>
          </w:p>
          <w:p>
            <w:pPr>
              <w:pStyle w:val="ListParagraph"/>
              <w:spacing w:before="120" w:after="120" w:line="240" w:lineRule="auto"/>
              <w:ind w:left="0"/>
              <w:rPr>
                <w:noProof/>
                <w:sz w:val="22"/>
              </w:rPr>
            </w:pPr>
          </w:p>
          <w:p>
            <w:pPr>
              <w:pStyle w:val="ListParagraph"/>
              <w:spacing w:before="120" w:after="120" w:line="240" w:lineRule="auto"/>
              <w:ind w:left="0"/>
              <w:rPr>
                <w:noProof/>
                <w:sz w:val="22"/>
              </w:rPr>
            </w:pPr>
            <w:r>
              <w:rPr>
                <w:noProof/>
                <w:sz w:val="22"/>
              </w:rPr>
              <w:t>Investments by SMEs not yet available.</w:t>
            </w:r>
          </w:p>
        </w:tc>
      </w:tr>
    </w:tbl>
    <w:p>
      <w:pPr>
        <w:pStyle w:val="Heading4"/>
        <w:spacing w:before="120"/>
        <w:rPr>
          <w:noProof/>
          <w:sz w:val="22"/>
          <w:szCs w:val="22"/>
        </w:rPr>
      </w:pPr>
      <w:r>
        <w:rPr>
          <w:noProof/>
          <w:sz w:val="22"/>
          <w:szCs w:val="22"/>
        </w:rPr>
        <w:br w:type="page"/>
      </w:r>
      <w:bookmarkStart w:id="8" w:name="_Toc399517419"/>
      <w:r>
        <w:rPr>
          <w:noProof/>
          <w:sz w:val="22"/>
          <w:szCs w:val="22"/>
        </w:rPr>
        <w:lastRenderedPageBreak/>
        <w:t>Guarantee instruments</w:t>
      </w:r>
      <w:bookmarkEnd w:id="2"/>
      <w:bookmarkEnd w:id="3"/>
      <w:bookmarkEnd w:id="4"/>
      <w:bookmarkEnd w:id="5"/>
      <w:bookmarkEnd w:id="8"/>
    </w:p>
    <w:tbl>
      <w:tblPr>
        <w:tblW w:w="9354"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211"/>
        <w:gridCol w:w="2381"/>
        <w:gridCol w:w="2381"/>
        <w:gridCol w:w="2381"/>
      </w:tblGrid>
      <w:tr>
        <w:tc>
          <w:tcPr>
            <w:tcW w:w="2211" w:type="dxa"/>
            <w:tcBorders>
              <w:top w:val="single" w:sz="8" w:space="0" w:color="7BA0CD"/>
              <w:left w:val="single" w:sz="8" w:space="0" w:color="7BA0CD"/>
              <w:bottom w:val="single" w:sz="8" w:space="0" w:color="7BA0CD"/>
            </w:tcBorders>
            <w:shd w:val="clear" w:color="auto" w:fill="4F81BD"/>
          </w:tcPr>
          <w:p>
            <w:pPr>
              <w:jc w:val="both"/>
              <w:rPr>
                <w:rFonts w:ascii="Times New Roman" w:eastAsia="Times New Roman" w:hAnsi="Times New Roman" w:cs="Times New Roman"/>
                <w:b/>
                <w:bCs/>
                <w:i/>
                <w:noProof/>
                <w:color w:val="FFFFFF"/>
              </w:rPr>
            </w:pPr>
          </w:p>
        </w:tc>
        <w:tc>
          <w:tcPr>
            <w:tcW w:w="2381"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eastAsia="Times New Roman" w:hAnsi="Times New Roman" w:cs="Times New Roman"/>
                <w:b/>
                <w:bCs/>
                <w:noProof/>
                <w:color w:val="FFFFFF"/>
              </w:rPr>
            </w:pPr>
            <w:r>
              <w:rPr>
                <w:rFonts w:ascii="Times New Roman" w:eastAsia="Times New Roman" w:hAnsi="Times New Roman" w:cs="Times New Roman"/>
                <w:b/>
                <w:bCs/>
                <w:noProof/>
                <w:color w:val="FFFFFF"/>
              </w:rPr>
              <w:t>SME Guarantee Facility under CIP — SMEG07</w:t>
            </w:r>
          </w:p>
          <w:p>
            <w:pPr>
              <w:spacing w:before="60" w:after="120" w:line="360" w:lineRule="auto"/>
              <w:jc w:val="center"/>
              <w:rPr>
                <w:rFonts w:ascii="Times New Roman" w:eastAsia="Times New Roman" w:hAnsi="Times New Roman" w:cs="Times New Roman"/>
                <w:b/>
                <w:bCs/>
                <w:noProof/>
                <w:color w:val="FFFFFF"/>
              </w:rPr>
            </w:pPr>
            <w:r>
              <w:rPr>
                <w:rFonts w:ascii="Times New Roman" w:eastAsia="Times New Roman" w:hAnsi="Times New Roman" w:cs="Times New Roman"/>
                <w:b/>
                <w:bCs/>
                <w:noProof/>
                <w:color w:val="FFFFFF"/>
              </w:rPr>
              <w:t>(V.2.1 SWD)</w:t>
            </w:r>
          </w:p>
          <w:p>
            <w:pPr>
              <w:spacing w:before="60" w:after="120" w:line="360" w:lineRule="auto"/>
              <w:jc w:val="center"/>
              <w:rPr>
                <w:rFonts w:ascii="Times New Roman" w:eastAsia="Times New Roman" w:hAnsi="Times New Roman" w:cs="Times New Roman"/>
                <w:b/>
                <w:bCs/>
                <w:noProof/>
                <w:color w:val="FFFFFF"/>
              </w:rPr>
            </w:pPr>
            <w:r>
              <w:rPr>
                <w:rFonts w:ascii="Times New Roman" w:eastAsia="Times New Roman" w:hAnsi="Times New Roman" w:cs="Times New Roman"/>
                <w:b/>
                <w:bCs/>
                <w:noProof/>
                <w:color w:val="FFFFFF"/>
              </w:rPr>
              <w:t xml:space="preserve">Policy DGs in charge: </w:t>
            </w:r>
            <w:r>
              <w:rPr>
                <w:rFonts w:ascii="Times New Roman" w:hAnsi="Times New Roman" w:cs="Times New Roman"/>
                <w:b/>
                <w:bCs/>
                <w:noProof/>
                <w:color w:val="FFFFFF"/>
              </w:rPr>
              <w:t>GROW and ECFIN</w:t>
            </w:r>
          </w:p>
        </w:tc>
        <w:tc>
          <w:tcPr>
            <w:tcW w:w="2381"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European Progress Micro-finance Guarantee —  EPMF-G</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(V.2.2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DGs in charge: EMPL and ECFIN</w:t>
            </w:r>
          </w:p>
        </w:tc>
        <w:tc>
          <w:tcPr>
            <w:tcW w:w="2381" w:type="dxa"/>
            <w:tcBorders>
              <w:top w:val="single" w:sz="8" w:space="0" w:color="7BA0CD"/>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Pilot guarantee facility for R&amp;I-driven SMEs and small midcaps — RSI</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(V.2.5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 in charge:   RTD</w:t>
            </w:r>
          </w:p>
        </w:tc>
      </w:tr>
      <w:t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a) Identification / basic act</w:t>
            </w:r>
          </w:p>
        </w:tc>
        <w:tc>
          <w:tcPr>
            <w:tcW w:w="2381" w:type="dxa"/>
            <w:shd w:val="clear" w:color="auto" w:fill="D3DFEE"/>
            <w:vAlign w:val="center"/>
          </w:tcPr>
          <w:p>
            <w:pPr>
              <w:spacing w:before="60" w:after="120" w:line="240" w:lineRule="auto"/>
              <w:jc w:val="center"/>
              <w:rPr>
                <w:rFonts w:ascii="Times New Roman" w:hAnsi="Times New Roman" w:cs="Times New Roman"/>
                <w:i/>
                <w:noProof/>
              </w:rPr>
            </w:pPr>
            <w:r>
              <w:rPr>
                <w:rFonts w:ascii="Times New Roman" w:hAnsi="Times New Roman" w:cs="Times New Roman"/>
                <w:noProof/>
              </w:rPr>
              <w:t>Decision No 1639/2006/EC</w:t>
            </w:r>
          </w:p>
        </w:tc>
        <w:tc>
          <w:tcPr>
            <w:tcW w:w="2381" w:type="dxa"/>
            <w:shd w:val="clear" w:color="auto" w:fill="D3DFEE"/>
            <w:vAlign w:val="center"/>
          </w:tcPr>
          <w:p>
            <w:pPr>
              <w:spacing w:before="60" w:after="120" w:line="240" w:lineRule="auto"/>
              <w:jc w:val="center"/>
              <w:rPr>
                <w:rFonts w:ascii="Times New Roman" w:hAnsi="Times New Roman" w:cs="Times New Roman"/>
                <w:i/>
                <w:noProof/>
              </w:rPr>
            </w:pPr>
            <w:r>
              <w:rPr>
                <w:rFonts w:ascii="Times New Roman" w:hAnsi="Times New Roman" w:cs="Times New Roman"/>
                <w:noProof/>
              </w:rPr>
              <w:t>Decision No 283/2010/EU</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Decision No 1982/2006/EC</w:t>
            </w:r>
          </w:p>
        </w:tc>
      </w:tr>
      <w:t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b) Description</w:t>
            </w:r>
          </w:p>
        </w:tc>
        <w:tc>
          <w:tcPr>
            <w:tcW w:w="2381" w:type="dxa"/>
            <w:tcBorders>
              <w:left w:val="nil"/>
              <w:right w:val="nil"/>
            </w:tcBorders>
            <w:shd w:val="clear" w:color="auto" w:fill="auto"/>
            <w:vAlign w:val="center"/>
          </w:tcPr>
          <w:p>
            <w:pPr>
              <w:spacing w:before="60" w:after="120" w:line="240" w:lineRule="auto"/>
              <w:jc w:val="both"/>
              <w:rPr>
                <w:rFonts w:ascii="Times New Roman" w:hAnsi="Times New Roman" w:cs="Times New Roman"/>
                <w:noProof/>
              </w:rPr>
            </w:pPr>
            <w:r>
              <w:rPr>
                <w:rFonts w:ascii="Times New Roman" w:hAnsi="Times New Roman" w:cs="Times New Roman"/>
                <w:noProof/>
              </w:rPr>
              <w:t>Guarantee instrument improving SMEs’ access to finance</w:t>
            </w:r>
          </w:p>
        </w:tc>
        <w:tc>
          <w:tcPr>
            <w:tcW w:w="2381" w:type="dxa"/>
            <w:tcBorders>
              <w:left w:val="nil"/>
              <w:right w:val="nil"/>
            </w:tcBorders>
            <w:shd w:val="clear" w:color="auto" w:fill="auto"/>
            <w:vAlign w:val="center"/>
          </w:tcPr>
          <w:p>
            <w:pPr>
              <w:spacing w:before="60" w:after="120" w:line="240" w:lineRule="auto"/>
              <w:jc w:val="both"/>
              <w:rPr>
                <w:rFonts w:ascii="Times New Roman" w:hAnsi="Times New Roman" w:cs="Times New Roman"/>
                <w:noProof/>
              </w:rPr>
            </w:pPr>
            <w:r>
              <w:rPr>
                <w:rFonts w:ascii="Times New Roman" w:hAnsi="Times New Roman" w:cs="Times New Roman"/>
                <w:noProof/>
              </w:rPr>
              <w:t>Guarantee instrument improving individuals’ and micro-enterprises’ access to micro</w:t>
            </w:r>
            <w:r>
              <w:rPr>
                <w:rFonts w:ascii="Times New Roman" w:hAnsi="Times New Roman" w:cs="Times New Roman"/>
                <w:noProof/>
              </w:rPr>
              <w:noBreakHyphen/>
              <w:t>finance</w:t>
            </w:r>
          </w:p>
        </w:tc>
        <w:tc>
          <w:tcPr>
            <w:tcW w:w="2381" w:type="dxa"/>
            <w:tcBorders>
              <w:left w:val="nil"/>
            </w:tcBorders>
            <w:shd w:val="clear" w:color="auto" w:fill="auto"/>
            <w:vAlign w:val="center"/>
          </w:tcPr>
          <w:p>
            <w:pPr>
              <w:spacing w:before="60" w:after="120" w:line="240" w:lineRule="auto"/>
              <w:jc w:val="both"/>
              <w:rPr>
                <w:rFonts w:ascii="Times New Roman" w:hAnsi="Times New Roman" w:cs="Times New Roman"/>
                <w:noProof/>
              </w:rPr>
            </w:pPr>
            <w:r>
              <w:rPr>
                <w:rFonts w:ascii="Times New Roman" w:hAnsi="Times New Roman" w:cs="Times New Roman"/>
                <w:noProof/>
              </w:rPr>
              <w:t>Guarantee instrument improving RDI investments’ access to loan finance</w:t>
            </w:r>
          </w:p>
        </w:tc>
      </w:tr>
      <w:t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c) Financial institutions involved</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w:t>
            </w:r>
          </w:p>
        </w:tc>
      </w:tr>
      <w:tr>
        <w:trPr>
          <w:trHeight w:val="1396"/>
        </w:trP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d) Aggregate budgetary commitments and payments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649,9 m</w:t>
            </w:r>
          </w:p>
          <w:p>
            <w:pPr>
              <w:pStyle w:val="ListParagraph"/>
              <w:keepNext/>
              <w:keepLines/>
              <w:spacing w:after="120" w:line="240" w:lineRule="auto"/>
              <w:ind w:left="0"/>
              <w:jc w:val="center"/>
              <w:rPr>
                <w:noProof/>
                <w:sz w:val="22"/>
              </w:rPr>
            </w:pPr>
            <w:r>
              <w:rPr>
                <w:noProof/>
                <w:sz w:val="22"/>
              </w:rPr>
              <w:t>EUR 379,7 m</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23,6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20,6 m</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270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270 m</w:t>
            </w:r>
          </w:p>
        </w:tc>
      </w:tr>
      <w:t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e) Performance</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72 agreements signed with 55 financial intermediaries for EUR 23,9 billion expected financing, supported by</w:t>
            </w:r>
            <w:r>
              <w:rPr>
                <w:rFonts w:ascii="Times New Roman" w:hAnsi="Times New Roman" w:cs="Times New Roman"/>
                <w:noProof/>
              </w:rPr>
              <w:tab/>
            </w:r>
            <w:r>
              <w:rPr>
                <w:rFonts w:ascii="Times New Roman" w:hAnsi="Times New Roman" w:cs="Times New Roman"/>
                <w:noProof/>
              </w:rPr>
              <w:br/>
              <w:t xml:space="preserve">EUR 567,0 million  guarantee volume </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36 agreements signed for EUR 284,9 million expected financing, supported by</w:t>
            </w:r>
            <w:r>
              <w:rPr>
                <w:rFonts w:ascii="Times New Roman" w:hAnsi="Times New Roman" w:cs="Times New Roman"/>
                <w:noProof/>
              </w:rPr>
              <w:tab/>
            </w:r>
            <w:r>
              <w:rPr>
                <w:rFonts w:ascii="Times New Roman" w:hAnsi="Times New Roman" w:cs="Times New Roman"/>
                <w:noProof/>
              </w:rPr>
              <w:br/>
              <w:t xml:space="preserve">EUR 21,9 million  guarantee volume </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36 agreements signed for EUR 3,3 billion expected financing for 3000 eligible final recipients</w:t>
            </w:r>
            <w:r>
              <w:rPr>
                <w:rFonts w:ascii="Times New Roman" w:hAnsi="Times New Roman" w:cs="Times New Roman"/>
                <w:noProof/>
              </w:rPr>
              <w:br/>
            </w:r>
          </w:p>
        </w:tc>
      </w:tr>
      <w:t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f) Evaluation of use of amounts returned to the instrument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More than 60%</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All proceeds received were used</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g) Balance of fiduciary account</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107,9 m</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12,6 m</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 xml:space="preserve">EUR 261,9 m </w:t>
            </w:r>
            <w:r>
              <w:rPr>
                <w:rStyle w:val="FootnoteReference"/>
                <w:rFonts w:ascii="Times New Roman" w:hAnsi="Times New Roman" w:cs="Times New Roman"/>
                <w:noProof/>
              </w:rPr>
              <w:footnoteReference w:id="2"/>
            </w:r>
          </w:p>
        </w:tc>
      </w:tr>
      <w:t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h) Revenues and repayments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12,1 m</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349,4 k</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1,8 m</w:t>
            </w:r>
          </w:p>
        </w:tc>
      </w:tr>
      <w:tr>
        <w:trPr>
          <w:trHeight w:val="1105"/>
        </w:trP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lastRenderedPageBreak/>
              <w:t>i) Value of equity investments</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rPr>
          <w:trHeight w:val="1360"/>
        </w:trP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j) Impairments / called guarantees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254,2 m</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6,9 m</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6,7 m</w:t>
            </w:r>
          </w:p>
        </w:tc>
      </w:tr>
      <w:tr>
        <w:trPr>
          <w:trHeight w:val="1332"/>
        </w:trP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k) Leverage effect</w:t>
            </w:r>
          </w:p>
        </w:tc>
        <w:tc>
          <w:tcPr>
            <w:tcW w:w="2381" w:type="dxa"/>
            <w:shd w:val="clear" w:color="auto" w:fill="D3DFEE"/>
            <w:vAlign w:val="center"/>
          </w:tcPr>
          <w:p>
            <w:pPr>
              <w:tabs>
                <w:tab w:val="num" w:pos="1080"/>
              </w:tabs>
              <w:spacing w:before="60" w:after="120" w:line="240" w:lineRule="auto"/>
              <w:jc w:val="center"/>
              <w:rPr>
                <w:rFonts w:ascii="Times New Roman" w:hAnsi="Times New Roman" w:cs="Times New Roman"/>
                <w:noProof/>
              </w:rPr>
            </w:pPr>
            <w:r>
              <w:rPr>
                <w:rFonts w:ascii="Times New Roman" w:hAnsi="Times New Roman" w:cs="Times New Roman"/>
                <w:noProof/>
              </w:rPr>
              <w:t>Expected: 31</w:t>
            </w:r>
          </w:p>
          <w:p>
            <w:pPr>
              <w:tabs>
                <w:tab w:val="num" w:pos="1080"/>
              </w:tabs>
              <w:spacing w:before="60" w:after="120" w:line="240" w:lineRule="auto"/>
              <w:jc w:val="center"/>
              <w:rPr>
                <w:rFonts w:ascii="Times New Roman" w:hAnsi="Times New Roman" w:cs="Times New Roman"/>
                <w:noProof/>
              </w:rPr>
            </w:pPr>
            <w:r>
              <w:rPr>
                <w:rFonts w:ascii="Times New Roman" w:hAnsi="Times New Roman" w:cs="Times New Roman"/>
                <w:noProof/>
              </w:rPr>
              <w:t>Achieved: 35,8</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6,67</w:t>
            </w:r>
          </w:p>
          <w:p>
            <w:pPr>
              <w:spacing w:before="60" w:after="120" w:line="240" w:lineRule="auto"/>
              <w:jc w:val="center"/>
              <w:rPr>
                <w:rFonts w:ascii="Times New Roman" w:hAnsi="Times New Roman" w:cs="Times New Roman"/>
                <w:noProof/>
              </w:rPr>
            </w:pPr>
            <w:r>
              <w:rPr>
                <w:rFonts w:ascii="Times New Roman" w:hAnsi="Times New Roman" w:cs="Times New Roman"/>
                <w:noProof/>
              </w:rPr>
              <w:t>Expected: 13,0</w:t>
            </w:r>
          </w:p>
          <w:p>
            <w:pPr>
              <w:spacing w:before="60" w:after="120" w:line="240" w:lineRule="auto"/>
              <w:jc w:val="center"/>
              <w:rPr>
                <w:rFonts w:ascii="Times New Roman" w:hAnsi="Times New Roman" w:cs="Times New Roman"/>
                <w:noProof/>
              </w:rPr>
            </w:pPr>
            <w:r>
              <w:rPr>
                <w:rFonts w:ascii="Times New Roman" w:hAnsi="Times New Roman" w:cs="Times New Roman"/>
                <w:noProof/>
              </w:rPr>
              <w:t>Achieved: 9,93</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Expected: 12</w:t>
            </w:r>
          </w:p>
          <w:p>
            <w:pPr>
              <w:spacing w:before="60" w:after="120" w:line="240" w:lineRule="auto"/>
              <w:jc w:val="center"/>
              <w:rPr>
                <w:rFonts w:ascii="Times New Roman" w:hAnsi="Times New Roman" w:cs="Times New Roman"/>
                <w:noProof/>
              </w:rPr>
            </w:pPr>
            <w:r>
              <w:rPr>
                <w:rFonts w:ascii="Times New Roman" w:hAnsi="Times New Roman" w:cs="Times New Roman"/>
                <w:noProof/>
              </w:rPr>
              <w:t>Achieved: 8,5</w:t>
            </w:r>
          </w:p>
        </w:tc>
      </w:tr>
      <w:tr>
        <w:trPr>
          <w:trHeight w:val="3200"/>
        </w:trP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l) Contribution to achievement of policy objectives</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EUR 20,3 billion of new financing supported, reaching 377 502 SMEs with 457 954 loans;</w:t>
            </w:r>
          </w:p>
          <w:p>
            <w:pPr>
              <w:spacing w:before="60" w:after="120" w:line="240" w:lineRule="auto"/>
              <w:rPr>
                <w:rFonts w:ascii="Times New Roman" w:hAnsi="Times New Roman" w:cs="Times New Roman"/>
                <w:noProof/>
              </w:rPr>
            </w:pPr>
            <w:r>
              <w:rPr>
                <w:rFonts w:ascii="Times New Roman" w:hAnsi="Times New Roman" w:cs="Times New Roman"/>
                <w:noProof/>
              </w:rPr>
              <w:t>EUR 29,5 bn of investments supported;</w:t>
            </w:r>
          </w:p>
          <w:p>
            <w:pPr>
              <w:spacing w:before="60" w:after="120" w:line="240" w:lineRule="auto"/>
              <w:rPr>
                <w:rFonts w:ascii="Times New Roman" w:hAnsi="Times New Roman" w:cs="Times New Roman"/>
                <w:noProof/>
              </w:rPr>
            </w:pPr>
            <w:r>
              <w:rPr>
                <w:rFonts w:ascii="Times New Roman" w:hAnsi="Times New Roman" w:cs="Times New Roman"/>
                <w:noProof/>
              </w:rPr>
              <w:t>24 countries covered;</w:t>
            </w:r>
          </w:p>
          <w:p>
            <w:pPr>
              <w:spacing w:before="60" w:after="120" w:line="240" w:lineRule="auto"/>
              <w:rPr>
                <w:rFonts w:ascii="Times New Roman" w:hAnsi="Times New Roman" w:cs="Times New Roman"/>
                <w:noProof/>
              </w:rPr>
            </w:pPr>
            <w:r>
              <w:rPr>
                <w:rFonts w:ascii="Times New Roman" w:hAnsi="Times New Roman" w:cs="Times New Roman"/>
                <w:noProof/>
              </w:rPr>
              <w:t>377 502 jobs created/maintained.</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EUR 217,4 million of new micro-loan financing supported, reaching 18 490 eligible final recipients with 19 574 loans;</w:t>
            </w:r>
          </w:p>
          <w:p>
            <w:pPr>
              <w:spacing w:before="60" w:after="120" w:line="240" w:lineRule="auto"/>
              <w:rPr>
                <w:rFonts w:ascii="Times New Roman" w:hAnsi="Times New Roman" w:cs="Times New Roman"/>
                <w:noProof/>
              </w:rPr>
            </w:pPr>
            <w:r>
              <w:rPr>
                <w:rFonts w:ascii="Times New Roman" w:hAnsi="Times New Roman" w:cs="Times New Roman"/>
                <w:noProof/>
              </w:rPr>
              <w:t xml:space="preserve">EUR 310,6 million of investments supported; </w:t>
            </w:r>
          </w:p>
          <w:p>
            <w:pPr>
              <w:spacing w:before="60" w:after="120" w:line="240" w:lineRule="auto"/>
              <w:rPr>
                <w:rFonts w:ascii="Times New Roman" w:hAnsi="Times New Roman" w:cs="Times New Roman"/>
                <w:noProof/>
              </w:rPr>
            </w:pPr>
            <w:r>
              <w:rPr>
                <w:rFonts w:ascii="Times New Roman" w:hAnsi="Times New Roman" w:cs="Times New Roman"/>
                <w:noProof/>
              </w:rPr>
              <w:t>18 Member States covered;</w:t>
            </w:r>
          </w:p>
          <w:p>
            <w:pPr>
              <w:spacing w:before="60" w:after="120" w:line="240" w:lineRule="auto"/>
              <w:rPr>
                <w:rFonts w:ascii="Times New Roman" w:hAnsi="Times New Roman" w:cs="Times New Roman"/>
                <w:noProof/>
              </w:rPr>
            </w:pPr>
            <w:r>
              <w:rPr>
                <w:rFonts w:ascii="Times New Roman" w:hAnsi="Times New Roman" w:cs="Times New Roman"/>
                <w:noProof/>
              </w:rPr>
              <w:t>33 222 jobs supported.</w:t>
            </w: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 xml:space="preserve">EUR 2,3 billion of new loan financing supported, reaching 4 133 eligible final recipients; </w:t>
            </w:r>
          </w:p>
          <w:p>
            <w:pPr>
              <w:spacing w:before="60" w:after="120" w:line="240" w:lineRule="auto"/>
              <w:rPr>
                <w:rFonts w:ascii="Times New Roman" w:hAnsi="Times New Roman" w:cs="Times New Roman"/>
                <w:noProof/>
              </w:rPr>
            </w:pPr>
            <w:r>
              <w:rPr>
                <w:rFonts w:ascii="Times New Roman" w:hAnsi="Times New Roman" w:cs="Times New Roman"/>
                <w:noProof/>
              </w:rPr>
              <w:t>EUR 4,7 billion of investments supported;</w:t>
            </w:r>
          </w:p>
          <w:p>
            <w:pPr>
              <w:spacing w:before="60" w:after="120" w:line="240" w:lineRule="auto"/>
              <w:rPr>
                <w:rFonts w:ascii="Times New Roman" w:hAnsi="Times New Roman" w:cs="Times New Roman"/>
                <w:noProof/>
              </w:rPr>
            </w:pPr>
            <w:r>
              <w:rPr>
                <w:rFonts w:ascii="Times New Roman" w:hAnsi="Times New Roman" w:cs="Times New Roman"/>
                <w:noProof/>
              </w:rPr>
              <w:t>18 countries covered.</w:t>
            </w:r>
          </w:p>
        </w:tc>
      </w:tr>
    </w:tbl>
    <w:p>
      <w:pPr>
        <w:rPr>
          <w:rFonts w:ascii="Times New Roman" w:hAnsi="Times New Roman" w:cs="Times New Roman"/>
          <w:noProof/>
        </w:rPr>
      </w:pPr>
      <w:r>
        <w:rPr>
          <w:rFonts w:ascii="Times New Roman" w:hAnsi="Times New Roman" w:cs="Times New Roman"/>
          <w:noProof/>
        </w:rPr>
        <w:br w:type="page"/>
      </w:r>
    </w:p>
    <w:tbl>
      <w:tblPr>
        <w:tblW w:w="9354"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211"/>
        <w:gridCol w:w="2381"/>
        <w:gridCol w:w="2381"/>
        <w:gridCol w:w="2381"/>
      </w:tblGrid>
      <w:tr>
        <w:trPr>
          <w:trHeight w:val="1984"/>
        </w:trPr>
        <w:tc>
          <w:tcPr>
            <w:tcW w:w="2211" w:type="dxa"/>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2381"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bookmarkStart w:id="9" w:name="_Ref387223784"/>
            <w:bookmarkStart w:id="10" w:name="_Toc387228829"/>
            <w:bookmarkStart w:id="11" w:name="_Toc388541891"/>
            <w:bookmarkStart w:id="12" w:name="_Toc393281937"/>
            <w:bookmarkStart w:id="13" w:name="_Toc400446066"/>
            <w:r>
              <w:rPr>
                <w:rFonts w:ascii="Times New Roman" w:hAnsi="Times New Roman" w:cs="Times New Roman"/>
                <w:b/>
                <w:bCs/>
                <w:noProof/>
                <w:color w:val="FFFFFF"/>
              </w:rPr>
              <w:t>EaSI Micro-finance and Social Enterprise</w:t>
            </w:r>
            <w:bookmarkEnd w:id="9"/>
            <w:bookmarkEnd w:id="10"/>
            <w:bookmarkEnd w:id="11"/>
            <w:bookmarkEnd w:id="12"/>
            <w:bookmarkEnd w:id="13"/>
            <w:r>
              <w:rPr>
                <w:rFonts w:ascii="Times New Roman" w:hAnsi="Times New Roman" w:cs="Times New Roman"/>
                <w:b/>
                <w:bCs/>
                <w:noProof/>
                <w:color w:val="FFFFFF"/>
              </w:rPr>
              <w:br/>
              <w:t>- Guarantees — EaSI-G</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(V.2.3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 in charge: EMPL</w:t>
            </w:r>
          </w:p>
        </w:tc>
        <w:tc>
          <w:tcPr>
            <w:tcW w:w="2381"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Loan Guarantee Facility under COSME — LGF</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(V.2.4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 xml:space="preserve">Policy DG in charge: GROW </w:t>
            </w:r>
            <w:r>
              <w:rPr>
                <w:rStyle w:val="FootnoteReference"/>
                <w:rFonts w:ascii="Times New Roman" w:hAnsi="Times New Roman" w:cs="Times New Roman"/>
                <w:b/>
                <w:bCs/>
                <w:noProof/>
                <w:color w:val="FFFFFF"/>
              </w:rPr>
              <w:footnoteReference w:id="3"/>
            </w:r>
          </w:p>
        </w:tc>
        <w:tc>
          <w:tcPr>
            <w:tcW w:w="2381" w:type="dxa"/>
            <w:tcBorders>
              <w:top w:val="single" w:sz="8" w:space="0" w:color="7BA0CD"/>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SMEs &amp; Small Midcaps R&amp;I Loans Service under H2020 — InnovFin SMEG</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(V.2.6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 in charge: RTD</w:t>
            </w:r>
            <w:r>
              <w:rPr>
                <w:rStyle w:val="FootnoteReference"/>
                <w:rFonts w:ascii="Times New Roman" w:hAnsi="Times New Roman" w:cs="Times New Roman"/>
                <w:b/>
                <w:bCs/>
                <w:noProof/>
                <w:color w:val="FFFFFF"/>
              </w:rPr>
              <w:footnoteReference w:id="4"/>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a) ID/basic act</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eastAsia="Times New Roman" w:hAnsi="Times New Roman" w:cs="Times New Roman"/>
                <w:noProof/>
              </w:rPr>
              <w:t>Regulation (EU) No 1296/2013</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Regulation (EU) No 1287/2013</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Regulation (EU) No 1291/2013 + 1290/2013</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b) Description</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Guarantee instrument promoting employment and social inclusion by increasing access to micro-finance and supporting social enterprises</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Instrument providing guarantees and other risk-sharing arrangements to improve SMEs’ access to finance</w:t>
            </w: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Guarantee instrument promoting R&amp;I-driven SMEs’ and small midcaps’ access to risk finance</w:t>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2381" w:type="dxa"/>
            <w:tcBorders>
              <w:left w:val="nil"/>
              <w:right w:val="nil"/>
            </w:tcBorders>
            <w:shd w:val="clear" w:color="auto" w:fill="auto"/>
            <w:vAlign w:val="center"/>
          </w:tcPr>
          <w:p>
            <w:pPr>
              <w:spacing w:before="60" w:after="120" w:line="240" w:lineRule="auto"/>
              <w:jc w:val="center"/>
              <w:rPr>
                <w:noProof/>
              </w:rPr>
            </w:pPr>
            <w:r>
              <w:rPr>
                <w:rFonts w:ascii="Times New Roman" w:hAnsi="Times New Roman" w:cs="Times New Roman"/>
                <w:noProof/>
              </w:rPr>
              <w:t>EUR 59,8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9,9 m</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237,6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131,2 m</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291,7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291,7 m</w:t>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e) Performance</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11 agreements signed for EUR 341,8 million expected financing to 30 190 eligible final recipients, supported by</w:t>
            </w:r>
            <w:r>
              <w:rPr>
                <w:rFonts w:ascii="Times New Roman" w:hAnsi="Times New Roman" w:cs="Times New Roman"/>
                <w:noProof/>
              </w:rPr>
              <w:tab/>
            </w:r>
            <w:r>
              <w:rPr>
                <w:rFonts w:ascii="Times New Roman" w:hAnsi="Times New Roman" w:cs="Times New Roman"/>
                <w:noProof/>
              </w:rPr>
              <w:br/>
              <w:t>EUR 27,2 million  guarantee volume</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 xml:space="preserve">27 agreements signed with 26 financial intermediaries for EUR 7,1 billion expected financing to 110 000 final recipients   </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Agreements signed for EUR 3,7 billion expected financing to 8700 eligible final recipients,</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f) Evaluation of the use of any amounts returned to the instrument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9,8 m</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125,5 m</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294,1 m</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h) Revenues and repayments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0</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511,5 k</w:t>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172,2 k</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163,0 k</w:t>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k) Leverage effect</w:t>
            </w:r>
          </w:p>
        </w:tc>
        <w:tc>
          <w:tcPr>
            <w:tcW w:w="2381" w:type="dxa"/>
            <w:shd w:val="clear" w:color="auto" w:fill="D3DFEE"/>
            <w:vAlign w:val="center"/>
          </w:tcPr>
          <w:p>
            <w:pPr>
              <w:autoSpaceDE w:val="0"/>
              <w:autoSpaceDN w:val="0"/>
              <w:adjustRightInd w:val="0"/>
              <w:spacing w:before="60" w:after="120" w:line="240" w:lineRule="auto"/>
              <w:jc w:val="center"/>
              <w:rPr>
                <w:rFonts w:ascii="Times New Roman" w:hAnsi="Times New Roman" w:cs="Times New Roman"/>
                <w:noProof/>
              </w:rPr>
            </w:pPr>
            <w:r>
              <w:rPr>
                <w:rFonts w:ascii="Times New Roman" w:hAnsi="Times New Roman" w:cs="Times New Roman"/>
                <w:noProof/>
              </w:rPr>
              <w:t>Target: 5,5</w:t>
            </w:r>
          </w:p>
          <w:p>
            <w:pPr>
              <w:autoSpaceDE w:val="0"/>
              <w:autoSpaceDN w:val="0"/>
              <w:adjustRightInd w:val="0"/>
              <w:spacing w:before="60" w:after="120" w:line="240" w:lineRule="auto"/>
              <w:jc w:val="center"/>
              <w:rPr>
                <w:rFonts w:ascii="Times New Roman" w:hAnsi="Times New Roman" w:cs="Times New Roman"/>
                <w:noProof/>
              </w:rPr>
            </w:pPr>
            <w:r>
              <w:rPr>
                <w:rFonts w:ascii="Times New Roman" w:hAnsi="Times New Roman" w:cs="Times New Roman"/>
                <w:noProof/>
              </w:rPr>
              <w:t>Expected (overall): 5,7</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20 to 30</w:t>
            </w:r>
          </w:p>
          <w:p>
            <w:pPr>
              <w:spacing w:before="60" w:after="120" w:line="240" w:lineRule="auto"/>
              <w:jc w:val="center"/>
              <w:rPr>
                <w:rFonts w:ascii="Times New Roman" w:hAnsi="Times New Roman" w:cs="Times New Roman"/>
                <w:noProof/>
              </w:rPr>
            </w:pPr>
            <w:r>
              <w:rPr>
                <w:rFonts w:ascii="Times New Roman" w:hAnsi="Times New Roman" w:cs="Times New Roman"/>
                <w:noProof/>
              </w:rPr>
              <w:t>Expected: 1 to 30</w:t>
            </w:r>
          </w:p>
          <w:p>
            <w:pPr>
              <w:spacing w:before="60" w:after="120" w:line="240" w:lineRule="auto"/>
              <w:jc w:val="center"/>
              <w:rPr>
                <w:rFonts w:ascii="Times New Roman" w:hAnsi="Times New Roman" w:cs="Times New Roman"/>
                <w:noProof/>
              </w:rPr>
            </w:pPr>
            <w:r>
              <w:rPr>
                <w:rFonts w:ascii="Times New Roman" w:hAnsi="Times New Roman" w:cs="Times New Roman"/>
                <w:noProof/>
              </w:rPr>
              <w:t>Achieved: 1 to 5</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9</w:t>
            </w:r>
          </w:p>
          <w:p>
            <w:pPr>
              <w:spacing w:before="60" w:after="120" w:line="240" w:lineRule="auto"/>
              <w:jc w:val="center"/>
              <w:rPr>
                <w:rFonts w:ascii="Times New Roman" w:hAnsi="Times New Roman" w:cs="Times New Roman"/>
                <w:noProof/>
              </w:rPr>
            </w:pPr>
            <w:r>
              <w:rPr>
                <w:rFonts w:ascii="Times New Roman" w:hAnsi="Times New Roman" w:cs="Times New Roman"/>
                <w:noProof/>
              </w:rPr>
              <w:t>Expected: 9,24</w:t>
            </w:r>
          </w:p>
          <w:p>
            <w:pPr>
              <w:spacing w:before="60" w:after="120" w:line="240" w:lineRule="auto"/>
              <w:jc w:val="center"/>
              <w:rPr>
                <w:rFonts w:ascii="Times New Roman" w:hAnsi="Times New Roman" w:cs="Times New Roman"/>
                <w:noProof/>
              </w:rPr>
            </w:pPr>
            <w:r>
              <w:rPr>
                <w:rFonts w:ascii="Times New Roman" w:hAnsi="Times New Roman" w:cs="Times New Roman"/>
                <w:noProof/>
              </w:rPr>
              <w:t>Achieved: 1,1</w:t>
            </w:r>
          </w:p>
        </w:tc>
      </w:tr>
      <w:tr>
        <w:trPr>
          <w:trHeight w:val="761"/>
        </w:trP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i/>
                <w:noProof/>
              </w:rPr>
            </w:pPr>
            <w:r>
              <w:rPr>
                <w:rFonts w:ascii="Times New Roman" w:hAnsi="Times New Roman" w:cs="Times New Roman"/>
                <w:b/>
                <w:bCs/>
                <w:noProof/>
              </w:rPr>
              <w:t>l) Contribution to achievement of policy objectives</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EUR 6,8 million of new financing supported, reaching 416 final recipients;</w:t>
            </w:r>
          </w:p>
          <w:p>
            <w:pPr>
              <w:spacing w:before="60" w:after="120" w:line="240" w:lineRule="auto"/>
              <w:rPr>
                <w:rFonts w:ascii="Times New Roman" w:hAnsi="Times New Roman" w:cs="Times New Roman"/>
                <w:noProof/>
              </w:rPr>
            </w:pPr>
            <w:r>
              <w:rPr>
                <w:rFonts w:ascii="Times New Roman" w:hAnsi="Times New Roman" w:cs="Times New Roman"/>
                <w:noProof/>
              </w:rPr>
              <w:t>EUR 9,7 million of investments supported;</w:t>
            </w:r>
          </w:p>
          <w:p>
            <w:pPr>
              <w:spacing w:before="60" w:after="120" w:line="240" w:lineRule="auto"/>
              <w:rPr>
                <w:rFonts w:ascii="Times New Roman" w:hAnsi="Times New Roman" w:cs="Times New Roman"/>
                <w:noProof/>
              </w:rPr>
            </w:pPr>
            <w:r>
              <w:rPr>
                <w:rFonts w:ascii="Times New Roman" w:hAnsi="Times New Roman" w:cs="Times New Roman"/>
                <w:noProof/>
              </w:rPr>
              <w:t>8 countries covered.</w:t>
            </w:r>
          </w:p>
          <w:p>
            <w:pPr>
              <w:spacing w:before="60" w:after="120" w:line="240" w:lineRule="auto"/>
              <w:rPr>
                <w:rFonts w:ascii="Times New Roman" w:hAnsi="Times New Roman" w:cs="Times New Roman"/>
                <w:noProof/>
              </w:rPr>
            </w:pP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EUR1,3 billion of new financing supported, reaching 51 099 final recipients;</w:t>
            </w:r>
          </w:p>
          <w:p>
            <w:pPr>
              <w:spacing w:before="60" w:after="120" w:line="240" w:lineRule="auto"/>
              <w:rPr>
                <w:rFonts w:ascii="Times New Roman" w:hAnsi="Times New Roman" w:cs="Times New Roman"/>
                <w:noProof/>
              </w:rPr>
            </w:pPr>
            <w:r>
              <w:rPr>
                <w:rFonts w:ascii="Times New Roman" w:hAnsi="Times New Roman" w:cs="Times New Roman"/>
                <w:noProof/>
              </w:rPr>
              <w:t>EUR 1,8 bn of investments supported;</w:t>
            </w:r>
          </w:p>
          <w:p>
            <w:pPr>
              <w:spacing w:before="60" w:after="120" w:line="240" w:lineRule="auto"/>
              <w:rPr>
                <w:rFonts w:ascii="Times New Roman" w:hAnsi="Times New Roman" w:cs="Times New Roman"/>
                <w:noProof/>
              </w:rPr>
            </w:pPr>
            <w:r>
              <w:rPr>
                <w:rFonts w:ascii="Times New Roman" w:hAnsi="Times New Roman" w:cs="Times New Roman"/>
                <w:noProof/>
              </w:rPr>
              <w:t>13 countries covered.</w:t>
            </w:r>
          </w:p>
          <w:p>
            <w:pPr>
              <w:spacing w:before="60" w:after="120" w:line="240" w:lineRule="auto"/>
              <w:rPr>
                <w:rFonts w:ascii="Times New Roman" w:hAnsi="Times New Roman" w:cs="Times New Roman"/>
                <w:noProof/>
              </w:rPr>
            </w:pP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EUR 310 m of new loan financing supported, reaching 727 final recipients;</w:t>
            </w:r>
          </w:p>
          <w:p>
            <w:pPr>
              <w:spacing w:before="60" w:after="120" w:line="240" w:lineRule="auto"/>
              <w:rPr>
                <w:rFonts w:ascii="Times New Roman" w:hAnsi="Times New Roman" w:cs="Times New Roman"/>
                <w:noProof/>
              </w:rPr>
            </w:pPr>
            <w:r>
              <w:rPr>
                <w:rFonts w:ascii="Times New Roman" w:hAnsi="Times New Roman" w:cs="Times New Roman"/>
                <w:noProof/>
              </w:rPr>
              <w:t>EUR 443 million of investments supported.</w:t>
            </w:r>
          </w:p>
          <w:p>
            <w:pPr>
              <w:spacing w:before="60" w:after="120" w:line="240" w:lineRule="auto"/>
              <w:rPr>
                <w:rFonts w:ascii="Times New Roman" w:hAnsi="Times New Roman" w:cs="Times New Roman"/>
                <w:noProof/>
              </w:rPr>
            </w:pPr>
          </w:p>
        </w:tc>
      </w:tr>
    </w:tbl>
    <w:p>
      <w:pPr>
        <w:rPr>
          <w:rFonts w:ascii="Times New Roman" w:hAnsi="Times New Roman" w:cs="Times New Roman"/>
          <w:noProof/>
        </w:rPr>
      </w:pPr>
      <w:r>
        <w:rPr>
          <w:rFonts w:ascii="Times New Roman" w:hAnsi="Times New Roman" w:cs="Times New Roman"/>
          <w:noProof/>
        </w:rPr>
        <w:br w:type="page"/>
      </w:r>
    </w:p>
    <w:tbl>
      <w:tblPr>
        <w:tblW w:w="488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922"/>
        <w:gridCol w:w="2381"/>
        <w:gridCol w:w="2381"/>
        <w:gridCol w:w="2381"/>
      </w:tblGrid>
      <w:tr>
        <w:trPr>
          <w:trHeight w:val="1984"/>
          <w:jc w:val="center"/>
        </w:trPr>
        <w:tc>
          <w:tcPr>
            <w:tcW w:w="1922" w:type="dxa"/>
            <w:tcBorders>
              <w:top w:val="single" w:sz="8" w:space="0" w:color="7BA0CD"/>
              <w:left w:val="single" w:sz="8" w:space="0" w:color="7BA0CD"/>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p>
        </w:tc>
        <w:tc>
          <w:tcPr>
            <w:tcW w:w="2381" w:type="dxa"/>
            <w:tcBorders>
              <w:top w:val="single" w:sz="8" w:space="0" w:color="7BA0CD"/>
              <w:left w:val="nil"/>
              <w:bottom w:val="single" w:sz="8" w:space="0" w:color="7BA0CD"/>
              <w:right w:val="nil"/>
            </w:tcBorders>
            <w:shd w:val="clear" w:color="auto" w:fill="4F81BD"/>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Cultural and Creative Sectors Guarantee Facility – CCSGF</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 2.7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DGs in charge: CNECT and EAC</w:t>
            </w:r>
          </w:p>
        </w:tc>
        <w:tc>
          <w:tcPr>
            <w:tcW w:w="2381" w:type="dxa"/>
            <w:tcBorders>
              <w:top w:val="single" w:sz="8" w:space="0" w:color="7BA0CD"/>
              <w:left w:val="nil"/>
              <w:bottom w:val="single" w:sz="8" w:space="0" w:color="7BA0CD"/>
              <w:right w:val="nil"/>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Student Loan Guarantee Facility (Erasmus+) — SLGF</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(V.2.8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 in charge: EAC</w:t>
            </w:r>
          </w:p>
        </w:tc>
        <w:tc>
          <w:tcPr>
            <w:tcW w:w="2381" w:type="dxa"/>
            <w:tcBorders>
              <w:top w:val="single" w:sz="8" w:space="0" w:color="7BA0CD"/>
              <w:left w:val="nil"/>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bookmarkStart w:id="14" w:name="_Toc387228919"/>
            <w:bookmarkStart w:id="15" w:name="_Toc388541921"/>
            <w:bookmarkStart w:id="16" w:name="_Toc393281942"/>
            <w:bookmarkStart w:id="17" w:name="_Toc400446071"/>
            <w:r>
              <w:rPr>
                <w:rFonts w:ascii="Times New Roman" w:hAnsi="Times New Roman" w:cs="Times New Roman"/>
                <w:b/>
                <w:bCs/>
                <w:noProof/>
                <w:color w:val="FFFFFF"/>
              </w:rPr>
              <w:t>Private Finance for Energy Efficiency Instruments -PF4EE</w:t>
            </w:r>
            <w:bookmarkEnd w:id="14"/>
            <w:bookmarkEnd w:id="15"/>
            <w:bookmarkEnd w:id="16"/>
            <w:bookmarkEnd w:id="17"/>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(V.2.9 SWD)</w:t>
            </w:r>
          </w:p>
          <w:p>
            <w:pPr>
              <w:spacing w:before="60" w:after="120" w:line="360" w:lineRule="auto"/>
              <w:jc w:val="center"/>
              <w:rPr>
                <w:rFonts w:ascii="Times New Roman" w:hAnsi="Times New Roman" w:cs="Times New Roman"/>
                <w:b/>
                <w:bCs/>
                <w:noProof/>
                <w:color w:val="FFFFFF"/>
                <w:highlight w:val="yellow"/>
              </w:rPr>
            </w:pPr>
            <w:r>
              <w:rPr>
                <w:rFonts w:ascii="Times New Roman" w:hAnsi="Times New Roman" w:cs="Times New Roman"/>
                <w:b/>
                <w:bCs/>
                <w:noProof/>
                <w:color w:val="FFFFFF"/>
              </w:rPr>
              <w:t>Policy DG in charge: CLIMA</w:t>
            </w:r>
          </w:p>
        </w:tc>
      </w:tr>
      <w:tr>
        <w:trPr>
          <w:trHeight w:val="670"/>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a) ID/basic act</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Regulation (EU) No 1295/2013</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i/>
                <w:noProof/>
              </w:rPr>
            </w:pPr>
            <w:r>
              <w:rPr>
                <w:rFonts w:ascii="Times New Roman" w:hAnsi="Times New Roman" w:cs="Times New Roman"/>
                <w:noProof/>
              </w:rPr>
              <w:t>Regulation (EU) No 1288/2013</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eastAsia="Times New Roman" w:hAnsi="Times New Roman" w:cs="Times New Roman"/>
                <w:noProof/>
              </w:rPr>
              <w:t>Regulation (EU) No 1293/2013</w:t>
            </w:r>
          </w:p>
        </w:tc>
      </w:tr>
      <w:tr>
        <w:trPr>
          <w:trHeight w:val="1286"/>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b) Description</w:t>
            </w:r>
          </w:p>
        </w:tc>
        <w:tc>
          <w:tcPr>
            <w:tcW w:w="2381" w:type="dxa"/>
            <w:tcBorders>
              <w:right w:val="nil"/>
            </w:tcBorders>
            <w:vAlign w:val="center"/>
          </w:tcPr>
          <w:p>
            <w:pPr>
              <w:spacing w:before="60" w:after="120" w:line="240" w:lineRule="auto"/>
              <w:rPr>
                <w:rFonts w:ascii="Times New Roman" w:hAnsi="Times New Roman" w:cs="Times New Roman"/>
                <w:noProof/>
              </w:rPr>
            </w:pPr>
            <w:r>
              <w:rPr>
                <w:rFonts w:ascii="Times New Roman" w:hAnsi="Times New Roman" w:cs="Times New Roman"/>
                <w:noProof/>
                <w:szCs w:val="24"/>
              </w:rPr>
              <w:t>Guarantee instrument strengthening the competitiveness of the cultural and creative sector, supporting financial institutions' loans to SMEs active in the CCS sector,</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Guarantee instrument supporting mobility, equity and study excellence via loans to mobile students for master’s studies</w:t>
            </w: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Guarantee instrument (pilot initiative) aiming at  providing access to adequate and affordable commercial financing for eligible energy efficiency (EE) investments</w:t>
            </w:r>
          </w:p>
        </w:tc>
      </w:tr>
      <w:tr>
        <w:trPr>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EIB</w:t>
            </w:r>
          </w:p>
        </w:tc>
      </w:tr>
      <w:tr>
        <w:trPr>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2381" w:type="dxa"/>
            <w:tcBorders>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1,0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0</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61,3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19,8 m</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50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12,1 m</w:t>
            </w:r>
          </w:p>
        </w:tc>
      </w:tr>
      <w:tr>
        <w:trPr>
          <w:trHeight w:val="986"/>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e) Performance</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righ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2 agreements signed for,EUR 517,0 million of financing expected for 200 000 final recipients supported by</w:t>
            </w:r>
            <w:r>
              <w:rPr>
                <w:rFonts w:ascii="Times New Roman" w:hAnsi="Times New Roman" w:cs="Times New Roman"/>
                <w:noProof/>
              </w:rPr>
              <w:tab/>
            </w:r>
            <w:r>
              <w:rPr>
                <w:rFonts w:ascii="Times New Roman" w:hAnsi="Times New Roman" w:cs="Times New Roman"/>
                <w:noProof/>
              </w:rPr>
              <w:br/>
              <w:t>EUR 9,7 million  guarantee volume</w:t>
            </w:r>
          </w:p>
        </w:tc>
        <w:tc>
          <w:tcPr>
            <w:tcW w:w="2381" w:type="dxa"/>
            <w:tcBorders>
              <w:lef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NA (no final recipients yet; 3 agreements signed)</w:t>
            </w:r>
          </w:p>
        </w:tc>
      </w:tr>
      <w:tr>
        <w:trPr>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f) Evaluation of the use of amounts returned to the instrument</w:t>
            </w:r>
          </w:p>
        </w:tc>
        <w:tc>
          <w:tcPr>
            <w:tcW w:w="2381" w:type="dxa"/>
            <w:tcBorders>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rPr>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15,8 m</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11,6 m</w:t>
            </w:r>
          </w:p>
        </w:tc>
      </w:tr>
      <w:tr>
        <w:trPr>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h) Revenues and repayments</w:t>
            </w:r>
          </w:p>
        </w:tc>
        <w:tc>
          <w:tcPr>
            <w:tcW w:w="2381" w:type="dxa"/>
            <w:tcBorders>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0</w:t>
            </w:r>
          </w:p>
        </w:tc>
      </w:tr>
      <w:tr>
        <w:trPr>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rPr>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2381" w:type="dxa"/>
            <w:tcBorders>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0</w:t>
            </w:r>
          </w:p>
        </w:tc>
      </w:tr>
      <w:tr>
        <w:trPr>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k) Leverage effect</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5,7</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5,7</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8</w:t>
            </w:r>
          </w:p>
        </w:tc>
      </w:tr>
      <w:tr>
        <w:trPr>
          <w:trHeight w:val="1134"/>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i/>
                <w:noProof/>
              </w:rPr>
            </w:pPr>
            <w:r>
              <w:rPr>
                <w:rFonts w:ascii="Times New Roman" w:hAnsi="Times New Roman" w:cs="Times New Roman"/>
                <w:b/>
                <w:bCs/>
                <w:noProof/>
              </w:rPr>
              <w:t>l) Contribution to achievement of policy objectives</w:t>
            </w:r>
          </w:p>
        </w:tc>
        <w:tc>
          <w:tcPr>
            <w:tcW w:w="2381" w:type="dxa"/>
            <w:tcBorders>
              <w:right w:val="nil"/>
            </w:tcBorders>
            <w:vAlign w:val="center"/>
          </w:tcPr>
          <w:p>
            <w:pPr>
              <w:spacing w:before="60" w:after="120" w:line="240" w:lineRule="auto"/>
              <w:rPr>
                <w:rFonts w:ascii="Times New Roman" w:hAnsi="Times New Roman" w:cs="Times New Roman"/>
                <w:noProof/>
              </w:rPr>
            </w:pPr>
            <w:r>
              <w:rPr>
                <w:rFonts w:ascii="Times New Roman" w:hAnsi="Times New Roman" w:cs="Times New Roman"/>
                <w:noProof/>
              </w:rPr>
              <w:t>EUR 690 million of targeted new financing for the cultural and creative industries.</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EUR 1,1 million  of financing already made for 85 Master students;</w:t>
            </w:r>
          </w:p>
          <w:p>
            <w:pPr>
              <w:spacing w:before="60" w:after="120" w:line="240" w:lineRule="auto"/>
              <w:rPr>
                <w:rFonts w:ascii="Times New Roman" w:hAnsi="Times New Roman" w:cs="Times New Roman"/>
                <w:noProof/>
              </w:rPr>
            </w:pPr>
            <w:r>
              <w:rPr>
                <w:rFonts w:ascii="Times New Roman" w:hAnsi="Times New Roman" w:cs="Times New Roman"/>
                <w:noProof/>
              </w:rPr>
              <w:t>Support transnational mobilty for Master students.</w:t>
            </w: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Targeted financing by EIB amounts to 430 m, with associated EE targeted investment  around EUR 540 million;</w:t>
            </w:r>
          </w:p>
          <w:p>
            <w:pPr>
              <w:spacing w:before="60" w:after="120" w:line="240" w:lineRule="auto"/>
              <w:rPr>
                <w:rFonts w:ascii="Times New Roman" w:hAnsi="Times New Roman" w:cs="Times New Roman"/>
                <w:noProof/>
              </w:rPr>
            </w:pPr>
            <w:r>
              <w:rPr>
                <w:rFonts w:ascii="Times New Roman" w:hAnsi="Times New Roman" w:cs="Times New Roman"/>
                <w:noProof/>
              </w:rPr>
              <w:t xml:space="preserve">  Also provides a piloting experience for possible upscaling.</w:t>
            </w:r>
          </w:p>
        </w:tc>
      </w:tr>
    </w:tbl>
    <w:p>
      <w:pPr>
        <w:pStyle w:val="Heading4"/>
        <w:spacing w:before="120"/>
        <w:rPr>
          <w:noProof/>
          <w:sz w:val="22"/>
          <w:szCs w:val="22"/>
        </w:rPr>
      </w:pPr>
      <w:r>
        <w:rPr>
          <w:noProof/>
          <w:sz w:val="22"/>
          <w:szCs w:val="22"/>
        </w:rPr>
        <w:br w:type="page"/>
      </w:r>
      <w:bookmarkStart w:id="18" w:name="_Toc399517420"/>
      <w:r>
        <w:rPr>
          <w:noProof/>
          <w:sz w:val="22"/>
          <w:szCs w:val="22"/>
        </w:rPr>
        <w:t>Risk-sharing instruments</w:t>
      </w:r>
      <w:bookmarkEnd w:id="18"/>
    </w:p>
    <w:tbl>
      <w:tblPr>
        <w:tblStyle w:val="MediumShading1-Accent1"/>
        <w:tblW w:w="5032" w:type="pct"/>
        <w:tblLook w:val="04A0" w:firstRow="1" w:lastRow="0" w:firstColumn="1" w:lastColumn="0" w:noHBand="0" w:noVBand="1"/>
      </w:tblPr>
      <w:tblGrid>
        <w:gridCol w:w="2209"/>
        <w:gridCol w:w="2379"/>
        <w:gridCol w:w="2378"/>
        <w:gridCol w:w="238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jc w:val="center"/>
              <w:rPr>
                <w:rFonts w:ascii="Times New Roman" w:hAnsi="Times New Roman"/>
                <w:b w:val="0"/>
                <w:bCs w:val="0"/>
                <w:noProof/>
                <w:sz w:val="22"/>
                <w:szCs w:val="22"/>
              </w:rPr>
            </w:pPr>
          </w:p>
        </w:tc>
        <w:tc>
          <w:tcPr>
            <w:tcW w:w="2379"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Risk-Sharing Finance Facility –RSFF</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(V.3.1 SWD)</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Policy DG in charge: RTD</w:t>
            </w:r>
          </w:p>
        </w:tc>
        <w:tc>
          <w:tcPr>
            <w:tcW w:w="2378"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Horizon 2020 Loan Services for R&amp;I Facility  — InnovFin</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(V.3.2 SWD)</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Policy DG in charge: RTD</w:t>
            </w:r>
          </w:p>
        </w:tc>
        <w:tc>
          <w:tcPr>
            <w:tcW w:w="2381"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Loan Guarantee Instrument — LGTT</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(V.3.3 SWD)</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Policy DG in charge: MOVE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a) ID/basic act</w:t>
            </w:r>
          </w:p>
        </w:tc>
        <w:tc>
          <w:tcPr>
            <w:tcW w:w="2379"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Decision No 1982/2006/EC</w:t>
            </w:r>
          </w:p>
        </w:tc>
        <w:tc>
          <w:tcPr>
            <w:tcW w:w="2378"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Regulation (EU) No 1291/2013 + 1290/2013</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lang w:val="pt-PT"/>
              </w:rPr>
            </w:pPr>
            <w:r>
              <w:rPr>
                <w:rFonts w:ascii="Times New Roman" w:hAnsi="Times New Roman"/>
                <w:noProof/>
                <w:sz w:val="22"/>
                <w:szCs w:val="22"/>
                <w:lang w:val="pt-PT"/>
              </w:rPr>
              <w:t>Regulations (EC) No 680/2007 + (EU) No 670/2012</w:t>
            </w:r>
          </w:p>
        </w:tc>
      </w:tr>
      <w:tr>
        <w:trPr>
          <w:cnfStyle w:val="000000010000" w:firstRow="0" w:lastRow="0" w:firstColumn="0" w:lastColumn="0" w:oddVBand="0" w:evenVBand="0" w:oddHBand="0" w:evenHBand="1" w:firstRowFirstColumn="0" w:firstRowLastColumn="0" w:lastRowFirstColumn="0" w:lastRowLastColumn="0"/>
          <w:trHeight w:val="2193"/>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b) Description</w:t>
            </w:r>
          </w:p>
        </w:tc>
        <w:tc>
          <w:tcPr>
            <w:tcW w:w="2379"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Debt financing instrument improving access to risk finance for final RDI recipients</w:t>
            </w:r>
          </w:p>
        </w:tc>
        <w:tc>
          <w:tcPr>
            <w:tcW w:w="2378"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Debt financing instrument improving access to debt financing for final recipients investing in R&amp;I</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Risk-sharing  loan guarantee instrument for revenue-based transport projects</w:t>
            </w:r>
          </w:p>
        </w:tc>
      </w:tr>
      <w:tr>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c) Financial institutions involved</w:t>
            </w:r>
          </w:p>
        </w:tc>
        <w:tc>
          <w:tcPr>
            <w:tcW w:w="2379"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w:t>
            </w:r>
          </w:p>
        </w:tc>
        <w:tc>
          <w:tcPr>
            <w:tcW w:w="2378"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w:t>
            </w:r>
          </w:p>
        </w:tc>
      </w:tr>
      <w:tr>
        <w:trPr>
          <w:cnfStyle w:val="000000010000" w:firstRow="0" w:lastRow="0" w:firstColumn="0" w:lastColumn="0" w:oddVBand="0" w:evenVBand="0" w:oddHBand="0" w:evenHBand="1"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d) Aggregate budgetary commitments and payments</w:t>
            </w:r>
          </w:p>
        </w:tc>
        <w:tc>
          <w:tcPr>
            <w:tcW w:w="2379"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960,7 m</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960,7 m</w:t>
            </w:r>
          </w:p>
        </w:tc>
        <w:tc>
          <w:tcPr>
            <w:tcW w:w="2378"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645,5 m</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645,5 m</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211,9 m</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211,9 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e) Performance</w:t>
            </w:r>
          </w:p>
        </w:tc>
        <w:tc>
          <w:tcPr>
            <w:tcW w:w="2379"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Agreements signed for EUR 11,3 billion expected financing to 114 eligible final recipients</w:t>
            </w:r>
          </w:p>
        </w:tc>
        <w:tc>
          <w:tcPr>
            <w:tcW w:w="2378"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Agreements signed for EUR 4,4 billion expected financing to 65 eligible final recipients, </w:t>
            </w:r>
          </w:p>
        </w:tc>
        <w:tc>
          <w:tcPr>
            <w:tcW w:w="2381"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5  signed projects for EUR 472  million outstanding guarantee</w:t>
            </w:r>
          </w:p>
        </w:tc>
      </w:tr>
      <w:tr>
        <w:trPr>
          <w:cnfStyle w:val="000000010000" w:firstRow="0" w:lastRow="0" w:firstColumn="0" w:lastColumn="0" w:oddVBand="0" w:evenVBand="0" w:oddHBand="0" w:evenHBand="1" w:firstRowFirstColumn="0" w:firstRowLastColumn="0" w:lastRowFirstColumn="0" w:lastRowLastColumn="0"/>
          <w:trHeight w:val="1518"/>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f) Evaluation of the use of any amounts returned to the instrument</w:t>
            </w:r>
          </w:p>
        </w:tc>
        <w:tc>
          <w:tcPr>
            <w:tcW w:w="2379"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440 million have been assigned to InnovFin Horizon 2020 Loan Services for R&amp;I Facility</w:t>
            </w:r>
          </w:p>
        </w:tc>
        <w:tc>
          <w:tcPr>
            <w:tcW w:w="2378"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None</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Amount (EUR 6,9 m) included in the Portfolio First Loss Piece,</w:t>
            </w:r>
          </w:p>
        </w:tc>
      </w:tr>
      <w:tr>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g) Balance of fiduciary account</w:t>
            </w:r>
          </w:p>
        </w:tc>
        <w:tc>
          <w:tcPr>
            <w:tcW w:w="2379"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EUR 927,3 m </w:t>
            </w:r>
            <w:r>
              <w:rPr>
                <w:rStyle w:val="FootnoteReference"/>
                <w:rFonts w:ascii="Times New Roman" w:hAnsi="Times New Roman"/>
                <w:noProof/>
                <w:sz w:val="22"/>
                <w:szCs w:val="22"/>
              </w:rPr>
              <w:footnoteReference w:id="5"/>
            </w:r>
          </w:p>
        </w:tc>
        <w:tc>
          <w:tcPr>
            <w:tcW w:w="2378"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638,4 m</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238,1 m</w:t>
            </w:r>
          </w:p>
        </w:tc>
      </w:tr>
      <w:tr>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h) Revenues and repayments</w:t>
            </w:r>
          </w:p>
        </w:tc>
        <w:tc>
          <w:tcPr>
            <w:tcW w:w="2379"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178,8 m</w:t>
            </w:r>
          </w:p>
        </w:tc>
        <w:tc>
          <w:tcPr>
            <w:tcW w:w="2378"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0</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4,25 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i) Value of equity investments</w:t>
            </w:r>
          </w:p>
        </w:tc>
        <w:tc>
          <w:tcPr>
            <w:tcW w:w="2379"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78"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j) Impairments / called guarantees</w:t>
            </w:r>
          </w:p>
        </w:tc>
        <w:tc>
          <w:tcPr>
            <w:tcW w:w="2379"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10,7 m</w:t>
            </w:r>
          </w:p>
        </w:tc>
        <w:tc>
          <w:tcPr>
            <w:tcW w:w="2378"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90,2 m</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None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k) Leverage effect</w:t>
            </w:r>
          </w:p>
        </w:tc>
        <w:tc>
          <w:tcPr>
            <w:tcW w:w="2379"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5 to 6,5</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12</w:t>
            </w:r>
          </w:p>
        </w:tc>
        <w:tc>
          <w:tcPr>
            <w:tcW w:w="2378"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12,5</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Expected: 6,8</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3,7</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37,2</w:t>
            </w:r>
          </w:p>
        </w:tc>
      </w:tr>
      <w:tr>
        <w:trPr>
          <w:cnfStyle w:val="000000010000" w:firstRow="0" w:lastRow="0" w:firstColumn="0" w:lastColumn="0" w:oddVBand="0" w:evenVBand="0" w:oddHBand="0" w:evenHBand="1"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bCs w:val="0"/>
                <w:noProof/>
                <w:sz w:val="22"/>
                <w:szCs w:val="22"/>
              </w:rPr>
              <w:t>l) Contribution to achievement of policy objectives</w:t>
            </w:r>
          </w:p>
        </w:tc>
        <w:tc>
          <w:tcPr>
            <w:tcW w:w="2379" w:type="dxa"/>
            <w:vAlign w:val="center"/>
          </w:tcPr>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10,2 billion of new risk-financing supported, reaching 112 eligible final recipients;</w:t>
            </w:r>
          </w:p>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20,4 billion of investments supported;</w:t>
            </w:r>
          </w:p>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25 countries covered.</w:t>
            </w:r>
          </w:p>
        </w:tc>
        <w:tc>
          <w:tcPr>
            <w:tcW w:w="2378" w:type="dxa"/>
            <w:vAlign w:val="center"/>
          </w:tcPr>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2,4 billion of new risk-financing supported, reaching 39 eligible final recipients;</w:t>
            </w:r>
          </w:p>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6,2 bn of investments supported;</w:t>
            </w:r>
          </w:p>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17 countries covered.</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Nearly EUR 12 billion of  investments supported;</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4 countries covered.</w:t>
            </w:r>
          </w:p>
        </w:tc>
      </w:tr>
    </w:tbl>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tbl>
      <w:tblPr>
        <w:tblStyle w:val="MediumShading1-Accent1"/>
        <w:tblW w:w="9354" w:type="dxa"/>
        <w:jc w:val="center"/>
        <w:tblLayout w:type="fixed"/>
        <w:tblLook w:val="04A0" w:firstRow="1" w:lastRow="0" w:firstColumn="1" w:lastColumn="0" w:noHBand="0" w:noVBand="1"/>
      </w:tblPr>
      <w:tblGrid>
        <w:gridCol w:w="2211"/>
        <w:gridCol w:w="2381"/>
        <w:gridCol w:w="2381"/>
        <w:gridCol w:w="2381"/>
      </w:tblGrid>
      <w:tr>
        <w:trPr>
          <w:cnfStyle w:val="100000000000" w:firstRow="1" w:lastRow="0" w:firstColumn="0" w:lastColumn="0" w:oddVBand="0" w:evenVBand="0" w:oddHBand="0" w:evenHBand="0" w:firstRowFirstColumn="0" w:firstRowLastColumn="0" w:lastRowFirstColumn="0" w:lastRowLastColumn="0"/>
          <w:trHeight w:val="2683"/>
          <w:jc w:val="center"/>
        </w:trPr>
        <w:tc>
          <w:tcPr>
            <w:cnfStyle w:val="001000000000" w:firstRow="0" w:lastRow="0" w:firstColumn="1" w:lastColumn="0" w:oddVBand="0" w:evenVBand="0" w:oddHBand="0" w:evenHBand="0" w:firstRowFirstColumn="0" w:firstRowLastColumn="0" w:lastRowFirstColumn="0" w:lastRowLastColumn="0"/>
            <w:tcW w:w="2211" w:type="dxa"/>
          </w:tcPr>
          <w:p>
            <w:pPr>
              <w:rPr>
                <w:rFonts w:ascii="Times New Roman" w:hAnsi="Times New Roman"/>
                <w:b w:val="0"/>
                <w:bCs w:val="0"/>
                <w:noProof/>
                <w:sz w:val="22"/>
                <w:szCs w:val="22"/>
              </w:rPr>
            </w:pPr>
            <w:r>
              <w:rPr>
                <w:rFonts w:ascii="Times New Roman" w:hAnsi="Times New Roman"/>
                <w:noProof/>
                <w:sz w:val="22"/>
                <w:szCs w:val="22"/>
              </w:rPr>
              <w:br w:type="page"/>
            </w:r>
          </w:p>
        </w:tc>
        <w:tc>
          <w:tcPr>
            <w:tcW w:w="2381"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Project Bond Initiative — PBI</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(V.3.4 SWD)</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Policy DGs in charge: MOVE,</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ENER, CNECT</w:t>
            </w:r>
          </w:p>
        </w:tc>
        <w:tc>
          <w:tcPr>
            <w:tcW w:w="2381"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rPr>
              <w:t>Risk Sharing Debt Instrument under the Connecting Europe Facility – CEF DI</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rPr>
              <w:t>(V. 3.5 SWD)</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rPr>
              <w:t>Policy DGs in charge:</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rPr>
              <w:t>MOVE, ENER, CNECT</w:t>
            </w:r>
          </w:p>
        </w:tc>
        <w:tc>
          <w:tcPr>
            <w:tcW w:w="2381"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Natural Capital Financing Facility — NCFF</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(V.3.6 SWD)</w:t>
            </w:r>
            <w:r>
              <w:rPr>
                <w:rFonts w:ascii="Times New Roman" w:hAnsi="Times New Roman"/>
                <w:bCs w:val="0"/>
                <w:noProof/>
                <w:sz w:val="22"/>
                <w:szCs w:val="22"/>
              </w:rPr>
              <w:br/>
              <w:t>Policy DGs in charge: ENV/ CLIMA</w:t>
            </w:r>
          </w:p>
        </w:tc>
      </w:tr>
      <w:tr>
        <w:trPr>
          <w:cnfStyle w:val="000000100000" w:firstRow="0" w:lastRow="0" w:firstColumn="0" w:lastColumn="0" w:oddVBand="0" w:evenVBand="0" w:oddHBand="1" w:evenHBand="0"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a) ID/basic act</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highlight w:val="yellow"/>
              </w:rPr>
            </w:pPr>
            <w:r>
              <w:rPr>
                <w:rFonts w:ascii="Times New Roman" w:eastAsia="Times New Roman" w:hAnsi="Times New Roman"/>
                <w:noProof/>
                <w:sz w:val="22"/>
                <w:szCs w:val="22"/>
              </w:rPr>
              <w:t>Regulation (EU) Nos 670/2012, 1316/2013</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Regulation (EU) No 1316/2013</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2"/>
                <w:szCs w:val="22"/>
              </w:rPr>
            </w:pPr>
            <w:r>
              <w:rPr>
                <w:rFonts w:ascii="Times New Roman" w:hAnsi="Times New Roman"/>
                <w:noProof/>
                <w:sz w:val="22"/>
                <w:szCs w:val="22"/>
              </w:rPr>
              <w:t>Regulation (EU) No 1293/2013</w:t>
            </w:r>
          </w:p>
        </w:tc>
      </w:tr>
      <w:tr>
        <w:trPr>
          <w:cnfStyle w:val="000000010000" w:firstRow="0" w:lastRow="0" w:firstColumn="0" w:lastColumn="0" w:oddVBand="0" w:evenVBand="0" w:oddHBand="0" w:evenHBand="1" w:firstRowFirstColumn="0" w:firstRowLastColumn="0" w:lastRowFirstColumn="0" w:lastRowLastColumn="0"/>
          <w:trHeight w:val="1889"/>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b) Description</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szCs w:val="22"/>
              </w:rPr>
              <w:t>Risk-sharing instrument to stimulate capital market financing of infrastructure projects (transport, energy and broadband)</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Risk-sharing instrument for loans/guarantees/project bonds aiming at facilitating infrastructure projects' financing</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Risk-sharing instrument to finance revenue-generating investments in natural capital</w:t>
            </w:r>
          </w:p>
        </w:tc>
      </w:tr>
      <w:tr>
        <w:trPr>
          <w:cnfStyle w:val="000000100000" w:firstRow="0" w:lastRow="0" w:firstColumn="0" w:lastColumn="0" w:oddVBand="0" w:evenVBand="0" w:oddHBand="1" w:evenHBand="0" w:firstRowFirstColumn="0" w:firstRowLastColumn="0" w:lastRowFirstColumn="0" w:lastRowLastColumn="0"/>
          <w:trHeight w:val="969"/>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c) Financial institutions involved</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szCs w:val="22"/>
              </w:rPr>
              <w:t>EIB</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w:t>
            </w:r>
          </w:p>
        </w:tc>
      </w:tr>
      <w:tr>
        <w:trPr>
          <w:cnfStyle w:val="000000010000" w:firstRow="0" w:lastRow="0" w:firstColumn="0" w:lastColumn="0" w:oddVBand="0" w:evenVBand="0" w:oddHBand="0" w:evenHBand="1" w:firstRowFirstColumn="0" w:firstRowLastColumn="0" w:lastRowFirstColumn="0" w:lastRowLastColumn="0"/>
          <w:trHeight w:val="1394"/>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d) Aggregate budgetary commitments and payments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230 m</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szCs w:val="22"/>
              </w:rPr>
              <w:t>EUR 230 m</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246,7 m</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NA </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30 m</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11,7 m</w:t>
            </w:r>
          </w:p>
        </w:tc>
      </w:tr>
      <w:tr>
        <w:trPr>
          <w:cnfStyle w:val="000000100000" w:firstRow="0" w:lastRow="0" w:firstColumn="0" w:lastColumn="0" w:oddVBand="0" w:evenVBand="0" w:oddHBand="1" w:evenHBand="0" w:firstRowFirstColumn="0" w:firstRowLastColumn="0" w:lastRowFirstColumn="0" w:lastRowLastColumn="0"/>
          <w:trHeight w:val="2152"/>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e) Performance</w:t>
            </w:r>
          </w:p>
        </w:tc>
        <w:tc>
          <w:tcPr>
            <w:tcW w:w="2381"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2"/>
                <w:szCs w:val="22"/>
                <w:highlight w:val="yellow"/>
              </w:rPr>
            </w:pPr>
            <w:r>
              <w:rPr>
                <w:rFonts w:ascii="Times New Roman" w:eastAsia="Times New Roman" w:hAnsi="Times New Roman"/>
                <w:noProof/>
                <w:sz w:val="22"/>
                <w:szCs w:val="22"/>
              </w:rPr>
              <w:t>5 transactions signed (3 in transport, 1 in energy, 1 in telecoms) for  EUR 230 million financing</w:t>
            </w:r>
          </w:p>
        </w:tc>
        <w:tc>
          <w:tcPr>
            <w:tcW w:w="2381"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 (no investments yet)</w:t>
            </w:r>
          </w:p>
        </w:tc>
        <w:tc>
          <w:tcPr>
            <w:tcW w:w="2381"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 (no operations yet)</w:t>
            </w:r>
          </w:p>
        </w:tc>
      </w:tr>
      <w:tr>
        <w:trPr>
          <w:cnfStyle w:val="000000010000" w:firstRow="0" w:lastRow="0" w:firstColumn="0" w:lastColumn="0" w:oddVBand="0" w:evenVBand="0" w:oddHBand="0" w:evenHBand="1" w:firstRowFirstColumn="0" w:firstRowLastColumn="0" w:lastRowFirstColumn="0" w:lastRowLastColumn="0"/>
          <w:trHeight w:val="139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f) Evaluation of the use of any amounts returned to the instrument</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szCs w:val="22"/>
              </w:rPr>
              <w:t>EUR 1,3 m</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g) Balance of fiduciary account</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236,3 m</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11,7 m</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h) Revenues and repayments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12,4 m</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i) Value of equity investments</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j) Impairments / called guarantees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k) Leverage effect</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12,6</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6 to15</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2 to 4</w:t>
            </w:r>
          </w:p>
        </w:tc>
      </w:tr>
      <w:tr>
        <w:trPr>
          <w:cnfStyle w:val="000000010000" w:firstRow="0" w:lastRow="0" w:firstColumn="0" w:lastColumn="0" w:oddVBand="0" w:evenVBand="0" w:oddHBand="0" w:evenHBand="1"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l) Contribution to achievement of policy objectives</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szCs w:val="22"/>
              </w:rPr>
              <w:t>5 eligible projects supported with a credit enhancement of EUR 335 million, accounting for an  investment amount of nearly EUR 3 billion.</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Targeted financing of EUR 18 billion to 45 billion assuming the full possible budgetary allocation of EUR 2,4 bn is made available to the instrument.</w:t>
            </w:r>
          </w:p>
        </w:tc>
        <w:tc>
          <w:tcPr>
            <w:tcW w:w="2381" w:type="dxa"/>
            <w:vAlign w:val="center"/>
          </w:tcPr>
          <w:p>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Targeted financing of EUR 120 to 240 million to promote biodiversity and climate</w:t>
            </w:r>
          </w:p>
          <w:p>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change adaptation. </w:t>
            </w:r>
          </w:p>
        </w:tc>
      </w:tr>
    </w:tbl>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tbl>
      <w:tblPr>
        <w:tblStyle w:val="MediumShading1-Accent1"/>
        <w:tblW w:w="4592" w:type="dxa"/>
        <w:jc w:val="center"/>
        <w:tblLayout w:type="fixed"/>
        <w:tblLook w:val="04A0" w:firstRow="1" w:lastRow="0" w:firstColumn="1" w:lastColumn="0" w:noHBand="0" w:noVBand="1"/>
      </w:tblPr>
      <w:tblGrid>
        <w:gridCol w:w="2211"/>
        <w:gridCol w:w="2381"/>
      </w:tblGrid>
      <w:tr>
        <w:trPr>
          <w:cnfStyle w:val="100000000000" w:firstRow="1" w:lastRow="0" w:firstColumn="0" w:lastColumn="0" w:oddVBand="0" w:evenVBand="0" w:oddHBand="0" w:evenHBand="0" w:firstRowFirstColumn="0" w:firstRowLastColumn="0" w:lastRowFirstColumn="0" w:lastRowLastColumn="0"/>
          <w:trHeight w:val="2683"/>
          <w:jc w:val="center"/>
        </w:trPr>
        <w:tc>
          <w:tcPr>
            <w:cnfStyle w:val="001000000000" w:firstRow="0" w:lastRow="0" w:firstColumn="1" w:lastColumn="0" w:oddVBand="0" w:evenVBand="0" w:oddHBand="0" w:evenHBand="0" w:firstRowFirstColumn="0" w:firstRowLastColumn="0" w:lastRowFirstColumn="0" w:lastRowLastColumn="0"/>
            <w:tcW w:w="2211" w:type="dxa"/>
          </w:tcPr>
          <w:p>
            <w:pPr>
              <w:rPr>
                <w:rFonts w:ascii="Times New Roman" w:hAnsi="Times New Roman"/>
                <w:b w:val="0"/>
                <w:bCs w:val="0"/>
                <w:noProof/>
                <w:sz w:val="22"/>
                <w:szCs w:val="22"/>
              </w:rPr>
            </w:pPr>
            <w:r>
              <w:rPr>
                <w:rFonts w:ascii="Times New Roman" w:hAnsi="Times New Roman"/>
                <w:noProof/>
                <w:sz w:val="22"/>
                <w:szCs w:val="22"/>
              </w:rPr>
              <w:br w:type="page"/>
            </w:r>
          </w:p>
        </w:tc>
        <w:tc>
          <w:tcPr>
            <w:tcW w:w="2381"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color w:val="FFFFFF" w:themeColor="background1"/>
                <w:sz w:val="22"/>
                <w:szCs w:val="22"/>
              </w:rPr>
            </w:pPr>
            <w:r>
              <w:rPr>
                <w:rFonts w:ascii="Times New Roman" w:hAnsi="Times New Roman"/>
                <w:bCs w:val="0"/>
                <w:noProof/>
                <w:color w:val="FFFFFF" w:themeColor="background1"/>
                <w:sz w:val="22"/>
                <w:szCs w:val="22"/>
              </w:rPr>
              <w:t>SME Initiative (V.3.7 SWD)</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color w:val="FFFFFF" w:themeColor="background1"/>
                <w:sz w:val="22"/>
                <w:szCs w:val="22"/>
              </w:rPr>
              <w:t>Policy DGs in charge: ECFIN, RTD, GROW, REGIO, AGRI</w:t>
            </w:r>
          </w:p>
        </w:tc>
      </w:tr>
      <w:tr>
        <w:trPr>
          <w:cnfStyle w:val="000000100000" w:firstRow="0" w:lastRow="0" w:firstColumn="0" w:lastColumn="0" w:oddVBand="0" w:evenVBand="0" w:oddHBand="1" w:evenHBand="0"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a) ID/basic act</w:t>
            </w:r>
          </w:p>
        </w:tc>
        <w:tc>
          <w:tcPr>
            <w:tcW w:w="2381" w:type="dxa"/>
            <w:vAlign w:val="center"/>
          </w:tcPr>
          <w:p>
            <w:pPr>
              <w:tabs>
                <w:tab w:val="left" w:pos="2286"/>
              </w:tabs>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Regulations (EU) Nos 1287/2013, 1291/2013 and 1303/2013</w:t>
            </w:r>
          </w:p>
        </w:tc>
      </w:tr>
      <w:tr>
        <w:trPr>
          <w:cnfStyle w:val="000000010000" w:firstRow="0" w:lastRow="0" w:firstColumn="0" w:lastColumn="0" w:oddVBand="0" w:evenVBand="0" w:oddHBand="0" w:evenHBand="1" w:firstRowFirstColumn="0" w:firstRowLastColumn="0" w:lastRowFirstColumn="0" w:lastRowLastColumn="0"/>
          <w:trHeight w:val="1889"/>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b) Description</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Risk-sharing instrument to complement and exploit synergies between existing national and EU SME support programmes, generating additional lending to SMEs</w:t>
            </w:r>
          </w:p>
        </w:tc>
      </w:tr>
      <w:tr>
        <w:trPr>
          <w:cnfStyle w:val="000000100000" w:firstRow="0" w:lastRow="0" w:firstColumn="0" w:lastColumn="0" w:oddVBand="0" w:evenVBand="0" w:oddHBand="1" w:evenHBand="0" w:firstRowFirstColumn="0" w:firstRowLastColumn="0" w:lastRowFirstColumn="0" w:lastRowLastColumn="0"/>
          <w:trHeight w:val="969"/>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c) Financial institutions involved</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 EIF</w:t>
            </w:r>
          </w:p>
        </w:tc>
      </w:tr>
      <w:tr>
        <w:trPr>
          <w:cnfStyle w:val="000000010000" w:firstRow="0" w:lastRow="0" w:firstColumn="0" w:lastColumn="0" w:oddVBand="0" w:evenVBand="0" w:oddHBand="0" w:evenHBand="1" w:firstRowFirstColumn="0" w:firstRowLastColumn="0" w:lastRowFirstColumn="0" w:lastRowLastColumn="0"/>
          <w:trHeight w:val="1394"/>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d) Aggregate budgetary commitments and payments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14,4  m</w:t>
            </w:r>
            <w:r>
              <w:rPr>
                <w:rStyle w:val="FootnoteReference"/>
                <w:rFonts w:ascii="Times New Roman" w:hAnsi="Times New Roman"/>
                <w:noProof/>
                <w:sz w:val="22"/>
                <w:szCs w:val="22"/>
              </w:rPr>
              <w:footnoteReference w:id="6"/>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12,5 m</w:t>
            </w:r>
          </w:p>
        </w:tc>
      </w:tr>
      <w:tr>
        <w:trPr>
          <w:cnfStyle w:val="000000100000" w:firstRow="0" w:lastRow="0" w:firstColumn="0" w:lastColumn="0" w:oddVBand="0" w:evenVBand="0" w:oddHBand="1" w:evenHBand="0" w:firstRowFirstColumn="0" w:firstRowLastColumn="0" w:lastRowFirstColumn="0" w:lastRowLastColumn="0"/>
          <w:trHeight w:val="2152"/>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e) Performance</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 yet</w:t>
            </w:r>
          </w:p>
        </w:tc>
      </w:tr>
      <w:tr>
        <w:trPr>
          <w:cnfStyle w:val="000000010000" w:firstRow="0" w:lastRow="0" w:firstColumn="0" w:lastColumn="0" w:oddVBand="0" w:evenVBand="0" w:oddHBand="0" w:evenHBand="1" w:firstRowFirstColumn="0" w:firstRowLastColumn="0" w:lastRowFirstColumn="0" w:lastRowLastColumn="0"/>
          <w:trHeight w:val="139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f) Evaluation of the use of any amounts returned to the instrument</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g) Balance of fiduciary account</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h) Revenues and repayments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i) Value of equity investments</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j) Impairments / called guarantees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k) Leverage effect</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7</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Expected: 7</w:t>
            </w:r>
          </w:p>
        </w:tc>
      </w:tr>
      <w:tr>
        <w:trPr>
          <w:cnfStyle w:val="000000010000" w:firstRow="0" w:lastRow="0" w:firstColumn="0" w:lastColumn="0" w:oddVBand="0" w:evenVBand="0" w:oddHBand="0" w:evenHBand="1"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l) Contribution to achievement of policy objectives</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Targeted financing of EUR 5 723 million to be generated for all Spanish regions.</w:t>
            </w:r>
          </w:p>
        </w:tc>
      </w:tr>
    </w:tbl>
    <w:p>
      <w:pPr>
        <w:pStyle w:val="Heading4"/>
        <w:spacing w:before="120"/>
        <w:rPr>
          <w:noProof/>
          <w:sz w:val="22"/>
          <w:szCs w:val="22"/>
        </w:rPr>
      </w:pPr>
      <w:bookmarkStart w:id="19" w:name="_Toc399517421"/>
      <w:r>
        <w:rPr>
          <w:noProof/>
          <w:sz w:val="22"/>
          <w:szCs w:val="22"/>
        </w:rPr>
        <w:br w:type="page"/>
        <w:t>Dedicated investment vehicles</w:t>
      </w:r>
      <w:bookmarkEnd w:id="19"/>
    </w:p>
    <w:tbl>
      <w:tblPr>
        <w:tblStyle w:val="MediumShading1-Accent1"/>
        <w:tblW w:w="5032" w:type="pct"/>
        <w:jc w:val="center"/>
        <w:tblLook w:val="04A0" w:firstRow="1" w:lastRow="0" w:firstColumn="1" w:lastColumn="0" w:noHBand="0" w:noVBand="1"/>
      </w:tblPr>
      <w:tblGrid>
        <w:gridCol w:w="2209"/>
        <w:gridCol w:w="2378"/>
        <w:gridCol w:w="2378"/>
        <w:gridCol w:w="2382"/>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60" w:lineRule="auto"/>
              <w:jc w:val="center"/>
              <w:rPr>
                <w:rFonts w:ascii="Times New Roman" w:hAnsi="Times New Roman"/>
                <w:b w:val="0"/>
                <w:bCs w:val="0"/>
                <w:noProof/>
                <w:sz w:val="22"/>
                <w:szCs w:val="22"/>
              </w:rPr>
            </w:pPr>
          </w:p>
        </w:tc>
        <w:tc>
          <w:tcPr>
            <w:tcW w:w="1272" w:type="pct"/>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European Progress Micro-finance Facility — FCP-FIS</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(V.4.1 SWD)</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Policy DGs in charge: EMPL and ECFIN</w:t>
            </w:r>
          </w:p>
        </w:tc>
        <w:tc>
          <w:tcPr>
            <w:tcW w:w="1272" w:type="pct"/>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The 2020 European Fund – Marguerite (V.4.2 SWD)</w:t>
            </w:r>
            <w:r>
              <w:rPr>
                <w:rFonts w:ascii="Times New Roman" w:hAnsi="Times New Roman"/>
                <w:bCs w:val="0"/>
                <w:noProof/>
                <w:sz w:val="22"/>
                <w:szCs w:val="22"/>
              </w:rPr>
              <w:br/>
              <w:t>Policy DG in charge: MOVE</w:t>
            </w:r>
          </w:p>
        </w:tc>
        <w:tc>
          <w:tcPr>
            <w:tcW w:w="1274" w:type="pct"/>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European Energy Efficiency Fund — EEEF (V.4.3 SWD)</w:t>
            </w:r>
            <w:r>
              <w:rPr>
                <w:rFonts w:ascii="Times New Roman" w:hAnsi="Times New Roman"/>
                <w:bCs w:val="0"/>
                <w:noProof/>
                <w:sz w:val="22"/>
                <w:szCs w:val="22"/>
              </w:rPr>
              <w:br/>
              <w:t>Policy DG in charge: ENER</w:t>
            </w:r>
          </w:p>
        </w:tc>
      </w:tr>
      <w:tr>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a) ID/basic act</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eastAsia="Times New Roman" w:hAnsi="Times New Roman"/>
                <w:noProof/>
                <w:sz w:val="22"/>
                <w:szCs w:val="22"/>
              </w:rPr>
              <w:t>Decision No 283/2010/EU</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eastAsia="Times New Roman" w:hAnsi="Times New Roman"/>
                <w:noProof/>
                <w:sz w:val="22"/>
                <w:szCs w:val="22"/>
              </w:rPr>
              <w:t>Regulation (EC) No 680/2007</w:t>
            </w:r>
          </w:p>
        </w:tc>
        <w:tc>
          <w:tcPr>
            <w:tcW w:w="1274"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2"/>
                <w:szCs w:val="22"/>
              </w:rPr>
            </w:pPr>
            <w:r>
              <w:rPr>
                <w:rFonts w:ascii="Times New Roman" w:eastAsia="Times New Roman" w:hAnsi="Times New Roman"/>
                <w:noProof/>
                <w:sz w:val="22"/>
                <w:szCs w:val="22"/>
              </w:rPr>
              <w:t>Regulation (EU) No 1233/2010</w:t>
            </w:r>
          </w:p>
        </w:tc>
      </w:tr>
      <w:tr>
        <w:trPr>
          <w:cnfStyle w:val="000000010000" w:firstRow="0" w:lastRow="0" w:firstColumn="0" w:lastColumn="0" w:oddVBand="0" w:evenVBand="0" w:oddHBand="0" w:evenHBand="1" w:firstRowFirstColumn="0" w:firstRowLastColumn="0" w:lastRowFirstColumn="0" w:lastRowLastColumn="0"/>
          <w:trHeight w:val="1701"/>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b) Description</w:t>
            </w:r>
          </w:p>
        </w:tc>
        <w:tc>
          <w:tcPr>
            <w:tcW w:w="1272"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Unincorporated co</w:t>
            </w:r>
            <w:r>
              <w:rPr>
                <w:rFonts w:ascii="Times New Roman" w:hAnsi="Times New Roman"/>
                <w:noProof/>
                <w:sz w:val="22"/>
                <w:szCs w:val="22"/>
              </w:rPr>
              <w:noBreakHyphen/>
              <w:t>ownership of securities and other eligible assets geared to increasing access to micro-finance</w:t>
            </w:r>
          </w:p>
        </w:tc>
        <w:tc>
          <w:tcPr>
            <w:tcW w:w="1272"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Pan-European equity fund for supporting long-term infrastructure investment in EU transport, energy and renewables sectors</w:t>
            </w:r>
          </w:p>
        </w:tc>
        <w:tc>
          <w:tcPr>
            <w:tcW w:w="1274"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Specialised investment fund (SICAV) investing in energy efficiency, renewable energy projects and clean urban transport</w:t>
            </w:r>
          </w:p>
        </w:tc>
      </w:tr>
      <w:tr>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c) Financial institutions involved</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EIF (management company)</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 (co-investor)</w:t>
            </w:r>
          </w:p>
        </w:tc>
        <w:tc>
          <w:tcPr>
            <w:tcW w:w="1272" w:type="pct"/>
            <w:vAlign w:val="center"/>
          </w:tcPr>
          <w:p>
            <w:pPr>
              <w:spacing w:before="6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Co-investors: France (CDC), Italy (CdP), Germany (KfW), Spain (ICO), Poland (PKO) and EIB</w:t>
            </w:r>
          </w:p>
        </w:tc>
        <w:tc>
          <w:tcPr>
            <w:tcW w:w="1274"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 (entrusted entity, investor), Deutsche Bank (investment manager, investor), CDP (investor)</w:t>
            </w:r>
          </w:p>
        </w:tc>
      </w:tr>
      <w:tr>
        <w:trPr>
          <w:cnfStyle w:val="000000010000" w:firstRow="0" w:lastRow="0" w:firstColumn="0" w:lastColumn="0" w:oddVBand="0" w:evenVBand="0" w:oddHBand="0" w:evenHBand="1" w:firstRowFirstColumn="0" w:firstRowLastColumn="0" w:lastRowFirstColumn="0" w:lastRowLastColumn="0"/>
          <w:trHeight w:val="1474"/>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d) Aggregate budgetary commitments and payments</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80 m</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74 m</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80 m</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szCs w:val="22"/>
              </w:rPr>
              <w:t>EUR 43,7 m</w:t>
            </w:r>
          </w:p>
        </w:tc>
        <w:tc>
          <w:tcPr>
            <w:tcW w:w="1274"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EUR </w:t>
            </w:r>
            <w:r>
              <w:rPr>
                <w:rFonts w:ascii="Times New Roman" w:eastAsia="Times New Roman" w:hAnsi="Times New Roman"/>
                <w:noProof/>
                <w:sz w:val="22"/>
                <w:szCs w:val="22"/>
              </w:rPr>
              <w:t>146,3</w:t>
            </w:r>
            <w:r>
              <w:rPr>
                <w:rFonts w:ascii="Times New Roman" w:hAnsi="Times New Roman"/>
                <w:noProof/>
                <w:sz w:val="22"/>
                <w:szCs w:val="22"/>
              </w:rPr>
              <w:t xml:space="preserve"> m</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113,2 m</w:t>
            </w:r>
          </w:p>
        </w:tc>
      </w:tr>
      <w:tr>
        <w:trPr>
          <w:cnfStyle w:val="000000100000" w:firstRow="0" w:lastRow="0" w:firstColumn="0" w:lastColumn="0" w:oddVBand="0" w:evenVBand="0" w:oddHBand="1" w:evenHBand="0" w:firstRowFirstColumn="0" w:firstRowLastColumn="0" w:lastRowFirstColumn="0" w:lastRowLastColumn="0"/>
          <w:trHeight w:val="1701"/>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e) Performance</w:t>
            </w:r>
          </w:p>
        </w:tc>
        <w:tc>
          <w:tcPr>
            <w:tcW w:w="1272" w:type="pct"/>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42 agreements signed for EUR 390,8 million expected financing to more than 60 000 eligible final recipients</w:t>
            </w:r>
          </w:p>
        </w:tc>
        <w:tc>
          <w:tcPr>
            <w:tcW w:w="1272" w:type="pct"/>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 EUR 710 million of  expected financing in the form of equity (at the level of the Marguerite fund)  for 20 to 30 projects;</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1274" w:type="pct"/>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szCs w:val="22"/>
              </w:rPr>
              <w:t>EUR 265 million of expected financing,. in the form of equity (at the level of the EEE fund) for 19 projects</w:t>
            </w:r>
          </w:p>
        </w:tc>
      </w:tr>
      <w:tr>
        <w:trPr>
          <w:cnfStyle w:val="000000010000" w:firstRow="0" w:lastRow="0" w:firstColumn="0" w:lastColumn="0" w:oddVBand="0" w:evenVBand="0" w:oddHBand="0" w:evenHBand="1" w:firstRowFirstColumn="0" w:firstRowLastColumn="0" w:lastRowFirstColumn="0" w:lastRowLastColumn="0"/>
          <w:trHeight w:val="1077"/>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f) Evaluation of use of amounts returned to the instrument</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74"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g) Balance of fiduciary account</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74"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28,1 m</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h) Revenues and repayments</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12,7 m</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31,3 m</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74"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i) Value of equity investments</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NAV: EUR 71 m</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NAV: EUR 37,9 m</w:t>
            </w:r>
          </w:p>
        </w:tc>
        <w:tc>
          <w:tcPr>
            <w:tcW w:w="1274"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NAV: EUR 96,9 m</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j) Impairments / called guarantees</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Not available</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0</w:t>
            </w:r>
          </w:p>
        </w:tc>
        <w:tc>
          <w:tcPr>
            <w:tcW w:w="1274"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k) Leverage effect</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2,33</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Expected: 5,2</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2,33</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125</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157</w:t>
            </w:r>
          </w:p>
        </w:tc>
        <w:tc>
          <w:tcPr>
            <w:tcW w:w="1274"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szCs w:val="22"/>
              </w:rPr>
              <w:t>Achieved: 2,2</w:t>
            </w:r>
          </w:p>
        </w:tc>
      </w:tr>
      <w:tr>
        <w:trPr>
          <w:cnfStyle w:val="000000010000" w:firstRow="0" w:lastRow="0" w:firstColumn="0" w:lastColumn="0" w:oddVBand="0" w:evenVBand="0" w:oddHBand="0" w:evenHBand="1"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bCs w:val="0"/>
                <w:noProof/>
                <w:sz w:val="22"/>
                <w:szCs w:val="22"/>
              </w:rPr>
              <w:t>l) Contribution to achievement of policy objectives</w:t>
            </w:r>
          </w:p>
        </w:tc>
        <w:tc>
          <w:tcPr>
            <w:tcW w:w="1272"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172,9  million of new financing supported, reaching 24 841 final recipients with 45 999 micro-loans;</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247 million of investments supported;</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14 countries covered.</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1272"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295  million of new financing supported in the form of equity, for 10 projects (3 in TEN</w:t>
            </w:r>
            <w:r>
              <w:rPr>
                <w:rFonts w:ascii="Times New Roman" w:hAnsi="Times New Roman"/>
                <w:noProof/>
                <w:sz w:val="22"/>
                <w:szCs w:val="22"/>
              </w:rPr>
              <w:noBreakHyphen/>
              <w:t>T transport and 7 in renewable energy sector);</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4,9 billion of investments supported;</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8 countries covered.</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1274"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szCs w:val="22"/>
              </w:rPr>
              <w:t xml:space="preserve">EUR 120 million of new financing supported in the form of equity to 10 projects, accounting for EUR 219 million total investment. </w:t>
            </w:r>
          </w:p>
        </w:tc>
      </w:tr>
    </w:tbl>
    <w:p>
      <w:pPr>
        <w:pStyle w:val="Heading4"/>
        <w:spacing w:before="120"/>
        <w:rPr>
          <w:noProof/>
          <w:sz w:val="22"/>
          <w:szCs w:val="22"/>
        </w:rPr>
      </w:pPr>
      <w:bookmarkStart w:id="20" w:name="_Toc420402803"/>
      <w:bookmarkStart w:id="21" w:name="_Toc420402856"/>
      <w:bookmarkStart w:id="22" w:name="_Toc420402804"/>
      <w:bookmarkStart w:id="23" w:name="_Toc420402857"/>
      <w:bookmarkStart w:id="24" w:name="_Toc399517422"/>
      <w:bookmarkEnd w:id="20"/>
      <w:bookmarkEnd w:id="21"/>
      <w:bookmarkEnd w:id="22"/>
      <w:bookmarkEnd w:id="23"/>
      <w:r>
        <w:rPr>
          <w:noProof/>
          <w:sz w:val="22"/>
          <w:szCs w:val="22"/>
        </w:rPr>
        <w:br w:type="page"/>
        <w:t>Financial instruments in the enlargement countries</w:t>
      </w:r>
      <w:bookmarkEnd w:id="24"/>
    </w:p>
    <w:tbl>
      <w:tblPr>
        <w:tblW w:w="5033"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211"/>
        <w:gridCol w:w="2381"/>
        <w:gridCol w:w="2379"/>
        <w:gridCol w:w="2378"/>
      </w:tblGrid>
      <w:tr>
        <w:tc>
          <w:tcPr>
            <w:tcW w:w="1182" w:type="pct"/>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1273"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Guarantee Facility under the WB EDIF</w:t>
            </w:r>
            <w:r>
              <w:rPr>
                <w:rStyle w:val="FootnoteReference"/>
                <w:rFonts w:ascii="Times New Roman" w:hAnsi="Times New Roman" w:cs="Times New Roman"/>
                <w:b/>
                <w:bCs/>
                <w:noProof/>
                <w:color w:val="FFFFFF" w:themeColor="background1"/>
              </w:rPr>
              <w:footnoteReference w:id="7"/>
            </w:r>
            <w:r>
              <w:rPr>
                <w:rFonts w:ascii="Times New Roman" w:hAnsi="Times New Roman" w:cs="Times New Roman"/>
                <w:b/>
                <w:bCs/>
                <w:noProof/>
                <w:color w:val="FFFFFF" w:themeColor="background1"/>
              </w:rPr>
              <w:t xml:space="preserve"> — GF WB 1</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(V.5.1 SWD)</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Policy DG in charge: NEAR</w:t>
            </w:r>
          </w:p>
        </w:tc>
        <w:tc>
          <w:tcPr>
            <w:tcW w:w="1272"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Guarantee Facility II under the WB EDIF</w:t>
            </w:r>
            <w:r>
              <w:rPr>
                <w:rStyle w:val="FootnoteReference"/>
                <w:rFonts w:ascii="Times New Roman" w:hAnsi="Times New Roman" w:cs="Times New Roman"/>
                <w:b/>
                <w:bCs/>
                <w:noProof/>
                <w:color w:val="FFFFFF" w:themeColor="background1"/>
              </w:rPr>
              <w:footnoteReference w:id="8"/>
            </w:r>
            <w:r>
              <w:rPr>
                <w:rFonts w:ascii="Times New Roman" w:hAnsi="Times New Roman" w:cs="Times New Roman"/>
                <w:b/>
                <w:bCs/>
                <w:noProof/>
                <w:color w:val="FFFFFF" w:themeColor="background1"/>
              </w:rPr>
              <w:t xml:space="preserve"> — GF WB 2</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(V.5.2 SWD)</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Policy DG in charge: NEAR</w:t>
            </w:r>
          </w:p>
        </w:tc>
        <w:tc>
          <w:tcPr>
            <w:tcW w:w="1272"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Enterprise Expansion Fund — ENEF</w:t>
            </w:r>
            <w:r>
              <w:rPr>
                <w:rStyle w:val="FootnoteReference"/>
                <w:rFonts w:ascii="Times New Roman" w:hAnsi="Times New Roman" w:cs="Times New Roman"/>
                <w:b/>
                <w:bCs/>
                <w:noProof/>
                <w:color w:val="FFFFFF" w:themeColor="background1"/>
              </w:rPr>
              <w:footnoteReference w:id="9"/>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(V.5.3 SWD)</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Policy DG in charge: NEAR</w:t>
            </w:r>
          </w:p>
        </w:tc>
      </w:tr>
      <w:tr>
        <w:tc>
          <w:tcPr>
            <w:tcW w:w="1182"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a)ID/basic act</w:t>
            </w:r>
          </w:p>
        </w:tc>
        <w:tc>
          <w:tcPr>
            <w:tcW w:w="1273"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Council Regulation (EC) No 1085/2006</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Regulation (EC) No 231/2014</w:t>
            </w:r>
          </w:p>
        </w:tc>
        <w:tc>
          <w:tcPr>
            <w:tcW w:w="1272" w:type="pct"/>
            <w:shd w:val="clear" w:color="auto" w:fill="D3DFEE"/>
            <w:vAlign w:val="center"/>
          </w:tcPr>
          <w:p>
            <w:pPr>
              <w:spacing w:before="60" w:after="120" w:line="240" w:lineRule="auto"/>
              <w:jc w:val="center"/>
              <w:rPr>
                <w:rFonts w:ascii="Times New Roman" w:hAnsi="Times New Roman" w:cs="Times New Roman"/>
                <w:i/>
                <w:noProof/>
              </w:rPr>
            </w:pPr>
            <w:r>
              <w:rPr>
                <w:rFonts w:ascii="Times New Roman" w:hAnsi="Times New Roman" w:cs="Times New Roman"/>
                <w:noProof/>
              </w:rPr>
              <w:t>Council Regulation (EC) No 1085/2006</w:t>
            </w:r>
          </w:p>
        </w:tc>
      </w:tr>
      <w:t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b) Description</w:t>
            </w:r>
          </w:p>
        </w:tc>
        <w:tc>
          <w:tcPr>
            <w:tcW w:w="1273" w:type="pct"/>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Guarantee instrument to create conditions for emergence and growth of innovative and high-potential SMEs in the Western Balkans</w:t>
            </w:r>
          </w:p>
        </w:tc>
        <w:tc>
          <w:tcPr>
            <w:tcW w:w="1272" w:type="pct"/>
            <w:tcBorders>
              <w:left w:val="nil"/>
              <w:right w:val="nil"/>
            </w:tcBorders>
            <w:vAlign w:val="center"/>
          </w:tcPr>
          <w:p>
            <w:pPr>
              <w:spacing w:before="60" w:after="120" w:line="240" w:lineRule="auto"/>
              <w:rPr>
                <w:rFonts w:ascii="Times New Roman" w:hAnsi="Times New Roman" w:cs="Times New Roman"/>
                <w:noProof/>
              </w:rPr>
            </w:pPr>
            <w:r>
              <w:rPr>
                <w:rFonts w:ascii="Times New Roman" w:hAnsi="Times New Roman" w:cs="Times New Roman"/>
                <w:noProof/>
              </w:rPr>
              <w:t>Direct continuation of WB EDIF GF 1; Guarantee instrument to create conditions for emergence and growth of innovative and high-potential SMEs in the Western Balkans</w:t>
            </w:r>
          </w:p>
        </w:tc>
        <w:tc>
          <w:tcPr>
            <w:tcW w:w="1272" w:type="pct"/>
            <w:tcBorders>
              <w:left w:val="nil"/>
              <w:right w:val="single" w:sz="8" w:space="0" w:color="7BA0CD"/>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Equity instrument financing development and expansion capital in established SMEs in the Western Balkans</w:t>
            </w:r>
          </w:p>
        </w:tc>
      </w:tr>
      <w:tr>
        <w:trPr>
          <w:trHeight w:val="767"/>
        </w:trPr>
        <w:tc>
          <w:tcPr>
            <w:tcW w:w="1182"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1273" w:type="pct"/>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w:t>
            </w:r>
          </w:p>
        </w:tc>
        <w:tc>
          <w:tcPr>
            <w:tcW w:w="1272" w:type="pct"/>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w:t>
            </w:r>
          </w:p>
        </w:tc>
        <w:tc>
          <w:tcPr>
            <w:tcW w:w="1272" w:type="pct"/>
            <w:tcBorders>
              <w:left w:val="nil"/>
              <w:right w:val="single" w:sz="8" w:space="0" w:color="7BA0CD"/>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 (trustee),</w:t>
            </w:r>
          </w:p>
          <w:p>
            <w:pPr>
              <w:spacing w:before="60" w:after="120" w:line="240" w:lineRule="auto"/>
              <w:jc w:val="center"/>
              <w:rPr>
                <w:rFonts w:ascii="Times New Roman" w:hAnsi="Times New Roman" w:cs="Times New Roman"/>
                <w:noProof/>
              </w:rPr>
            </w:pPr>
            <w:r>
              <w:rPr>
                <w:rFonts w:ascii="Times New Roman" w:hAnsi="Times New Roman" w:cs="Times New Roman"/>
                <w:noProof/>
              </w:rPr>
              <w:t>EBRD, DEG, OeEB</w:t>
            </w:r>
          </w:p>
        </w:tc>
      </w:tr>
      <w:t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d) Aggregate budg. commitments and payments</w:t>
            </w:r>
          </w:p>
        </w:tc>
        <w:tc>
          <w:tcPr>
            <w:tcW w:w="1273"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21,9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21,9 m</w:t>
            </w:r>
          </w:p>
        </w:tc>
        <w:tc>
          <w:tcPr>
            <w:tcW w:w="1272" w:type="pct"/>
            <w:tcBorders>
              <w:left w:val="nil"/>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17,5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10 m</w:t>
            </w:r>
          </w:p>
        </w:tc>
        <w:tc>
          <w:tcPr>
            <w:tcW w:w="1272"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11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10,4 m</w:t>
            </w:r>
          </w:p>
        </w:tc>
      </w:tr>
      <w:tr>
        <w:tc>
          <w:tcPr>
            <w:tcW w:w="1182"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e) Performance</w:t>
            </w:r>
          </w:p>
        </w:tc>
        <w:tc>
          <w:tcPr>
            <w:tcW w:w="1273"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6 contracts signed with banks for expected financing of EUR 117,9 million to final recipients</w:t>
            </w:r>
          </w:p>
        </w:tc>
        <w:tc>
          <w:tcPr>
            <w:tcW w:w="1272"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 xml:space="preserve">Financing expected: EUR 17,5 million (at least) </w:t>
            </w:r>
          </w:p>
        </w:tc>
        <w:tc>
          <w:tcPr>
            <w:tcW w:w="1272"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 xml:space="preserve">EUR 77 million of expected financing,. in the form of equity (at the level of the ENEF fund) for approx. 15 final recipients </w:t>
            </w:r>
          </w:p>
        </w:tc>
      </w:tr>
      <w:t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f) Evaluation of use of amounts returned to the instrument</w:t>
            </w:r>
          </w:p>
        </w:tc>
        <w:tc>
          <w:tcPr>
            <w:tcW w:w="1273"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2" w:type="pct"/>
            <w:tcBorders>
              <w:left w:val="nil"/>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2"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1182"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1273"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20,12 m</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10 m</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9,57 m</w:t>
            </w:r>
          </w:p>
        </w:tc>
      </w:tr>
      <w:t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h) Revenues and repayments</w:t>
            </w:r>
          </w:p>
        </w:tc>
        <w:tc>
          <w:tcPr>
            <w:tcW w:w="1273"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2" w:type="pct"/>
            <w:tcBorders>
              <w:left w:val="nil"/>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2"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rPr>
          <w:trHeight w:val="907"/>
        </w:trPr>
        <w:tc>
          <w:tcPr>
            <w:tcW w:w="1182"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1273"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320,6 k</w:t>
            </w:r>
          </w:p>
        </w:tc>
      </w:tr>
      <w:t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1273"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127,7 k</w:t>
            </w:r>
          </w:p>
        </w:tc>
        <w:tc>
          <w:tcPr>
            <w:tcW w:w="1272" w:type="pct"/>
            <w:tcBorders>
              <w:left w:val="nil"/>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2"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1182"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k) Leverage effect</w:t>
            </w:r>
          </w:p>
        </w:tc>
        <w:tc>
          <w:tcPr>
            <w:tcW w:w="1273"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7</w:t>
            </w:r>
          </w:p>
          <w:p>
            <w:pPr>
              <w:spacing w:before="60" w:after="120" w:line="240" w:lineRule="auto"/>
              <w:jc w:val="center"/>
              <w:rPr>
                <w:rFonts w:ascii="Times New Roman" w:hAnsi="Times New Roman" w:cs="Times New Roman"/>
                <w:noProof/>
              </w:rPr>
            </w:pPr>
            <w:r>
              <w:rPr>
                <w:rFonts w:ascii="Times New Roman" w:hAnsi="Times New Roman" w:cs="Times New Roman"/>
                <w:noProof/>
              </w:rPr>
              <w:t>Achieved: 5,4</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4 to 5,2</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10</w:t>
            </w:r>
          </w:p>
          <w:p>
            <w:pPr>
              <w:spacing w:before="60" w:after="120" w:line="240" w:lineRule="auto"/>
              <w:jc w:val="center"/>
              <w:rPr>
                <w:rFonts w:ascii="Times New Roman" w:hAnsi="Times New Roman" w:cs="Times New Roman"/>
                <w:noProof/>
              </w:rPr>
            </w:pPr>
            <w:r>
              <w:rPr>
                <w:rFonts w:ascii="Times New Roman" w:hAnsi="Times New Roman" w:cs="Times New Roman"/>
                <w:noProof/>
              </w:rPr>
              <w:t>Achieved: 7</w:t>
            </w:r>
          </w:p>
        </w:tc>
      </w:tr>
      <w:tr>
        <w:trPr>
          <w:trHeight w:val="761"/>
        </w:trP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1273" w:type="pct"/>
            <w:tcBorders>
              <w:left w:val="nil"/>
              <w:right w:val="nil"/>
            </w:tcBorders>
            <w:shd w:val="clear" w:color="auto" w:fill="auto"/>
            <w:vAlign w:val="center"/>
          </w:tcPr>
          <w:p>
            <w:pPr>
              <w:spacing w:before="60" w:after="120" w:line="240" w:lineRule="auto"/>
              <w:jc w:val="both"/>
              <w:rPr>
                <w:rFonts w:ascii="Times New Roman" w:hAnsi="Times New Roman" w:cs="Times New Roman"/>
                <w:noProof/>
              </w:rPr>
            </w:pPr>
            <w:r>
              <w:rPr>
                <w:rFonts w:ascii="Times New Roman" w:hAnsi="Times New Roman" w:cs="Times New Roman"/>
                <w:noProof/>
              </w:rPr>
              <w:t>EUR 117,9 million of expected financing for 247 final recipients.</w:t>
            </w:r>
          </w:p>
        </w:tc>
        <w:tc>
          <w:tcPr>
            <w:tcW w:w="1272" w:type="pct"/>
            <w:tcBorders>
              <w:left w:val="nil"/>
              <w:right w:val="nil"/>
            </w:tcBorders>
            <w:vAlign w:val="center"/>
          </w:tcPr>
          <w:p>
            <w:pPr>
              <w:spacing w:before="60" w:after="120" w:line="240" w:lineRule="auto"/>
              <w:jc w:val="both"/>
              <w:rPr>
                <w:rFonts w:ascii="Times New Roman" w:hAnsi="Times New Roman" w:cs="Times New Roman"/>
                <w:noProof/>
              </w:rPr>
            </w:pPr>
            <w:r>
              <w:rPr>
                <w:rFonts w:ascii="Times New Roman" w:hAnsi="Times New Roman" w:cs="Times New Roman"/>
                <w:noProof/>
              </w:rPr>
              <w:t xml:space="preserve">Not available yet (10 operations in the pipeline). </w:t>
            </w:r>
          </w:p>
        </w:tc>
        <w:tc>
          <w:tcPr>
            <w:tcW w:w="1272" w:type="pct"/>
            <w:tcBorders>
              <w:left w:val="nil"/>
              <w:right w:val="single" w:sz="8" w:space="0" w:color="7BA0CD"/>
            </w:tcBorders>
            <w:shd w:val="clear" w:color="auto" w:fill="auto"/>
            <w:vAlign w:val="center"/>
          </w:tcPr>
          <w:p>
            <w:pPr>
              <w:spacing w:before="60" w:after="120" w:line="240" w:lineRule="auto"/>
              <w:jc w:val="both"/>
              <w:rPr>
                <w:rFonts w:ascii="Times New Roman" w:hAnsi="Times New Roman" w:cs="Times New Roman"/>
                <w:noProof/>
              </w:rPr>
            </w:pPr>
            <w:r>
              <w:rPr>
                <w:rFonts w:ascii="Times New Roman" w:hAnsi="Times New Roman" w:cs="Times New Roman"/>
                <w:noProof/>
              </w:rPr>
              <w:t>EUR 3 million of new financing supported for 1 recipient.</w:t>
            </w:r>
          </w:p>
          <w:p>
            <w:pPr>
              <w:spacing w:before="60" w:after="120" w:line="240" w:lineRule="auto"/>
              <w:jc w:val="both"/>
              <w:rPr>
                <w:rFonts w:ascii="Times New Roman" w:hAnsi="Times New Roman" w:cs="Times New Roman"/>
                <w:noProof/>
              </w:rPr>
            </w:pPr>
          </w:p>
        </w:tc>
      </w:tr>
    </w:tbl>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tbl>
      <w:tblPr>
        <w:tblW w:w="5031"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208"/>
        <w:gridCol w:w="2381"/>
        <w:gridCol w:w="2381"/>
        <w:gridCol w:w="2376"/>
      </w:tblGrid>
      <w:tr>
        <w:tc>
          <w:tcPr>
            <w:tcW w:w="1181" w:type="pct"/>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1274"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Enterprise Innovation Fund -ENIF</w:t>
            </w:r>
            <w:r>
              <w:rPr>
                <w:rStyle w:val="FootnoteReference"/>
                <w:rFonts w:ascii="Times New Roman" w:hAnsi="Times New Roman" w:cs="Times New Roman"/>
                <w:b/>
                <w:bCs/>
                <w:noProof/>
                <w:color w:val="FFFFFF" w:themeColor="background1"/>
              </w:rPr>
              <w:footnoteReference w:id="10"/>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(V.5.4 SWD)</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Policy DG in charge: NEAR</w:t>
            </w:r>
          </w:p>
        </w:tc>
        <w:tc>
          <w:tcPr>
            <w:tcW w:w="1274"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European Fund for Southeast Europe — EFSE</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(V.5.5 SWD)</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Policy DG in charge: NEAR</w:t>
            </w:r>
          </w:p>
        </w:tc>
        <w:tc>
          <w:tcPr>
            <w:tcW w:w="1271"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Green for Growth Fund — GGF</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(V.5.6 SWD)</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Policy DG in charge: NEAR</w:t>
            </w:r>
          </w:p>
        </w:tc>
      </w:tr>
      <w:tr>
        <w:tc>
          <w:tcPr>
            <w:tcW w:w="1181"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a)ID/basic act</w:t>
            </w:r>
          </w:p>
        </w:tc>
        <w:tc>
          <w:tcPr>
            <w:tcW w:w="1274" w:type="pct"/>
            <w:shd w:val="clear" w:color="auto" w:fill="D3DFEE"/>
            <w:vAlign w:val="center"/>
          </w:tcPr>
          <w:p>
            <w:pPr>
              <w:spacing w:before="6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Council Regulation (EC) No 1085/2006</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eastAsia="Times New Roman" w:hAnsi="Times New Roman" w:cs="Times New Roman"/>
                <w:noProof/>
              </w:rPr>
              <w:t>Council Regulation (EC) No 1085/2006</w:t>
            </w:r>
          </w:p>
        </w:tc>
        <w:tc>
          <w:tcPr>
            <w:tcW w:w="1271" w:type="pct"/>
            <w:shd w:val="clear" w:color="auto" w:fill="D3DFEE"/>
            <w:vAlign w:val="center"/>
          </w:tcPr>
          <w:p>
            <w:pPr>
              <w:spacing w:before="60" w:after="120" w:line="240" w:lineRule="auto"/>
              <w:jc w:val="center"/>
              <w:rPr>
                <w:rFonts w:ascii="Times New Roman" w:hAnsi="Times New Roman" w:cs="Times New Roman"/>
                <w:i/>
                <w:noProof/>
              </w:rPr>
            </w:pPr>
            <w:r>
              <w:rPr>
                <w:rFonts w:ascii="Times New Roman" w:eastAsia="Times New Roman" w:hAnsi="Times New Roman" w:cs="Times New Roman"/>
                <w:noProof/>
              </w:rPr>
              <w:t>Council Regulation (EC) No 1085/2006</w:t>
            </w:r>
          </w:p>
        </w:tc>
      </w:tr>
      <w:t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b) Description</w:t>
            </w:r>
          </w:p>
        </w:tc>
        <w:tc>
          <w:tcPr>
            <w:tcW w:w="1274" w:type="pct"/>
            <w:vAlign w:val="center"/>
          </w:tcPr>
          <w:p>
            <w:pPr>
              <w:spacing w:before="60" w:after="120" w:line="240" w:lineRule="auto"/>
              <w:rPr>
                <w:rFonts w:ascii="Times New Roman" w:hAnsi="Times New Roman" w:cs="Times New Roman"/>
                <w:noProof/>
              </w:rPr>
            </w:pPr>
            <w:r>
              <w:rPr>
                <w:rFonts w:ascii="Times New Roman" w:hAnsi="Times New Roman" w:cs="Times New Roman"/>
                <w:noProof/>
              </w:rPr>
              <w:t>Equity instrument financing early</w:t>
            </w:r>
            <w:r>
              <w:rPr>
                <w:rFonts w:ascii="Times New Roman" w:hAnsi="Times New Roman" w:cs="Times New Roman"/>
                <w:noProof/>
              </w:rPr>
              <w:noBreakHyphen/>
              <w:t>stage innovative SMEs in the Western Balkans</w:t>
            </w:r>
          </w:p>
        </w:tc>
        <w:tc>
          <w:tcPr>
            <w:tcW w:w="1274" w:type="pct"/>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Public-private partnership to assist the development of the private sector in the enlargement region by supporting SMEs</w:t>
            </w:r>
          </w:p>
        </w:tc>
        <w:tc>
          <w:tcPr>
            <w:tcW w:w="1271" w:type="pct"/>
            <w:tcBorders>
              <w:left w:val="nil"/>
              <w:right w:val="single" w:sz="8" w:space="0" w:color="7BA0CD"/>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Innovative fund to provide financing for energy efficiency and renewable energy projects in southeast Europe and Turkey</w:t>
            </w:r>
          </w:p>
        </w:tc>
      </w:tr>
      <w:tr>
        <w:trPr>
          <w:trHeight w:val="767"/>
        </w:trPr>
        <w:tc>
          <w:tcPr>
            <w:tcW w:w="1181"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 (trustee),</w:t>
            </w:r>
          </w:p>
          <w:p>
            <w:pPr>
              <w:spacing w:before="60" w:after="120" w:line="240" w:lineRule="auto"/>
              <w:jc w:val="center"/>
              <w:rPr>
                <w:rFonts w:ascii="Times New Roman" w:hAnsi="Times New Roman" w:cs="Times New Roman"/>
                <w:noProof/>
              </w:rPr>
            </w:pPr>
            <w:r>
              <w:rPr>
                <w:rFonts w:ascii="Times New Roman" w:hAnsi="Times New Roman" w:cs="Times New Roman"/>
                <w:noProof/>
              </w:rPr>
              <w:t>EBRD, KfW</w:t>
            </w:r>
          </w:p>
        </w:tc>
        <w:tc>
          <w:tcPr>
            <w:tcW w:w="1274" w:type="pct"/>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 (trustee)</w:t>
            </w:r>
          </w:p>
          <w:p>
            <w:pPr>
              <w:spacing w:before="60" w:after="120" w:line="240" w:lineRule="auto"/>
              <w:jc w:val="center"/>
              <w:rPr>
                <w:rFonts w:ascii="Times New Roman" w:hAnsi="Times New Roman" w:cs="Times New Roman"/>
                <w:noProof/>
              </w:rPr>
            </w:pPr>
            <w:r>
              <w:rPr>
                <w:rFonts w:ascii="Times New Roman" w:hAnsi="Times New Roman" w:cs="Times New Roman"/>
                <w:noProof/>
              </w:rPr>
              <w:t>Other investors (e,g, EBRD, KfW, EIB)</w:t>
            </w:r>
          </w:p>
        </w:tc>
        <w:tc>
          <w:tcPr>
            <w:tcW w:w="1271" w:type="pct"/>
            <w:tcBorders>
              <w:left w:val="nil"/>
              <w:right w:val="single" w:sz="8" w:space="0" w:color="7BA0CD"/>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EIF (trustee)</w:t>
            </w:r>
          </w:p>
          <w:p>
            <w:pPr>
              <w:spacing w:before="60" w:after="120" w:line="240" w:lineRule="auto"/>
              <w:jc w:val="center"/>
              <w:rPr>
                <w:rFonts w:ascii="Times New Roman" w:hAnsi="Times New Roman" w:cs="Times New Roman"/>
                <w:noProof/>
              </w:rPr>
            </w:pPr>
            <w:r>
              <w:rPr>
                <w:rFonts w:ascii="Times New Roman" w:hAnsi="Times New Roman" w:cs="Times New Roman"/>
                <w:noProof/>
              </w:rPr>
              <w:t>Co-investors (e,g, EIB, EBRD, KfW)</w:t>
            </w:r>
          </w:p>
        </w:tc>
      </w:tr>
      <w:t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d) Aggregate budg. commitments and payments</w:t>
            </w:r>
          </w:p>
        </w:tc>
        <w:tc>
          <w:tcPr>
            <w:tcW w:w="1274" w:type="pct"/>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21,2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21,2 m</w:t>
            </w:r>
          </w:p>
        </w:tc>
        <w:tc>
          <w:tcPr>
            <w:tcW w:w="1274"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87,68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87,68 m</w:t>
            </w:r>
          </w:p>
        </w:tc>
        <w:tc>
          <w:tcPr>
            <w:tcW w:w="1271"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38,6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38,6 m</w:t>
            </w:r>
          </w:p>
        </w:tc>
      </w:tr>
      <w:tr>
        <w:tc>
          <w:tcPr>
            <w:tcW w:w="1181"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e) Performance</w:t>
            </w:r>
          </w:p>
        </w:tc>
        <w:tc>
          <w:tcPr>
            <w:tcW w:w="1274"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 xml:space="preserve">EUR 50 million of expected financing, in the form of equity (at the level of the ENIF fund) </w:t>
            </w:r>
          </w:p>
        </w:tc>
        <w:tc>
          <w:tcPr>
            <w:tcW w:w="1274"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EU share of EUR 113,5 million committed to the EFSE fund</w:t>
            </w:r>
          </w:p>
        </w:tc>
        <w:tc>
          <w:tcPr>
            <w:tcW w:w="1271"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 xml:space="preserve">EU share of EUR 38,6 million committed to the GGF fund , with EUR 367,7 million expected financing </w:t>
            </w:r>
          </w:p>
        </w:tc>
      </w:tr>
      <w:t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f) Evaluation of use of amounts returned to the instrument</w:t>
            </w:r>
          </w:p>
        </w:tc>
        <w:tc>
          <w:tcPr>
            <w:tcW w:w="1274" w:type="pct"/>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4"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Not applicable</w:t>
            </w:r>
          </w:p>
        </w:tc>
        <w:tc>
          <w:tcPr>
            <w:tcW w:w="1271"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1181"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20,76 m</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Not applicable</w:t>
            </w:r>
          </w:p>
        </w:tc>
        <w:tc>
          <w:tcPr>
            <w:tcW w:w="1271"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h) Revenues and repayments</w:t>
            </w:r>
          </w:p>
        </w:tc>
        <w:tc>
          <w:tcPr>
            <w:tcW w:w="1274" w:type="pct"/>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4"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Not applicable</w:t>
            </w:r>
          </w:p>
        </w:tc>
        <w:tc>
          <w:tcPr>
            <w:tcW w:w="1271"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rPr>
          <w:trHeight w:val="907"/>
        </w:trPr>
        <w:tc>
          <w:tcPr>
            <w:tcW w:w="1181"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113,5 m (at EFSE level)</w:t>
            </w:r>
          </w:p>
        </w:tc>
        <w:tc>
          <w:tcPr>
            <w:tcW w:w="1271"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39,3 m (at GGF level)</w:t>
            </w:r>
          </w:p>
        </w:tc>
      </w:tr>
      <w:t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1274" w:type="pct"/>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4"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1271"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1181"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k) Leverage effect</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Expected: 2</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Achieved: 43</w:t>
            </w:r>
          </w:p>
        </w:tc>
        <w:tc>
          <w:tcPr>
            <w:tcW w:w="1271"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9,5</w:t>
            </w:r>
          </w:p>
          <w:p>
            <w:pPr>
              <w:spacing w:before="60" w:after="120" w:line="240" w:lineRule="auto"/>
              <w:jc w:val="center"/>
              <w:rPr>
                <w:rFonts w:ascii="Times New Roman" w:hAnsi="Times New Roman" w:cs="Times New Roman"/>
                <w:noProof/>
              </w:rPr>
            </w:pPr>
            <w:r>
              <w:rPr>
                <w:rFonts w:ascii="Times New Roman" w:hAnsi="Times New Roman" w:cs="Times New Roman"/>
                <w:noProof/>
              </w:rPr>
              <w:t>Expected: 8</w:t>
            </w:r>
          </w:p>
          <w:p>
            <w:pPr>
              <w:spacing w:before="60" w:after="120" w:line="240" w:lineRule="auto"/>
              <w:jc w:val="center"/>
              <w:rPr>
                <w:rFonts w:ascii="Times New Roman" w:hAnsi="Times New Roman" w:cs="Times New Roman"/>
                <w:noProof/>
              </w:rPr>
            </w:pPr>
            <w:r>
              <w:rPr>
                <w:rFonts w:ascii="Times New Roman" w:hAnsi="Times New Roman" w:cs="Times New Roman"/>
                <w:noProof/>
              </w:rPr>
              <w:t>Achieved: 7,5</w:t>
            </w:r>
          </w:p>
        </w:tc>
      </w:tr>
      <w:tr>
        <w:trPr>
          <w:trHeight w:val="761"/>
        </w:trP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1274" w:type="pct"/>
            <w:vAlign w:val="center"/>
          </w:tcPr>
          <w:p>
            <w:pPr>
              <w:spacing w:before="60" w:after="120" w:line="240" w:lineRule="auto"/>
              <w:rPr>
                <w:rFonts w:ascii="Times New Roman" w:hAnsi="Times New Roman" w:cs="Times New Roman"/>
                <w:noProof/>
              </w:rPr>
            </w:pPr>
            <w:r>
              <w:rPr>
                <w:rFonts w:ascii="Times New Roman" w:hAnsi="Times New Roman"/>
                <w:noProof/>
              </w:rPr>
              <w:t>EUR 50 million of expected financing, in the form of equity (at the level of the ENIF fund).</w:t>
            </w:r>
          </w:p>
        </w:tc>
        <w:tc>
          <w:tcPr>
            <w:tcW w:w="1274" w:type="pct"/>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EUR 3,8 billion of new financing supported for 598 735 final recipients;</w:t>
            </w:r>
          </w:p>
          <w:p>
            <w:pPr>
              <w:spacing w:before="60" w:after="120" w:line="240" w:lineRule="auto"/>
              <w:rPr>
                <w:rFonts w:ascii="Times New Roman" w:hAnsi="Times New Roman" w:cs="Times New Roman"/>
                <w:noProof/>
              </w:rPr>
            </w:pPr>
            <w:r>
              <w:rPr>
                <w:rFonts w:ascii="Times New Roman" w:hAnsi="Times New Roman" w:cs="Times New Roman"/>
                <w:noProof/>
              </w:rPr>
              <w:t>EFSE has been an international role model for micro-finance (see SWD).</w:t>
            </w:r>
          </w:p>
        </w:tc>
        <w:tc>
          <w:tcPr>
            <w:tcW w:w="1271" w:type="pct"/>
            <w:tcBorders>
              <w:left w:val="nil"/>
              <w:right w:val="single" w:sz="8" w:space="0" w:color="7BA0CD"/>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EUR 289 million of new financing supported for 18 203 final recipients;</w:t>
            </w:r>
          </w:p>
          <w:p>
            <w:pPr>
              <w:spacing w:before="60" w:after="120" w:line="240" w:lineRule="auto"/>
              <w:rPr>
                <w:rFonts w:ascii="Times New Roman" w:hAnsi="Times New Roman" w:cs="Times New Roman"/>
                <w:noProof/>
              </w:rPr>
            </w:pPr>
            <w:r>
              <w:rPr>
                <w:rFonts w:ascii="Times New Roman" w:hAnsi="Times New Roman" w:cs="Times New Roman"/>
                <w:noProof/>
              </w:rPr>
              <w:t>1 275 780 MWh/yr, annualised energy savings;</w:t>
            </w:r>
          </w:p>
          <w:p>
            <w:pPr>
              <w:spacing w:before="60" w:after="120" w:line="240" w:lineRule="auto"/>
              <w:rPr>
                <w:rFonts w:ascii="Times New Roman" w:hAnsi="Times New Roman" w:cs="Times New Roman"/>
                <w:noProof/>
              </w:rPr>
            </w:pPr>
            <w:r>
              <w:rPr>
                <w:rFonts w:ascii="Times New Roman" w:hAnsi="Times New Roman" w:cs="Times New Roman"/>
                <w:noProof/>
              </w:rPr>
              <w:t>CO</w:t>
            </w:r>
            <w:r>
              <w:rPr>
                <w:rFonts w:ascii="Times New Roman" w:hAnsi="Times New Roman" w:cs="Times New Roman"/>
                <w:noProof/>
                <w:vertAlign w:val="subscript"/>
              </w:rPr>
              <w:t>2</w:t>
            </w:r>
            <w:r>
              <w:rPr>
                <w:rFonts w:ascii="Times New Roman" w:hAnsi="Times New Roman" w:cs="Times New Roman"/>
                <w:noProof/>
              </w:rPr>
              <w:t xml:space="preserve"> reduction of 330 741 tonnes/yr.</w:t>
            </w:r>
          </w:p>
        </w:tc>
      </w:tr>
    </w:tbl>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tbl>
      <w:tblPr>
        <w:tblW w:w="2470" w:type="pct"/>
        <w:tblInd w:w="-3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210"/>
        <w:gridCol w:w="2378"/>
      </w:tblGrid>
      <w:tr>
        <w:trPr>
          <w:trHeight w:val="2171"/>
        </w:trPr>
        <w:tc>
          <w:tcPr>
            <w:tcW w:w="2409" w:type="pct"/>
            <w:tcBorders>
              <w:top w:val="single" w:sz="8" w:space="0" w:color="7BA0CD"/>
              <w:left w:val="single" w:sz="8" w:space="0" w:color="7BA0CD"/>
              <w:bottom w:val="single" w:sz="8" w:space="0" w:color="7BA0CD"/>
              <w:right w:val="nil"/>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noProof/>
              </w:rPr>
              <w:br w:type="page"/>
            </w:r>
          </w:p>
        </w:tc>
        <w:tc>
          <w:tcPr>
            <w:tcW w:w="2591" w:type="pct"/>
            <w:tcBorders>
              <w:top w:val="single" w:sz="8" w:space="0" w:color="7BA0CD"/>
              <w:left w:val="nil"/>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SME Recovery Support Loan for Turkey — RSL</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(V.5.7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themeColor="background1"/>
              </w:rPr>
              <w:t>Policy DG in charge NEAR</w:t>
            </w:r>
          </w:p>
        </w:tc>
      </w:tr>
      <w:tr>
        <w:trPr>
          <w:trHeight w:val="968"/>
        </w:trPr>
        <w:tc>
          <w:tcPr>
            <w:tcW w:w="2409"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a) ID/basic act</w:t>
            </w:r>
          </w:p>
        </w:tc>
        <w:tc>
          <w:tcPr>
            <w:tcW w:w="2591" w:type="pct"/>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Council Regulation (EC) No 1085/2006</w:t>
            </w:r>
          </w:p>
        </w:tc>
      </w:tr>
      <w:tr>
        <w:trPr>
          <w:trHeight w:val="1984"/>
        </w:trPr>
        <w:tc>
          <w:tcPr>
            <w:tcW w:w="2409"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b) Description</w:t>
            </w:r>
          </w:p>
        </w:tc>
        <w:tc>
          <w:tcPr>
            <w:tcW w:w="2591" w:type="pct"/>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Co-financing instrument to mitigate the impact of the crisis and support SMEs in order to develop the Turkish economy</w:t>
            </w:r>
          </w:p>
        </w:tc>
      </w:tr>
      <w:tr>
        <w:trPr>
          <w:trHeight w:val="1673"/>
        </w:trPr>
        <w:tc>
          <w:tcPr>
            <w:tcW w:w="2409"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2591" w:type="pct"/>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EIB (risk</w:t>
            </w:r>
            <w:r>
              <w:rPr>
                <w:rFonts w:ascii="Times New Roman" w:hAnsi="Times New Roman" w:cs="Times New Roman"/>
                <w:noProof/>
              </w:rPr>
              <w:noBreakHyphen/>
              <w:t>sharing partner)</w:t>
            </w:r>
          </w:p>
          <w:p>
            <w:pPr>
              <w:spacing w:before="60" w:after="120" w:line="240" w:lineRule="auto"/>
              <w:jc w:val="center"/>
              <w:rPr>
                <w:rFonts w:ascii="Times New Roman" w:hAnsi="Times New Roman" w:cs="Times New Roman"/>
                <w:noProof/>
              </w:rPr>
            </w:pPr>
            <w:r>
              <w:rPr>
                <w:rFonts w:ascii="Times New Roman" w:hAnsi="Times New Roman" w:cs="Times New Roman"/>
                <w:noProof/>
              </w:rPr>
              <w:t>Halkbank, Akbank</w:t>
            </w:r>
          </w:p>
        </w:tc>
      </w:tr>
      <w:tr>
        <w:tc>
          <w:tcPr>
            <w:tcW w:w="2409"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2591" w:type="pct"/>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30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30 m</w:t>
            </w:r>
          </w:p>
        </w:tc>
      </w:tr>
      <w:tr>
        <w:tc>
          <w:tcPr>
            <w:tcW w:w="2409"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e) Performance</w:t>
            </w:r>
          </w:p>
        </w:tc>
        <w:tc>
          <w:tcPr>
            <w:tcW w:w="2591" w:type="pct"/>
            <w:tcBorders>
              <w:lef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EUR 299,6 million of financing already provided  to 265  final recipients</w:t>
            </w:r>
          </w:p>
        </w:tc>
      </w:tr>
      <w:tr>
        <w:tc>
          <w:tcPr>
            <w:tcW w:w="2409"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f) Evaluation of the use of any amounts returned to the instrument</w:t>
            </w:r>
          </w:p>
        </w:tc>
        <w:tc>
          <w:tcPr>
            <w:tcW w:w="2591" w:type="pct"/>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409"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2591" w:type="pct"/>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19,4 m</w:t>
            </w:r>
          </w:p>
        </w:tc>
      </w:tr>
      <w:tr>
        <w:tc>
          <w:tcPr>
            <w:tcW w:w="2409"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h) Revenues and repayments</w:t>
            </w:r>
          </w:p>
        </w:tc>
        <w:tc>
          <w:tcPr>
            <w:tcW w:w="2591" w:type="pct"/>
            <w:tcBorders>
              <w:left w:val="nil"/>
            </w:tcBorders>
            <w:shd w:val="clear" w:color="auto" w:fill="auto"/>
            <w:vAlign w:val="center"/>
          </w:tcPr>
          <w:p>
            <w:pPr>
              <w:spacing w:before="60" w:after="120" w:line="240" w:lineRule="auto"/>
              <w:contextualSpacing/>
              <w:jc w:val="center"/>
              <w:rPr>
                <w:rFonts w:ascii="Times New Roman" w:hAnsi="Times New Roman" w:cs="Times New Roman"/>
                <w:noProof/>
              </w:rPr>
            </w:pPr>
            <w:r>
              <w:rPr>
                <w:rFonts w:ascii="Times New Roman" w:hAnsi="Times New Roman" w:cs="Times New Roman"/>
                <w:noProof/>
              </w:rPr>
              <w:t>EUR 9,4 m</w:t>
            </w:r>
          </w:p>
        </w:tc>
      </w:tr>
      <w:tr>
        <w:tc>
          <w:tcPr>
            <w:tcW w:w="2409"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2591" w:type="pct"/>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409"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2591" w:type="pct"/>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409"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k) Leverage effect</w:t>
            </w:r>
          </w:p>
        </w:tc>
        <w:tc>
          <w:tcPr>
            <w:tcW w:w="2591" w:type="pct"/>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10</w:t>
            </w:r>
          </w:p>
          <w:p>
            <w:pPr>
              <w:spacing w:before="60" w:after="120" w:line="240" w:lineRule="auto"/>
              <w:jc w:val="center"/>
              <w:rPr>
                <w:rFonts w:ascii="Times New Roman" w:hAnsi="Times New Roman" w:cs="Times New Roman"/>
                <w:noProof/>
              </w:rPr>
            </w:pPr>
            <w:r>
              <w:rPr>
                <w:rFonts w:ascii="Times New Roman" w:hAnsi="Times New Roman" w:cs="Times New Roman"/>
                <w:noProof/>
              </w:rPr>
              <w:t>Achieved: 10</w:t>
            </w:r>
          </w:p>
        </w:tc>
      </w:tr>
      <w:tr>
        <w:trPr>
          <w:trHeight w:val="761"/>
        </w:trPr>
        <w:tc>
          <w:tcPr>
            <w:tcW w:w="2409"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2591" w:type="pct"/>
            <w:tcBorders>
              <w:left w:val="nil"/>
            </w:tcBorders>
            <w:shd w:val="clear" w:color="auto" w:fill="auto"/>
            <w:vAlign w:val="center"/>
          </w:tcPr>
          <w:p>
            <w:pPr>
              <w:pStyle w:val="ListParagraph"/>
              <w:spacing w:after="120" w:line="240" w:lineRule="auto"/>
              <w:ind w:left="0"/>
              <w:rPr>
                <w:noProof/>
                <w:sz w:val="22"/>
              </w:rPr>
            </w:pPr>
            <w:r>
              <w:rPr>
                <w:noProof/>
                <w:sz w:val="22"/>
              </w:rPr>
              <w:t>EUR 299,6 million of new financing supported for 265 eligible final recipients,</w:t>
            </w:r>
            <w:r>
              <w:rPr>
                <w:noProof/>
              </w:rPr>
              <w:t xml:space="preserve"> aimed at creating more than 4 000 new jobs.</w:t>
            </w:r>
          </w:p>
        </w:tc>
      </w:tr>
    </w:tbl>
    <w:p>
      <w:pPr>
        <w:pStyle w:val="Heading4"/>
        <w:spacing w:before="120"/>
        <w:rPr>
          <w:noProof/>
          <w:sz w:val="22"/>
          <w:szCs w:val="22"/>
        </w:rPr>
      </w:pPr>
      <w:bookmarkStart w:id="25" w:name="_Toc399517423"/>
      <w:r>
        <w:rPr>
          <w:noProof/>
          <w:sz w:val="22"/>
          <w:szCs w:val="22"/>
        </w:rPr>
        <w:br w:type="page"/>
        <w:t>Financial instruments in Neighbourhood and DCI countries</w:t>
      </w:r>
      <w:bookmarkEnd w:id="25"/>
    </w:p>
    <w:tbl>
      <w:tblPr>
        <w:tblW w:w="935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211"/>
        <w:gridCol w:w="2381"/>
        <w:gridCol w:w="2381"/>
        <w:gridCol w:w="2381"/>
      </w:tblGrid>
      <w:tr>
        <w:tc>
          <w:tcPr>
            <w:tcW w:w="2211" w:type="dxa"/>
            <w:tcBorders>
              <w:top w:val="single" w:sz="8" w:space="0" w:color="7BA0CD"/>
              <w:left w:val="single" w:sz="8" w:space="0" w:color="7BA0CD"/>
              <w:bottom w:val="single" w:sz="8" w:space="0" w:color="7BA0CD"/>
              <w:right w:val="nil"/>
            </w:tcBorders>
            <w:shd w:val="clear" w:color="auto" w:fill="4F81BD"/>
            <w:vAlign w:val="center"/>
          </w:tcPr>
          <w:p>
            <w:pPr>
              <w:spacing w:before="60" w:after="120" w:line="360" w:lineRule="auto"/>
              <w:jc w:val="center"/>
              <w:rPr>
                <w:rFonts w:ascii="Times New Roman" w:hAnsi="Times New Roman" w:cs="Times New Roman"/>
                <w:b/>
                <w:bCs/>
                <w:noProof/>
                <w:color w:val="FFFFFF"/>
              </w:rPr>
            </w:pPr>
          </w:p>
        </w:tc>
        <w:tc>
          <w:tcPr>
            <w:tcW w:w="2381" w:type="dxa"/>
            <w:tcBorders>
              <w:top w:val="single" w:sz="8" w:space="0" w:color="7BA0CD"/>
              <w:left w:val="nil"/>
              <w:bottom w:val="single" w:sz="8" w:space="0" w:color="7BA0CD"/>
              <w:right w:val="nil"/>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Neighbourhood Investment Facility – NIF</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(V.6.1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 in charge: NEAR</w:t>
            </w:r>
          </w:p>
        </w:tc>
        <w:tc>
          <w:tcPr>
            <w:tcW w:w="2381" w:type="dxa"/>
            <w:tcBorders>
              <w:top w:val="single" w:sz="8" w:space="0" w:color="7BA0CD"/>
              <w:left w:val="nil"/>
              <w:bottom w:val="single" w:sz="8" w:space="0" w:color="7BA0CD"/>
              <w:right w:val="nil"/>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Investment Facility for Central Asia — IFCA</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(V.6.2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 in charge: DEVCO</w:t>
            </w:r>
          </w:p>
        </w:tc>
        <w:tc>
          <w:tcPr>
            <w:tcW w:w="2381" w:type="dxa"/>
            <w:tcBorders>
              <w:top w:val="single" w:sz="8" w:space="0" w:color="7BA0CD"/>
              <w:left w:val="nil"/>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Asian Investment Facility — AIF</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(V.6.2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 in charge: DEVCO</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a) ID/basic act</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Regulation (EC) No 1638/2006</w:t>
            </w:r>
          </w:p>
          <w:p>
            <w:pPr>
              <w:spacing w:before="60" w:after="120" w:line="240" w:lineRule="auto"/>
              <w:jc w:val="center"/>
              <w:rPr>
                <w:rFonts w:ascii="Times New Roman" w:hAnsi="Times New Roman" w:cs="Times New Roman"/>
                <w:noProof/>
              </w:rPr>
            </w:pPr>
            <w:r>
              <w:rPr>
                <w:rFonts w:ascii="Times New Roman" w:hAnsi="Times New Roman" w:cs="Times New Roman"/>
                <w:noProof/>
              </w:rPr>
              <w:t>Regulation (EU) No 232/2014</w:t>
            </w:r>
          </w:p>
          <w:p>
            <w:pPr>
              <w:spacing w:before="60" w:after="120" w:line="240" w:lineRule="auto"/>
              <w:jc w:val="center"/>
              <w:rPr>
                <w:rFonts w:ascii="Times New Roman" w:hAnsi="Times New Roman" w:cs="Times New Roman"/>
                <w:noProof/>
              </w:rPr>
            </w:pPr>
            <w:r>
              <w:rPr>
                <w:rFonts w:ascii="Times New Roman" w:hAnsi="Times New Roman" w:cs="Times New Roman"/>
                <w:noProof/>
              </w:rPr>
              <w:t>Regulation (EU) 236/2014</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lang w:val="pt-PT"/>
              </w:rPr>
            </w:pPr>
            <w:r>
              <w:rPr>
                <w:rFonts w:ascii="Times New Roman" w:hAnsi="Times New Roman" w:cs="Times New Roman"/>
                <w:noProof/>
                <w:lang w:val="pt-PT"/>
              </w:rPr>
              <w:t>Regulation (EC) No 1905/2006</w:t>
            </w:r>
          </w:p>
          <w:p>
            <w:pPr>
              <w:spacing w:before="60" w:after="120" w:line="240" w:lineRule="auto"/>
              <w:jc w:val="center"/>
              <w:rPr>
                <w:rFonts w:ascii="Times New Roman" w:hAnsi="Times New Roman" w:cs="Times New Roman"/>
                <w:noProof/>
                <w:lang w:val="pt-PT"/>
              </w:rPr>
            </w:pPr>
            <w:r>
              <w:rPr>
                <w:rFonts w:ascii="Times New Roman" w:hAnsi="Times New Roman" w:cs="Times New Roman"/>
                <w:noProof/>
                <w:lang w:val="pt-PT"/>
              </w:rPr>
              <w:t>Regulation (EU) No 233/2014</w:t>
            </w:r>
          </w:p>
          <w:p>
            <w:pPr>
              <w:spacing w:before="60" w:after="120" w:line="240" w:lineRule="auto"/>
              <w:jc w:val="center"/>
              <w:rPr>
                <w:noProof/>
                <w:lang w:val="pt-PT"/>
              </w:rPr>
            </w:pPr>
            <w:r>
              <w:rPr>
                <w:rFonts w:ascii="Times New Roman" w:hAnsi="Times New Roman" w:cs="Times New Roman"/>
                <w:noProof/>
                <w:lang w:val="pt-PT"/>
              </w:rPr>
              <w:t>Regulation (EU) No 236/2014</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lang w:val="pt-PT"/>
              </w:rPr>
            </w:pPr>
            <w:r>
              <w:rPr>
                <w:rFonts w:ascii="Times New Roman" w:hAnsi="Times New Roman" w:cs="Times New Roman"/>
                <w:noProof/>
                <w:lang w:val="pt-PT"/>
              </w:rPr>
              <w:t>Regulation (EC) No 1905/2006</w:t>
            </w:r>
          </w:p>
          <w:p>
            <w:pPr>
              <w:spacing w:before="60" w:after="120" w:line="240" w:lineRule="auto"/>
              <w:jc w:val="center"/>
              <w:rPr>
                <w:rFonts w:ascii="Times New Roman" w:hAnsi="Times New Roman" w:cs="Times New Roman"/>
                <w:noProof/>
                <w:lang w:val="pt-PT"/>
              </w:rPr>
            </w:pPr>
            <w:r>
              <w:rPr>
                <w:rFonts w:ascii="Times New Roman" w:hAnsi="Times New Roman" w:cs="Times New Roman"/>
                <w:noProof/>
                <w:lang w:val="pt-PT"/>
              </w:rPr>
              <w:t>Regulation (EU) No 233/2014</w:t>
            </w:r>
          </w:p>
          <w:p>
            <w:pPr>
              <w:spacing w:before="60" w:after="120" w:line="240" w:lineRule="auto"/>
              <w:jc w:val="center"/>
              <w:rPr>
                <w:rFonts w:ascii="Times New Roman" w:hAnsi="Times New Roman" w:cs="Times New Roman"/>
                <w:noProof/>
                <w:lang w:val="pt-PT"/>
              </w:rPr>
            </w:pPr>
            <w:r>
              <w:rPr>
                <w:rFonts w:ascii="Times New Roman" w:hAnsi="Times New Roman" w:cs="Times New Roman"/>
                <w:noProof/>
                <w:lang w:val="pt-PT"/>
              </w:rPr>
              <w:t>Regulation (EU) No 236/2014</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b) Description</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Instrument  promoting investments with a focus on energy, transport, environment, SMEs and socio-economic development</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Instrument promoting investments and key infrastructures with a focus on energy and environment</w:t>
            </w: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cs="Times New Roman"/>
                <w:noProof/>
              </w:rPr>
              <w:t>Instrument promoting investments and key infrastructure with a focus on climate change and ‘green’ investments, SMEs</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EIB, EBRD, CEB, NIB, AFD, KfW, AECID, SIMEST</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EIB, EBRD, NIB, KfW, AFD, SIMEST, AECID</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EIB, EBRD, NIB, KfW, AFD, SIMEST, AECID</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1 454,1 m</w:t>
            </w:r>
          </w:p>
          <w:p>
            <w:pPr>
              <w:spacing w:before="60" w:after="120" w:line="240" w:lineRule="auto"/>
              <w:jc w:val="center"/>
              <w:rPr>
                <w:rFonts w:ascii="Times New Roman" w:hAnsi="Times New Roman" w:cs="Times New Roman"/>
                <w:noProof/>
                <w:lang w:val="fr-BE"/>
              </w:rPr>
            </w:pPr>
            <w:r>
              <w:rPr>
                <w:rFonts w:ascii="Times New Roman" w:hAnsi="Times New Roman" w:cs="Times New Roman"/>
                <w:noProof/>
                <w:lang w:val="fr-BE"/>
              </w:rPr>
              <w:t xml:space="preserve">EUR </w:t>
            </w:r>
            <w:r>
              <w:rPr>
                <w:rFonts w:ascii="Times New Roman" w:eastAsia="Times New Roman" w:hAnsi="Times New Roman" w:cs="Times New Roman"/>
                <w:noProof/>
                <w:lang w:val="fr-BE" w:eastAsia="en-GB"/>
              </w:rPr>
              <w:t>545,7 m</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145,6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52,7 m</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142 m</w:t>
            </w:r>
          </w:p>
          <w:p>
            <w:pPr>
              <w:spacing w:before="60" w:after="120" w:line="240" w:lineRule="auto"/>
              <w:jc w:val="center"/>
              <w:rPr>
                <w:rFonts w:ascii="Times New Roman" w:hAnsi="Times New Roman" w:cs="Times New Roman"/>
                <w:noProof/>
              </w:rPr>
            </w:pPr>
            <w:r>
              <w:rPr>
                <w:rFonts w:ascii="Times New Roman" w:hAnsi="Times New Roman" w:cs="Times New Roman"/>
                <w:noProof/>
              </w:rPr>
              <w:t>EUR 28,8 m</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e) Performance</w:t>
            </w:r>
          </w:p>
        </w:tc>
        <w:tc>
          <w:tcPr>
            <w:tcW w:w="2381" w:type="dxa"/>
            <w:tcBorders>
              <w:left w:val="nil"/>
              <w:righ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EUR 13,8 billion financing approved for 112 projects</w:t>
            </w:r>
          </w:p>
          <w:p>
            <w:pPr>
              <w:spacing w:before="60" w:after="120" w:line="240" w:lineRule="auto"/>
              <w:rPr>
                <w:rFonts w:ascii="Times New Roman" w:hAnsi="Times New Roman" w:cs="Times New Roman"/>
                <w:noProof/>
              </w:rPr>
            </w:pPr>
          </w:p>
        </w:tc>
        <w:tc>
          <w:tcPr>
            <w:tcW w:w="2381" w:type="dxa"/>
            <w:tcBorders>
              <w:left w:val="nil"/>
              <w:righ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 xml:space="preserve">EUR 672 million financing approved (119 million of EU contribution + 553 million through european financial institutions) for 20 projects  </w:t>
            </w:r>
          </w:p>
        </w:tc>
        <w:tc>
          <w:tcPr>
            <w:tcW w:w="2381" w:type="dxa"/>
            <w:tcBorders>
              <w:lef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cs="Times New Roman"/>
                <w:noProof/>
              </w:rPr>
              <w:t>EUR 1 525 million financing approved (89 million of EU contribution + 1 436 million through EFIs) for 18 projects</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f) Evaluation of use of amounts returned to the instrument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SANAD: EUR 1,0 m</w:t>
            </w:r>
          </w:p>
          <w:p>
            <w:pPr>
              <w:spacing w:before="60" w:after="120" w:line="240" w:lineRule="auto"/>
              <w:jc w:val="center"/>
              <w:rPr>
                <w:rFonts w:ascii="Times New Roman" w:hAnsi="Times New Roman" w:cs="Times New Roman"/>
                <w:noProof/>
              </w:rPr>
            </w:pPr>
            <w:r>
              <w:rPr>
                <w:rFonts w:ascii="Times New Roman" w:hAnsi="Times New Roman" w:cs="Times New Roman"/>
                <w:noProof/>
              </w:rPr>
              <w:t>GGF: EUR 2,1 m</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MIFA ‘Debt Fund’:                                   EUR 0</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As for IFCA</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h) Revenues and repayments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15,3 m</w:t>
            </w:r>
          </w:p>
          <w:p>
            <w:pPr>
              <w:spacing w:before="60" w:after="120" w:line="240" w:lineRule="auto"/>
              <w:jc w:val="center"/>
              <w:rPr>
                <w:rFonts w:ascii="Times New Roman" w:hAnsi="Times New Roman" w:cs="Times New Roman"/>
                <w:noProof/>
              </w:rPr>
            </w:pPr>
            <w:r>
              <w:rPr>
                <w:rFonts w:ascii="Times New Roman" w:hAnsi="Times New Roman" w:cs="Times New Roman"/>
                <w:noProof/>
              </w:rPr>
              <w:t>USD 9,6 m</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EUR 8,9 m</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As for IFCA</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None</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NA</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k) Leverage effect</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4-5</w:t>
            </w:r>
          </w:p>
          <w:p>
            <w:pPr>
              <w:spacing w:before="60" w:after="120" w:line="240" w:lineRule="auto"/>
              <w:jc w:val="center"/>
              <w:rPr>
                <w:rFonts w:ascii="Times New Roman" w:hAnsi="Times New Roman" w:cs="Times New Roman"/>
                <w:noProof/>
              </w:rPr>
            </w:pPr>
            <w:r>
              <w:rPr>
                <w:rFonts w:ascii="Times New Roman" w:hAnsi="Times New Roman" w:cs="Times New Roman"/>
                <w:noProof/>
              </w:rPr>
              <w:t>Expected (2008-14): 11,41</w:t>
            </w:r>
          </w:p>
          <w:p>
            <w:pPr>
              <w:spacing w:before="60" w:after="120" w:line="240" w:lineRule="auto"/>
              <w:jc w:val="center"/>
              <w:rPr>
                <w:rFonts w:ascii="Times New Roman" w:hAnsi="Times New Roman" w:cs="Times New Roman"/>
                <w:noProof/>
              </w:rPr>
            </w:pPr>
            <w:r>
              <w:rPr>
                <w:rFonts w:ascii="Times New Roman" w:hAnsi="Times New Roman" w:cs="Times New Roman"/>
                <w:noProof/>
              </w:rPr>
              <w:t>Expected (2015): 5,91</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4-5</w:t>
            </w:r>
          </w:p>
          <w:p>
            <w:pPr>
              <w:spacing w:before="60" w:after="120" w:line="240" w:lineRule="auto"/>
              <w:jc w:val="center"/>
              <w:rPr>
                <w:rFonts w:ascii="Times New Roman" w:hAnsi="Times New Roman" w:cs="Times New Roman"/>
                <w:noProof/>
              </w:rPr>
            </w:pPr>
            <w:r>
              <w:rPr>
                <w:rFonts w:ascii="Times New Roman" w:hAnsi="Times New Roman" w:cs="Times New Roman"/>
                <w:noProof/>
              </w:rPr>
              <w:t>Achieved: 6,96</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cs="Times New Roman"/>
                <w:noProof/>
              </w:rPr>
              <w:t>Target: 4-5</w:t>
            </w:r>
          </w:p>
          <w:p>
            <w:pPr>
              <w:spacing w:before="60" w:after="120" w:line="240" w:lineRule="auto"/>
              <w:jc w:val="center"/>
              <w:rPr>
                <w:rFonts w:ascii="Times New Roman" w:hAnsi="Times New Roman" w:cs="Times New Roman"/>
                <w:noProof/>
              </w:rPr>
            </w:pPr>
            <w:r>
              <w:rPr>
                <w:rFonts w:ascii="Times New Roman" w:hAnsi="Times New Roman" w:cs="Times New Roman"/>
                <w:noProof/>
              </w:rPr>
              <w:t>Achieved: 29,4</w:t>
            </w:r>
          </w:p>
        </w:tc>
      </w:tr>
      <w:tr>
        <w:trPr>
          <w:trHeight w:val="761"/>
        </w:trP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2381" w:type="dxa"/>
            <w:tcBorders>
              <w:left w:val="nil"/>
              <w:right w:val="nil"/>
            </w:tcBorders>
            <w:shd w:val="clear" w:color="auto" w:fill="auto"/>
            <w:vAlign w:val="center"/>
          </w:tcPr>
          <w:p>
            <w:pPr>
              <w:autoSpaceDE w:val="0"/>
              <w:autoSpaceDN w:val="0"/>
              <w:adjustRightInd w:val="0"/>
              <w:spacing w:before="60" w:after="120" w:line="240" w:lineRule="auto"/>
              <w:rPr>
                <w:rFonts w:ascii="Times New Roman" w:hAnsi="Times New Roman" w:cs="Times New Roman"/>
                <w:noProof/>
              </w:rPr>
            </w:pPr>
            <w:r>
              <w:rPr>
                <w:rFonts w:ascii="Times New Roman" w:hAnsi="Times New Roman" w:cs="Times New Roman"/>
                <w:noProof/>
              </w:rPr>
              <w:t>EUR 28,8 billion of investments supported (total project costs);</w:t>
            </w:r>
          </w:p>
          <w:p>
            <w:pPr>
              <w:autoSpaceDE w:val="0"/>
              <w:autoSpaceDN w:val="0"/>
              <w:adjustRightInd w:val="0"/>
              <w:spacing w:before="60" w:after="120" w:line="240" w:lineRule="auto"/>
              <w:rPr>
                <w:rFonts w:ascii="Times New Roman" w:hAnsi="Times New Roman" w:cs="Times New Roman"/>
                <w:noProof/>
              </w:rPr>
            </w:pPr>
            <w:r>
              <w:rPr>
                <w:rFonts w:ascii="Times New Roman" w:hAnsi="Times New Roman" w:cs="Times New Roman"/>
                <w:noProof/>
              </w:rPr>
              <w:t>6 countries covered.</w:t>
            </w:r>
          </w:p>
        </w:tc>
        <w:tc>
          <w:tcPr>
            <w:tcW w:w="2381" w:type="dxa"/>
            <w:tcBorders>
              <w:left w:val="nil"/>
              <w:right w:val="nil"/>
            </w:tcBorders>
            <w:shd w:val="clear" w:color="auto" w:fill="auto"/>
            <w:vAlign w:val="center"/>
          </w:tcPr>
          <w:p>
            <w:pPr>
              <w:pStyle w:val="ListParagraph"/>
              <w:spacing w:after="120" w:line="240" w:lineRule="auto"/>
              <w:ind w:left="0"/>
              <w:rPr>
                <w:noProof/>
                <w:sz w:val="22"/>
              </w:rPr>
            </w:pPr>
            <w:r>
              <w:rPr>
                <w:noProof/>
                <w:sz w:val="22"/>
              </w:rPr>
              <w:t>EUR 828 million of investments supported;</w:t>
            </w:r>
          </w:p>
          <w:p>
            <w:pPr>
              <w:pStyle w:val="ListParagraph"/>
              <w:spacing w:after="120" w:line="240" w:lineRule="auto"/>
              <w:ind w:left="0"/>
              <w:rPr>
                <w:noProof/>
                <w:sz w:val="22"/>
              </w:rPr>
            </w:pPr>
          </w:p>
          <w:p>
            <w:pPr>
              <w:pStyle w:val="ListParagraph"/>
              <w:spacing w:after="120" w:line="240" w:lineRule="auto"/>
              <w:ind w:left="0"/>
              <w:rPr>
                <w:noProof/>
                <w:sz w:val="22"/>
              </w:rPr>
            </w:pPr>
            <w:r>
              <w:rPr>
                <w:noProof/>
                <w:sz w:val="22"/>
              </w:rPr>
              <w:t>5 countries covered.</w:t>
            </w:r>
          </w:p>
        </w:tc>
        <w:tc>
          <w:tcPr>
            <w:tcW w:w="2381" w:type="dxa"/>
            <w:tcBorders>
              <w:left w:val="nil"/>
            </w:tcBorders>
            <w:shd w:val="clear" w:color="auto" w:fill="auto"/>
            <w:vAlign w:val="center"/>
          </w:tcPr>
          <w:p>
            <w:pPr>
              <w:pStyle w:val="ListParagraph"/>
              <w:spacing w:after="120" w:line="240" w:lineRule="auto"/>
              <w:ind w:left="0"/>
              <w:rPr>
                <w:noProof/>
                <w:sz w:val="22"/>
              </w:rPr>
            </w:pPr>
            <w:r>
              <w:rPr>
                <w:noProof/>
                <w:sz w:val="22"/>
              </w:rPr>
              <w:t>EUR 2,63 billion of  investments supported;</w:t>
            </w:r>
          </w:p>
          <w:p>
            <w:pPr>
              <w:pStyle w:val="ListParagraph"/>
              <w:spacing w:after="120" w:line="240" w:lineRule="auto"/>
              <w:ind w:left="0"/>
              <w:rPr>
                <w:noProof/>
                <w:sz w:val="22"/>
              </w:rPr>
            </w:pPr>
          </w:p>
          <w:p>
            <w:pPr>
              <w:pStyle w:val="ListParagraph"/>
              <w:spacing w:after="120" w:line="240" w:lineRule="auto"/>
              <w:ind w:left="0"/>
              <w:rPr>
                <w:noProof/>
                <w:sz w:val="22"/>
              </w:rPr>
            </w:pPr>
            <w:r>
              <w:rPr>
                <w:noProof/>
                <w:sz w:val="22"/>
              </w:rPr>
              <w:t>9 countries covered.</w:t>
            </w:r>
          </w:p>
        </w:tc>
      </w:tr>
    </w:tbl>
    <w:p>
      <w:pPr>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br w:type="page"/>
      </w:r>
    </w:p>
    <w:tbl>
      <w:tblPr>
        <w:tblW w:w="9322"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985"/>
        <w:gridCol w:w="2518"/>
        <w:gridCol w:w="2409"/>
        <w:gridCol w:w="2410"/>
      </w:tblGrid>
      <w:tr>
        <w:trPr>
          <w:trHeight w:val="2608"/>
        </w:trPr>
        <w:tc>
          <w:tcPr>
            <w:tcW w:w="1985" w:type="dxa"/>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2518"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Latin America Investment Facility — LAIF</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(V.6.3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 in charge: DEVCO</w:t>
            </w:r>
          </w:p>
        </w:tc>
        <w:tc>
          <w:tcPr>
            <w:tcW w:w="2409"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Support to the Facility for FEMIP</w:t>
            </w:r>
            <w:r>
              <w:rPr>
                <w:rStyle w:val="FootnoteReference"/>
                <w:rFonts w:ascii="Times New Roman" w:hAnsi="Times New Roman" w:cs="Times New Roman"/>
                <w:b/>
                <w:bCs/>
                <w:noProof/>
                <w:color w:val="FFFFFF"/>
              </w:rPr>
              <w:footnoteReference w:id="11"/>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(V.6.4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 in charge:</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NEAR</w:t>
            </w:r>
          </w:p>
        </w:tc>
        <w:tc>
          <w:tcPr>
            <w:tcW w:w="2410" w:type="dxa"/>
            <w:tcBorders>
              <w:top w:val="single" w:sz="8" w:space="0" w:color="7BA0CD"/>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GEEREF</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(V.6.5 SWD)</w:t>
            </w:r>
          </w:p>
          <w:p>
            <w:pPr>
              <w:spacing w:before="60" w:after="120" w:line="360" w:lineRule="auto"/>
              <w:jc w:val="center"/>
              <w:rPr>
                <w:rFonts w:ascii="Times New Roman" w:hAnsi="Times New Roman" w:cs="Times New Roman"/>
                <w:b/>
                <w:bCs/>
                <w:noProof/>
                <w:color w:val="FFFFFF"/>
              </w:rPr>
            </w:pPr>
            <w:r>
              <w:rPr>
                <w:rFonts w:ascii="Times New Roman" w:hAnsi="Times New Roman" w:cs="Times New Roman"/>
                <w:b/>
                <w:bCs/>
                <w:noProof/>
                <w:color w:val="FFFFFF"/>
              </w:rPr>
              <w:t>Policy DG in charge: DEVCO</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a) ID/basic act</w:t>
            </w:r>
          </w:p>
        </w:tc>
        <w:tc>
          <w:tcPr>
            <w:tcW w:w="2518" w:type="dxa"/>
            <w:shd w:val="clear" w:color="auto" w:fill="D3DFEE"/>
            <w:vAlign w:val="center"/>
          </w:tcPr>
          <w:p>
            <w:pPr>
              <w:spacing w:before="60" w:after="120" w:line="240" w:lineRule="auto"/>
              <w:ind w:right="57"/>
              <w:jc w:val="center"/>
              <w:rPr>
                <w:rFonts w:ascii="Times New Roman" w:hAnsi="Times New Roman" w:cs="Times New Roman"/>
                <w:noProof/>
                <w:lang w:val="pt-PT"/>
              </w:rPr>
            </w:pPr>
            <w:r>
              <w:rPr>
                <w:rFonts w:ascii="Times New Roman" w:hAnsi="Times New Roman" w:cs="Times New Roman"/>
                <w:noProof/>
                <w:lang w:val="pt-PT"/>
              </w:rPr>
              <w:t>Regulation (EC) No 1905/2006</w:t>
            </w:r>
          </w:p>
          <w:p>
            <w:pPr>
              <w:spacing w:before="60" w:after="120" w:line="240" w:lineRule="auto"/>
              <w:ind w:right="57"/>
              <w:jc w:val="center"/>
              <w:rPr>
                <w:rFonts w:ascii="Times New Roman" w:hAnsi="Times New Roman" w:cs="Times New Roman"/>
                <w:noProof/>
                <w:lang w:val="pt-PT"/>
              </w:rPr>
            </w:pPr>
            <w:r>
              <w:rPr>
                <w:rFonts w:ascii="Times New Roman" w:hAnsi="Times New Roman" w:cs="Times New Roman"/>
                <w:noProof/>
                <w:lang w:val="pt-PT"/>
              </w:rPr>
              <w:t>Regulation (EU) No 233/2014</w:t>
            </w:r>
          </w:p>
          <w:p>
            <w:pPr>
              <w:spacing w:before="60" w:after="120" w:line="240" w:lineRule="auto"/>
              <w:ind w:right="57"/>
              <w:jc w:val="center"/>
              <w:rPr>
                <w:rFonts w:ascii="Times New Roman" w:hAnsi="Times New Roman" w:cs="Times New Roman"/>
                <w:noProof/>
                <w:lang w:val="pt-PT"/>
              </w:rPr>
            </w:pPr>
            <w:r>
              <w:rPr>
                <w:rFonts w:ascii="Times New Roman" w:hAnsi="Times New Roman" w:cs="Times New Roman"/>
                <w:noProof/>
                <w:lang w:val="pt-PT"/>
              </w:rPr>
              <w:t>Regulation (EU) No 236/2014</w:t>
            </w:r>
          </w:p>
        </w:tc>
        <w:tc>
          <w:tcPr>
            <w:tcW w:w="2409"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Regulation (EC) No 1638/2006</w:t>
            </w:r>
          </w:p>
        </w:tc>
        <w:tc>
          <w:tcPr>
            <w:tcW w:w="2410" w:type="dxa"/>
            <w:shd w:val="clear" w:color="auto" w:fill="D3DFEE"/>
            <w:vAlign w:val="center"/>
          </w:tcPr>
          <w:p>
            <w:pPr>
              <w:spacing w:before="60" w:after="120" w:line="240" w:lineRule="auto"/>
              <w:ind w:right="57"/>
              <w:jc w:val="center"/>
              <w:rPr>
                <w:rFonts w:ascii="Times New Roman" w:hAnsi="Times New Roman" w:cs="Times New Roman"/>
                <w:noProof/>
                <w:lang w:val="pt-PT"/>
              </w:rPr>
            </w:pPr>
            <w:r>
              <w:rPr>
                <w:rFonts w:ascii="Times New Roman" w:eastAsia="Times New Roman" w:hAnsi="Times New Roman" w:cs="Times New Roman"/>
                <w:noProof/>
                <w:lang w:val="pt-PT" w:eastAsia="en-GB"/>
              </w:rPr>
              <w:t>Regulations (EC) No 1905/2006, (EU) Nos 233/2014 and 236/2014</w:t>
            </w:r>
          </w:p>
        </w:tc>
      </w:tr>
      <w:t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b) Description</w:t>
            </w:r>
          </w:p>
        </w:tc>
        <w:tc>
          <w:tcPr>
            <w:tcW w:w="2518" w:type="dxa"/>
            <w:tcBorders>
              <w:left w:val="nil"/>
              <w:right w:val="nil"/>
            </w:tcBorders>
            <w:shd w:val="clear" w:color="auto" w:fill="auto"/>
            <w:vAlign w:val="center"/>
          </w:tcPr>
          <w:p>
            <w:pPr>
              <w:spacing w:before="60" w:after="120" w:line="240" w:lineRule="auto"/>
              <w:ind w:right="57"/>
              <w:rPr>
                <w:rFonts w:ascii="Times New Roman" w:hAnsi="Times New Roman" w:cs="Times New Roman"/>
                <w:noProof/>
              </w:rPr>
            </w:pPr>
            <w:r>
              <w:rPr>
                <w:rFonts w:ascii="Times New Roman" w:hAnsi="Times New Roman" w:cs="Times New Roman"/>
                <w:noProof/>
              </w:rPr>
              <w:t>Instrument aimed at promoting investments and infrastructures in sectors such as transport, energy, environment and social sectors in Latin America</w:t>
            </w:r>
          </w:p>
        </w:tc>
        <w:tc>
          <w:tcPr>
            <w:tcW w:w="2409" w:type="dxa"/>
            <w:tcBorders>
              <w:left w:val="nil"/>
              <w:right w:val="nil"/>
            </w:tcBorders>
            <w:shd w:val="clear" w:color="auto" w:fill="auto"/>
            <w:vAlign w:val="center"/>
          </w:tcPr>
          <w:p>
            <w:pPr>
              <w:spacing w:before="60" w:after="120" w:line="240" w:lineRule="auto"/>
              <w:ind w:right="57"/>
              <w:rPr>
                <w:rFonts w:ascii="Times New Roman" w:hAnsi="Times New Roman" w:cs="Times New Roman"/>
                <w:noProof/>
              </w:rPr>
            </w:pPr>
            <w:r>
              <w:rPr>
                <w:rFonts w:ascii="Times New Roman" w:hAnsi="Times New Roman" w:cs="Times New Roman"/>
                <w:noProof/>
              </w:rPr>
              <w:t>Instrument providing capital to the private sector on terms not otherwise locally available</w:t>
            </w:r>
          </w:p>
        </w:tc>
        <w:tc>
          <w:tcPr>
            <w:tcW w:w="2410" w:type="dxa"/>
            <w:tcBorders>
              <w:left w:val="nil"/>
            </w:tcBorders>
            <w:shd w:val="clear" w:color="auto" w:fill="auto"/>
            <w:vAlign w:val="center"/>
          </w:tcPr>
          <w:p>
            <w:pPr>
              <w:spacing w:before="60" w:after="120" w:line="240" w:lineRule="auto"/>
              <w:ind w:right="57"/>
              <w:rPr>
                <w:rFonts w:ascii="Times New Roman" w:hAnsi="Times New Roman" w:cs="Times New Roman"/>
                <w:noProof/>
              </w:rPr>
            </w:pPr>
            <w:r>
              <w:rPr>
                <w:rFonts w:ascii="Times New Roman" w:hAnsi="Times New Roman" w:cs="Times New Roman"/>
                <w:noProof/>
              </w:rPr>
              <w:t>Financing vehicle aimed at promoting energy efficiency and renewable energy projects through regional private equity funds</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2518"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EIB, EBRD, AFD, AECID, KfW and SIMEST</w:t>
            </w:r>
          </w:p>
        </w:tc>
        <w:tc>
          <w:tcPr>
            <w:tcW w:w="2409"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EIB</w:t>
            </w:r>
          </w:p>
        </w:tc>
        <w:tc>
          <w:tcPr>
            <w:tcW w:w="2410"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EIF (trustee)</w:t>
            </w:r>
          </w:p>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EIB,</w:t>
            </w:r>
          </w:p>
        </w:tc>
      </w:tr>
      <w:tr>
        <w:trPr>
          <w:trHeight w:val="2514"/>
        </w:trP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2518" w:type="dxa"/>
            <w:tcBorders>
              <w:left w:val="nil"/>
              <w:right w:val="nil"/>
            </w:tcBorders>
            <w:shd w:val="clear" w:color="auto" w:fill="auto"/>
            <w:vAlign w:val="center"/>
          </w:tcPr>
          <w:p>
            <w:pPr>
              <w:shd w:val="clear" w:color="auto" w:fill="FFFFFF"/>
              <w:spacing w:before="60" w:after="120" w:line="240" w:lineRule="auto"/>
              <w:ind w:right="57"/>
              <w:jc w:val="center"/>
              <w:rPr>
                <w:rFonts w:ascii="Times New Roman" w:hAnsi="Times New Roman" w:cs="Times New Roman"/>
                <w:noProof/>
              </w:rPr>
            </w:pPr>
            <w:r>
              <w:rPr>
                <w:rFonts w:ascii="Times New Roman" w:hAnsi="Times New Roman" w:cs="Times New Roman"/>
                <w:noProof/>
              </w:rPr>
              <w:t>EUR 252,8 m</w:t>
            </w:r>
          </w:p>
          <w:p>
            <w:pPr>
              <w:shd w:val="clear" w:color="auto" w:fill="FFFFFF"/>
              <w:spacing w:before="60" w:after="120" w:line="240" w:lineRule="auto"/>
              <w:ind w:right="57"/>
              <w:jc w:val="center"/>
              <w:rPr>
                <w:rFonts w:ascii="Times New Roman" w:hAnsi="Times New Roman" w:cs="Times New Roman"/>
                <w:noProof/>
              </w:rPr>
            </w:pPr>
            <w:r>
              <w:rPr>
                <w:rFonts w:ascii="Times New Roman" w:hAnsi="Times New Roman" w:cs="Times New Roman"/>
                <w:noProof/>
              </w:rPr>
              <w:t>EUR 114,3 m</w:t>
            </w:r>
          </w:p>
          <w:p>
            <w:pPr>
              <w:shd w:val="clear" w:color="auto" w:fill="FFFFFF"/>
              <w:spacing w:before="60" w:after="120" w:line="240" w:lineRule="auto"/>
              <w:ind w:right="57"/>
              <w:jc w:val="center"/>
              <w:rPr>
                <w:rFonts w:ascii="Times New Roman" w:hAnsi="Times New Roman" w:cs="Times New Roman"/>
                <w:noProof/>
              </w:rPr>
            </w:pPr>
            <w:r>
              <w:rPr>
                <w:rFonts w:ascii="Times New Roman" w:hAnsi="Times New Roman" w:cs="Times New Roman"/>
                <w:noProof/>
              </w:rPr>
              <w:t>Climate Change Window:</w:t>
            </w:r>
          </w:p>
          <w:p>
            <w:pPr>
              <w:shd w:val="clear" w:color="auto" w:fill="FFFFFF"/>
              <w:spacing w:before="60" w:after="120" w:line="240" w:lineRule="auto"/>
              <w:ind w:right="57"/>
              <w:jc w:val="center"/>
              <w:rPr>
                <w:rFonts w:ascii="Times New Roman" w:hAnsi="Times New Roman" w:cs="Times New Roman"/>
                <w:noProof/>
              </w:rPr>
            </w:pPr>
            <w:r>
              <w:rPr>
                <w:rFonts w:ascii="Times New Roman" w:hAnsi="Times New Roman" w:cs="Times New Roman"/>
                <w:noProof/>
              </w:rPr>
              <w:t>EUR 17,3 m</w:t>
            </w:r>
          </w:p>
          <w:p>
            <w:pPr>
              <w:shd w:val="clear" w:color="auto" w:fill="FFFFFF"/>
              <w:spacing w:before="60" w:after="120" w:line="240" w:lineRule="auto"/>
              <w:ind w:right="57"/>
              <w:jc w:val="center"/>
              <w:rPr>
                <w:rFonts w:ascii="Times New Roman" w:hAnsi="Times New Roman" w:cs="Times New Roman"/>
                <w:noProof/>
              </w:rPr>
            </w:pPr>
            <w:r>
              <w:rPr>
                <w:rFonts w:ascii="Times New Roman" w:hAnsi="Times New Roman" w:cs="Times New Roman"/>
                <w:noProof/>
              </w:rPr>
              <w:t>EUR 15,8 m</w:t>
            </w:r>
          </w:p>
        </w:tc>
        <w:tc>
          <w:tcPr>
            <w:tcW w:w="2409"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EUR 224 m</w:t>
            </w:r>
          </w:p>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EUR 224 m</w:t>
            </w:r>
          </w:p>
        </w:tc>
        <w:tc>
          <w:tcPr>
            <w:tcW w:w="2410" w:type="dxa"/>
            <w:tcBorders>
              <w:lef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EUR 81,1 m</w:t>
            </w:r>
          </w:p>
          <w:p>
            <w:pPr>
              <w:spacing w:before="60" w:after="120" w:line="240" w:lineRule="auto"/>
              <w:ind w:right="57"/>
              <w:jc w:val="center"/>
              <w:rPr>
                <w:rFonts w:ascii="Times New Roman" w:hAnsi="Times New Roman" w:cs="Times New Roman"/>
                <w:noProof/>
                <w:highlight w:val="yellow"/>
              </w:rPr>
            </w:pPr>
            <w:r>
              <w:rPr>
                <w:rFonts w:ascii="Times New Roman" w:hAnsi="Times New Roman" w:cs="Times New Roman"/>
                <w:noProof/>
              </w:rPr>
              <w:t>EUR 79,5 m</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e) Performance</w:t>
            </w:r>
          </w:p>
        </w:tc>
        <w:tc>
          <w:tcPr>
            <w:tcW w:w="2518" w:type="dxa"/>
            <w:shd w:val="clear" w:color="auto" w:fill="D3DFEE"/>
            <w:vAlign w:val="center"/>
          </w:tcPr>
          <w:p>
            <w:pPr>
              <w:spacing w:before="60" w:after="120" w:line="240" w:lineRule="auto"/>
              <w:ind w:right="57"/>
              <w:rPr>
                <w:rFonts w:ascii="Times New Roman" w:hAnsi="Times New Roman" w:cs="Times New Roman"/>
                <w:noProof/>
              </w:rPr>
            </w:pPr>
            <w:r>
              <w:rPr>
                <w:rFonts w:ascii="Times New Roman" w:hAnsi="Times New Roman" w:cs="Times New Roman"/>
                <w:noProof/>
              </w:rPr>
              <w:t>EUR 3502 million financing approved (232 million of EU contribution +  3270  million through EFIs) for 28 projects</w:t>
            </w:r>
          </w:p>
        </w:tc>
        <w:tc>
          <w:tcPr>
            <w:tcW w:w="2409" w:type="dxa"/>
            <w:shd w:val="clear" w:color="auto" w:fill="D3DFEE"/>
            <w:vAlign w:val="center"/>
          </w:tcPr>
          <w:p>
            <w:pPr>
              <w:spacing w:before="60" w:after="120" w:line="240" w:lineRule="auto"/>
              <w:ind w:right="57"/>
              <w:contextualSpacing/>
              <w:rPr>
                <w:rFonts w:ascii="Times New Roman" w:hAnsi="Times New Roman" w:cs="Times New Roman"/>
                <w:noProof/>
                <w:lang w:eastAsia="en-GB"/>
              </w:rPr>
            </w:pPr>
            <w:r>
              <w:rPr>
                <w:rFonts w:ascii="Times New Roman" w:hAnsi="Times New Roman" w:cs="Times New Roman"/>
                <w:noProof/>
                <w:lang w:eastAsia="en-GB"/>
              </w:rPr>
              <w:t>EUR 33 m allocated to technical assistance operations;</w:t>
            </w:r>
          </w:p>
          <w:p>
            <w:pPr>
              <w:spacing w:before="60" w:after="120" w:line="240" w:lineRule="auto"/>
              <w:ind w:right="57"/>
              <w:contextualSpacing/>
              <w:rPr>
                <w:rFonts w:ascii="Times New Roman" w:hAnsi="Times New Roman" w:cs="Times New Roman"/>
                <w:noProof/>
                <w:lang w:eastAsia="en-GB"/>
              </w:rPr>
            </w:pPr>
            <w:r>
              <w:rPr>
                <w:rFonts w:ascii="Times New Roman" w:hAnsi="Times New Roman" w:cs="Times New Roman"/>
                <w:noProof/>
                <w:lang w:eastAsia="en-GB"/>
              </w:rPr>
              <w:t>EUR 180,3  million financing allocated to 28 risk capital operations;</w:t>
            </w:r>
          </w:p>
          <w:p>
            <w:pPr>
              <w:spacing w:before="60" w:after="120" w:line="240" w:lineRule="auto"/>
              <w:ind w:right="57"/>
              <w:contextualSpacing/>
              <w:rPr>
                <w:rFonts w:ascii="Times New Roman" w:hAnsi="Times New Roman" w:cs="Times New Roman"/>
                <w:noProof/>
                <w:lang w:eastAsia="en-GB"/>
              </w:rPr>
            </w:pPr>
            <w:r>
              <w:rPr>
                <w:rFonts w:ascii="Times New Roman" w:hAnsi="Times New Roman" w:cs="Times New Roman"/>
                <w:noProof/>
              </w:rPr>
              <w:t>EIB-cofinancing of EUR 2,3 billion</w:t>
            </w:r>
          </w:p>
        </w:tc>
        <w:tc>
          <w:tcPr>
            <w:tcW w:w="2410" w:type="dxa"/>
            <w:shd w:val="clear" w:color="auto" w:fill="D3DFEE"/>
            <w:vAlign w:val="center"/>
          </w:tcPr>
          <w:p>
            <w:pPr>
              <w:spacing w:before="60" w:after="120" w:line="240" w:lineRule="auto"/>
              <w:ind w:right="57"/>
              <w:rPr>
                <w:rFonts w:ascii="Times New Roman" w:hAnsi="Times New Roman" w:cs="Times New Roman"/>
                <w:noProof/>
              </w:rPr>
            </w:pPr>
            <w:r>
              <w:rPr>
                <w:rFonts w:ascii="Times New Roman" w:hAnsi="Times New Roman" w:cs="Times New Roman"/>
                <w:noProof/>
              </w:rPr>
              <w:t>EUR 222 million expected financing to eligible projects</w:t>
            </w:r>
          </w:p>
          <w:p>
            <w:pPr>
              <w:spacing w:before="60" w:after="120" w:line="240" w:lineRule="auto"/>
              <w:ind w:right="57"/>
              <w:rPr>
                <w:rFonts w:ascii="Times New Roman" w:hAnsi="Times New Roman" w:cs="Times New Roman"/>
                <w:noProof/>
                <w:highlight w:val="yellow"/>
              </w:rPr>
            </w:pPr>
            <w:r>
              <w:rPr>
                <w:rFonts w:ascii="Times New Roman" w:hAnsi="Times New Roman" w:cs="Times New Roman"/>
                <w:noProof/>
              </w:rPr>
              <w:t xml:space="preserve"> </w:t>
            </w:r>
          </w:p>
        </w:tc>
      </w:tr>
      <w:tr>
        <w:trPr>
          <w:trHeight w:val="1531"/>
        </w:trP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f) Evaluation of use of amounts returned to the instrument</w:t>
            </w:r>
          </w:p>
        </w:tc>
        <w:tc>
          <w:tcPr>
            <w:tcW w:w="2518"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NA</w:t>
            </w:r>
          </w:p>
        </w:tc>
        <w:tc>
          <w:tcPr>
            <w:tcW w:w="2409"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NA</w:t>
            </w:r>
          </w:p>
        </w:tc>
        <w:tc>
          <w:tcPr>
            <w:tcW w:w="2410" w:type="dxa"/>
            <w:tcBorders>
              <w:lef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NA</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2518"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NA</w:t>
            </w:r>
          </w:p>
        </w:tc>
        <w:tc>
          <w:tcPr>
            <w:tcW w:w="2409"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EUR 62,4 m</w:t>
            </w:r>
          </w:p>
        </w:tc>
        <w:tc>
          <w:tcPr>
            <w:tcW w:w="2410"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EUR 1,6 m</w:t>
            </w:r>
          </w:p>
        </w:tc>
      </w:tr>
      <w:t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h) Revenues and repayments</w:t>
            </w:r>
          </w:p>
        </w:tc>
        <w:tc>
          <w:tcPr>
            <w:tcW w:w="2518"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NA</w:t>
            </w:r>
          </w:p>
        </w:tc>
        <w:tc>
          <w:tcPr>
            <w:tcW w:w="2409"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EUR 9,8 m</w:t>
            </w:r>
          </w:p>
        </w:tc>
        <w:tc>
          <w:tcPr>
            <w:tcW w:w="2410" w:type="dxa"/>
            <w:tcBorders>
              <w:lef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NA</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2518"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NA</w:t>
            </w:r>
          </w:p>
        </w:tc>
        <w:tc>
          <w:tcPr>
            <w:tcW w:w="2409" w:type="dxa"/>
            <w:shd w:val="clear" w:color="auto" w:fill="D3DFEE"/>
            <w:vAlign w:val="center"/>
          </w:tcPr>
          <w:p>
            <w:pPr>
              <w:spacing w:before="60" w:after="120" w:line="240" w:lineRule="auto"/>
              <w:ind w:right="57"/>
              <w:jc w:val="center"/>
              <w:rPr>
                <w:rFonts w:ascii="Times New Roman" w:hAnsi="Times New Roman" w:cs="Times New Roman"/>
                <w:noProof/>
                <w:lang w:val="fr-BE"/>
              </w:rPr>
            </w:pPr>
            <w:r>
              <w:rPr>
                <w:rFonts w:ascii="Times New Roman" w:hAnsi="Times New Roman" w:cs="Times New Roman"/>
                <w:noProof/>
                <w:lang w:val="fr-BE"/>
              </w:rPr>
              <w:t>EUR 8,0 m</w:t>
            </w:r>
          </w:p>
          <w:p>
            <w:pPr>
              <w:spacing w:before="60" w:after="120" w:line="240" w:lineRule="auto"/>
              <w:ind w:right="57"/>
              <w:jc w:val="center"/>
              <w:rPr>
                <w:rFonts w:ascii="Times New Roman" w:hAnsi="Times New Roman" w:cs="Times New Roman"/>
                <w:noProof/>
                <w:lang w:val="fr-BE"/>
              </w:rPr>
            </w:pPr>
            <w:r>
              <w:rPr>
                <w:rFonts w:ascii="Times New Roman" w:hAnsi="Times New Roman" w:cs="Times New Roman"/>
                <w:noProof/>
                <w:lang w:val="fr-BE"/>
              </w:rPr>
              <w:t>Venture capital funds: EUR 69,2 m</w:t>
            </w:r>
          </w:p>
        </w:tc>
        <w:tc>
          <w:tcPr>
            <w:tcW w:w="2410"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EUR 73,9 m</w:t>
            </w:r>
          </w:p>
        </w:tc>
      </w:tr>
      <w:t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2518"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NA</w:t>
            </w:r>
          </w:p>
        </w:tc>
        <w:tc>
          <w:tcPr>
            <w:tcW w:w="2409"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EUR 7,9 m</w:t>
            </w:r>
          </w:p>
        </w:tc>
        <w:tc>
          <w:tcPr>
            <w:tcW w:w="2410" w:type="dxa"/>
            <w:tcBorders>
              <w:lef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None</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k) Leverage effect</w:t>
            </w:r>
          </w:p>
        </w:tc>
        <w:tc>
          <w:tcPr>
            <w:tcW w:w="2518"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Target: 4-5</w:t>
            </w:r>
          </w:p>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Achieved: 29,6</w:t>
            </w:r>
          </w:p>
        </w:tc>
        <w:tc>
          <w:tcPr>
            <w:tcW w:w="2409"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Expected (2007-14): 6,0</w:t>
            </w:r>
          </w:p>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Expected (2014): 26,8</w:t>
            </w:r>
          </w:p>
        </w:tc>
        <w:tc>
          <w:tcPr>
            <w:tcW w:w="2410" w:type="dxa"/>
            <w:shd w:val="clear" w:color="auto" w:fill="D3DFEE"/>
            <w:vAlign w:val="center"/>
          </w:tcPr>
          <w:p>
            <w:pPr>
              <w:spacing w:before="60" w:after="120" w:line="240" w:lineRule="auto"/>
              <w:ind w:right="57"/>
              <w:jc w:val="center"/>
              <w:rPr>
                <w:rFonts w:ascii="Times New Roman" w:hAnsi="Times New Roman" w:cs="Times New Roman"/>
                <w:noProof/>
                <w:lang w:eastAsia="en-GB"/>
              </w:rPr>
            </w:pPr>
            <w:r>
              <w:rPr>
                <w:rFonts w:ascii="Times New Roman" w:hAnsi="Times New Roman" w:cs="Times New Roman"/>
                <w:noProof/>
                <w:lang w:eastAsia="en-GB"/>
              </w:rPr>
              <w:t>Target: 2,7</w:t>
            </w:r>
          </w:p>
          <w:p>
            <w:pPr>
              <w:spacing w:before="60" w:after="120" w:line="240" w:lineRule="auto"/>
              <w:ind w:right="57"/>
              <w:jc w:val="center"/>
              <w:rPr>
                <w:rFonts w:ascii="Times New Roman" w:hAnsi="Times New Roman" w:cs="Times New Roman"/>
                <w:noProof/>
              </w:rPr>
            </w:pPr>
            <w:r>
              <w:rPr>
                <w:rFonts w:ascii="Times New Roman" w:hAnsi="Times New Roman" w:cs="Times New Roman"/>
                <w:noProof/>
              </w:rPr>
              <w:t>Achieved: 2,7</w:t>
            </w:r>
          </w:p>
        </w:tc>
      </w:tr>
      <w:tr>
        <w:trPr>
          <w:trHeight w:val="761"/>
        </w:trP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2518" w:type="dxa"/>
            <w:tcBorders>
              <w:left w:val="nil"/>
              <w:right w:val="nil"/>
            </w:tcBorders>
            <w:shd w:val="clear" w:color="auto" w:fill="auto"/>
            <w:vAlign w:val="center"/>
          </w:tcPr>
          <w:p>
            <w:pPr>
              <w:spacing w:before="60" w:after="120" w:line="240" w:lineRule="auto"/>
              <w:ind w:right="57"/>
              <w:rPr>
                <w:rFonts w:ascii="Times New Roman" w:hAnsi="Times New Roman" w:cs="Times New Roman"/>
                <w:noProof/>
              </w:rPr>
            </w:pPr>
            <w:r>
              <w:rPr>
                <w:rFonts w:ascii="Times New Roman" w:hAnsi="Times New Roman" w:cs="Times New Roman"/>
                <w:noProof/>
              </w:rPr>
              <w:t>EUR 6,9 billion investments supported;</w:t>
            </w:r>
          </w:p>
          <w:p>
            <w:pPr>
              <w:spacing w:before="60" w:after="120" w:line="240" w:lineRule="auto"/>
              <w:ind w:right="57"/>
              <w:rPr>
                <w:rFonts w:ascii="Times New Roman" w:hAnsi="Times New Roman" w:cs="Times New Roman"/>
                <w:noProof/>
              </w:rPr>
            </w:pPr>
            <w:r>
              <w:rPr>
                <w:rFonts w:ascii="Times New Roman" w:hAnsi="Times New Roman" w:cs="Times New Roman"/>
                <w:noProof/>
              </w:rPr>
              <w:t>10 countries covered.</w:t>
            </w:r>
          </w:p>
        </w:tc>
        <w:tc>
          <w:tcPr>
            <w:tcW w:w="2409" w:type="dxa"/>
            <w:tcBorders>
              <w:left w:val="nil"/>
              <w:right w:val="nil"/>
            </w:tcBorders>
            <w:shd w:val="clear" w:color="auto" w:fill="auto"/>
            <w:vAlign w:val="center"/>
          </w:tcPr>
          <w:p>
            <w:pPr>
              <w:spacing w:before="60" w:after="120" w:line="240" w:lineRule="auto"/>
              <w:ind w:right="57"/>
              <w:rPr>
                <w:rFonts w:ascii="Times New Roman" w:hAnsi="Times New Roman" w:cs="Times New Roman"/>
                <w:noProof/>
              </w:rPr>
            </w:pPr>
            <w:r>
              <w:rPr>
                <w:rFonts w:ascii="Times New Roman" w:hAnsi="Times New Roman" w:cs="Times New Roman"/>
                <w:noProof/>
              </w:rPr>
              <w:t>Nearly EUR 4,4 billion of investments supported;</w:t>
            </w:r>
          </w:p>
          <w:p>
            <w:pPr>
              <w:spacing w:before="60" w:after="120" w:line="240" w:lineRule="auto"/>
              <w:ind w:right="57"/>
              <w:rPr>
                <w:rFonts w:ascii="Times New Roman" w:hAnsi="Times New Roman" w:cs="Times New Roman"/>
                <w:noProof/>
              </w:rPr>
            </w:pPr>
            <w:r>
              <w:rPr>
                <w:rFonts w:ascii="Times New Roman" w:hAnsi="Times New Roman" w:cs="Times New Roman"/>
                <w:noProof/>
              </w:rPr>
              <w:t>6 countries covered.</w:t>
            </w:r>
          </w:p>
        </w:tc>
        <w:tc>
          <w:tcPr>
            <w:tcW w:w="2410" w:type="dxa"/>
            <w:tcBorders>
              <w:left w:val="nil"/>
            </w:tcBorders>
            <w:shd w:val="clear" w:color="auto" w:fill="auto"/>
            <w:vAlign w:val="center"/>
          </w:tcPr>
          <w:p>
            <w:pPr>
              <w:pStyle w:val="ListParagraph"/>
              <w:spacing w:after="120" w:line="240" w:lineRule="auto"/>
              <w:ind w:left="0" w:right="57"/>
              <w:rPr>
                <w:noProof/>
              </w:rPr>
            </w:pPr>
            <w:r>
              <w:rPr>
                <w:noProof/>
                <w:sz w:val="22"/>
              </w:rPr>
              <w:t>EUR 1</w:t>
            </w:r>
            <w:r>
              <w:rPr>
                <w:noProof/>
              </w:rPr>
              <w:t>43</w:t>
            </w:r>
            <w:r>
              <w:rPr>
                <w:noProof/>
                <w:sz w:val="22"/>
              </w:rPr>
              <w:t xml:space="preserve">  million of new financing supported,</w:t>
            </w:r>
            <w:r>
              <w:rPr>
                <w:noProof/>
              </w:rPr>
              <w:t xml:space="preserve"> for 10 regional private equity or corporate funds;</w:t>
            </w:r>
          </w:p>
          <w:p>
            <w:pPr>
              <w:pStyle w:val="ListParagraph"/>
              <w:spacing w:after="120" w:line="240" w:lineRule="auto"/>
              <w:ind w:left="0" w:right="57"/>
              <w:rPr>
                <w:noProof/>
              </w:rPr>
            </w:pPr>
          </w:p>
          <w:p>
            <w:pPr>
              <w:pStyle w:val="ListParagraph"/>
              <w:spacing w:after="120" w:line="240" w:lineRule="auto"/>
              <w:ind w:left="0" w:right="57"/>
              <w:rPr>
                <w:noProof/>
                <w:sz w:val="22"/>
              </w:rPr>
            </w:pPr>
            <w:r>
              <w:rPr>
                <w:noProof/>
                <w:sz w:val="22"/>
              </w:rPr>
              <w:t>Approx. EUR 1 billion of investments supported for 33 projects.</w:t>
            </w:r>
          </w:p>
          <w:p>
            <w:pPr>
              <w:spacing w:before="60" w:after="120" w:line="240" w:lineRule="auto"/>
              <w:rPr>
                <w:noProof/>
              </w:rPr>
            </w:pPr>
          </w:p>
        </w:tc>
      </w:tr>
    </w:tbl>
    <w:p>
      <w:pPr>
        <w:jc w:val="both"/>
        <w:rPr>
          <w:rFonts w:ascii="Times New Roman" w:hAnsi="Times New Roman" w:cs="Times New Roman"/>
          <w:noProof/>
        </w:rPr>
      </w:pPr>
    </w:p>
    <w:p>
      <w:pPr>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0" w:after="120"/>
        <w:ind w:left="284" w:hanging="426"/>
        <w:jc w:val="both"/>
      </w:pPr>
      <w:r>
        <w:rPr>
          <w:rStyle w:val="FootnoteReference"/>
        </w:rPr>
        <w:footnoteRef/>
      </w:r>
      <w:r>
        <w:t xml:space="preserve"> </w:t>
      </w:r>
      <w:r>
        <w:tab/>
        <w:t>The current Financial Regulation and its Rules of Application require a unified approach to reporting on leverage. As the provisions applying to financial instruments entered into force in January 2014, the approach is applied only to 2014-2020 financial instruments.</w:t>
      </w:r>
    </w:p>
  </w:footnote>
  <w:footnote w:id="2">
    <w:p>
      <w:pPr>
        <w:pStyle w:val="FootnoteText"/>
        <w:jc w:val="both"/>
      </w:pPr>
      <w:r>
        <w:rPr>
          <w:rStyle w:val="FootnoteReference"/>
        </w:rPr>
        <w:footnoteRef/>
      </w:r>
      <w:r>
        <w:t xml:space="preserve"> Please note that the figure provided is also included in RSFF.</w:t>
      </w:r>
    </w:p>
  </w:footnote>
  <w:footnote w:id="3">
    <w:p>
      <w:pPr>
        <w:pStyle w:val="FootnoteText"/>
      </w:pPr>
      <w:r>
        <w:rPr>
          <w:rStyle w:val="FootnoteReference"/>
        </w:rPr>
        <w:footnoteRef/>
      </w:r>
      <w:r>
        <w:t xml:space="preserve"> Data including EFSI, for details see the SWD document. </w:t>
      </w:r>
    </w:p>
  </w:footnote>
  <w:footnote w:id="4">
    <w:p>
      <w:pPr>
        <w:pStyle w:val="FootnoteText"/>
      </w:pPr>
      <w:r>
        <w:rPr>
          <w:rStyle w:val="FootnoteReference"/>
        </w:rPr>
        <w:footnoteRef/>
      </w:r>
      <w:r>
        <w:t xml:space="preserve"> Data including EFSI, for details see the SWD document.</w:t>
      </w:r>
    </w:p>
  </w:footnote>
  <w:footnote w:id="5">
    <w:p>
      <w:pPr>
        <w:pStyle w:val="FootnoteText"/>
      </w:pPr>
      <w:r>
        <w:rPr>
          <w:rStyle w:val="FootnoteReference"/>
        </w:rPr>
        <w:footnoteRef/>
      </w:r>
      <w:r>
        <w:t xml:space="preserve"> Please note that the figure provided includes the RSI figure.</w:t>
      </w:r>
    </w:p>
  </w:footnote>
  <w:footnote w:id="6">
    <w:p>
      <w:pPr>
        <w:pStyle w:val="FootnoteText"/>
      </w:pPr>
      <w:r>
        <w:rPr>
          <w:rStyle w:val="FootnoteReference"/>
        </w:rPr>
        <w:footnoteRef/>
      </w:r>
      <w:r>
        <w:t xml:space="preserve"> H2020 figures only, do not include ERDF contribution (see SWD for details).</w:t>
      </w:r>
    </w:p>
  </w:footnote>
  <w:footnote w:id="7">
    <w:p>
      <w:pPr>
        <w:pStyle w:val="FootnoteText"/>
        <w:spacing w:before="0" w:after="120"/>
        <w:ind w:left="284" w:hanging="426"/>
        <w:jc w:val="both"/>
      </w:pPr>
      <w:r>
        <w:rPr>
          <w:rStyle w:val="FootnoteReference"/>
        </w:rPr>
        <w:footnoteRef/>
      </w:r>
      <w:r>
        <w:t xml:space="preserve"> </w:t>
      </w:r>
      <w:r>
        <w:tab/>
        <w:t>Western Balkans Enterprise Development and Innovation Facility (WB EDIF).</w:t>
      </w:r>
    </w:p>
  </w:footnote>
  <w:footnote w:id="8">
    <w:p>
      <w:pPr>
        <w:pStyle w:val="FootnoteText"/>
        <w:spacing w:before="0" w:after="120"/>
        <w:ind w:left="284" w:hanging="426"/>
        <w:jc w:val="both"/>
      </w:pPr>
      <w:r>
        <w:rPr>
          <w:rStyle w:val="FootnoteReference"/>
        </w:rPr>
        <w:footnoteRef/>
      </w:r>
      <w:r>
        <w:t xml:space="preserve"> </w:t>
      </w:r>
      <w:r>
        <w:tab/>
        <w:t>Western Balkans Enterprise Development and Innovation Facility (WB EDIF).</w:t>
      </w:r>
    </w:p>
  </w:footnote>
  <w:footnote w:id="9">
    <w:p>
      <w:pPr>
        <w:pStyle w:val="FootnoteText"/>
        <w:spacing w:before="0" w:after="120"/>
        <w:ind w:left="284" w:hanging="426"/>
        <w:jc w:val="both"/>
      </w:pPr>
      <w:r>
        <w:rPr>
          <w:rStyle w:val="FootnoteReference"/>
        </w:rPr>
        <w:footnoteRef/>
      </w:r>
      <w:r>
        <w:t xml:space="preserve"> </w:t>
      </w:r>
      <w:r>
        <w:tab/>
        <w:t>Under the WB EDIF.</w:t>
      </w:r>
    </w:p>
  </w:footnote>
  <w:footnote w:id="10">
    <w:p>
      <w:pPr>
        <w:pStyle w:val="FootnoteText"/>
        <w:spacing w:before="0" w:after="120"/>
        <w:ind w:left="284" w:hanging="426"/>
        <w:jc w:val="both"/>
        <w:rPr>
          <w:color w:val="FF00FF"/>
        </w:rPr>
      </w:pPr>
      <w:r>
        <w:rPr>
          <w:rStyle w:val="FootnoteReference"/>
        </w:rPr>
        <w:footnoteRef/>
      </w:r>
      <w:r>
        <w:t xml:space="preserve"> </w:t>
      </w:r>
      <w:r>
        <w:tab/>
        <w:t>Under the WB EDIF.</w:t>
      </w:r>
    </w:p>
  </w:footnote>
  <w:footnote w:id="11">
    <w:p>
      <w:pPr>
        <w:pStyle w:val="FootnoteText"/>
        <w:spacing w:before="0" w:after="120"/>
        <w:ind w:left="284" w:hanging="426"/>
        <w:jc w:val="both"/>
      </w:pPr>
      <w:r>
        <w:rPr>
          <w:rStyle w:val="FootnoteReference"/>
        </w:rPr>
        <w:footnoteRef/>
      </w:r>
      <w:r>
        <w:t xml:space="preserve"> </w:t>
      </w:r>
      <w:r>
        <w:tab/>
      </w:r>
      <w:r>
        <w:rPr>
          <w:bCs/>
        </w:rPr>
        <w:t>Euro-Mediterranean Investment Partnership.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7E22E3"/>
    <w:multiLevelType w:val="hybridMultilevel"/>
    <w:tmpl w:val="10FCDBC6"/>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10">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4"/>
  </w:num>
  <w:num w:numId="5">
    <w:abstractNumId w:val="0"/>
  </w:num>
  <w:num w:numId="6">
    <w:abstractNumId w:val="13"/>
  </w:num>
  <w:num w:numId="7">
    <w:abstractNumId w:val="12"/>
  </w:num>
  <w:num w:numId="8">
    <w:abstractNumId w:val="16"/>
  </w:num>
  <w:num w:numId="9">
    <w:abstractNumId w:val="9"/>
  </w:num>
  <w:num w:numId="10">
    <w:abstractNumId w:val="24"/>
  </w:num>
  <w:num w:numId="11">
    <w:abstractNumId w:val="8"/>
  </w:num>
  <w:num w:numId="12">
    <w:abstractNumId w:val="17"/>
  </w:num>
  <w:num w:numId="13">
    <w:abstractNumId w:val="7"/>
  </w:num>
  <w:num w:numId="14">
    <w:abstractNumId w:val="18"/>
  </w:num>
  <w:num w:numId="15">
    <w:abstractNumId w:val="20"/>
  </w:num>
  <w:num w:numId="16">
    <w:abstractNumId w:val="3"/>
  </w:num>
  <w:num w:numId="17">
    <w:abstractNumId w:val="10"/>
  </w:num>
  <w:num w:numId="18">
    <w:abstractNumId w:val="25"/>
  </w:num>
  <w:num w:numId="19">
    <w:abstractNumId w:val="1"/>
  </w:num>
  <w:num w:numId="20">
    <w:abstractNumId w:val="19"/>
  </w:num>
  <w:num w:numId="21">
    <w:abstractNumId w:val="22"/>
  </w:num>
  <w:num w:numId="22">
    <w:abstractNumId w:val="15"/>
  </w:num>
  <w:num w:numId="23">
    <w:abstractNumId w:val="23"/>
  </w:num>
  <w:num w:numId="24">
    <w:abstractNumId w:val="2"/>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09B967EA0E9D4F189C481C79A6F3F616"/>
    <w:docVar w:name="LW_CROSSREFERENCE" w:val="{SWD(2016) 335 final}"/>
    <w:docVar w:name="LW_DocType" w:val="NORMAL"/>
    <w:docVar w:name="LW_EMISSION" w:val="24.10.2016"/>
    <w:docVar w:name="LW_EMISSION_ISODATE" w:val="2016-10-2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on financial instruments supported by the general budget according to Art.140.8 of the Financial Regulation as at 31 December 2015"/>
    <w:docVar w:name="LW_PART_NBR" w:val="1"/>
    <w:docVar w:name="LW_PART_NBR_TOTAL" w:val="1"/>
    <w:docVar w:name="LW_REF.INST.NEW" w:val="COM"/>
    <w:docVar w:name="LW_REF.INST.NEW_ADOPTED" w:val="final"/>
    <w:docVar w:name="LW_REF.INST.NEW_TEXT" w:val="(2016) 675"/>
    <w:docVar w:name="LW_REF.INTERNE" w:val="&lt;UNUSED&gt;"/>
    <w:docVar w:name="LW_SUPERTITRE" w:val="&lt;UNUSED&gt;"/>
    <w:docVar w:name="LW_TITRE.OBJ.CP" w:val="&lt;UNUSED&gt;"/>
    <w:docVar w:name="LW_TYPE.DOC.CP" w:val="ANNEX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60" w:after="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lang w:eastAsia="ja-JP"/>
    </w:rPr>
  </w:style>
  <w:style w:type="paragraph" w:styleId="TOC7">
    <w:name w:val="toc 7"/>
    <w:basedOn w:val="Normal"/>
    <w:next w:val="Normal"/>
    <w:autoRedefine/>
    <w:uiPriority w:val="39"/>
    <w:unhideWhenUsed/>
    <w:pPr>
      <w:spacing w:after="100"/>
      <w:ind w:left="1320"/>
    </w:pPr>
    <w:rPr>
      <w:rFonts w:ascii="Calibri" w:eastAsia="MS Mincho" w:hAnsi="Calibri" w:cs="Times New Roman"/>
      <w:lang w:eastAsia="ja-JP"/>
    </w:rPr>
  </w:style>
  <w:style w:type="paragraph" w:styleId="TOC8">
    <w:name w:val="toc 8"/>
    <w:basedOn w:val="Normal"/>
    <w:next w:val="Normal"/>
    <w:autoRedefine/>
    <w:uiPriority w:val="39"/>
    <w:unhideWhenUsed/>
    <w:pPr>
      <w:spacing w:after="100"/>
      <w:ind w:left="1540"/>
    </w:pPr>
    <w:rPr>
      <w:rFonts w:ascii="Calibri" w:eastAsia="MS Mincho" w:hAnsi="Calibri" w:cs="Times New Roman"/>
      <w:lang w:eastAsia="ja-JP"/>
    </w:rPr>
  </w:style>
  <w:style w:type="paragraph" w:styleId="TOC9">
    <w:name w:val="toc 9"/>
    <w:basedOn w:val="Normal"/>
    <w:next w:val="Normal"/>
    <w:autoRedefine/>
    <w:uiPriority w:val="39"/>
    <w:unhideWhenUsed/>
    <w:pPr>
      <w:spacing w:after="100"/>
      <w:ind w:left="1760"/>
    </w:pPr>
    <w:rPr>
      <w:rFonts w:ascii="Calibri" w:eastAsia="MS Mincho" w:hAnsi="Calibri" w:cs="Times New Roman"/>
      <w:lang w:eastAsia="ja-JP"/>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lang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lang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lang w:eastAsia="en-G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lang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lang w:eastAsia="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60" w:after="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lang w:eastAsia="ja-JP"/>
    </w:rPr>
  </w:style>
  <w:style w:type="paragraph" w:styleId="TOC7">
    <w:name w:val="toc 7"/>
    <w:basedOn w:val="Normal"/>
    <w:next w:val="Normal"/>
    <w:autoRedefine/>
    <w:uiPriority w:val="39"/>
    <w:unhideWhenUsed/>
    <w:pPr>
      <w:spacing w:after="100"/>
      <w:ind w:left="1320"/>
    </w:pPr>
    <w:rPr>
      <w:rFonts w:ascii="Calibri" w:eastAsia="MS Mincho" w:hAnsi="Calibri" w:cs="Times New Roman"/>
      <w:lang w:eastAsia="ja-JP"/>
    </w:rPr>
  </w:style>
  <w:style w:type="paragraph" w:styleId="TOC8">
    <w:name w:val="toc 8"/>
    <w:basedOn w:val="Normal"/>
    <w:next w:val="Normal"/>
    <w:autoRedefine/>
    <w:uiPriority w:val="39"/>
    <w:unhideWhenUsed/>
    <w:pPr>
      <w:spacing w:after="100"/>
      <w:ind w:left="1540"/>
    </w:pPr>
    <w:rPr>
      <w:rFonts w:ascii="Calibri" w:eastAsia="MS Mincho" w:hAnsi="Calibri" w:cs="Times New Roman"/>
      <w:lang w:eastAsia="ja-JP"/>
    </w:rPr>
  </w:style>
  <w:style w:type="paragraph" w:styleId="TOC9">
    <w:name w:val="toc 9"/>
    <w:basedOn w:val="Normal"/>
    <w:next w:val="Normal"/>
    <w:autoRedefine/>
    <w:uiPriority w:val="39"/>
    <w:unhideWhenUsed/>
    <w:pPr>
      <w:spacing w:after="100"/>
      <w:ind w:left="1760"/>
    </w:pPr>
    <w:rPr>
      <w:rFonts w:ascii="Calibri" w:eastAsia="MS Mincho" w:hAnsi="Calibri" w:cs="Times New Roman"/>
      <w:lang w:eastAsia="ja-JP"/>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lang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lang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lang w:eastAsia="en-G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lang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lang w:eastAsia="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9122-A098-4352-B269-AAD9EC06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4297</Words>
  <Characters>22607</Characters>
  <Application>Microsoft Office Word</Application>
  <DocSecurity>0</DocSecurity>
  <Lines>1883</Lines>
  <Paragraphs>996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26</cp:revision>
  <cp:lastPrinted>2016-09-12T10:37:00Z</cp:lastPrinted>
  <dcterms:created xsi:type="dcterms:W3CDTF">2016-09-08T09:01:00Z</dcterms:created>
  <dcterms:modified xsi:type="dcterms:W3CDTF">2016-10-13T13:01:00Z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