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555AE80D61C4E34BFB197DE3FA661B2" style="width:450.8pt;height:406.35pt">
            <v:imagedata r:id="rId9" o:title=""/>
          </v:shape>
        </w:pict>
      </w:r>
    </w:p>
    <w:bookmarkEnd w:id="6"/>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rPr>
        <w:lastRenderedPageBreak/>
        <w:t>ANNEXE</w:t>
      </w:r>
      <w:bookmarkEnd w:id="0"/>
    </w:p>
    <w:p>
      <w:pPr>
        <w:spacing w:after="240"/>
        <w:jc w:val="both"/>
        <w:rPr>
          <w:rFonts w:ascii="Times New Roman" w:hAnsi="Times New Roman" w:cs="Times New Roman"/>
          <w:noProof/>
        </w:rPr>
      </w:pPr>
      <w:r>
        <w:rPr>
          <w:rFonts w:ascii="Times New Roman" w:hAnsi="Times New Roman"/>
          <w:noProof/>
        </w:rPr>
        <w:t>Les fiches ci-après résument, pour chaque instrument, les informations disponibles au 31 décembre 2015 concernant chacun des 12 points stipulés par l’article 140, paragraphe 8, du règlement financier. Des informations plus détaillées figurent dans le document de travail.</w:t>
      </w:r>
    </w:p>
    <w:p>
      <w:pPr>
        <w:spacing w:after="240"/>
        <w:jc w:val="both"/>
        <w:rPr>
          <w:rFonts w:ascii="Times New Roman" w:hAnsi="Times New Roman" w:cs="Times New Roman"/>
          <w:noProof/>
        </w:rPr>
      </w:pPr>
      <w:r>
        <w:rPr>
          <w:rFonts w:ascii="Times New Roman" w:hAnsi="Times New Roman"/>
          <w:noProof/>
        </w:rPr>
        <w:t xml:space="preserve">Il convient de noter que, bien que le point k) de l’article 140, paragraphe 8, exige d’indiquer à la fois l'effet de levier </w:t>
      </w:r>
      <w:r>
        <w:rPr>
          <w:rFonts w:ascii="Times New Roman" w:hAnsi="Times New Roman"/>
          <w:i/>
          <w:noProof/>
        </w:rPr>
        <w:t>visé</w:t>
      </w:r>
      <w:r>
        <w:rPr>
          <w:rFonts w:ascii="Times New Roman" w:hAnsi="Times New Roman"/>
          <w:noProof/>
        </w:rPr>
        <w:t xml:space="preserve"> et l'effet de levier </w:t>
      </w:r>
      <w:r>
        <w:rPr>
          <w:rFonts w:ascii="Times New Roman" w:hAnsi="Times New Roman"/>
          <w:i/>
          <w:noProof/>
        </w:rPr>
        <w:t>atteint</w:t>
      </w:r>
      <w:r>
        <w:rPr>
          <w:rFonts w:ascii="Times New Roman" w:hAnsi="Times New Roman"/>
          <w:noProof/>
        </w:rPr>
        <w:t xml:space="preserve">, aucun </w:t>
      </w:r>
      <w:r>
        <w:rPr>
          <w:rFonts w:ascii="Times New Roman" w:hAnsi="Times New Roman"/>
          <w:i/>
          <w:noProof/>
        </w:rPr>
        <w:t>objectif</w:t>
      </w:r>
      <w:r>
        <w:rPr>
          <w:rFonts w:ascii="Times New Roman" w:hAnsi="Times New Roman"/>
          <w:noProof/>
        </w:rPr>
        <w:t xml:space="preserve"> n’a été fixé pour la plupart des instruments financiers de la période 2007-2013 en ce qui concerne l'effet de levier. Les informations portent donc uniquement sur l'effet de levier </w:t>
      </w:r>
      <w:r>
        <w:rPr>
          <w:rFonts w:ascii="Times New Roman" w:hAnsi="Times New Roman"/>
          <w:i/>
          <w:noProof/>
        </w:rPr>
        <w:t>atteint</w:t>
      </w:r>
      <w:r>
        <w:rPr>
          <w:rFonts w:ascii="Times New Roman" w:hAnsi="Times New Roman"/>
          <w:noProof/>
        </w:rPr>
        <w:t>, dont le calcul est décrit dans la section correspondante du document de travail</w:t>
      </w:r>
      <w:r>
        <w:rPr>
          <w:rStyle w:val="FootnoteReference"/>
          <w:rFonts w:ascii="Times New Roman" w:hAnsi="Times New Roman"/>
          <w:noProof/>
        </w:rPr>
        <w:footnoteReference w:id="1"/>
      </w:r>
      <w:r>
        <w:rPr>
          <w:noProof/>
        </w:rPr>
        <w:t>.</w:t>
      </w:r>
      <w:r>
        <w:rPr>
          <w:rFonts w:ascii="Times New Roman" w:hAnsi="Times New Roman"/>
          <w:noProof/>
        </w:rPr>
        <w:t xml:space="preserve"> À ce stade, ce calcul n'est pas encore définitif dans de nombreux cas, le nombre des bénéficiaires finaux continuant d’augmenter. Pour les instruments actuels, les fiches indiquent l’effet de levier </w:t>
      </w:r>
      <w:r>
        <w:rPr>
          <w:rFonts w:ascii="Times New Roman" w:hAnsi="Times New Roman"/>
          <w:i/>
          <w:noProof/>
        </w:rPr>
        <w:t>visé</w:t>
      </w:r>
      <w:r>
        <w:rPr>
          <w:rFonts w:ascii="Times New Roman" w:hAnsi="Times New Roman"/>
          <w:noProof/>
        </w:rPr>
        <w:t xml:space="preserve">, ainsi qu’un effet de levier </w:t>
      </w:r>
      <w:r>
        <w:rPr>
          <w:rFonts w:ascii="Times New Roman" w:hAnsi="Times New Roman"/>
          <w:i/>
          <w:noProof/>
        </w:rPr>
        <w:t>attendu</w:t>
      </w:r>
      <w:r>
        <w:rPr>
          <w:rFonts w:ascii="Times New Roman" w:hAnsi="Times New Roman"/>
          <w:noProof/>
        </w:rPr>
        <w:t xml:space="preserve"> qui repose sur le montant de financement destiné aux bénéficiaires finaux éligibles censé résulter des opérations que l’entité chargée de l’exécution a déjà signées avec des intermédiaires financiers (ou des bénéficiaires finaux).</w:t>
      </w:r>
    </w:p>
    <w:p>
      <w:pPr>
        <w:spacing w:after="240"/>
        <w:jc w:val="both"/>
        <w:rPr>
          <w:rFonts w:ascii="Times New Roman" w:hAnsi="Times New Roman" w:cs="Times New Roman"/>
          <w:noProof/>
        </w:rPr>
      </w:pPr>
    </w:p>
    <w:p>
      <w:pPr>
        <w:spacing w:after="0"/>
        <w:jc w:val="both"/>
        <w:rPr>
          <w:rFonts w:ascii="Times New Roman" w:hAnsi="Times New Roman" w:cs="Times New Roman"/>
          <w:noProof/>
        </w:rPr>
      </w:pPr>
      <w:r>
        <w:rPr>
          <w:noProof/>
        </w:rPr>
        <w:br w:type="page"/>
      </w:r>
    </w:p>
    <w:p>
      <w:pPr>
        <w:pStyle w:val="Heading4"/>
        <w:spacing w:before="0" w:after="240"/>
        <w:ind w:left="357" w:hanging="357"/>
        <w:rPr>
          <w:noProof/>
          <w:sz w:val="22"/>
          <w:szCs w:val="22"/>
        </w:rPr>
      </w:pPr>
      <w:r>
        <w:rPr>
          <w:noProof/>
          <w:sz w:val="22"/>
        </w:rPr>
        <w:lastRenderedPageBreak/>
        <w:t>Instruments de capitaux propres</w:t>
      </w:r>
      <w:bookmarkEnd w:id="1"/>
    </w:p>
    <w:tbl>
      <w:tblPr>
        <w:tblW w:w="5036"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2"/>
        <w:gridCol w:w="2381"/>
        <w:gridCol w:w="2381"/>
        <w:gridCol w:w="2381"/>
      </w:tblGrid>
      <w:tr>
        <w:tc>
          <w:tcPr>
            <w:tcW w:w="2212" w:type="dxa"/>
            <w:tcBorders>
              <w:top w:val="single" w:sz="8" w:space="0" w:color="7BA0CD"/>
              <w:left w:val="single" w:sz="8" w:space="0" w:color="7BA0CD"/>
              <w:bottom w:val="single" w:sz="8" w:space="0" w:color="7BA0CD"/>
            </w:tcBorders>
            <w:shd w:val="clear" w:color="auto" w:fill="4F81BD"/>
            <w:vAlign w:val="center"/>
          </w:tcPr>
          <w:p>
            <w:pPr>
              <w:spacing w:before="60" w:after="60" w:line="360" w:lineRule="auto"/>
              <w:jc w:val="center"/>
              <w:rPr>
                <w:rFonts w:ascii="Times New Roman" w:hAnsi="Times New Roman" w:cs="Times New Roman"/>
                <w:b/>
                <w:bCs/>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eastAsia="Times New Roman" w:hAnsi="Times New Roman" w:cs="Times New Roman"/>
                <w:b/>
                <w:bCs/>
                <w:noProof/>
                <w:color w:val="FFFFFF" w:themeColor="background1"/>
              </w:rPr>
            </w:pPr>
            <w:r>
              <w:rPr>
                <w:rFonts w:ascii="Times New Roman" w:hAnsi="Times New Roman"/>
                <w:b/>
                <w:noProof/>
                <w:color w:val="FFFFFF" w:themeColor="background1"/>
              </w:rPr>
              <w:t>Mécanisme en faveur des PME innovantes et à forte croissance au titre du PIC —</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MIC</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1.1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ECFIN / GROW</w:t>
            </w:r>
          </w:p>
        </w:tc>
        <w:tc>
          <w:tcPr>
            <w:tcW w:w="2381" w:type="dxa"/>
            <w:tcBorders>
              <w:top w:val="nil"/>
              <w:bottom w:val="nil"/>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 xml:space="preserve">Mécanisme pour l’interconnexion en Europe — MIE </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1.2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CNECT</w:t>
            </w:r>
          </w:p>
        </w:tc>
        <w:tc>
          <w:tcPr>
            <w:tcW w:w="2381" w:type="dxa"/>
            <w:tcBorders>
              <w:top w:val="nil"/>
              <w:bottom w:val="nil"/>
              <w:right w:val="nil"/>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Facilité «capital-risque» pour la croissance au titre du programme COSME —</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EFG</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1.3 du document de travail)</w:t>
            </w:r>
          </w:p>
          <w:p>
            <w:pPr>
              <w:spacing w:before="60" w:after="120" w:line="360" w:lineRule="auto"/>
              <w:ind w:right="-108"/>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GROW</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Décision n° 1639/2006/CE</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Règlement (UE) n° 1316/2013</w:t>
            </w:r>
          </w:p>
        </w:tc>
        <w:tc>
          <w:tcPr>
            <w:tcW w:w="2381" w:type="dxa"/>
            <w:tcBorders>
              <w:top w:val="nil"/>
            </w:tcBorders>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Règlement (UE) n° 1287/2013</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b) Description</w:t>
            </w:r>
          </w:p>
        </w:tc>
        <w:tc>
          <w:tcPr>
            <w:tcW w:w="2381" w:type="dxa"/>
            <w:tcBorders>
              <w:left w:val="nil"/>
              <w:right w:val="nil"/>
            </w:tcBorders>
            <w:shd w:val="clear" w:color="auto" w:fill="auto"/>
            <w:vAlign w:val="center"/>
          </w:tcPr>
          <w:p>
            <w:pPr>
              <w:spacing w:before="120" w:after="120" w:line="240" w:lineRule="auto"/>
              <w:rPr>
                <w:rFonts w:ascii="Times New Roman" w:eastAsia="Times New Roman" w:hAnsi="Times New Roman" w:cs="Times New Roman"/>
                <w:noProof/>
              </w:rPr>
            </w:pPr>
            <w:r>
              <w:rPr>
                <w:rFonts w:ascii="Times New Roman" w:hAnsi="Times New Roman"/>
                <w:noProof/>
              </w:rPr>
              <w:t>Instrument visant à augmenter l’apport de capitaux propres aux PME innovantes en phase de démarrage ou d’expansion</w:t>
            </w:r>
          </w:p>
        </w:tc>
        <w:tc>
          <w:tcPr>
            <w:tcW w:w="2381" w:type="dxa"/>
            <w:tcBorders>
              <w:left w:val="nil"/>
              <w:right w:val="nil"/>
            </w:tcBorders>
            <w:vAlign w:val="center"/>
          </w:tcPr>
          <w:p>
            <w:pPr>
              <w:spacing w:after="60"/>
              <w:ind w:right="141"/>
              <w:jc w:val="center"/>
              <w:rPr>
                <w:rFonts w:ascii="Times New Roman" w:hAnsi="Times New Roman" w:cs="Times New Roman"/>
                <w:noProof/>
              </w:rPr>
            </w:pPr>
            <w:r>
              <w:rPr>
                <w:rFonts w:ascii="Times New Roman" w:hAnsi="Times New Roman"/>
                <w:noProof/>
              </w:rPr>
              <w:t>Instrument de capitaux propres permettant d’optimiser l’utilisation des ressources limitées du MIE pour les projets plus petits et plus risqués</w:t>
            </w:r>
          </w:p>
        </w:tc>
        <w:tc>
          <w:tcPr>
            <w:tcW w:w="2381" w:type="dxa"/>
            <w:tcBorders>
              <w:left w:val="nil"/>
            </w:tcBorders>
            <w:shd w:val="clear" w:color="auto" w:fill="auto"/>
            <w:vAlign w:val="center"/>
          </w:tcPr>
          <w:p>
            <w:pPr>
              <w:spacing w:before="120" w:after="120" w:line="240" w:lineRule="auto"/>
              <w:rPr>
                <w:rFonts w:ascii="Times New Roman" w:hAnsi="Times New Roman" w:cs="Times New Roman"/>
                <w:noProof/>
              </w:rPr>
            </w:pPr>
            <w:r>
              <w:rPr>
                <w:rFonts w:ascii="Times New Roman" w:hAnsi="Times New Roman"/>
                <w:noProof/>
              </w:rPr>
              <w:t>Instrument fournissant du capital-risque et des financements mezzanine aux PME en phase d’expansion et de croissance</w:t>
            </w:r>
          </w:p>
        </w:tc>
      </w:tr>
      <w:tr>
        <w:trPr>
          <w:trHeight w:val="95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381" w:type="dxa"/>
            <w:shd w:val="clear" w:color="auto" w:fill="D3DFEE"/>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noProof/>
              </w:rPr>
              <w:t>FEI</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Pas encore applicable</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FEI</w:t>
            </w:r>
          </w:p>
        </w:tc>
      </w:tr>
      <w:tr>
        <w:trPr>
          <w:trHeight w:val="1540"/>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625,2 Mio EUR</w:t>
            </w:r>
          </w:p>
          <w:p>
            <w:pPr>
              <w:spacing w:before="120" w:after="120" w:line="240" w:lineRule="auto"/>
              <w:jc w:val="center"/>
              <w:rPr>
                <w:rFonts w:ascii="Times New Roman" w:hAnsi="Times New Roman" w:cs="Times New Roman"/>
                <w:noProof/>
              </w:rPr>
            </w:pPr>
            <w:r>
              <w:rPr>
                <w:rFonts w:ascii="Times New Roman" w:hAnsi="Times New Roman"/>
                <w:noProof/>
              </w:rPr>
              <w:t>414,2 Mio EUR</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10 Mio EUR</w:t>
            </w:r>
          </w:p>
          <w:p>
            <w:pPr>
              <w:spacing w:before="120" w:after="120" w:line="240" w:lineRule="auto"/>
              <w:jc w:val="center"/>
              <w:rPr>
                <w:rFonts w:ascii="Times New Roman" w:hAnsi="Times New Roman" w:cs="Times New Roman"/>
                <w:noProof/>
              </w:rPr>
            </w:pPr>
            <w:r>
              <w:rPr>
                <w:rFonts w:ascii="Times New Roman" w:hAnsi="Times New Roman"/>
                <w:noProof/>
              </w:rPr>
              <w:t>0 EUR</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102,4 Mio EUR</w:t>
            </w:r>
          </w:p>
          <w:p>
            <w:pPr>
              <w:spacing w:before="120" w:after="120" w:line="240" w:lineRule="auto"/>
              <w:jc w:val="center"/>
              <w:rPr>
                <w:rFonts w:ascii="Times New Roman" w:hAnsi="Times New Roman" w:cs="Times New Roman"/>
                <w:noProof/>
              </w:rPr>
            </w:pPr>
            <w:r>
              <w:rPr>
                <w:rFonts w:ascii="Times New Roman" w:hAnsi="Times New Roman"/>
                <w:noProof/>
              </w:rPr>
              <w:t>41,0 Mio EUR</w:t>
            </w:r>
          </w:p>
        </w:tc>
      </w:tr>
      <w:tr>
        <w:trPr>
          <w:trHeight w:val="120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e) Résultats</w:t>
            </w:r>
          </w:p>
        </w:tc>
        <w:tc>
          <w:tcPr>
            <w:tcW w:w="2381" w:type="dxa"/>
            <w:shd w:val="clear" w:color="auto" w:fill="D3DFEE"/>
            <w:vAlign w:val="center"/>
          </w:tcPr>
          <w:p>
            <w:pPr>
              <w:spacing w:before="120" w:after="120" w:line="240" w:lineRule="auto"/>
              <w:jc w:val="both"/>
              <w:rPr>
                <w:rFonts w:ascii="Times New Roman" w:hAnsi="Times New Roman" w:cs="Times New Roman"/>
                <w:noProof/>
              </w:rPr>
            </w:pPr>
            <w:r>
              <w:rPr>
                <w:rFonts w:ascii="Times New Roman" w:hAnsi="Times New Roman"/>
                <w:noProof/>
              </w:rPr>
              <w:t>43 accords signés avec des fonds de capital-risque pour l’octroi d’un financement attendu de 3,1 Mrd EUR en faveur de 850 PME éligibles</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5 accords signés avec des fonds de capital-risque pour l’octroi d’un financement attendu de 394,5 Mio EUR en faveur de 53 PME éligibles</w:t>
            </w:r>
          </w:p>
        </w:tc>
      </w:tr>
      <w:tr>
        <w:trPr>
          <w:trHeight w:val="1538"/>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Plus de 90 %</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rPr>
          <w:trHeight w:val="82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94,7 Mio EUR</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38,5 Mio EUR</w:t>
            </w:r>
          </w:p>
        </w:tc>
      </w:tr>
      <w:tr>
        <w:trPr>
          <w:trHeight w:val="835"/>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Recettes: 19,5 Mio EUR</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318,1 Mio EUR</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381" w:type="dxa"/>
            <w:tcBorders>
              <w:left w:val="nil"/>
              <w:righ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5,3 Mio EUR</w:t>
            </w:r>
          </w:p>
        </w:tc>
        <w:tc>
          <w:tcPr>
            <w:tcW w:w="2381" w:type="dxa"/>
            <w:tcBorders>
              <w:left w:val="nil"/>
              <w:righ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rPr>
          <w:trHeight w:val="30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k) Effet de levier</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Attendu: 5</w:t>
            </w:r>
          </w:p>
          <w:p>
            <w:pPr>
              <w:spacing w:before="120" w:after="120" w:line="240" w:lineRule="auto"/>
              <w:jc w:val="center"/>
              <w:rPr>
                <w:rFonts w:ascii="Times New Roman" w:hAnsi="Times New Roman" w:cs="Times New Roman"/>
                <w:noProof/>
              </w:rPr>
            </w:pPr>
            <w:r>
              <w:rPr>
                <w:rFonts w:ascii="Times New Roman" w:hAnsi="Times New Roman"/>
                <w:noProof/>
              </w:rPr>
              <w:t>Atteint: 5,6</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Visé: 5 à 10</w:t>
            </w:r>
          </w:p>
        </w:tc>
        <w:tc>
          <w:tcPr>
            <w:tcW w:w="2381"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Visé: entre 4 et 6</w:t>
            </w:r>
          </w:p>
          <w:p>
            <w:pPr>
              <w:spacing w:before="120" w:after="120" w:line="240" w:lineRule="auto"/>
              <w:jc w:val="center"/>
              <w:rPr>
                <w:rFonts w:ascii="Times New Roman" w:hAnsi="Times New Roman" w:cs="Times New Roman"/>
                <w:noProof/>
              </w:rPr>
            </w:pPr>
            <w:r>
              <w:rPr>
                <w:rFonts w:ascii="Times New Roman" w:hAnsi="Times New Roman"/>
                <w:noProof/>
              </w:rPr>
              <w:t>Attendu: 3,85</w:t>
            </w:r>
          </w:p>
        </w:tc>
      </w:tr>
      <w:tr>
        <w:trPr>
          <w:trHeight w:val="1416"/>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381" w:type="dxa"/>
            <w:tcBorders>
              <w:left w:val="nil"/>
              <w:right w:val="nil"/>
            </w:tcBorders>
            <w:shd w:val="clear" w:color="auto" w:fill="auto"/>
            <w:vAlign w:val="center"/>
          </w:tcPr>
          <w:p>
            <w:pPr>
              <w:pStyle w:val="ListParagraph"/>
              <w:spacing w:before="120" w:after="120" w:line="240" w:lineRule="auto"/>
              <w:ind w:left="0"/>
              <w:rPr>
                <w:noProof/>
                <w:sz w:val="22"/>
              </w:rPr>
            </w:pPr>
            <w:r>
              <w:rPr>
                <w:noProof/>
                <w:sz w:val="22"/>
              </w:rPr>
              <w:t xml:space="preserve">Plus de 1,2 Mrd EUR de financements mobilisés en faveur de 437 PME éligibles; </w:t>
            </w:r>
          </w:p>
          <w:p>
            <w:pPr>
              <w:pStyle w:val="ListParagraph"/>
              <w:spacing w:before="120" w:after="120" w:line="240" w:lineRule="auto"/>
              <w:ind w:left="0"/>
              <w:rPr>
                <w:noProof/>
                <w:sz w:val="22"/>
              </w:rPr>
            </w:pPr>
          </w:p>
          <w:p>
            <w:pPr>
              <w:pStyle w:val="ListParagraph"/>
              <w:spacing w:before="120" w:after="120" w:line="240" w:lineRule="auto"/>
              <w:ind w:left="0"/>
              <w:rPr>
                <w:noProof/>
                <w:sz w:val="22"/>
              </w:rPr>
            </w:pPr>
            <w:r>
              <w:rPr>
                <w:noProof/>
                <w:sz w:val="22"/>
              </w:rPr>
              <w:t>3,1 Mrd EUR d’investissements mobilisés.</w:t>
            </w:r>
          </w:p>
        </w:tc>
        <w:tc>
          <w:tcPr>
            <w:tcW w:w="2381" w:type="dxa"/>
            <w:tcBorders>
              <w:left w:val="nil"/>
              <w:right w:val="nil"/>
            </w:tcBorders>
            <w:vAlign w:val="center"/>
          </w:tcPr>
          <w:p>
            <w:pPr>
              <w:pStyle w:val="ListParagraph"/>
              <w:spacing w:before="120" w:after="120" w:line="240" w:lineRule="auto"/>
              <w:ind w:left="0"/>
              <w:jc w:val="center"/>
              <w:rPr>
                <w:noProof/>
                <w:sz w:val="22"/>
              </w:rPr>
            </w:pPr>
            <w:r>
              <w:rPr>
                <w:noProof/>
                <w:sz w:val="22"/>
              </w:rPr>
              <w:t>Sans objet</w:t>
            </w:r>
          </w:p>
        </w:tc>
        <w:tc>
          <w:tcPr>
            <w:tcW w:w="2381" w:type="dxa"/>
            <w:tcBorders>
              <w:left w:val="nil"/>
            </w:tcBorders>
            <w:shd w:val="clear" w:color="auto" w:fill="auto"/>
            <w:vAlign w:val="center"/>
          </w:tcPr>
          <w:p>
            <w:pPr>
              <w:pStyle w:val="ListParagraph"/>
              <w:spacing w:before="120" w:after="120" w:line="240" w:lineRule="auto"/>
              <w:ind w:left="0"/>
              <w:rPr>
                <w:noProof/>
                <w:sz w:val="22"/>
              </w:rPr>
            </w:pPr>
            <w:r>
              <w:rPr>
                <w:noProof/>
                <w:sz w:val="22"/>
              </w:rPr>
              <w:t>Le volume escompté des investissements en capitaux propres dans 53 bénéficiaires finaux éligibles s’élève à près de 395 Mio EUR;</w:t>
            </w:r>
          </w:p>
          <w:p>
            <w:pPr>
              <w:pStyle w:val="ListParagraph"/>
              <w:spacing w:before="120" w:after="120" w:line="240" w:lineRule="auto"/>
              <w:ind w:left="0"/>
              <w:rPr>
                <w:noProof/>
                <w:sz w:val="22"/>
              </w:rPr>
            </w:pPr>
            <w:r>
              <w:rPr>
                <w:noProof/>
                <w:sz w:val="22"/>
              </w:rPr>
              <w:t xml:space="preserve"> Les investissements réalisés par des PME ne sont pas encore disponibles.</w:t>
            </w:r>
          </w:p>
        </w:tc>
      </w:tr>
    </w:tbl>
    <w:p>
      <w:pPr>
        <w:rPr>
          <w:noProof/>
        </w:rPr>
      </w:pPr>
    </w:p>
    <w:p>
      <w:pPr>
        <w:rPr>
          <w:noProof/>
        </w:rPr>
      </w:pPr>
      <w:r>
        <w:rPr>
          <w:noProof/>
        </w:rPr>
        <w:br w:type="page"/>
      </w:r>
    </w:p>
    <w:tbl>
      <w:tblPr>
        <w:tblW w:w="2473"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2"/>
        <w:gridCol w:w="2382"/>
      </w:tblGrid>
      <w:tr>
        <w:tc>
          <w:tcPr>
            <w:tcW w:w="2212" w:type="dxa"/>
            <w:tcBorders>
              <w:top w:val="single" w:sz="8" w:space="0" w:color="7BA0CD"/>
              <w:left w:val="single" w:sz="8" w:space="0" w:color="7BA0CD"/>
              <w:bottom w:val="single" w:sz="8" w:space="0" w:color="7BA0CD"/>
            </w:tcBorders>
            <w:shd w:val="clear" w:color="auto" w:fill="4F81BD"/>
            <w:vAlign w:val="center"/>
          </w:tcPr>
          <w:p>
            <w:pPr>
              <w:spacing w:before="60" w:after="60" w:line="360" w:lineRule="auto"/>
              <w:jc w:val="center"/>
              <w:rPr>
                <w:rFonts w:ascii="Times New Roman" w:hAnsi="Times New Roman" w:cs="Times New Roman"/>
                <w:b/>
                <w:bCs/>
                <w:noProof/>
                <w:color w:val="FFFFFF"/>
              </w:rPr>
            </w:pPr>
          </w:p>
        </w:tc>
        <w:tc>
          <w:tcPr>
            <w:tcW w:w="2382"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InnovFin SME Venture Capital (Horizon 2020)</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1.4 du document de travail)</w:t>
            </w:r>
          </w:p>
          <w:p>
            <w:pPr>
              <w:spacing w:before="60" w:after="120" w:line="360" w:lineRule="auto"/>
              <w:jc w:val="center"/>
              <w:rPr>
                <w:rFonts w:ascii="Times New Roman" w:hAnsi="Times New Roman" w:cs="Times New Roman"/>
                <w:b/>
                <w:bCs/>
                <w:noProof/>
                <w:color w:val="FF0000"/>
              </w:rPr>
            </w:pPr>
            <w:r>
              <w:rPr>
                <w:rFonts w:ascii="Times New Roman" w:hAnsi="Times New Roman"/>
                <w:b/>
                <w:noProof/>
                <w:color w:val="FFFFFF" w:themeColor="background1"/>
              </w:rPr>
              <w:t>DG responsable: RTD</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Règlement (UE) n° 1291/2013</w:t>
            </w:r>
          </w:p>
          <w:p>
            <w:pPr>
              <w:spacing w:before="120" w:after="120" w:line="240" w:lineRule="auto"/>
              <w:jc w:val="center"/>
              <w:rPr>
                <w:rFonts w:ascii="Times New Roman" w:hAnsi="Times New Roman" w:cs="Times New Roman"/>
                <w:noProof/>
              </w:rPr>
            </w:pPr>
            <w:r>
              <w:rPr>
                <w:rFonts w:ascii="Times New Roman" w:hAnsi="Times New Roman"/>
                <w:noProof/>
              </w:rPr>
              <w:t>Règlement (UE) n° 1290/2013</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b) Description</w:t>
            </w:r>
          </w:p>
        </w:tc>
        <w:tc>
          <w:tcPr>
            <w:tcW w:w="2382" w:type="dxa"/>
            <w:tcBorders>
              <w:left w:val="nil"/>
            </w:tcBorders>
            <w:vAlign w:val="center"/>
          </w:tcPr>
          <w:p>
            <w:pPr>
              <w:spacing w:before="120" w:after="120" w:line="240" w:lineRule="auto"/>
              <w:rPr>
                <w:rFonts w:ascii="Times New Roman" w:hAnsi="Times New Roman" w:cs="Times New Roman"/>
                <w:noProof/>
              </w:rPr>
            </w:pPr>
            <w:r>
              <w:rPr>
                <w:rFonts w:ascii="Times New Roman" w:hAnsi="Times New Roman"/>
                <w:noProof/>
              </w:rPr>
              <w:t>Instrument favorisant les investissements en capital-risque et en quasi-fonds propres dans les PME et petites entreprises à capitalisation moyenne en phase de démarrage axées sur la recherche et l’innovation</w:t>
            </w:r>
          </w:p>
        </w:tc>
      </w:tr>
      <w:tr>
        <w:trPr>
          <w:trHeight w:val="95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FEI</w:t>
            </w:r>
          </w:p>
        </w:tc>
      </w:tr>
      <w:tr>
        <w:trPr>
          <w:trHeight w:val="1540"/>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125,1 Mio EUR</w:t>
            </w:r>
          </w:p>
          <w:p>
            <w:pPr>
              <w:spacing w:before="120" w:after="120" w:line="240" w:lineRule="auto"/>
              <w:jc w:val="center"/>
              <w:rPr>
                <w:rFonts w:ascii="Times New Roman" w:hAnsi="Times New Roman" w:cs="Times New Roman"/>
                <w:noProof/>
              </w:rPr>
            </w:pPr>
            <w:r>
              <w:rPr>
                <w:rFonts w:ascii="Times New Roman" w:hAnsi="Times New Roman"/>
                <w:noProof/>
              </w:rPr>
              <w:t>110,1 Mio EUR</w:t>
            </w:r>
          </w:p>
        </w:tc>
      </w:tr>
      <w:tr>
        <w:trPr>
          <w:trHeight w:val="1208"/>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e) Résultats</w:t>
            </w:r>
          </w:p>
        </w:tc>
        <w:tc>
          <w:tcPr>
            <w:tcW w:w="2382" w:type="dxa"/>
            <w:shd w:val="clear" w:color="auto" w:fill="D3DFEE"/>
            <w:vAlign w:val="center"/>
          </w:tcPr>
          <w:p>
            <w:pPr>
              <w:spacing w:before="120" w:after="120" w:line="240" w:lineRule="auto"/>
              <w:rPr>
                <w:rFonts w:ascii="Times New Roman" w:hAnsi="Times New Roman" w:cs="Times New Roman"/>
                <w:noProof/>
              </w:rPr>
            </w:pPr>
            <w:r>
              <w:rPr>
                <w:rFonts w:ascii="Times New Roman" w:hAnsi="Times New Roman"/>
                <w:noProof/>
              </w:rPr>
              <w:t>Accords signés pour l’octroi d’un financement attendu de 237,6 Mio EUR en faveur d’environ 30 PME éligibles</w:t>
            </w:r>
          </w:p>
        </w:tc>
      </w:tr>
      <w:tr>
        <w:trPr>
          <w:trHeight w:val="1538"/>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rPr>
          <w:trHeight w:val="82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107,6 Mio EUR</w:t>
            </w:r>
          </w:p>
        </w:tc>
      </w:tr>
      <w:tr>
        <w:trPr>
          <w:trHeight w:val="835"/>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28,2 Mio EUR</w:t>
            </w:r>
          </w:p>
        </w:tc>
      </w:tr>
      <w:t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382" w:type="dxa"/>
            <w:tcBorders>
              <w:left w:val="nil"/>
            </w:tcBorders>
            <w:vAlign w:val="center"/>
          </w:tcPr>
          <w:p>
            <w:pPr>
              <w:spacing w:before="120" w:after="120" w:line="240" w:lineRule="auto"/>
              <w:jc w:val="center"/>
              <w:rPr>
                <w:rFonts w:ascii="Times New Roman" w:hAnsi="Times New Roman" w:cs="Times New Roman"/>
                <w:noProof/>
              </w:rPr>
            </w:pPr>
            <w:r>
              <w:rPr>
                <w:rFonts w:ascii="Times New Roman" w:hAnsi="Times New Roman"/>
                <w:noProof/>
              </w:rPr>
              <w:t>Sans objet</w:t>
            </w:r>
          </w:p>
        </w:tc>
      </w:tr>
      <w:tr>
        <w:trPr>
          <w:trHeight w:val="303"/>
        </w:trPr>
        <w:tc>
          <w:tcPr>
            <w:tcW w:w="2212" w:type="dxa"/>
            <w:shd w:val="clear" w:color="auto" w:fill="D3DFEE"/>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k) Effet de levier</w:t>
            </w:r>
          </w:p>
        </w:tc>
        <w:tc>
          <w:tcPr>
            <w:tcW w:w="2382" w:type="dxa"/>
            <w:shd w:val="clear" w:color="auto" w:fill="D3DFEE"/>
            <w:vAlign w:val="center"/>
          </w:tcPr>
          <w:p>
            <w:pPr>
              <w:spacing w:before="120" w:after="120" w:line="240" w:lineRule="auto"/>
              <w:jc w:val="center"/>
              <w:rPr>
                <w:rFonts w:ascii="Times New Roman" w:hAnsi="Times New Roman" w:cs="Times New Roman"/>
                <w:noProof/>
              </w:rPr>
            </w:pPr>
            <w:r>
              <w:rPr>
                <w:rFonts w:ascii="Times New Roman" w:hAnsi="Times New Roman"/>
                <w:noProof/>
              </w:rPr>
              <w:t>Attendu: 6</w:t>
            </w:r>
          </w:p>
        </w:tc>
      </w:tr>
      <w:tr>
        <w:trPr>
          <w:trHeight w:val="1416"/>
        </w:trPr>
        <w:tc>
          <w:tcPr>
            <w:tcW w:w="2212" w:type="dxa"/>
            <w:tcBorders>
              <w:right w:val="nil"/>
            </w:tcBorders>
            <w:shd w:val="clear" w:color="auto" w:fill="auto"/>
            <w:vAlign w:val="center"/>
          </w:tcPr>
          <w:p>
            <w:pPr>
              <w:spacing w:before="60" w:after="6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382" w:type="dxa"/>
            <w:tcBorders>
              <w:left w:val="nil"/>
            </w:tcBorders>
            <w:vAlign w:val="center"/>
          </w:tcPr>
          <w:p>
            <w:pPr>
              <w:pStyle w:val="ListParagraph"/>
              <w:spacing w:before="120" w:after="120" w:line="240" w:lineRule="auto"/>
              <w:ind w:left="0"/>
              <w:rPr>
                <w:noProof/>
                <w:sz w:val="22"/>
              </w:rPr>
            </w:pPr>
            <w:r>
              <w:rPr>
                <w:noProof/>
                <w:sz w:val="22"/>
              </w:rPr>
              <w:t xml:space="preserve">Le volume escompté des investissements en capitaux propres dans 30 bénéficiaires finaux éligibles s’élève à 237,6 Mio EUR; </w:t>
            </w:r>
          </w:p>
          <w:p>
            <w:pPr>
              <w:pStyle w:val="ListParagraph"/>
              <w:spacing w:before="120" w:after="120" w:line="240" w:lineRule="auto"/>
              <w:ind w:left="0"/>
              <w:rPr>
                <w:noProof/>
                <w:sz w:val="22"/>
              </w:rPr>
            </w:pPr>
          </w:p>
          <w:p>
            <w:pPr>
              <w:pStyle w:val="ListParagraph"/>
              <w:spacing w:before="120" w:after="120" w:line="240" w:lineRule="auto"/>
              <w:ind w:left="0"/>
              <w:rPr>
                <w:noProof/>
                <w:sz w:val="22"/>
              </w:rPr>
            </w:pPr>
            <w:r>
              <w:rPr>
                <w:noProof/>
                <w:sz w:val="22"/>
              </w:rPr>
              <w:t>Les investissements réalisés par des PME ne sont pas encore disponibles.</w:t>
            </w:r>
          </w:p>
        </w:tc>
      </w:tr>
    </w:tbl>
    <w:p>
      <w:pPr>
        <w:pStyle w:val="Heading4"/>
        <w:spacing w:before="120"/>
        <w:rPr>
          <w:noProof/>
          <w:sz w:val="22"/>
          <w:szCs w:val="22"/>
        </w:rPr>
      </w:pPr>
      <w:r>
        <w:rPr>
          <w:noProof/>
        </w:rPr>
        <w:br w:type="page"/>
      </w:r>
      <w:bookmarkStart w:id="8" w:name="_Toc399517419"/>
      <w:r>
        <w:rPr>
          <w:noProof/>
          <w:sz w:val="22"/>
        </w:rPr>
        <w:t>Instruments de garantie</w:t>
      </w:r>
      <w:bookmarkEnd w:id="2"/>
      <w:bookmarkEnd w:id="3"/>
      <w:bookmarkEnd w:id="4"/>
      <w:bookmarkEnd w:id="5"/>
      <w:bookmarkEnd w:id="8"/>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81"/>
        <w:gridCol w:w="2381"/>
      </w:tblGrid>
      <w:tr>
        <w:tc>
          <w:tcPr>
            <w:tcW w:w="2211" w:type="dxa"/>
            <w:tcBorders>
              <w:top w:val="single" w:sz="8" w:space="0" w:color="7BA0CD"/>
              <w:left w:val="single" w:sz="8" w:space="0" w:color="7BA0CD"/>
              <w:bottom w:val="single" w:sz="8" w:space="0" w:color="7BA0CD"/>
            </w:tcBorders>
            <w:shd w:val="clear" w:color="auto" w:fill="4F81BD"/>
          </w:tcPr>
          <w:p>
            <w:pPr>
              <w:jc w:val="both"/>
              <w:rPr>
                <w:rFonts w:ascii="Times New Roman" w:eastAsia="Times New Roman" w:hAnsi="Times New Roman" w:cs="Times New Roman"/>
                <w:b/>
                <w:bCs/>
                <w:i/>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eastAsia="Times New Roman" w:hAnsi="Times New Roman" w:cs="Times New Roman"/>
                <w:b/>
                <w:bCs/>
                <w:noProof/>
                <w:color w:val="FFFFFF"/>
              </w:rPr>
            </w:pPr>
            <w:r>
              <w:rPr>
                <w:rFonts w:ascii="Times New Roman" w:hAnsi="Times New Roman"/>
                <w:b/>
                <w:noProof/>
                <w:color w:val="FFFFFF"/>
              </w:rPr>
              <w:t>Mécanisme de garantie des PME au titre du PIC — GPME07</w:t>
            </w:r>
          </w:p>
          <w:p>
            <w:pPr>
              <w:spacing w:before="60" w:after="120" w:line="360" w:lineRule="auto"/>
              <w:jc w:val="center"/>
              <w:rPr>
                <w:rFonts w:ascii="Times New Roman" w:eastAsia="Times New Roman" w:hAnsi="Times New Roman" w:cs="Times New Roman"/>
                <w:b/>
                <w:bCs/>
                <w:noProof/>
                <w:color w:val="FFFFFF"/>
              </w:rPr>
            </w:pPr>
            <w:r>
              <w:rPr>
                <w:rFonts w:ascii="Times New Roman" w:hAnsi="Times New Roman"/>
                <w:b/>
                <w:noProof/>
                <w:color w:val="FFFFFF"/>
              </w:rPr>
              <w:t>(point 2.1 du document de travail)</w:t>
            </w:r>
          </w:p>
          <w:p>
            <w:pPr>
              <w:spacing w:before="60" w:after="120" w:line="360" w:lineRule="auto"/>
              <w:jc w:val="center"/>
              <w:rPr>
                <w:rFonts w:ascii="Times New Roman" w:eastAsia="Times New Roman" w:hAnsi="Times New Roman" w:cs="Times New Roman"/>
                <w:b/>
                <w:bCs/>
                <w:noProof/>
                <w:color w:val="FFFFFF"/>
              </w:rPr>
            </w:pPr>
            <w:r>
              <w:rPr>
                <w:rFonts w:ascii="Times New Roman" w:hAnsi="Times New Roman"/>
                <w:b/>
                <w:noProof/>
                <w:color w:val="FFFFFF"/>
              </w:rPr>
              <w:t>DG responsables: GROW et ECFIN</w:t>
            </w: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Instrument européen Progress de garantie de microfinancements — EPMF-G</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2.2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responsables: EMPL et ECFIN</w:t>
            </w:r>
          </w:p>
        </w:tc>
        <w:tc>
          <w:tcPr>
            <w:tcW w:w="2381"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Instrument de garantie pilote pour les PME et petites entreprises à capitalisation moyenne axées sur la R&amp;I — IPR</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2.5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RTD</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a) Identification / acte de base</w:t>
            </w:r>
          </w:p>
        </w:tc>
        <w:tc>
          <w:tcPr>
            <w:tcW w:w="2381" w:type="dxa"/>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noProof/>
              </w:rPr>
              <w:t>Décision n° 1639/2006/CE</w:t>
            </w:r>
          </w:p>
        </w:tc>
        <w:tc>
          <w:tcPr>
            <w:tcW w:w="2381" w:type="dxa"/>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noProof/>
              </w:rPr>
              <w:t>Décision n° 283/2010/UE</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Décision n° 1982/2006/CE</w:t>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b) Description</w:t>
            </w:r>
          </w:p>
        </w:tc>
        <w:tc>
          <w:tcPr>
            <w:tcW w:w="2381" w:type="dxa"/>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noProof/>
              </w:rPr>
              <w:t>Instrument de garantie améliorant l’accès des PME au financement</w:t>
            </w:r>
          </w:p>
        </w:tc>
        <w:tc>
          <w:tcPr>
            <w:tcW w:w="2381" w:type="dxa"/>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noProof/>
              </w:rPr>
              <w:t>Instrument de garantie améliorant l’accès des personnes et des micro-entreprises aux micro-crédits</w:t>
            </w:r>
          </w:p>
        </w:tc>
        <w:tc>
          <w:tcPr>
            <w:tcW w:w="2381" w:type="dxa"/>
            <w:tcBorders>
              <w:lef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noProof/>
              </w:rPr>
              <w:t>Instrument de garantie améliorant l’accès des investissements en RDI au financement par l'emprunt</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c) Institution(s) financière(s) concernée(s)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r>
      <w:tr>
        <w:trPr>
          <w:trHeight w:val="1396"/>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d) Total des engagements et des paiements budgétaires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649,9 Mio EUR</w:t>
            </w:r>
          </w:p>
          <w:p>
            <w:pPr>
              <w:pStyle w:val="ListParagraph"/>
              <w:keepNext/>
              <w:keepLines/>
              <w:spacing w:after="120" w:line="240" w:lineRule="auto"/>
              <w:ind w:left="0"/>
              <w:jc w:val="center"/>
              <w:rPr>
                <w:noProof/>
                <w:sz w:val="22"/>
              </w:rPr>
            </w:pPr>
            <w:r>
              <w:rPr>
                <w:noProof/>
                <w:sz w:val="22"/>
              </w:rPr>
              <w:t>379,7 Mio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23,6 Mio EUR</w:t>
            </w:r>
          </w:p>
          <w:p>
            <w:pPr>
              <w:spacing w:before="60" w:after="120" w:line="240" w:lineRule="auto"/>
              <w:jc w:val="center"/>
              <w:rPr>
                <w:rFonts w:ascii="Times New Roman" w:hAnsi="Times New Roman" w:cs="Times New Roman"/>
                <w:noProof/>
              </w:rPr>
            </w:pPr>
            <w:r>
              <w:rPr>
                <w:rFonts w:ascii="Times New Roman" w:hAnsi="Times New Roman"/>
                <w:noProof/>
              </w:rPr>
              <w:t>20,6 Mio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270 Mio EUR</w:t>
            </w:r>
          </w:p>
          <w:p>
            <w:pPr>
              <w:spacing w:before="60" w:after="120" w:line="240" w:lineRule="auto"/>
              <w:jc w:val="center"/>
              <w:rPr>
                <w:rFonts w:ascii="Times New Roman" w:hAnsi="Times New Roman" w:cs="Times New Roman"/>
                <w:noProof/>
              </w:rPr>
            </w:pPr>
            <w:r>
              <w:rPr>
                <w:rFonts w:ascii="Times New Roman" w:hAnsi="Times New Roman"/>
                <w:noProof/>
              </w:rPr>
              <w:t>270 Mio EUR</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e) Résultats</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72 accords signés avec 55 intermédiaires financiers pour l'octroi d'un financement attendu de 23,9 Mrd EUR soutenu par </w:t>
            </w:r>
            <w:r>
              <w:rPr>
                <w:noProof/>
              </w:rPr>
              <w:tab/>
            </w:r>
            <w:r>
              <w:rPr>
                <w:rFonts w:ascii="Times New Roman" w:hAnsi="Times New Roman" w:cs="Times New Roman"/>
                <w:noProof/>
              </w:rPr>
              <w:br/>
            </w:r>
            <w:r>
              <w:rPr>
                <w:rFonts w:ascii="Times New Roman" w:hAnsi="Times New Roman"/>
                <w:noProof/>
              </w:rPr>
              <w:t xml:space="preserve">un volume de garanties de 567,0 Mio EUR </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36 accords signés pour l'octroi d'un financement attendu de 284,9 Mio EUR soutenu par</w:t>
            </w:r>
            <w:r>
              <w:rPr>
                <w:noProof/>
              </w:rPr>
              <w:tab/>
            </w:r>
            <w:r>
              <w:rPr>
                <w:rFonts w:ascii="Times New Roman" w:hAnsi="Times New Roman" w:cs="Times New Roman"/>
                <w:noProof/>
              </w:rPr>
              <w:br/>
            </w:r>
            <w:r>
              <w:rPr>
                <w:rFonts w:ascii="Times New Roman" w:hAnsi="Times New Roman"/>
                <w:noProof/>
              </w:rPr>
              <w:t xml:space="preserve">un volume de garanties de 21,9 Mio EUR </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36 accords signés pour l’octroi d’un financement attendu de 3,3 Mrd EUR en faveur de 3 000 bénéficiaires finaux éligibles</w:t>
            </w:r>
            <w:r>
              <w:rPr>
                <w:rFonts w:ascii="Times New Roman" w:hAnsi="Times New Roman" w:cs="Times New Roman"/>
                <w:noProof/>
              </w:rPr>
              <w:br/>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f) Évaluation de l’utilisation des montants remboursés à l’instrument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Plus de 60 %</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Tous les fonds reçus ont été utilisés</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g) Solde du compte fiduciaire</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107,9 Mio EUR</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12,6 Mio EUR</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261,9 Mio EUR</w:t>
            </w:r>
            <w:r>
              <w:rPr>
                <w:rStyle w:val="FootnoteReference"/>
                <w:rFonts w:ascii="Times New Roman" w:hAnsi="Times New Roman"/>
                <w:noProof/>
              </w:rPr>
              <w:footnoteReference w:id="2"/>
            </w:r>
          </w:p>
        </w:tc>
      </w:tr>
      <w:t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h) Recettes et remboursements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12,1 Mio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349 400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1,8 Mio EUR</w:t>
            </w:r>
          </w:p>
        </w:tc>
      </w:tr>
      <w:tr>
        <w:trPr>
          <w:trHeight w:val="1105"/>
        </w:trP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i) Valeur des investissements en fonds propres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rPr>
          <w:trHeight w:val="1360"/>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j) Dépréciations / garanties appelées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254,2 Mio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6,9 Mio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6,7 Mio EUR</w:t>
            </w:r>
          </w:p>
        </w:tc>
      </w:tr>
      <w:tr>
        <w:trPr>
          <w:trHeight w:val="1332"/>
        </w:trPr>
        <w:tc>
          <w:tcPr>
            <w:tcW w:w="2211" w:type="dxa"/>
            <w:shd w:val="clear" w:color="auto" w:fill="D3DFEE"/>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k) Effet de levier</w:t>
            </w:r>
          </w:p>
        </w:tc>
        <w:tc>
          <w:tcPr>
            <w:tcW w:w="2381" w:type="dxa"/>
            <w:shd w:val="clear" w:color="auto" w:fill="D3DFEE"/>
            <w:vAlign w:val="center"/>
          </w:tcPr>
          <w:p>
            <w:pPr>
              <w:tabs>
                <w:tab w:val="num" w:pos="1080"/>
              </w:tabs>
              <w:spacing w:before="60" w:after="120" w:line="240" w:lineRule="auto"/>
              <w:jc w:val="center"/>
              <w:rPr>
                <w:rFonts w:ascii="Times New Roman" w:hAnsi="Times New Roman" w:cs="Times New Roman"/>
                <w:noProof/>
              </w:rPr>
            </w:pPr>
            <w:r>
              <w:rPr>
                <w:rFonts w:ascii="Times New Roman" w:hAnsi="Times New Roman"/>
                <w:noProof/>
              </w:rPr>
              <w:t>Attendu: 31</w:t>
            </w:r>
          </w:p>
          <w:p>
            <w:pPr>
              <w:tabs>
                <w:tab w:val="num" w:pos="1080"/>
              </w:tabs>
              <w:spacing w:before="60" w:after="120" w:line="240" w:lineRule="auto"/>
              <w:jc w:val="center"/>
              <w:rPr>
                <w:rFonts w:ascii="Times New Roman" w:hAnsi="Times New Roman" w:cs="Times New Roman"/>
                <w:noProof/>
              </w:rPr>
            </w:pPr>
            <w:r>
              <w:rPr>
                <w:rFonts w:ascii="Times New Roman" w:hAnsi="Times New Roman"/>
                <w:noProof/>
              </w:rPr>
              <w:t>Atteint: 35,8</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6,67</w:t>
            </w:r>
          </w:p>
          <w:p>
            <w:pPr>
              <w:spacing w:before="60" w:after="120" w:line="240" w:lineRule="auto"/>
              <w:jc w:val="center"/>
              <w:rPr>
                <w:rFonts w:ascii="Times New Roman" w:hAnsi="Times New Roman" w:cs="Times New Roman"/>
                <w:noProof/>
              </w:rPr>
            </w:pPr>
            <w:r>
              <w:rPr>
                <w:rFonts w:ascii="Times New Roman" w:hAnsi="Times New Roman"/>
                <w:noProof/>
              </w:rPr>
              <w:t>Attendu: 13,0</w:t>
            </w:r>
          </w:p>
          <w:p>
            <w:pPr>
              <w:spacing w:before="60" w:after="120" w:line="240" w:lineRule="auto"/>
              <w:jc w:val="center"/>
              <w:rPr>
                <w:rFonts w:ascii="Times New Roman" w:hAnsi="Times New Roman" w:cs="Times New Roman"/>
                <w:noProof/>
              </w:rPr>
            </w:pPr>
            <w:r>
              <w:rPr>
                <w:rFonts w:ascii="Times New Roman" w:hAnsi="Times New Roman"/>
                <w:noProof/>
              </w:rPr>
              <w:t>Atteint: 9,93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Attendu: 12</w:t>
            </w:r>
          </w:p>
          <w:p>
            <w:pPr>
              <w:spacing w:before="60" w:after="120" w:line="240" w:lineRule="auto"/>
              <w:jc w:val="center"/>
              <w:rPr>
                <w:rFonts w:ascii="Times New Roman" w:hAnsi="Times New Roman" w:cs="Times New Roman"/>
                <w:noProof/>
              </w:rPr>
            </w:pPr>
            <w:r>
              <w:rPr>
                <w:rFonts w:ascii="Times New Roman" w:hAnsi="Times New Roman"/>
                <w:noProof/>
              </w:rPr>
              <w:t>Atteint: 8,5</w:t>
            </w:r>
          </w:p>
        </w:tc>
      </w:tr>
      <w:tr>
        <w:trPr>
          <w:trHeight w:val="3200"/>
        </w:trPr>
        <w:tc>
          <w:tcPr>
            <w:tcW w:w="2211" w:type="dxa"/>
            <w:tcBorders>
              <w:right w:val="nil"/>
            </w:tcBorders>
            <w:shd w:val="clear" w:color="auto" w:fill="auto"/>
            <w:vAlign w:val="center"/>
          </w:tcPr>
          <w:p>
            <w:pPr>
              <w:spacing w:before="120" w:after="120" w:line="312" w:lineRule="auto"/>
              <w:jc w:val="center"/>
              <w:rPr>
                <w:rFonts w:ascii="Times New Roman" w:eastAsia="Times New Roman" w:hAnsi="Times New Roman" w:cs="Times New Roman"/>
                <w:b/>
                <w:bCs/>
                <w:noProof/>
              </w:rPr>
            </w:pPr>
            <w:r>
              <w:rPr>
                <w:rFonts w:ascii="Times New Roman" w:hAnsi="Times New Roman"/>
                <w:b/>
                <w:noProof/>
              </w:rPr>
              <w:t>l) Contribution à la réalisation des objectifs du programme</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20,3 Mrd EUR de nouveaux financements mobilisés, sous forme de 457 954 prêts au profit de 377 502 PME;</w:t>
            </w:r>
          </w:p>
          <w:p>
            <w:pPr>
              <w:spacing w:before="60" w:after="120" w:line="240" w:lineRule="auto"/>
              <w:rPr>
                <w:rFonts w:ascii="Times New Roman" w:hAnsi="Times New Roman" w:cs="Times New Roman"/>
                <w:noProof/>
              </w:rPr>
            </w:pPr>
            <w:r>
              <w:rPr>
                <w:rFonts w:ascii="Times New Roman" w:hAnsi="Times New Roman"/>
                <w:noProof/>
              </w:rPr>
              <w:t>29,5 Mrd EUR d’investissements mobilisés;</w:t>
            </w:r>
          </w:p>
          <w:p>
            <w:pPr>
              <w:spacing w:before="60" w:after="120" w:line="240" w:lineRule="auto"/>
              <w:rPr>
                <w:rFonts w:ascii="Times New Roman" w:hAnsi="Times New Roman" w:cs="Times New Roman"/>
                <w:noProof/>
              </w:rPr>
            </w:pPr>
            <w:r>
              <w:rPr>
                <w:rFonts w:ascii="Times New Roman" w:hAnsi="Times New Roman"/>
                <w:noProof/>
              </w:rPr>
              <w:t>24 pays couverts;</w:t>
            </w:r>
          </w:p>
          <w:p>
            <w:pPr>
              <w:spacing w:before="60" w:after="120" w:line="240" w:lineRule="auto"/>
              <w:rPr>
                <w:rFonts w:ascii="Times New Roman" w:hAnsi="Times New Roman" w:cs="Times New Roman"/>
                <w:noProof/>
              </w:rPr>
            </w:pPr>
            <w:r>
              <w:rPr>
                <w:rFonts w:ascii="Times New Roman" w:hAnsi="Times New Roman"/>
                <w:noProof/>
              </w:rPr>
              <w:t>377 502 emplois créés ou préservés.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217,4 Mio EUR de nouveaux micro-financements mobilisés, sous forme de 19 574 prêts au profit de 18 490 bénéficiaires finaux éligibles;</w:t>
            </w:r>
          </w:p>
          <w:p>
            <w:pPr>
              <w:spacing w:before="60" w:after="120" w:line="240" w:lineRule="auto"/>
              <w:rPr>
                <w:rFonts w:ascii="Times New Roman" w:hAnsi="Times New Roman" w:cs="Times New Roman"/>
                <w:noProof/>
              </w:rPr>
            </w:pPr>
            <w:r>
              <w:rPr>
                <w:rFonts w:ascii="Times New Roman" w:hAnsi="Times New Roman"/>
                <w:noProof/>
              </w:rPr>
              <w:t xml:space="preserve">310,6 Mio EUR d’investissements mobilisés; </w:t>
            </w:r>
          </w:p>
          <w:p>
            <w:pPr>
              <w:spacing w:before="60" w:after="120" w:line="240" w:lineRule="auto"/>
              <w:rPr>
                <w:rFonts w:ascii="Times New Roman" w:hAnsi="Times New Roman" w:cs="Times New Roman"/>
                <w:noProof/>
              </w:rPr>
            </w:pPr>
            <w:r>
              <w:rPr>
                <w:rFonts w:ascii="Times New Roman" w:hAnsi="Times New Roman"/>
                <w:noProof/>
              </w:rPr>
              <w:t>18 États membres couverts;</w:t>
            </w:r>
          </w:p>
          <w:p>
            <w:pPr>
              <w:spacing w:before="60" w:after="120" w:line="240" w:lineRule="auto"/>
              <w:rPr>
                <w:rFonts w:ascii="Times New Roman" w:hAnsi="Times New Roman" w:cs="Times New Roman"/>
                <w:noProof/>
              </w:rPr>
            </w:pPr>
            <w:r>
              <w:rPr>
                <w:rFonts w:ascii="Times New Roman" w:hAnsi="Times New Roman"/>
                <w:noProof/>
              </w:rPr>
              <w:t>33 222 emplois soutenus.</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 xml:space="preserve">2,3 Mrd EUR de nouveaux prêts mobilisés au profit de 4 133 bénéficiaires finaux éligibles; </w:t>
            </w:r>
          </w:p>
          <w:p>
            <w:pPr>
              <w:spacing w:before="60" w:after="120" w:line="240" w:lineRule="auto"/>
              <w:rPr>
                <w:rFonts w:ascii="Times New Roman" w:hAnsi="Times New Roman" w:cs="Times New Roman"/>
                <w:noProof/>
              </w:rPr>
            </w:pPr>
            <w:r>
              <w:rPr>
                <w:rFonts w:ascii="Times New Roman" w:hAnsi="Times New Roman"/>
                <w:noProof/>
              </w:rPr>
              <w:t>4,7 Mrd EUR d’investissements mobilisés;</w:t>
            </w:r>
          </w:p>
          <w:p>
            <w:pPr>
              <w:spacing w:before="60" w:after="120" w:line="240" w:lineRule="auto"/>
              <w:rPr>
                <w:rFonts w:ascii="Times New Roman" w:hAnsi="Times New Roman" w:cs="Times New Roman"/>
                <w:noProof/>
              </w:rPr>
            </w:pPr>
            <w:r>
              <w:rPr>
                <w:rFonts w:ascii="Times New Roman" w:hAnsi="Times New Roman"/>
                <w:noProof/>
              </w:rPr>
              <w:t>18 pays couverts</w:t>
            </w:r>
          </w:p>
        </w:tc>
      </w:tr>
    </w:tbl>
    <w:p>
      <w:pPr>
        <w:rPr>
          <w:rFonts w:ascii="Times New Roman" w:hAnsi="Times New Roman" w:cs="Times New Roman"/>
          <w:noProof/>
        </w:rPr>
      </w:pPr>
      <w:r>
        <w:rPr>
          <w:noProof/>
        </w:rPr>
        <w:br w:type="page"/>
      </w:r>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81"/>
        <w:gridCol w:w="2381"/>
      </w:tblGrid>
      <w:tr>
        <w:trPr>
          <w:trHeight w:val="1984"/>
        </w:trPr>
        <w:tc>
          <w:tcPr>
            <w:tcW w:w="2211"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bookmarkStart w:id="9" w:name="_Ref387223784"/>
            <w:bookmarkStart w:id="10" w:name="_Toc387228829"/>
            <w:bookmarkStart w:id="11" w:name="_Toc388541891"/>
            <w:bookmarkStart w:id="12" w:name="_Toc393281937"/>
            <w:bookmarkStart w:id="13" w:name="_Toc400446066"/>
            <w:r>
              <w:rPr>
                <w:rFonts w:ascii="Times New Roman" w:hAnsi="Times New Roman"/>
                <w:b/>
                <w:noProof/>
                <w:color w:val="FFFFFF"/>
              </w:rPr>
              <w:t>Programme pour l'emploi et l'innovation sociale (volet Microfinance et entrepreneuriat social)</w:t>
            </w:r>
            <w:bookmarkEnd w:id="9"/>
            <w:bookmarkEnd w:id="10"/>
            <w:bookmarkEnd w:id="11"/>
            <w:bookmarkEnd w:id="12"/>
            <w:bookmarkEnd w:id="13"/>
            <w:r>
              <w:rPr>
                <w:rFonts w:ascii="Times New Roman" w:hAnsi="Times New Roman"/>
                <w:b/>
                <w:noProof/>
                <w:color w:val="FFFFFF"/>
              </w:rPr>
              <w:t>Garanties — EaSI-G</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2.3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EMPL</w:t>
            </w:r>
          </w:p>
        </w:tc>
        <w:tc>
          <w:tcPr>
            <w:tcW w:w="2381"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Mécanisme de garantie de prêts dans le cadre du programme COSME</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2.4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GROW</w:t>
            </w:r>
            <w:r>
              <w:rPr>
                <w:rStyle w:val="FootnoteReference"/>
                <w:rFonts w:ascii="Times New Roman" w:hAnsi="Times New Roman"/>
                <w:b/>
                <w:noProof/>
                <w:color w:val="FFFFFF"/>
              </w:rPr>
              <w:footnoteReference w:id="3"/>
            </w:r>
          </w:p>
        </w:tc>
        <w:tc>
          <w:tcPr>
            <w:tcW w:w="2381"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Service de prêts aux PME et petites entreprises à capitalisation moyenne pour la R&amp;I dans le cadre d’Horizon 2020 — InnovFin GPME</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2.6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RTD</w:t>
            </w:r>
            <w:r>
              <w:rPr>
                <w:rStyle w:val="FootnoteReference"/>
                <w:rFonts w:ascii="Times New Roman" w:hAnsi="Times New Roman"/>
                <w:b/>
                <w:noProof/>
                <w:color w:val="FFFFFF"/>
              </w:rPr>
              <w:footnoteReference w:id="4"/>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(UE) n° 1296/2013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(UE) n° 1287/2013</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Règlements (UE) n° 1291/2013 et (UE) n° 1290/2013</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promouvant l’emploi et l’inclusion sociale en permettant un accès accru aux microcrédits et en soutenant les entreprises sociales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fournissant des garanties et d'autres dispositifs de partage des risques pour améliorer l’accès des PME au financement</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favorisant l'accès au capital-risque des PME et petites entreprises à capitalisation moyenne axées sur la R&amp;I</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381" w:type="dxa"/>
            <w:tcBorders>
              <w:left w:val="nil"/>
              <w:right w:val="nil"/>
            </w:tcBorders>
            <w:shd w:val="clear" w:color="auto" w:fill="auto"/>
            <w:vAlign w:val="center"/>
          </w:tcPr>
          <w:p>
            <w:pPr>
              <w:spacing w:before="60" w:after="120" w:line="240" w:lineRule="auto"/>
              <w:jc w:val="center"/>
              <w:rPr>
                <w:noProof/>
              </w:rPr>
            </w:pPr>
            <w:r>
              <w:rPr>
                <w:rFonts w:ascii="Times New Roman" w:hAnsi="Times New Roman"/>
                <w:noProof/>
              </w:rPr>
              <w:t>59,8 Mio EUR</w:t>
            </w:r>
          </w:p>
          <w:p>
            <w:pPr>
              <w:spacing w:before="60" w:after="120" w:line="240" w:lineRule="auto"/>
              <w:jc w:val="center"/>
              <w:rPr>
                <w:rFonts w:ascii="Times New Roman" w:hAnsi="Times New Roman" w:cs="Times New Roman"/>
                <w:noProof/>
              </w:rPr>
            </w:pPr>
            <w:r>
              <w:rPr>
                <w:rFonts w:ascii="Times New Roman" w:hAnsi="Times New Roman"/>
                <w:noProof/>
              </w:rPr>
              <w:t>9,9 Mio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237,6 Mio EUR</w:t>
            </w:r>
          </w:p>
          <w:p>
            <w:pPr>
              <w:spacing w:before="60" w:after="120" w:line="240" w:lineRule="auto"/>
              <w:jc w:val="center"/>
              <w:rPr>
                <w:rFonts w:ascii="Times New Roman" w:hAnsi="Times New Roman" w:cs="Times New Roman"/>
                <w:noProof/>
              </w:rPr>
            </w:pPr>
            <w:r>
              <w:rPr>
                <w:rFonts w:ascii="Times New Roman" w:hAnsi="Times New Roman"/>
                <w:noProof/>
              </w:rPr>
              <w:t>131,2 Mio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291,7 Mio EUR</w:t>
            </w:r>
          </w:p>
          <w:p>
            <w:pPr>
              <w:spacing w:before="60" w:after="120" w:line="240" w:lineRule="auto"/>
              <w:jc w:val="center"/>
              <w:rPr>
                <w:rFonts w:ascii="Times New Roman" w:hAnsi="Times New Roman" w:cs="Times New Roman"/>
                <w:noProof/>
              </w:rPr>
            </w:pPr>
            <w:r>
              <w:rPr>
                <w:rFonts w:ascii="Times New Roman" w:hAnsi="Times New Roman"/>
                <w:noProof/>
              </w:rPr>
              <w:t>291,7 Mio EUR</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11 accords signés pour l’octroi d’un financement attendu de 341,8 Mio EUR au profit de 30 190 bénéficiaires finaux éligibles, soutenus par</w:t>
            </w:r>
            <w:r>
              <w:rPr>
                <w:noProof/>
              </w:rPr>
              <w:tab/>
            </w:r>
            <w:r>
              <w:rPr>
                <w:rFonts w:ascii="Times New Roman" w:hAnsi="Times New Roman" w:cs="Times New Roman"/>
                <w:noProof/>
              </w:rPr>
              <w:br/>
            </w:r>
            <w:r>
              <w:rPr>
                <w:rFonts w:ascii="Times New Roman" w:hAnsi="Times New Roman"/>
                <w:noProof/>
              </w:rPr>
              <w:t>un volume de garanties de 27,2 Mio EUR</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27 accords signés avec 26 intermédiaires financiers pour l'octroi d'un financement attendu de 7,1 Mrd EUR au profit de 110 000 bénéficiaires finaux</w:t>
            </w:r>
          </w:p>
        </w:tc>
        <w:tc>
          <w:tcPr>
            <w:tcW w:w="2381" w:type="dxa"/>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Accords signés pour l’octroi d’un financement attendu de 3,7 Mrd EUR en faveur de 8 700 bénéficiaires finaux éligibles</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9,8 Mio EUR</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125,5 Mio EUR</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294,1 Mio EUR</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0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511 500 EUR</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172 200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163 000 EUR</w:t>
            </w:r>
          </w:p>
        </w:tc>
      </w:tr>
      <w:tr>
        <w:tc>
          <w:tcPr>
            <w:tcW w:w="2211"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2381" w:type="dxa"/>
            <w:shd w:val="clear" w:color="auto" w:fill="D3DFEE"/>
            <w:vAlign w:val="center"/>
          </w:tcPr>
          <w:p>
            <w:pPr>
              <w:autoSpaceDE w:val="0"/>
              <w:autoSpaceDN w:val="0"/>
              <w:adjustRightInd w:val="0"/>
              <w:spacing w:before="60" w:after="120" w:line="240" w:lineRule="auto"/>
              <w:jc w:val="center"/>
              <w:rPr>
                <w:rFonts w:ascii="Times New Roman" w:hAnsi="Times New Roman" w:cs="Times New Roman"/>
                <w:noProof/>
              </w:rPr>
            </w:pPr>
            <w:r>
              <w:rPr>
                <w:rFonts w:ascii="Times New Roman" w:hAnsi="Times New Roman"/>
                <w:noProof/>
              </w:rPr>
              <w:t>Visé: 5,5</w:t>
            </w:r>
          </w:p>
          <w:p>
            <w:pPr>
              <w:autoSpaceDE w:val="0"/>
              <w:autoSpaceDN w:val="0"/>
              <w:adjustRightInd w:val="0"/>
              <w:spacing w:before="60" w:after="120" w:line="240" w:lineRule="auto"/>
              <w:jc w:val="center"/>
              <w:rPr>
                <w:rFonts w:ascii="Times New Roman" w:hAnsi="Times New Roman" w:cs="Times New Roman"/>
                <w:noProof/>
              </w:rPr>
            </w:pPr>
            <w:r>
              <w:rPr>
                <w:rFonts w:ascii="Times New Roman" w:hAnsi="Times New Roman"/>
                <w:noProof/>
              </w:rPr>
              <w:t>Attendu (globalement): 5,7</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20 à 30</w:t>
            </w:r>
          </w:p>
          <w:p>
            <w:pPr>
              <w:spacing w:before="60" w:after="120" w:line="240" w:lineRule="auto"/>
              <w:jc w:val="center"/>
              <w:rPr>
                <w:rFonts w:ascii="Times New Roman" w:hAnsi="Times New Roman" w:cs="Times New Roman"/>
                <w:noProof/>
              </w:rPr>
            </w:pPr>
            <w:r>
              <w:rPr>
                <w:rFonts w:ascii="Times New Roman" w:hAnsi="Times New Roman"/>
                <w:noProof/>
              </w:rPr>
              <w:t>Attendu: 1 à 30</w:t>
            </w:r>
          </w:p>
          <w:p>
            <w:pPr>
              <w:spacing w:before="60" w:after="120" w:line="240" w:lineRule="auto"/>
              <w:jc w:val="center"/>
              <w:rPr>
                <w:rFonts w:ascii="Times New Roman" w:hAnsi="Times New Roman" w:cs="Times New Roman"/>
                <w:noProof/>
              </w:rPr>
            </w:pPr>
            <w:r>
              <w:rPr>
                <w:rFonts w:ascii="Times New Roman" w:hAnsi="Times New Roman"/>
                <w:noProof/>
              </w:rPr>
              <w:t>Atteint: 1 à 5</w:t>
            </w:r>
          </w:p>
        </w:tc>
        <w:tc>
          <w:tcPr>
            <w:tcW w:w="2381" w:type="dxa"/>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9</w:t>
            </w:r>
          </w:p>
          <w:p>
            <w:pPr>
              <w:spacing w:before="60" w:after="120" w:line="240" w:lineRule="auto"/>
              <w:jc w:val="center"/>
              <w:rPr>
                <w:rFonts w:ascii="Times New Roman" w:hAnsi="Times New Roman" w:cs="Times New Roman"/>
                <w:noProof/>
              </w:rPr>
            </w:pPr>
            <w:r>
              <w:rPr>
                <w:rFonts w:ascii="Times New Roman" w:hAnsi="Times New Roman"/>
                <w:noProof/>
              </w:rPr>
              <w:t>Attendu: 9,24</w:t>
            </w:r>
          </w:p>
          <w:p>
            <w:pPr>
              <w:spacing w:before="60" w:after="120" w:line="240" w:lineRule="auto"/>
              <w:jc w:val="center"/>
              <w:rPr>
                <w:rFonts w:ascii="Times New Roman" w:hAnsi="Times New Roman" w:cs="Times New Roman"/>
                <w:noProof/>
              </w:rPr>
            </w:pPr>
            <w:r>
              <w:rPr>
                <w:rFonts w:ascii="Times New Roman" w:hAnsi="Times New Roman"/>
                <w:noProof/>
              </w:rPr>
              <w:t>Atteint: 1,1</w:t>
            </w:r>
          </w:p>
        </w:tc>
      </w:tr>
      <w:tr>
        <w:trPr>
          <w:trHeight w:val="761"/>
        </w:trP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i/>
                <w:noProof/>
              </w:rPr>
            </w:pPr>
            <w:r>
              <w:rPr>
                <w:rFonts w:ascii="Times New Roman" w:hAnsi="Times New Roman"/>
                <w:b/>
                <w:noProof/>
              </w:rPr>
              <w:t>l) Contribution à la réalisation des objectifs du programme</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6,8 Mio EUR de nouveaux financements mobilisés au profit de 416 bénéficiaires finaux;</w:t>
            </w:r>
          </w:p>
          <w:p>
            <w:pPr>
              <w:spacing w:before="60" w:after="120" w:line="240" w:lineRule="auto"/>
              <w:rPr>
                <w:rFonts w:ascii="Times New Roman" w:hAnsi="Times New Roman" w:cs="Times New Roman"/>
                <w:noProof/>
              </w:rPr>
            </w:pPr>
            <w:r>
              <w:rPr>
                <w:rFonts w:ascii="Times New Roman" w:hAnsi="Times New Roman"/>
                <w:noProof/>
              </w:rPr>
              <w:t>9,7 Mio EUR d’investissements mobilisés;</w:t>
            </w:r>
          </w:p>
          <w:p>
            <w:pPr>
              <w:spacing w:before="60" w:after="120" w:line="240" w:lineRule="auto"/>
              <w:rPr>
                <w:rFonts w:ascii="Times New Roman" w:hAnsi="Times New Roman" w:cs="Times New Roman"/>
                <w:noProof/>
              </w:rPr>
            </w:pPr>
            <w:r>
              <w:rPr>
                <w:rFonts w:ascii="Times New Roman" w:hAnsi="Times New Roman"/>
                <w:noProof/>
              </w:rPr>
              <w:t>8 pays couverts.</w:t>
            </w:r>
          </w:p>
          <w:p>
            <w:pPr>
              <w:spacing w:before="60" w:after="120" w:line="240" w:lineRule="auto"/>
              <w:rPr>
                <w:rFonts w:ascii="Times New Roman" w:hAnsi="Times New Roman" w:cs="Times New Roman"/>
                <w:noProof/>
              </w:rPr>
            </w:pP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1,3 Mrd EUR de nouveaux financements mobilisés au profit de 51 099 bénéficiaires finaux;</w:t>
            </w:r>
          </w:p>
          <w:p>
            <w:pPr>
              <w:spacing w:before="60" w:after="120" w:line="240" w:lineRule="auto"/>
              <w:rPr>
                <w:rFonts w:ascii="Times New Roman" w:hAnsi="Times New Roman" w:cs="Times New Roman"/>
                <w:noProof/>
              </w:rPr>
            </w:pPr>
            <w:r>
              <w:rPr>
                <w:rFonts w:ascii="Times New Roman" w:hAnsi="Times New Roman"/>
                <w:noProof/>
              </w:rPr>
              <w:t>1,8 Mrd EUR d’investissements mobilisés;</w:t>
            </w:r>
          </w:p>
          <w:p>
            <w:pPr>
              <w:spacing w:before="60" w:after="120" w:line="240" w:lineRule="auto"/>
              <w:rPr>
                <w:rFonts w:ascii="Times New Roman" w:hAnsi="Times New Roman" w:cs="Times New Roman"/>
                <w:noProof/>
              </w:rPr>
            </w:pPr>
            <w:r>
              <w:rPr>
                <w:rFonts w:ascii="Times New Roman" w:hAnsi="Times New Roman"/>
                <w:noProof/>
              </w:rPr>
              <w:t>13 pays couverts.</w:t>
            </w:r>
          </w:p>
          <w:p>
            <w:pPr>
              <w:spacing w:before="60" w:after="120" w:line="240" w:lineRule="auto"/>
              <w:rPr>
                <w:rFonts w:ascii="Times New Roman" w:hAnsi="Times New Roman" w:cs="Times New Roman"/>
                <w:noProof/>
              </w:rPr>
            </w:pP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310 Mio EUR de nouveaux prêts mobilisés en faveur de 727 bénéficiaires finaux;</w:t>
            </w:r>
          </w:p>
          <w:p>
            <w:pPr>
              <w:spacing w:before="60" w:after="120" w:line="240" w:lineRule="auto"/>
              <w:rPr>
                <w:rFonts w:ascii="Times New Roman" w:hAnsi="Times New Roman" w:cs="Times New Roman"/>
                <w:noProof/>
              </w:rPr>
            </w:pPr>
            <w:r>
              <w:rPr>
                <w:rFonts w:ascii="Times New Roman" w:hAnsi="Times New Roman"/>
                <w:noProof/>
              </w:rPr>
              <w:t>443 Mio EUR d’investissements mobilisés.</w:t>
            </w:r>
          </w:p>
          <w:p>
            <w:pPr>
              <w:spacing w:before="60" w:after="120" w:line="240" w:lineRule="auto"/>
              <w:rPr>
                <w:rFonts w:ascii="Times New Roman" w:hAnsi="Times New Roman" w:cs="Times New Roman"/>
                <w:noProof/>
              </w:rPr>
            </w:pPr>
          </w:p>
        </w:tc>
      </w:tr>
    </w:tbl>
    <w:p>
      <w:pPr>
        <w:rPr>
          <w:rFonts w:ascii="Times New Roman" w:hAnsi="Times New Roman" w:cs="Times New Roman"/>
          <w:noProof/>
        </w:rPr>
      </w:pPr>
      <w:r>
        <w:rPr>
          <w:noProof/>
        </w:rPr>
        <w:br w:type="page"/>
      </w:r>
    </w:p>
    <w:tbl>
      <w:tblPr>
        <w:tblW w:w="488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22"/>
        <w:gridCol w:w="2381"/>
        <w:gridCol w:w="2381"/>
        <w:gridCol w:w="2381"/>
      </w:tblGrid>
      <w:tr>
        <w:trPr>
          <w:trHeight w:val="1984"/>
          <w:jc w:val="center"/>
        </w:trPr>
        <w:tc>
          <w:tcPr>
            <w:tcW w:w="1922" w:type="dxa"/>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p>
        </w:tc>
        <w:tc>
          <w:tcPr>
            <w:tcW w:w="2381" w:type="dxa"/>
            <w:tcBorders>
              <w:top w:val="single" w:sz="8" w:space="0" w:color="7BA0CD"/>
              <w:left w:val="nil"/>
              <w:bottom w:val="single" w:sz="8" w:space="0" w:color="7BA0CD"/>
              <w:right w:val="nil"/>
            </w:tcBorders>
            <w:shd w:val="clear" w:color="auto" w:fill="4F81BD"/>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Mécanisme de garantie en faveur des secteurs culturels et créatifs</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2.7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responsables: CNECT et EAC</w:t>
            </w: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 xml:space="preserve">Mécanisme de garantie de prêts aux étudiants (Erasmus+) — SLGF </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2.8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EAC</w:t>
            </w:r>
          </w:p>
        </w:tc>
        <w:tc>
          <w:tcPr>
            <w:tcW w:w="2381"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bookmarkStart w:id="14" w:name="_Toc387228919"/>
            <w:bookmarkStart w:id="15" w:name="_Toc388541921"/>
            <w:bookmarkStart w:id="16" w:name="_Toc393281942"/>
            <w:bookmarkStart w:id="17" w:name="_Toc400446071"/>
            <w:r>
              <w:rPr>
                <w:rFonts w:ascii="Times New Roman" w:hAnsi="Times New Roman"/>
                <w:b/>
                <w:noProof/>
                <w:color w:val="FFFFFF"/>
              </w:rPr>
              <w:t>Instruments de financement privé pour l’efficacité énergétique (PF4EE)</w:t>
            </w:r>
            <w:bookmarkEnd w:id="14"/>
            <w:bookmarkEnd w:id="15"/>
            <w:bookmarkEnd w:id="16"/>
            <w:bookmarkEnd w:id="17"/>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2.9 du document de travail)</w:t>
            </w:r>
          </w:p>
          <w:p>
            <w:pPr>
              <w:spacing w:before="60" w:after="120" w:line="360" w:lineRule="auto"/>
              <w:jc w:val="center"/>
              <w:rPr>
                <w:rFonts w:ascii="Times New Roman" w:hAnsi="Times New Roman" w:cs="Times New Roman"/>
                <w:b/>
                <w:bCs/>
                <w:noProof/>
                <w:color w:val="FFFFFF"/>
                <w:highlight w:val="yellow"/>
              </w:rPr>
            </w:pPr>
            <w:r>
              <w:rPr>
                <w:rFonts w:ascii="Times New Roman" w:hAnsi="Times New Roman"/>
                <w:b/>
                <w:noProof/>
                <w:color w:val="FFFFFF"/>
              </w:rPr>
              <w:t>DG responsable: CLIMA</w:t>
            </w:r>
          </w:p>
        </w:tc>
      </w:tr>
      <w:tr>
        <w:trPr>
          <w:trHeight w:val="670"/>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(UE) n° 1295/2013</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noProof/>
              </w:rPr>
              <w:t>Règlement (UE) n° 1288/2013</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(UE) n° 1293/2013</w:t>
            </w:r>
          </w:p>
        </w:tc>
      </w:tr>
      <w:tr>
        <w:trPr>
          <w:trHeight w:val="1286"/>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2381" w:type="dxa"/>
            <w:tcBorders>
              <w:right w:val="nil"/>
            </w:tcBorders>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visant à renforcer la compétitivité du secteur culturel et créatif par un soutien aux prêts octroyés par des établissements financiers aux PME actives dans ce secteur</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promouvant la mobilité, l’équité et l’excellence académique par un soutien à l'octroi de prêts aux étudiants souhaitant suivre des études de niveau master à l'étranger</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(initiative pilote) visant à faciliter l'accès à un financement commercial adéquat et abordable des investissements éligibles en matière d’efficacité énergétique</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BEI</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1,0 Mio EUR</w:t>
            </w:r>
          </w:p>
          <w:p>
            <w:pPr>
              <w:spacing w:before="60" w:after="120" w:line="240" w:lineRule="auto"/>
              <w:jc w:val="center"/>
              <w:rPr>
                <w:rFonts w:ascii="Times New Roman" w:hAnsi="Times New Roman" w:cs="Times New Roman"/>
                <w:noProof/>
              </w:rPr>
            </w:pPr>
            <w:r>
              <w:rPr>
                <w:rFonts w:ascii="Times New Roman" w:hAnsi="Times New Roman"/>
                <w:noProof/>
              </w:rPr>
              <w:t>0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61,3 Mio EUR</w:t>
            </w:r>
          </w:p>
          <w:p>
            <w:pPr>
              <w:spacing w:before="60" w:after="120" w:line="240" w:lineRule="auto"/>
              <w:jc w:val="center"/>
              <w:rPr>
                <w:rFonts w:ascii="Times New Roman" w:hAnsi="Times New Roman" w:cs="Times New Roman"/>
                <w:noProof/>
              </w:rPr>
            </w:pPr>
            <w:r>
              <w:rPr>
                <w:rFonts w:ascii="Times New Roman" w:hAnsi="Times New Roman"/>
                <w:noProof/>
              </w:rPr>
              <w:t>19,8 Mio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50 Mio EUR</w:t>
            </w:r>
          </w:p>
          <w:p>
            <w:pPr>
              <w:spacing w:before="60" w:after="120" w:line="240" w:lineRule="auto"/>
              <w:jc w:val="center"/>
              <w:rPr>
                <w:rFonts w:ascii="Times New Roman" w:hAnsi="Times New Roman" w:cs="Times New Roman"/>
                <w:noProof/>
              </w:rPr>
            </w:pPr>
            <w:r>
              <w:rPr>
                <w:rFonts w:ascii="Times New Roman" w:hAnsi="Times New Roman"/>
                <w:noProof/>
              </w:rPr>
              <w:t>12,1 Mio EUR</w:t>
            </w:r>
          </w:p>
        </w:tc>
      </w:tr>
      <w:tr>
        <w:trPr>
          <w:trHeight w:val="986"/>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2 accords signés pour l’octroi d’un financement attendu de 517,0 Mio EUR au profit de 200 000 bénéficiaires finaux, soutenus par</w:t>
            </w:r>
            <w:r>
              <w:rPr>
                <w:noProof/>
              </w:rPr>
              <w:tab/>
            </w:r>
            <w:r>
              <w:rPr>
                <w:rFonts w:ascii="Times New Roman" w:hAnsi="Times New Roman" w:cs="Times New Roman"/>
                <w:noProof/>
              </w:rPr>
              <w:br/>
            </w:r>
            <w:r>
              <w:rPr>
                <w:rFonts w:ascii="Times New Roman" w:hAnsi="Times New Roman"/>
                <w:noProof/>
              </w:rPr>
              <w:t>un volume de garanties de 9,7 Mio EUR</w:t>
            </w:r>
          </w:p>
        </w:tc>
        <w:tc>
          <w:tcPr>
            <w:tcW w:w="2381" w:type="dxa"/>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Sans objet (pas encore de bénéficiaires finaux; 3 accords signés)</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15,8 Mio EUR</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11,6 Mio EUR</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0</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rPr>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381" w:type="dxa"/>
            <w:tcBorders>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0</w:t>
            </w:r>
          </w:p>
        </w:tc>
      </w:tr>
      <w:tr>
        <w:trPr>
          <w:jc w:val="center"/>
        </w:trPr>
        <w:tc>
          <w:tcPr>
            <w:tcW w:w="1922"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2381" w:type="dxa"/>
            <w:tcBorders>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5,7</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5,7</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8</w:t>
            </w:r>
          </w:p>
        </w:tc>
      </w:tr>
      <w:tr>
        <w:trPr>
          <w:trHeight w:val="1134"/>
          <w:jc w:val="center"/>
        </w:trPr>
        <w:tc>
          <w:tcPr>
            <w:tcW w:w="1922" w:type="dxa"/>
            <w:tcBorders>
              <w:right w:val="nil"/>
            </w:tcBorders>
            <w:shd w:val="clear" w:color="auto" w:fill="auto"/>
            <w:vAlign w:val="center"/>
          </w:tcPr>
          <w:p>
            <w:pPr>
              <w:spacing w:before="60" w:after="120" w:line="312" w:lineRule="auto"/>
              <w:jc w:val="center"/>
              <w:rPr>
                <w:rFonts w:ascii="Times New Roman" w:hAnsi="Times New Roman" w:cs="Times New Roman"/>
                <w:b/>
                <w:bCs/>
                <w:i/>
                <w:noProof/>
              </w:rPr>
            </w:pPr>
            <w:r>
              <w:rPr>
                <w:rFonts w:ascii="Times New Roman" w:hAnsi="Times New Roman"/>
                <w:b/>
                <w:noProof/>
              </w:rPr>
              <w:t>l) Contribution à la réalisation des objectifs du programme</w:t>
            </w:r>
          </w:p>
        </w:tc>
        <w:tc>
          <w:tcPr>
            <w:tcW w:w="2381" w:type="dxa"/>
            <w:tcBorders>
              <w:right w:val="nil"/>
            </w:tcBorders>
            <w:vAlign w:val="center"/>
          </w:tcPr>
          <w:p>
            <w:pPr>
              <w:spacing w:before="60" w:after="120" w:line="240" w:lineRule="auto"/>
              <w:rPr>
                <w:rFonts w:ascii="Times New Roman" w:hAnsi="Times New Roman" w:cs="Times New Roman"/>
                <w:noProof/>
              </w:rPr>
            </w:pPr>
            <w:r>
              <w:rPr>
                <w:rFonts w:ascii="Times New Roman" w:hAnsi="Times New Roman"/>
                <w:noProof/>
              </w:rPr>
              <w:t>690 Mio EUR de nouveaux financements visés pour les industries culturelles et créatives.</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1,1 Mio EUR de financements déjà octroyés au profit de 85 étudiants en master;</w:t>
            </w:r>
          </w:p>
          <w:p>
            <w:pPr>
              <w:spacing w:before="60" w:after="120" w:line="240" w:lineRule="auto"/>
              <w:rPr>
                <w:rFonts w:ascii="Times New Roman" w:hAnsi="Times New Roman" w:cs="Times New Roman"/>
                <w:noProof/>
              </w:rPr>
            </w:pPr>
            <w:r>
              <w:rPr>
                <w:rFonts w:ascii="Times New Roman" w:hAnsi="Times New Roman"/>
                <w:noProof/>
              </w:rPr>
              <w:t>Soutien à la mobilité transnationale des étudiants de master.</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Le montant de financements visé par la BEI s’élève à 430 Mio EUR, pour un objectif d’investissements associés dans l’efficacité énergétique d’environ 540 Mio EUR;</w:t>
            </w:r>
          </w:p>
          <w:p>
            <w:pPr>
              <w:spacing w:before="60" w:after="120" w:line="240" w:lineRule="auto"/>
              <w:rPr>
                <w:rFonts w:ascii="Times New Roman" w:hAnsi="Times New Roman" w:cs="Times New Roman"/>
                <w:noProof/>
              </w:rPr>
            </w:pPr>
            <w:r>
              <w:rPr>
                <w:rFonts w:ascii="Times New Roman" w:hAnsi="Times New Roman"/>
                <w:noProof/>
              </w:rPr>
              <w:t xml:space="preserve">  Constitue également une expérience pilote avant un passage éventuel à plus grande échelle.</w:t>
            </w:r>
          </w:p>
        </w:tc>
      </w:tr>
    </w:tbl>
    <w:p>
      <w:pPr>
        <w:pStyle w:val="Heading4"/>
        <w:spacing w:before="120"/>
        <w:rPr>
          <w:noProof/>
          <w:sz w:val="22"/>
          <w:szCs w:val="22"/>
        </w:rPr>
      </w:pPr>
      <w:r>
        <w:rPr>
          <w:noProof/>
        </w:rPr>
        <w:br w:type="page"/>
      </w:r>
      <w:r>
        <w:rPr>
          <w:noProof/>
          <w:sz w:val="22"/>
        </w:rPr>
        <w:t>Instruments de partage des risques</w:t>
      </w:r>
    </w:p>
    <w:tbl>
      <w:tblPr>
        <w:tblStyle w:val="MediumShading1-Accent1"/>
        <w:tblW w:w="5032" w:type="pct"/>
        <w:tblLook w:val="04A0" w:firstRow="1" w:lastRow="0" w:firstColumn="1" w:lastColumn="0" w:noHBand="0" w:noVBand="1"/>
      </w:tblPr>
      <w:tblGrid>
        <w:gridCol w:w="2209"/>
        <w:gridCol w:w="2379"/>
        <w:gridCol w:w="2378"/>
        <w:gridCol w:w="238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jc w:val="center"/>
              <w:rPr>
                <w:rFonts w:ascii="Times New Roman" w:hAnsi="Times New Roman"/>
                <w:b w:val="0"/>
                <w:bCs w:val="0"/>
                <w:noProof/>
                <w:sz w:val="22"/>
                <w:szCs w:val="22"/>
              </w:rPr>
            </w:pPr>
          </w:p>
        </w:tc>
        <w:tc>
          <w:tcPr>
            <w:tcW w:w="2379"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Mécanisme de financement avec partage des risques — MFPR</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3.1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 RTD</w:t>
            </w:r>
          </w:p>
        </w:tc>
        <w:tc>
          <w:tcPr>
            <w:tcW w:w="2378"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Service de prêts pour la R&amp;I au titre d'Horizon 2020 — InnovFin</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3.2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 RTD</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Instrument de garantie de prêt — LGTT</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3.3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 MOVE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a) Identification / acte de base</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Décision n° 1982/2006/CE</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Règlements (UE) n° 1291/2013 et (UE) n° 1290/2013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Règlements (CE) n° 680/2007 et (UE) n° 670/2012</w:t>
            </w:r>
          </w:p>
        </w:tc>
      </w:tr>
      <w:tr>
        <w:trPr>
          <w:cnfStyle w:val="000000010000" w:firstRow="0" w:lastRow="0" w:firstColumn="0" w:lastColumn="0" w:oddVBand="0" w:evenVBand="0" w:oddHBand="0" w:evenHBand="1" w:firstRowFirstColumn="0" w:firstRowLastColumn="0" w:lastRowFirstColumn="0" w:lastRowLastColumn="0"/>
          <w:trHeight w:val="219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b) Description</w:t>
            </w:r>
          </w:p>
        </w:tc>
        <w:tc>
          <w:tcPr>
            <w:tcW w:w="2379"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financement par l’emprunt améliorant l’accès au capital-risque des bénéficiaires finaux pour des projets de RDI</w:t>
            </w:r>
          </w:p>
        </w:tc>
        <w:tc>
          <w:tcPr>
            <w:tcW w:w="2378"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financement améliorant l’accès à l'emprunt des bénéficiaires finaux investissant dans la R&amp;I</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garantie de prêt avec partage des risques pour les projets de transport basés sur les prévisions de recettes</w:t>
            </w:r>
          </w:p>
        </w:tc>
      </w:tr>
      <w:tr>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r>
      <w:tr>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960,7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960,7 Mio EUR</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645,5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645,5 Mio EUR</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211,9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211,9 Mio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e) Résultats</w:t>
            </w:r>
          </w:p>
        </w:tc>
        <w:tc>
          <w:tcPr>
            <w:tcW w:w="2379"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Accords signés pour l’octroi d’un financement attendu de 11,3 Mrd EUR en faveur de 114 bénéficiaires finaux éligibles</w:t>
            </w:r>
          </w:p>
        </w:tc>
        <w:tc>
          <w:tcPr>
            <w:tcW w:w="2378"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Accords signés pour l’octroi d’un financement attendu de 4,4 Mrd EUR en faveur de 65 bénéficiaires finaux éligibles </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5 projets signés pour un encours de garanties de 472 Mio EUR</w:t>
            </w:r>
          </w:p>
        </w:tc>
      </w:tr>
      <w:tr>
        <w:trPr>
          <w:cnfStyle w:val="000000010000" w:firstRow="0" w:lastRow="0" w:firstColumn="0" w:lastColumn="0" w:oddVBand="0" w:evenVBand="0" w:oddHBand="0" w:evenHBand="1"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2379"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440 Mio EUR ont été alloués au service de prêts pour la R&amp;I au titre d'Horizon 2020, InnovFin </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Néant</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Montants (6,9 Mio EUR) inclus dans la tranche de première perte du portefeuille</w:t>
            </w:r>
          </w:p>
        </w:tc>
      </w:tr>
      <w:tr>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g) Solde du compte fiduciaire</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927,3 Mio EUR</w:t>
            </w:r>
            <w:r>
              <w:rPr>
                <w:rStyle w:val="FootnoteReference"/>
                <w:rFonts w:ascii="Times New Roman" w:hAnsi="Times New Roman"/>
                <w:noProof/>
                <w:sz w:val="22"/>
              </w:rPr>
              <w:footnoteReference w:id="5"/>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638,4 Mio EUR</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238,1 Mio EUR</w:t>
            </w:r>
          </w:p>
        </w:tc>
      </w:tr>
      <w:tr>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h) Recettes et remboursements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178,8 Mio EUR</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0</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4,25 Mio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i) Valeur des investissements en fonds propres</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2379"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10,7 Mio EUR</w:t>
            </w:r>
          </w:p>
        </w:tc>
        <w:tc>
          <w:tcPr>
            <w:tcW w:w="2378"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90,2 Mio EUR</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Néant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k) Effet de levier</w:t>
            </w:r>
          </w:p>
        </w:tc>
        <w:tc>
          <w:tcPr>
            <w:tcW w:w="2379"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de 5 à 6,5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12</w:t>
            </w:r>
          </w:p>
        </w:tc>
        <w:tc>
          <w:tcPr>
            <w:tcW w:w="2378"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12,5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Attendu: 6,8</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3,7</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37,2</w:t>
            </w:r>
          </w:p>
        </w:tc>
      </w:tr>
      <w:tr>
        <w:trPr>
          <w:cnfStyle w:val="000000010000" w:firstRow="0" w:lastRow="0" w:firstColumn="0" w:lastColumn="0" w:oddVBand="0" w:evenVBand="0" w:oddHBand="0" w:evenHBand="1"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210" w:type="dxa"/>
            <w:vAlign w:val="center"/>
          </w:tcPr>
          <w:p>
            <w:pPr>
              <w:spacing w:before="60" w:after="120" w:line="360" w:lineRule="auto"/>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2379" w:type="dxa"/>
            <w:vAlign w:val="center"/>
          </w:tcPr>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10,2 Mrd EUR de nouveaux financements par capital-risque mobilisés au profit de 112 bénéficiaires finaux éligibles;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20,4 Mrd EUR d’investissements mobilisés;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25 pays couverts</w:t>
            </w:r>
          </w:p>
        </w:tc>
        <w:tc>
          <w:tcPr>
            <w:tcW w:w="2378" w:type="dxa"/>
            <w:vAlign w:val="center"/>
          </w:tcPr>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2,4 Mrd EUR de nouveaux financements par capital-risque mobilisés au profit de 39 bénéficiaires finaux éligibles;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6,2 Mrd EUR d’investissements mobilisés;</w:t>
            </w:r>
          </w:p>
          <w:p>
            <w:pPr>
              <w:spacing w:before="60" w:after="120"/>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17 pays couverts</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Près de 12 Mrd EUR d’investissements mobilisés;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4 pays couverts</w:t>
            </w:r>
          </w:p>
        </w:tc>
      </w:tr>
    </w:tbl>
    <w:p>
      <w:pPr>
        <w:jc w:val="both"/>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p>
      <w:pPr>
        <w:jc w:val="both"/>
        <w:rPr>
          <w:rFonts w:ascii="Times New Roman" w:hAnsi="Times New Roman" w:cs="Times New Roman"/>
          <w:noProof/>
        </w:rPr>
      </w:pPr>
    </w:p>
    <w:tbl>
      <w:tblPr>
        <w:tblStyle w:val="MediumShading1-Accent1"/>
        <w:tblW w:w="9354" w:type="dxa"/>
        <w:jc w:val="center"/>
        <w:tblLayout w:type="fixed"/>
        <w:tblLook w:val="04A0" w:firstRow="1" w:lastRow="0" w:firstColumn="1" w:lastColumn="0" w:noHBand="0" w:noVBand="1"/>
      </w:tblPr>
      <w:tblGrid>
        <w:gridCol w:w="2211"/>
        <w:gridCol w:w="2381"/>
        <w:gridCol w:w="2381"/>
        <w:gridCol w:w="2381"/>
      </w:tblGrid>
      <w:tr>
        <w:trPr>
          <w:cnfStyle w:val="100000000000" w:firstRow="1" w:lastRow="0" w:firstColumn="0" w:lastColumn="0" w:oddVBand="0" w:evenVBand="0" w:oddHBand="0" w:evenHBand="0" w:firstRowFirstColumn="0" w:firstRowLastColumn="0" w:lastRowFirstColumn="0" w:lastRowLastColumn="0"/>
          <w:trHeight w:val="2683"/>
          <w:jc w:val="center"/>
        </w:trPr>
        <w:tc>
          <w:tcPr>
            <w:cnfStyle w:val="001000000000" w:firstRow="0" w:lastRow="0" w:firstColumn="1" w:lastColumn="0" w:oddVBand="0" w:evenVBand="0" w:oddHBand="0" w:evenHBand="0" w:firstRowFirstColumn="0" w:firstRowLastColumn="0" w:lastRowFirstColumn="0" w:lastRowLastColumn="0"/>
            <w:tcW w:w="2211" w:type="dxa"/>
          </w:tcPr>
          <w:p>
            <w:pPr>
              <w:rPr>
                <w:rFonts w:ascii="Times New Roman" w:hAnsi="Times New Roman"/>
                <w:b w:val="0"/>
                <w:bCs w:val="0"/>
                <w:noProof/>
                <w:sz w:val="22"/>
                <w:szCs w:val="22"/>
              </w:rPr>
            </w:pPr>
            <w:r>
              <w:rPr>
                <w:noProof/>
              </w:rPr>
              <w:br w:type="page"/>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Initiative relative aux emprunts obligataires — PBI</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3.4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responsables: MOVE,</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ENER, CNECT</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Instrument de partage des risques du mécanisme pour l'interconnexion en Europe («CEF DI»)</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(point 3.5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DG responsables:</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rPr>
              <w:t>MOVE, ENER, CNECT</w:t>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Mécanisme de financement du capital naturel — NCFF</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3.6 du document de travail)</w:t>
            </w:r>
            <w:r>
              <w:rPr>
                <w:rFonts w:ascii="Times New Roman" w:hAnsi="Times New Roman"/>
                <w:bCs w:val="0"/>
                <w:noProof/>
                <w:sz w:val="22"/>
                <w:szCs w:val="22"/>
              </w:rPr>
              <w:br/>
            </w:r>
            <w:r>
              <w:rPr>
                <w:rFonts w:ascii="Times New Roman" w:hAnsi="Times New Roman"/>
                <w:noProof/>
                <w:sz w:val="22"/>
              </w:rPr>
              <w:t>DG responsables: ENV/ CLIMA</w:t>
            </w:r>
          </w:p>
        </w:tc>
      </w:tr>
      <w:tr>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a) Identification / acte de base</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Règlements (CE) n° 670/2012 et (UE) n° 1316/2013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 (UE) n° 1316/2013</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rPr>
              <w:t>Règlement (UE) n° 1293/2013</w:t>
            </w:r>
          </w:p>
        </w:tc>
      </w:tr>
      <w:tr>
        <w:trPr>
          <w:cnfStyle w:val="000000010000" w:firstRow="0" w:lastRow="0" w:firstColumn="0" w:lastColumn="0" w:oddVBand="0" w:evenVBand="0" w:oddHBand="0" w:evenHBand="1"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b) Description</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Instrument de partage des risques visant à stimuler le financement des projets d’infrastructures (transport, énergie et haut débit) par les marchés des capitaux</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partage des risques concernant des prêts/garanties/emprunts obligataires visant à faciliter le financement de projets d'infrastructures</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partage des risques finançant des investissements dans le capital naturel générateurs de recettes</w:t>
            </w:r>
          </w:p>
        </w:tc>
      </w:tr>
      <w:tr>
        <w:trPr>
          <w:cnfStyle w:val="000000100000" w:firstRow="0" w:lastRow="0" w:firstColumn="0" w:lastColumn="0" w:oddVBand="0" w:evenVBand="0" w:oddHBand="1" w:evenHBand="0" w:firstRowFirstColumn="0" w:firstRowLastColumn="0" w:lastRowFirstColumn="0" w:lastRowLastColumn="0"/>
          <w:trHeight w:val="96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BEI</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r>
      <w:tr>
        <w:trPr>
          <w:cnfStyle w:val="000000010000" w:firstRow="0" w:lastRow="0" w:firstColumn="0" w:lastColumn="0" w:oddVBand="0" w:evenVBand="0" w:oddHBand="0" w:evenHBand="1" w:firstRowFirstColumn="0" w:firstRowLastColumn="0" w:lastRowFirstColumn="0" w:lastRowLastColumn="0"/>
          <w:trHeight w:val="1394"/>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230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230 Mio EUR</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246,7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Sans objet </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30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11,7 Mio EUR</w:t>
            </w:r>
          </w:p>
        </w:tc>
      </w:tr>
      <w:tr>
        <w:trPr>
          <w:cnfStyle w:val="000000100000" w:firstRow="0" w:lastRow="0" w:firstColumn="0" w:lastColumn="0" w:oddVBand="0" w:evenVBand="0" w:oddHBand="1" w:evenHBand="0" w:firstRowFirstColumn="0" w:firstRowLastColumn="0" w:lastRowFirstColumn="0" w:lastRowLastColumn="0"/>
          <w:trHeight w:val="2152"/>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e) Résultats</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2"/>
                <w:szCs w:val="22"/>
                <w:highlight w:val="yellow"/>
              </w:rPr>
            </w:pPr>
            <w:r>
              <w:rPr>
                <w:rFonts w:ascii="Times New Roman" w:hAnsi="Times New Roman"/>
                <w:noProof/>
                <w:sz w:val="22"/>
              </w:rPr>
              <w:t>5 opérations ont été signées (3 dans les transports, 1 dans l’énergie, 1 dans les télécommunications) pour l’octroi d'un financement de 230 Mio EUR</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 (pas encore d’investissements)</w:t>
            </w:r>
          </w:p>
        </w:tc>
        <w:tc>
          <w:tcPr>
            <w:tcW w:w="2381" w:type="dxa"/>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 (pas encore d’opérations)</w:t>
            </w:r>
          </w:p>
        </w:tc>
      </w:tr>
      <w:tr>
        <w:trPr>
          <w:cnfStyle w:val="000000010000" w:firstRow="0" w:lastRow="0" w:firstColumn="0" w:lastColumn="0" w:oddVBand="0" w:evenVBand="0" w:oddHBand="0" w:evenHBand="1"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1,3 Mio EUR</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g) Solde du compte fiduciaire</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236,3 Mio EUR</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11,7 Mio EUR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h) Recettes et remboursements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12,4 Mio EUR</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i) Valeur des investissements en fonds propres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k) Effet de levier</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12,6</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de 6 à 15</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de 2 à 4</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5 projets éligibles soutenus par un rehaussement de crédit de 335 Mio EUR, contribuant à un montant d’investissement de près de 3 Mrd EUR.</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Financement ciblé entre 18 et 45 Mrd EUR, en supposant que la totalité de la dotation budgétaire possible de 2,4 Mrd EUR soit mise à la disposition de l’instrument</w:t>
            </w:r>
          </w:p>
        </w:tc>
        <w:tc>
          <w:tcPr>
            <w:tcW w:w="2381" w:type="dxa"/>
            <w:vAlign w:val="center"/>
          </w:tcPr>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Financement ciblé de 120 à 240 Mio EUR pour promouvoir la biodiversité et l’adaptation</w:t>
            </w:r>
          </w:p>
          <w:p>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au changement climatique </w:t>
            </w:r>
          </w:p>
        </w:tc>
      </w:tr>
    </w:tbl>
    <w:p>
      <w:pPr>
        <w:jc w:val="both"/>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tbl>
      <w:tblPr>
        <w:tblStyle w:val="MediumShading1-Accent1"/>
        <w:tblW w:w="4592" w:type="dxa"/>
        <w:jc w:val="center"/>
        <w:tblLayout w:type="fixed"/>
        <w:tblLook w:val="04A0" w:firstRow="1" w:lastRow="0" w:firstColumn="1" w:lastColumn="0" w:noHBand="0" w:noVBand="1"/>
      </w:tblPr>
      <w:tblGrid>
        <w:gridCol w:w="2211"/>
        <w:gridCol w:w="2381"/>
      </w:tblGrid>
      <w:tr>
        <w:trPr>
          <w:cnfStyle w:val="100000000000" w:firstRow="1" w:lastRow="0" w:firstColumn="0" w:lastColumn="0" w:oddVBand="0" w:evenVBand="0" w:oddHBand="0" w:evenHBand="0" w:firstRowFirstColumn="0" w:firstRowLastColumn="0" w:lastRowFirstColumn="0" w:lastRowLastColumn="0"/>
          <w:trHeight w:val="2683"/>
          <w:jc w:val="center"/>
        </w:trPr>
        <w:tc>
          <w:tcPr>
            <w:cnfStyle w:val="001000000000" w:firstRow="0" w:lastRow="0" w:firstColumn="1" w:lastColumn="0" w:oddVBand="0" w:evenVBand="0" w:oddHBand="0" w:evenHBand="0" w:firstRowFirstColumn="0" w:firstRowLastColumn="0" w:lastRowFirstColumn="0" w:lastRowLastColumn="0"/>
            <w:tcW w:w="2211" w:type="dxa"/>
          </w:tcPr>
          <w:p>
            <w:pPr>
              <w:rPr>
                <w:rFonts w:ascii="Times New Roman" w:hAnsi="Times New Roman"/>
                <w:b w:val="0"/>
                <w:bCs w:val="0"/>
                <w:noProof/>
                <w:sz w:val="22"/>
                <w:szCs w:val="22"/>
              </w:rPr>
            </w:pPr>
            <w:r>
              <w:rPr>
                <w:noProof/>
              </w:rPr>
              <w:br w:type="page"/>
            </w:r>
          </w:p>
        </w:tc>
        <w:tc>
          <w:tcPr>
            <w:tcW w:w="2381" w:type="dxa"/>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color w:val="FFFFFF" w:themeColor="background1"/>
                <w:sz w:val="22"/>
                <w:szCs w:val="22"/>
              </w:rPr>
            </w:pPr>
            <w:r>
              <w:rPr>
                <w:rFonts w:ascii="Times New Roman" w:hAnsi="Times New Roman"/>
                <w:noProof/>
                <w:color w:val="FFFFFF" w:themeColor="background1"/>
                <w:sz w:val="22"/>
              </w:rPr>
              <w:t>Initiative en faveur des PME (point 3.7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color w:val="FFFFFF" w:themeColor="background1"/>
                <w:sz w:val="22"/>
              </w:rPr>
              <w:t>DG responsables: ECFIN, RTD, GROW, REGIO, AGRI</w:t>
            </w:r>
          </w:p>
        </w:tc>
      </w:tr>
      <w:tr>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a) Identification / acte de base</w:t>
            </w:r>
          </w:p>
        </w:tc>
        <w:tc>
          <w:tcPr>
            <w:tcW w:w="2381" w:type="dxa"/>
            <w:vAlign w:val="center"/>
          </w:tcPr>
          <w:p>
            <w:pPr>
              <w:tabs>
                <w:tab w:val="left" w:pos="2286"/>
              </w:tabs>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Règlements (UE) n° 1287/2013, 1291/2013 et 1303/2013</w:t>
            </w:r>
          </w:p>
        </w:tc>
      </w:tr>
      <w:tr>
        <w:trPr>
          <w:cnfStyle w:val="000000010000" w:firstRow="0" w:lastRow="0" w:firstColumn="0" w:lastColumn="0" w:oddVBand="0" w:evenVBand="0" w:oddHBand="0" w:evenHBand="1"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b) Description</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partage des risques visant à compléter et exploiter les synergies entre les programmes nationaux et européens existants de soutien aux PME, encourageant l’octroi de prêts supplémentaires aux PME</w:t>
            </w:r>
          </w:p>
        </w:tc>
      </w:tr>
      <w:tr>
        <w:trPr>
          <w:cnfStyle w:val="000000100000" w:firstRow="0" w:lastRow="0" w:firstColumn="0" w:lastColumn="0" w:oddVBand="0" w:evenVBand="0" w:oddHBand="1" w:evenHBand="0" w:firstRowFirstColumn="0" w:firstRowLastColumn="0" w:lastRowFirstColumn="0" w:lastRowLastColumn="0"/>
          <w:trHeight w:val="969"/>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FEI</w:t>
            </w:r>
          </w:p>
        </w:tc>
      </w:tr>
      <w:tr>
        <w:trPr>
          <w:cnfStyle w:val="000000010000" w:firstRow="0" w:lastRow="0" w:firstColumn="0" w:lastColumn="0" w:oddVBand="0" w:evenVBand="0" w:oddHBand="0" w:evenHBand="1" w:firstRowFirstColumn="0" w:firstRowLastColumn="0" w:lastRowFirstColumn="0" w:lastRowLastColumn="0"/>
          <w:trHeight w:val="1394"/>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14,4 Mio EUR</w:t>
            </w:r>
            <w:r>
              <w:rPr>
                <w:rStyle w:val="FootnoteReference"/>
                <w:rFonts w:ascii="Times New Roman" w:hAnsi="Times New Roman"/>
                <w:noProof/>
                <w:sz w:val="22"/>
              </w:rPr>
              <w:footnoteReference w:id="6"/>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12,5 Mio EUR</w:t>
            </w:r>
          </w:p>
        </w:tc>
      </w:tr>
      <w:tr>
        <w:trPr>
          <w:cnfStyle w:val="000000100000" w:firstRow="0" w:lastRow="0" w:firstColumn="0" w:lastColumn="0" w:oddVBand="0" w:evenVBand="0" w:oddHBand="1" w:evenHBand="0" w:firstRowFirstColumn="0" w:firstRowLastColumn="0" w:lastRowFirstColumn="0" w:lastRowLastColumn="0"/>
          <w:trHeight w:val="2152"/>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e) Résultats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Pas encore applicable</w:t>
            </w:r>
          </w:p>
        </w:tc>
      </w:tr>
      <w:tr>
        <w:trPr>
          <w:cnfStyle w:val="000000010000" w:firstRow="0" w:lastRow="0" w:firstColumn="0" w:lastColumn="0" w:oddVBand="0" w:evenVBand="0" w:oddHBand="0" w:evenHBand="1"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g) Solde du compte fiduciaire</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h) Recettes et remboursements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i) Valeur des investissements en fonds propres</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2381" w:type="dxa"/>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k) Effet de levier</w:t>
            </w:r>
          </w:p>
        </w:tc>
        <w:tc>
          <w:tcPr>
            <w:tcW w:w="2381" w:type="dxa"/>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7</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Attendu: 7</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211" w:type="dxa"/>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2381" w:type="dxa"/>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Financement visé de 5 723 Mio EUR en faveur de toutes les régions espagnoles</w:t>
            </w:r>
          </w:p>
        </w:tc>
      </w:tr>
    </w:tbl>
    <w:p>
      <w:pPr>
        <w:pStyle w:val="Heading4"/>
        <w:spacing w:before="120"/>
        <w:rPr>
          <w:noProof/>
          <w:sz w:val="22"/>
          <w:szCs w:val="22"/>
        </w:rPr>
      </w:pPr>
      <w:bookmarkStart w:id="18" w:name="_Toc399517421"/>
      <w:r>
        <w:rPr>
          <w:noProof/>
        </w:rPr>
        <w:br w:type="page"/>
      </w:r>
      <w:r>
        <w:rPr>
          <w:noProof/>
          <w:sz w:val="22"/>
        </w:rPr>
        <w:t>Véhicules d’investissement spécialisés</w:t>
      </w:r>
      <w:bookmarkEnd w:id="18"/>
    </w:p>
    <w:tbl>
      <w:tblPr>
        <w:tblStyle w:val="MediumShading1-Accent1"/>
        <w:tblW w:w="5032" w:type="pct"/>
        <w:jc w:val="center"/>
        <w:tblLook w:val="04A0" w:firstRow="1" w:lastRow="0" w:firstColumn="1" w:lastColumn="0" w:noHBand="0" w:noVBand="1"/>
      </w:tblPr>
      <w:tblGrid>
        <w:gridCol w:w="2209"/>
        <w:gridCol w:w="2378"/>
        <w:gridCol w:w="2378"/>
        <w:gridCol w:w="2382"/>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60" w:lineRule="auto"/>
              <w:jc w:val="center"/>
              <w:rPr>
                <w:rFonts w:ascii="Times New Roman" w:hAnsi="Times New Roman"/>
                <w:b w:val="0"/>
                <w:bCs w:val="0"/>
                <w:noProof/>
                <w:sz w:val="22"/>
                <w:szCs w:val="22"/>
              </w:rPr>
            </w:pPr>
          </w:p>
        </w:tc>
        <w:tc>
          <w:tcPr>
            <w:tcW w:w="1272"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Instrument européen de microfinancement Progress — FCP-FIS</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4.1 du document de travail)</w:t>
            </w:r>
          </w:p>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responsables: EMPL et ECFIN</w:t>
            </w:r>
          </w:p>
        </w:tc>
        <w:tc>
          <w:tcPr>
            <w:tcW w:w="1272"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Fonds européen 2020 – Fonds Marguerite (point 4.2 du document de travail)</w:t>
            </w:r>
            <w:r>
              <w:rPr>
                <w:rFonts w:ascii="Times New Roman" w:hAnsi="Times New Roman"/>
                <w:bCs w:val="0"/>
                <w:noProof/>
                <w:sz w:val="22"/>
                <w:szCs w:val="22"/>
              </w:rPr>
              <w:br/>
            </w:r>
            <w:r>
              <w:rPr>
                <w:rFonts w:ascii="Times New Roman" w:hAnsi="Times New Roman"/>
                <w:noProof/>
                <w:sz w:val="22"/>
              </w:rPr>
              <w:t>DG responsable: MOVE</w:t>
            </w:r>
          </w:p>
        </w:tc>
        <w:tc>
          <w:tcPr>
            <w:tcW w:w="1274" w:type="pct"/>
            <w:vAlign w:val="center"/>
          </w:tcPr>
          <w:p>
            <w:pPr>
              <w:spacing w:before="6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Fonds européen pour l’efficacité énergétique – FEEE (point 4.3 du document de travail)</w:t>
            </w:r>
            <w:r>
              <w:rPr>
                <w:rFonts w:ascii="Times New Roman" w:hAnsi="Times New Roman"/>
                <w:bCs w:val="0"/>
                <w:noProof/>
                <w:sz w:val="22"/>
                <w:szCs w:val="22"/>
              </w:rPr>
              <w:br/>
            </w:r>
            <w:r>
              <w:rPr>
                <w:rFonts w:ascii="Times New Roman" w:hAnsi="Times New Roman"/>
                <w:noProof/>
                <w:sz w:val="22"/>
              </w:rPr>
              <w:t>DG responsable: ENER</w:t>
            </w:r>
          </w:p>
        </w:tc>
      </w:tr>
      <w:tr>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a) Identification / acte de base</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Décision n° 283/2010/UE</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 (CE) n° 680/2007</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rPr>
              <w:t>Règlement (UE) n° 1233/2010</w:t>
            </w:r>
          </w:p>
        </w:tc>
      </w:tr>
      <w:tr>
        <w:trPr>
          <w:cnfStyle w:val="000000010000" w:firstRow="0" w:lastRow="0" w:firstColumn="0" w:lastColumn="0" w:oddVBand="0" w:evenVBand="0" w:oddHBand="0" w:evenHBand="1"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b) Description</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Copropriété de fait d'actions et d’autres actifs éligibles visant à augmenter l’accès à la micro-finance</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Fonds paneuropéen de capital-investissement soutenant les investissements à long terme dans les infrastructures des secteurs des transports, de l’énergie et des énergies renouvelables dans l'UE</w:t>
            </w:r>
          </w:p>
        </w:tc>
        <w:tc>
          <w:tcPr>
            <w:tcW w:w="1274"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Fonds d’investissement spécialisé (SICAV) investissant dans des projets liés à l’efficacité énergétique, aux énergies renouvelables et aux transports urbains propres</w:t>
            </w:r>
          </w:p>
        </w:tc>
      </w:tr>
      <w:tr>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FEI (gestionnaire)</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(co-investisseur)</w:t>
            </w:r>
          </w:p>
        </w:tc>
        <w:tc>
          <w:tcPr>
            <w:tcW w:w="1272" w:type="pct"/>
            <w:vAlign w:val="center"/>
          </w:tcPr>
          <w:p>
            <w:pPr>
              <w:spacing w:before="6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Co-investisseurs: France (CDC), Italie (CdP), Allemagne (KfW), Espagne (ICO), Pologne (PKO) et BEI</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(entité chargée de l’exécution, investisseur), Deutsche Bank (gestionnaire des investissements, investisseur), CDP (investisseur)</w:t>
            </w:r>
          </w:p>
        </w:tc>
      </w:tr>
      <w:tr>
        <w:trPr>
          <w:cnfStyle w:val="000000010000" w:firstRow="0" w:lastRow="0" w:firstColumn="0" w:lastColumn="0" w:oddVBand="0" w:evenVBand="0" w:oddHBand="0" w:evenHBand="1" w:firstRowFirstColumn="0" w:firstRowLastColumn="0" w:lastRowFirstColumn="0" w:lastRowLastColumn="0"/>
          <w:trHeight w:val="147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80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74 Mio EUR</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80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43,7 Mio EUR</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146,3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113,2 Mio EUR</w:t>
            </w:r>
          </w:p>
        </w:tc>
      </w:tr>
      <w:tr>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e) Résultats</w:t>
            </w:r>
          </w:p>
        </w:tc>
        <w:tc>
          <w:tcPr>
            <w:tcW w:w="1272"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42 accords signés pour l’octroi d’un financement attendu de 390,8 Mio EUR en faveur de plus de 60 000 bénéficiaires finaux éligibles</w:t>
            </w:r>
          </w:p>
        </w:tc>
        <w:tc>
          <w:tcPr>
            <w:tcW w:w="1272"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710 Mio EUR de financement attendu sous la forme de fonds propres (au niveau du fonds Marguerite) en faveur de 20 à 30 projets;</w:t>
            </w:r>
          </w:p>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74" w:type="pct"/>
            <w:vAlign w:val="center"/>
          </w:tcPr>
          <w:p>
            <w:pPr>
              <w:spacing w:before="60" w:after="1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265 Mio EUR de financement attendu, sous la forme de fonds propres (au niveau du fonds EEE) en faveur de 19 projets</w:t>
            </w:r>
          </w:p>
        </w:tc>
      </w:tr>
      <w:tr>
        <w:trPr>
          <w:cnfStyle w:val="000000010000" w:firstRow="0" w:lastRow="0" w:firstColumn="0" w:lastColumn="0" w:oddVBand="0" w:evenVBand="0" w:oddHBand="0" w:evenHBand="1" w:firstRowFirstColumn="0" w:firstRowLastColumn="0" w:lastRowFirstColumn="0" w:lastRowLastColumn="0"/>
          <w:trHeight w:val="1077"/>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g) Solde du compte fiduciaire</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28,1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h) Recettes et remboursements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12,7 Mio EUR</w:t>
            </w:r>
          </w:p>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31,3 Mio EUR</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i) Valeur des investissements en fonds propres</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71 Mio EUR</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37,9 Mio EUR</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96,9 Mio EUR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Non disponible</w:t>
            </w:r>
          </w:p>
        </w:tc>
        <w:tc>
          <w:tcPr>
            <w:tcW w:w="1272"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0</w:t>
            </w:r>
          </w:p>
        </w:tc>
        <w:tc>
          <w:tcPr>
            <w:tcW w:w="1274" w:type="pct"/>
            <w:vAlign w:val="center"/>
          </w:tcPr>
          <w:p>
            <w:pPr>
              <w:spacing w:before="6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k) Effet de levier</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2,33</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Attendu: 5,2</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2,33</w:t>
            </w:r>
          </w:p>
        </w:tc>
        <w:tc>
          <w:tcPr>
            <w:tcW w:w="1272"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125</w:t>
            </w: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157</w:t>
            </w:r>
          </w:p>
        </w:tc>
        <w:tc>
          <w:tcPr>
            <w:tcW w:w="1274" w:type="pct"/>
            <w:vAlign w:val="center"/>
          </w:tcPr>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p>
            <w:pPr>
              <w:spacing w:before="6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Atteint: 2,2</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182" w:type="pct"/>
            <w:vAlign w:val="center"/>
          </w:tcPr>
          <w:p>
            <w:pPr>
              <w:spacing w:before="60" w:after="120" w:line="312" w:lineRule="auto"/>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172,9 Mio EUR de nouveaux financements mobilisés, sous la forme de 45 999 micro-crédits au profit de 24 841 bénéficiaires finaux;</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247 Mio EUR d’investissements mobilisés;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 pays couverts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72"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295 Mio EUR de nouveaux financements mobilisés, sous la forme de fonds propres, en faveur de 10 projets (3 dans le RTE-T et 7 dans le secteur des énergies renouvelables);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4,9 Mrd EUR d’investissements mobilisés;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 pays couverts</w:t>
            </w:r>
          </w:p>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74" w:type="pct"/>
            <w:vAlign w:val="center"/>
          </w:tcPr>
          <w:p>
            <w:pPr>
              <w:spacing w:before="60" w:after="120"/>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highlight w:val="yellow"/>
              </w:rPr>
            </w:pPr>
            <w:r>
              <w:rPr>
                <w:rFonts w:ascii="Times New Roman" w:hAnsi="Times New Roman"/>
                <w:noProof/>
                <w:sz w:val="22"/>
              </w:rPr>
              <w:t xml:space="preserve">120 Mio EUR de nouveaux financements mobilisés, sous la forme de fonds propres, en faveur de 10 projets, représentant un investissement total de 219 Mio EUR </w:t>
            </w:r>
          </w:p>
        </w:tc>
      </w:tr>
    </w:tbl>
    <w:p>
      <w:pPr>
        <w:pStyle w:val="Heading4"/>
        <w:spacing w:before="120"/>
        <w:rPr>
          <w:noProof/>
          <w:sz w:val="22"/>
          <w:szCs w:val="22"/>
        </w:rPr>
      </w:pPr>
      <w:bookmarkStart w:id="19" w:name="_Toc420402803"/>
      <w:bookmarkStart w:id="20" w:name="_Toc420402856"/>
      <w:bookmarkStart w:id="21" w:name="_Toc420402804"/>
      <w:bookmarkStart w:id="22" w:name="_Toc420402857"/>
      <w:bookmarkStart w:id="23" w:name="_Toc399517422"/>
      <w:bookmarkEnd w:id="19"/>
      <w:bookmarkEnd w:id="20"/>
      <w:bookmarkEnd w:id="21"/>
      <w:bookmarkEnd w:id="22"/>
      <w:r>
        <w:rPr>
          <w:noProof/>
        </w:rPr>
        <w:br w:type="page"/>
      </w:r>
      <w:r>
        <w:rPr>
          <w:noProof/>
          <w:sz w:val="22"/>
        </w:rPr>
        <w:t>Instruments financiers dans les pays concernés par l'élargissement</w:t>
      </w:r>
      <w:bookmarkEnd w:id="23"/>
    </w:p>
    <w:tbl>
      <w:tblPr>
        <w:tblW w:w="5033"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11"/>
        <w:gridCol w:w="2381"/>
        <w:gridCol w:w="2379"/>
        <w:gridCol w:w="2378"/>
      </w:tblGrid>
      <w:tr>
        <w:tc>
          <w:tcPr>
            <w:tcW w:w="1182"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3"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Facilité de garantie dans le cadre du WB EDIF</w:t>
            </w:r>
            <w:r>
              <w:rPr>
                <w:rStyle w:val="FootnoteReference"/>
                <w:rFonts w:ascii="Times New Roman" w:hAnsi="Times New Roman"/>
                <w:b/>
                <w:noProof/>
                <w:color w:val="FFFFFF" w:themeColor="background1"/>
              </w:rPr>
              <w:footnoteReference w:id="7"/>
            </w:r>
            <w:r>
              <w:rPr>
                <w:rFonts w:ascii="Times New Roman" w:hAnsi="Times New Roman"/>
                <w:b/>
                <w:noProof/>
                <w:color w:val="FFFFFF" w:themeColor="background1"/>
              </w:rPr>
              <w:t xml:space="preserve"> — GF WB 1</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5.1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c>
          <w:tcPr>
            <w:tcW w:w="1272"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Facilité de garantie II dans le cadre du WB EDIF</w:t>
            </w:r>
            <w:r>
              <w:rPr>
                <w:rStyle w:val="FootnoteReference"/>
                <w:rFonts w:ascii="Times New Roman" w:hAnsi="Times New Roman"/>
                <w:b/>
                <w:noProof/>
                <w:color w:val="FFFFFF" w:themeColor="background1"/>
              </w:rPr>
              <w:footnoteReference w:id="8"/>
            </w:r>
            <w:r>
              <w:rPr>
                <w:rFonts w:ascii="Times New Roman" w:hAnsi="Times New Roman"/>
                <w:b/>
                <w:noProof/>
                <w:color w:val="FFFFFF" w:themeColor="background1"/>
              </w:rPr>
              <w:t xml:space="preserve"> — GF WB 2</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5.2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c>
          <w:tcPr>
            <w:tcW w:w="1272"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Fonds pour le développement des entreprises — ENEF</w:t>
            </w:r>
            <w:r>
              <w:rPr>
                <w:rStyle w:val="FootnoteReference"/>
                <w:rFonts w:ascii="Times New Roman" w:hAnsi="Times New Roman"/>
                <w:b/>
                <w:noProof/>
                <w:color w:val="FFFFFF" w:themeColor="background1"/>
              </w:rPr>
              <w:footnoteReference w:id="9"/>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5.3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1085/2006 du Conseil</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231/2014</w:t>
            </w:r>
          </w:p>
        </w:tc>
        <w:tc>
          <w:tcPr>
            <w:tcW w:w="1272" w:type="pct"/>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noProof/>
              </w:rPr>
              <w:t>Règlement (CE) n° 1085/2006 du Conseil</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1273"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garantie visant à créer des conditions propices à l’émergence et à la croissance de PME innovantes à haut potentiel dans les Balkans occidentaux</w:t>
            </w:r>
          </w:p>
        </w:tc>
        <w:tc>
          <w:tcPr>
            <w:tcW w:w="1272" w:type="pct"/>
            <w:tcBorders>
              <w:left w:val="nil"/>
              <w:right w:val="nil"/>
            </w:tcBorders>
            <w:vAlign w:val="center"/>
          </w:tcPr>
          <w:p>
            <w:pPr>
              <w:spacing w:before="60" w:after="120" w:line="240" w:lineRule="auto"/>
              <w:rPr>
                <w:rFonts w:ascii="Times New Roman" w:hAnsi="Times New Roman" w:cs="Times New Roman"/>
                <w:noProof/>
              </w:rPr>
            </w:pPr>
            <w:r>
              <w:rPr>
                <w:rFonts w:ascii="Times New Roman" w:hAnsi="Times New Roman"/>
                <w:noProof/>
              </w:rPr>
              <w:t>Suite directe du WB EDIF GF 1; instrument de garantie visant à créer des conditions propices à l’émergence et à la croissance de PME innovantes à haut potentiel dans les Balkans occidentaux</w:t>
            </w:r>
          </w:p>
        </w:tc>
        <w:tc>
          <w:tcPr>
            <w:tcW w:w="1272"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capitaux propres pour le financement du développement et l’apport de capital d’expansion dans des PME établies dans les Balkans occidentaux</w:t>
            </w:r>
          </w:p>
        </w:tc>
      </w:tr>
      <w:tr>
        <w:trPr>
          <w:trHeight w:val="767"/>
        </w:trPr>
        <w:tc>
          <w:tcPr>
            <w:tcW w:w="1182"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1273"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1272"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w:t>
            </w:r>
          </w:p>
        </w:tc>
        <w:tc>
          <w:tcPr>
            <w:tcW w:w="1272" w:type="pct"/>
            <w:tcBorders>
              <w:left w:val="nil"/>
              <w:right w:val="single" w:sz="8" w:space="0" w:color="7BA0CD"/>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 (mandataire)</w:t>
            </w:r>
          </w:p>
          <w:p>
            <w:pPr>
              <w:spacing w:before="60" w:after="120" w:line="240" w:lineRule="auto"/>
              <w:jc w:val="center"/>
              <w:rPr>
                <w:rFonts w:ascii="Times New Roman" w:hAnsi="Times New Roman" w:cs="Times New Roman"/>
                <w:noProof/>
              </w:rPr>
            </w:pPr>
            <w:r>
              <w:rPr>
                <w:rFonts w:ascii="Times New Roman" w:hAnsi="Times New Roman"/>
                <w:noProof/>
              </w:rPr>
              <w:t>BERD, DEG, OeEB</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21,9 Mio EUR</w:t>
            </w:r>
          </w:p>
          <w:p>
            <w:pPr>
              <w:spacing w:before="60" w:after="120" w:line="240" w:lineRule="auto"/>
              <w:jc w:val="center"/>
              <w:rPr>
                <w:rFonts w:ascii="Times New Roman" w:hAnsi="Times New Roman" w:cs="Times New Roman"/>
                <w:noProof/>
              </w:rPr>
            </w:pPr>
            <w:r>
              <w:rPr>
                <w:rFonts w:ascii="Times New Roman" w:hAnsi="Times New Roman"/>
                <w:noProof/>
              </w:rPr>
              <w:t>21,9 Mio EUR</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17,5 Mio EUR</w:t>
            </w:r>
          </w:p>
          <w:p>
            <w:pPr>
              <w:spacing w:before="60" w:after="120" w:line="240" w:lineRule="auto"/>
              <w:jc w:val="center"/>
              <w:rPr>
                <w:rFonts w:ascii="Times New Roman" w:hAnsi="Times New Roman" w:cs="Times New Roman"/>
                <w:noProof/>
              </w:rPr>
            </w:pPr>
            <w:r>
              <w:rPr>
                <w:rFonts w:ascii="Times New Roman" w:hAnsi="Times New Roman"/>
                <w:noProof/>
              </w:rPr>
              <w:t>10 Mio EUR</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11 Mio EUR</w:t>
            </w:r>
          </w:p>
          <w:p>
            <w:pPr>
              <w:spacing w:before="60" w:after="120" w:line="240" w:lineRule="auto"/>
              <w:jc w:val="center"/>
              <w:rPr>
                <w:rFonts w:ascii="Times New Roman" w:hAnsi="Times New Roman" w:cs="Times New Roman"/>
                <w:noProof/>
              </w:rPr>
            </w:pPr>
            <w:r>
              <w:rPr>
                <w:rFonts w:ascii="Times New Roman" w:hAnsi="Times New Roman"/>
                <w:noProof/>
              </w:rPr>
              <w:t>10,4 Mio EUR</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1273"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6 contrats signés avec des banques pour l'octroi d'un financement attendu de 117,9 Mio EUR aux bénéficiaires finaux</w:t>
            </w:r>
          </w:p>
        </w:tc>
        <w:tc>
          <w:tcPr>
            <w:tcW w:w="1272"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Financement attendu: 17,5 Mio EUR (au moins) </w:t>
            </w:r>
          </w:p>
        </w:tc>
        <w:tc>
          <w:tcPr>
            <w:tcW w:w="1272"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77 Mio EUR de financement attendu, sous la forme de fonds propres (au niveau du fonds ENEF) en faveur de 15 bénéficiaires finaux environ </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20,12 Mio EUR</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10 Mio EUR</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9,57 Mio EUR</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rPr>
          <w:trHeight w:val="907"/>
        </w:trP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320 600 EUR</w:t>
            </w:r>
          </w:p>
        </w:tc>
      </w:tr>
      <w:t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1273"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127 700 EUR</w:t>
            </w:r>
          </w:p>
        </w:tc>
        <w:tc>
          <w:tcPr>
            <w:tcW w:w="1272" w:type="pct"/>
            <w:tcBorders>
              <w:left w:val="nil"/>
              <w:right w:val="nil"/>
            </w:tcBorders>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2"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1182"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1273"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7</w:t>
            </w:r>
          </w:p>
          <w:p>
            <w:pPr>
              <w:spacing w:before="60" w:after="120" w:line="240" w:lineRule="auto"/>
              <w:jc w:val="center"/>
              <w:rPr>
                <w:rFonts w:ascii="Times New Roman" w:hAnsi="Times New Roman" w:cs="Times New Roman"/>
                <w:noProof/>
              </w:rPr>
            </w:pPr>
            <w:r>
              <w:rPr>
                <w:rFonts w:ascii="Times New Roman" w:hAnsi="Times New Roman"/>
                <w:noProof/>
              </w:rPr>
              <w:t>Atteint: 5,4</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de 4 à 5,2</w:t>
            </w:r>
          </w:p>
        </w:tc>
        <w:tc>
          <w:tcPr>
            <w:tcW w:w="1272"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10</w:t>
            </w:r>
          </w:p>
          <w:p>
            <w:pPr>
              <w:spacing w:before="60" w:after="120" w:line="240" w:lineRule="auto"/>
              <w:jc w:val="center"/>
              <w:rPr>
                <w:rFonts w:ascii="Times New Roman" w:hAnsi="Times New Roman" w:cs="Times New Roman"/>
                <w:noProof/>
              </w:rPr>
            </w:pPr>
            <w:r>
              <w:rPr>
                <w:rFonts w:ascii="Times New Roman" w:hAnsi="Times New Roman"/>
                <w:noProof/>
              </w:rPr>
              <w:t>Atteint: 7</w:t>
            </w:r>
          </w:p>
        </w:tc>
      </w:tr>
      <w:tr>
        <w:trPr>
          <w:trHeight w:val="761"/>
        </w:trPr>
        <w:tc>
          <w:tcPr>
            <w:tcW w:w="1182"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1273" w:type="pct"/>
            <w:tcBorders>
              <w:left w:val="nil"/>
              <w:right w:val="nil"/>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noProof/>
              </w:rPr>
              <w:t>117,9 Mio EUR de financement attendu au profit de 247 bénéficiaires finaux.</w:t>
            </w:r>
          </w:p>
        </w:tc>
        <w:tc>
          <w:tcPr>
            <w:tcW w:w="1272" w:type="pct"/>
            <w:tcBorders>
              <w:left w:val="nil"/>
              <w:right w:val="nil"/>
            </w:tcBorders>
            <w:vAlign w:val="center"/>
          </w:tcPr>
          <w:p>
            <w:pPr>
              <w:spacing w:before="60" w:after="120" w:line="240" w:lineRule="auto"/>
              <w:jc w:val="both"/>
              <w:rPr>
                <w:rFonts w:ascii="Times New Roman" w:hAnsi="Times New Roman" w:cs="Times New Roman"/>
                <w:noProof/>
              </w:rPr>
            </w:pPr>
            <w:r>
              <w:rPr>
                <w:rFonts w:ascii="Times New Roman" w:hAnsi="Times New Roman"/>
                <w:noProof/>
              </w:rPr>
              <w:t xml:space="preserve">Pas encore disponible (10 opérations en préparation). </w:t>
            </w:r>
          </w:p>
        </w:tc>
        <w:tc>
          <w:tcPr>
            <w:tcW w:w="1272" w:type="pct"/>
            <w:tcBorders>
              <w:left w:val="nil"/>
              <w:right w:val="single" w:sz="8" w:space="0" w:color="7BA0CD"/>
            </w:tcBorders>
            <w:shd w:val="clear" w:color="auto" w:fill="auto"/>
            <w:vAlign w:val="center"/>
          </w:tcPr>
          <w:p>
            <w:pPr>
              <w:spacing w:before="60" w:after="120" w:line="240" w:lineRule="auto"/>
              <w:jc w:val="both"/>
              <w:rPr>
                <w:rFonts w:ascii="Times New Roman" w:hAnsi="Times New Roman" w:cs="Times New Roman"/>
                <w:noProof/>
              </w:rPr>
            </w:pPr>
            <w:r>
              <w:rPr>
                <w:rFonts w:ascii="Times New Roman" w:hAnsi="Times New Roman"/>
                <w:noProof/>
              </w:rPr>
              <w:t>3 Mio EUR de nouveaux financements mobilisés au profit d’1 bénéficiaire.</w:t>
            </w:r>
          </w:p>
          <w:p>
            <w:pPr>
              <w:spacing w:before="60" w:after="120" w:line="240" w:lineRule="auto"/>
              <w:jc w:val="both"/>
              <w:rPr>
                <w:rFonts w:ascii="Times New Roman" w:hAnsi="Times New Roman" w:cs="Times New Roman"/>
                <w:noProof/>
              </w:rPr>
            </w:pPr>
          </w:p>
        </w:tc>
      </w:tr>
    </w:tbl>
    <w:p>
      <w:pPr>
        <w:jc w:val="both"/>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tbl>
      <w:tblPr>
        <w:tblW w:w="5031"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08"/>
        <w:gridCol w:w="2381"/>
        <w:gridCol w:w="2381"/>
        <w:gridCol w:w="2376"/>
      </w:tblGrid>
      <w:tr>
        <w:tc>
          <w:tcPr>
            <w:tcW w:w="1181"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4"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Fonds pour l’innovation des entreprises — ENIF</w:t>
            </w:r>
            <w:r>
              <w:rPr>
                <w:rStyle w:val="FootnoteReference"/>
                <w:rFonts w:ascii="Times New Roman" w:hAnsi="Times New Roman"/>
                <w:b/>
                <w:noProof/>
                <w:color w:val="FFFFFF" w:themeColor="background1"/>
              </w:rPr>
              <w:footnoteReference w:id="10"/>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5.4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c>
          <w:tcPr>
            <w:tcW w:w="1274"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Fonds européen pour l’Europe du Sud-Est — FEESE</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5.5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c>
          <w:tcPr>
            <w:tcW w:w="1271" w:type="pct"/>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Fonds pour une croissance verte — FCV</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5.6 du document de travail)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DG responsable: NEAR</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1274" w:type="pct"/>
            <w:shd w:val="clear" w:color="auto" w:fill="D3DFEE"/>
            <w:vAlign w:val="center"/>
          </w:tcPr>
          <w:p>
            <w:pPr>
              <w:spacing w:before="60" w:after="120" w:line="240" w:lineRule="auto"/>
              <w:jc w:val="center"/>
              <w:rPr>
                <w:rFonts w:ascii="Times New Roman" w:eastAsia="Times New Roman" w:hAnsi="Times New Roman" w:cs="Times New Roman"/>
                <w:noProof/>
              </w:rPr>
            </w:pPr>
            <w:r>
              <w:rPr>
                <w:rFonts w:ascii="Times New Roman" w:hAnsi="Times New Roman"/>
                <w:noProof/>
              </w:rPr>
              <w:t>Règlement (CE) n° 1085/2006 du Conseil</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1085/2006 du Conseil</w:t>
            </w:r>
          </w:p>
        </w:tc>
        <w:tc>
          <w:tcPr>
            <w:tcW w:w="1271" w:type="pct"/>
            <w:shd w:val="clear" w:color="auto" w:fill="D3DFEE"/>
            <w:vAlign w:val="center"/>
          </w:tcPr>
          <w:p>
            <w:pPr>
              <w:spacing w:before="60" w:after="120" w:line="240" w:lineRule="auto"/>
              <w:jc w:val="center"/>
              <w:rPr>
                <w:rFonts w:ascii="Times New Roman" w:hAnsi="Times New Roman" w:cs="Times New Roman"/>
                <w:i/>
                <w:noProof/>
              </w:rPr>
            </w:pPr>
            <w:r>
              <w:rPr>
                <w:rFonts w:ascii="Times New Roman" w:hAnsi="Times New Roman"/>
                <w:noProof/>
              </w:rPr>
              <w:t>Règlement (CE) n° 1085/2006 du Conseil</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1274" w:type="pct"/>
            <w:vAlign w:val="center"/>
          </w:tcPr>
          <w:p>
            <w:pPr>
              <w:spacing w:before="60" w:after="120" w:line="240" w:lineRule="auto"/>
              <w:rPr>
                <w:rFonts w:ascii="Times New Roman" w:hAnsi="Times New Roman" w:cs="Times New Roman"/>
                <w:noProof/>
              </w:rPr>
            </w:pPr>
            <w:r>
              <w:rPr>
                <w:rFonts w:ascii="Times New Roman" w:hAnsi="Times New Roman"/>
                <w:noProof/>
              </w:rPr>
              <w:t>Instrument de capitaux propres pour le financement de PME innovantes en phase de démarrage dans les Balkans occidentaux</w:t>
            </w:r>
          </w:p>
        </w:tc>
        <w:tc>
          <w:tcPr>
            <w:tcW w:w="1274"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Partenariat public-privé destiné à aider le développement du secteur privé dans les pays concernés par l'élargissement en soutenant les PME</w:t>
            </w:r>
          </w:p>
        </w:tc>
        <w:tc>
          <w:tcPr>
            <w:tcW w:w="1271"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Fonds d'innovation permettant de financer des projets relatifs à l'efficacité énergétique et aux énergies renouvelables dans l'Europe du Sud-Est et en Turquie</w:t>
            </w:r>
          </w:p>
        </w:tc>
      </w:tr>
      <w:tr>
        <w:trPr>
          <w:trHeight w:val="767"/>
        </w:trPr>
        <w:tc>
          <w:tcPr>
            <w:tcW w:w="1181"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 (mandataire)</w:t>
            </w:r>
          </w:p>
          <w:p>
            <w:pPr>
              <w:spacing w:before="60" w:after="120" w:line="240" w:lineRule="auto"/>
              <w:jc w:val="center"/>
              <w:rPr>
                <w:rFonts w:ascii="Times New Roman" w:hAnsi="Times New Roman" w:cs="Times New Roman"/>
                <w:noProof/>
              </w:rPr>
            </w:pPr>
            <w:r>
              <w:rPr>
                <w:rFonts w:ascii="Times New Roman" w:hAnsi="Times New Roman"/>
                <w:noProof/>
              </w:rPr>
              <w:t>BERD, KfW</w:t>
            </w:r>
          </w:p>
        </w:tc>
        <w:tc>
          <w:tcPr>
            <w:tcW w:w="1274" w:type="pct"/>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 (mandataire)</w:t>
            </w:r>
          </w:p>
          <w:p>
            <w:pPr>
              <w:spacing w:before="60" w:after="120" w:line="240" w:lineRule="auto"/>
              <w:jc w:val="center"/>
              <w:rPr>
                <w:rFonts w:ascii="Times New Roman" w:hAnsi="Times New Roman" w:cs="Times New Roman"/>
                <w:noProof/>
              </w:rPr>
            </w:pPr>
            <w:r>
              <w:rPr>
                <w:rFonts w:ascii="Times New Roman" w:hAnsi="Times New Roman"/>
                <w:noProof/>
              </w:rPr>
              <w:t>Autres investisseurs (p. ex. BERD, KfW, BEI)</w:t>
            </w:r>
          </w:p>
        </w:tc>
        <w:tc>
          <w:tcPr>
            <w:tcW w:w="1271" w:type="pct"/>
            <w:tcBorders>
              <w:left w:val="nil"/>
              <w:right w:val="single" w:sz="8" w:space="0" w:color="7BA0CD"/>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FEI (mandataire)</w:t>
            </w:r>
          </w:p>
          <w:p>
            <w:pPr>
              <w:spacing w:before="60" w:after="120" w:line="240" w:lineRule="auto"/>
              <w:jc w:val="center"/>
              <w:rPr>
                <w:rFonts w:ascii="Times New Roman" w:hAnsi="Times New Roman" w:cs="Times New Roman"/>
                <w:noProof/>
              </w:rPr>
            </w:pPr>
            <w:r>
              <w:rPr>
                <w:rFonts w:ascii="Times New Roman" w:hAnsi="Times New Roman"/>
                <w:noProof/>
              </w:rPr>
              <w:t>Co-investisseurs (p. ex. BEI, BERD, KfW)</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noProof/>
              </w:rPr>
              <w:t>21,2 Mio EUR</w:t>
            </w:r>
          </w:p>
          <w:p>
            <w:pPr>
              <w:spacing w:before="60" w:after="120" w:line="240" w:lineRule="auto"/>
              <w:jc w:val="center"/>
              <w:rPr>
                <w:rFonts w:ascii="Times New Roman" w:hAnsi="Times New Roman" w:cs="Times New Roman"/>
                <w:noProof/>
              </w:rPr>
            </w:pPr>
            <w:r>
              <w:rPr>
                <w:rFonts w:ascii="Times New Roman" w:hAnsi="Times New Roman"/>
                <w:noProof/>
              </w:rPr>
              <w:t>21,2 Mio EUR</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87,68 Mio EUR</w:t>
            </w:r>
          </w:p>
          <w:p>
            <w:pPr>
              <w:spacing w:before="60" w:after="120" w:line="240" w:lineRule="auto"/>
              <w:jc w:val="center"/>
              <w:rPr>
                <w:rFonts w:ascii="Times New Roman" w:hAnsi="Times New Roman" w:cs="Times New Roman"/>
                <w:noProof/>
              </w:rPr>
            </w:pPr>
            <w:r>
              <w:rPr>
                <w:rFonts w:ascii="Times New Roman" w:hAnsi="Times New Roman"/>
                <w:noProof/>
              </w:rPr>
              <w:t>87,68 Mio EUR</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38,6 Mio EUR</w:t>
            </w:r>
          </w:p>
          <w:p>
            <w:pPr>
              <w:spacing w:before="60" w:after="120" w:line="240" w:lineRule="auto"/>
              <w:jc w:val="center"/>
              <w:rPr>
                <w:rFonts w:ascii="Times New Roman" w:hAnsi="Times New Roman" w:cs="Times New Roman"/>
                <w:noProof/>
              </w:rPr>
            </w:pPr>
            <w:r>
              <w:rPr>
                <w:rFonts w:ascii="Times New Roman" w:hAnsi="Times New Roman"/>
                <w:noProof/>
              </w:rPr>
              <w:t>38,6 Mio EUR</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1274"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50 Mio EUR de financement attendu, sous la forme de fonds propres (au niveau du fonds ENIF) </w:t>
            </w:r>
          </w:p>
        </w:tc>
        <w:tc>
          <w:tcPr>
            <w:tcW w:w="1274"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Contribution de l’UE de 113,5 Mio EUR engagée en faveur du FEESE</w:t>
            </w:r>
          </w:p>
        </w:tc>
        <w:tc>
          <w:tcPr>
            <w:tcW w:w="1271" w:type="pct"/>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Contribution de l’UE de 38,6 Mio EUR engagée en faveur du FCV, pour un financement attendu de 367,7 Mio EUR </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20,76 Mio EUR</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rPr>
          <w:trHeight w:val="907"/>
        </w:trP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113,5 Mio EUR (au niveau du FEESE)</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39,3 Mio EUR (au niveau du FCV)</w:t>
            </w:r>
          </w:p>
        </w:tc>
      </w:tr>
      <w:t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1274" w:type="pct"/>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4" w:type="pct"/>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1271" w:type="pct"/>
            <w:tcBorders>
              <w:left w:val="nil"/>
              <w:right w:val="single" w:sz="8" w:space="0" w:color="7BA0CD"/>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1181" w:type="pct"/>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Attendu: 2</w:t>
            </w:r>
          </w:p>
        </w:tc>
        <w:tc>
          <w:tcPr>
            <w:tcW w:w="1274"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Atteint: 43</w:t>
            </w:r>
          </w:p>
        </w:tc>
        <w:tc>
          <w:tcPr>
            <w:tcW w:w="1271" w:type="pct"/>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9,5</w:t>
            </w:r>
          </w:p>
          <w:p>
            <w:pPr>
              <w:spacing w:before="60" w:after="120" w:line="240" w:lineRule="auto"/>
              <w:jc w:val="center"/>
              <w:rPr>
                <w:rFonts w:ascii="Times New Roman" w:hAnsi="Times New Roman" w:cs="Times New Roman"/>
                <w:noProof/>
              </w:rPr>
            </w:pPr>
            <w:r>
              <w:rPr>
                <w:rFonts w:ascii="Times New Roman" w:hAnsi="Times New Roman"/>
                <w:noProof/>
              </w:rPr>
              <w:t>Attendu: 8</w:t>
            </w:r>
          </w:p>
          <w:p>
            <w:pPr>
              <w:spacing w:before="60" w:after="120" w:line="240" w:lineRule="auto"/>
              <w:jc w:val="center"/>
              <w:rPr>
                <w:rFonts w:ascii="Times New Roman" w:hAnsi="Times New Roman" w:cs="Times New Roman"/>
                <w:noProof/>
              </w:rPr>
            </w:pPr>
            <w:r>
              <w:rPr>
                <w:rFonts w:ascii="Times New Roman" w:hAnsi="Times New Roman"/>
                <w:noProof/>
              </w:rPr>
              <w:t>Atteint: 7,5</w:t>
            </w:r>
          </w:p>
        </w:tc>
      </w:tr>
      <w:tr>
        <w:trPr>
          <w:trHeight w:val="761"/>
        </w:trPr>
        <w:tc>
          <w:tcPr>
            <w:tcW w:w="1181"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1274" w:type="pct"/>
            <w:vAlign w:val="center"/>
          </w:tcPr>
          <w:p>
            <w:pPr>
              <w:spacing w:before="60" w:after="120" w:line="240" w:lineRule="auto"/>
              <w:rPr>
                <w:rFonts w:ascii="Times New Roman" w:hAnsi="Times New Roman" w:cs="Times New Roman"/>
                <w:noProof/>
              </w:rPr>
            </w:pPr>
            <w:r>
              <w:rPr>
                <w:rFonts w:ascii="Times New Roman" w:hAnsi="Times New Roman"/>
                <w:noProof/>
              </w:rPr>
              <w:t>50 Mio EUR de financement attendu, sous la forme de fonds propres (au niveau du fonds ENIF).</w:t>
            </w:r>
          </w:p>
        </w:tc>
        <w:tc>
          <w:tcPr>
            <w:tcW w:w="1274" w:type="pct"/>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3,8 Mrd EUR de nouveaux financements mobilisés au profit de 598 735 bénéficiaires finaux;</w:t>
            </w:r>
          </w:p>
          <w:p>
            <w:pPr>
              <w:spacing w:before="60" w:after="120" w:line="240" w:lineRule="auto"/>
              <w:rPr>
                <w:rFonts w:ascii="Times New Roman" w:hAnsi="Times New Roman" w:cs="Times New Roman"/>
                <w:noProof/>
              </w:rPr>
            </w:pPr>
            <w:r>
              <w:rPr>
                <w:rFonts w:ascii="Times New Roman" w:hAnsi="Times New Roman"/>
                <w:noProof/>
              </w:rPr>
              <w:t>le FEESE a servi de modèle sur le plan international pour la micro-finance (voir document de travail).</w:t>
            </w:r>
          </w:p>
        </w:tc>
        <w:tc>
          <w:tcPr>
            <w:tcW w:w="1271" w:type="pct"/>
            <w:tcBorders>
              <w:left w:val="nil"/>
              <w:right w:val="single" w:sz="8" w:space="0" w:color="7BA0CD"/>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289 Mio EUR de nouveaux financements mobilisés au profit de 18 203 bénéficiaires finaux;</w:t>
            </w:r>
          </w:p>
          <w:p>
            <w:pPr>
              <w:spacing w:before="60" w:after="120" w:line="240" w:lineRule="auto"/>
              <w:rPr>
                <w:rFonts w:ascii="Times New Roman" w:hAnsi="Times New Roman" w:cs="Times New Roman"/>
                <w:noProof/>
              </w:rPr>
            </w:pPr>
            <w:r>
              <w:rPr>
                <w:rFonts w:ascii="Times New Roman" w:hAnsi="Times New Roman"/>
                <w:noProof/>
              </w:rPr>
              <w:t>économies d'énergie annualisées de 1 275 780 MWh/an;</w:t>
            </w:r>
          </w:p>
          <w:p>
            <w:pPr>
              <w:spacing w:before="60" w:after="120" w:line="240" w:lineRule="auto"/>
              <w:rPr>
                <w:rFonts w:ascii="Times New Roman" w:hAnsi="Times New Roman" w:cs="Times New Roman"/>
                <w:noProof/>
              </w:rPr>
            </w:pPr>
            <w:r>
              <w:rPr>
                <w:rFonts w:ascii="Times New Roman" w:hAnsi="Times New Roman"/>
                <w:noProof/>
              </w:rPr>
              <w:t>réduction des émissions de CO</w:t>
            </w:r>
            <w:r>
              <w:rPr>
                <w:rFonts w:ascii="Times New Roman" w:hAnsi="Times New Roman"/>
                <w:noProof/>
                <w:vertAlign w:val="subscript"/>
              </w:rPr>
              <w:t>2</w:t>
            </w:r>
            <w:r>
              <w:rPr>
                <w:rFonts w:ascii="Times New Roman" w:hAnsi="Times New Roman"/>
                <w:noProof/>
              </w:rPr>
              <w:t xml:space="preserve"> de 330 741 tonnes/an</w:t>
            </w:r>
          </w:p>
        </w:tc>
      </w:tr>
    </w:tbl>
    <w:p>
      <w:pPr>
        <w:jc w:val="both"/>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p>
      <w:pPr>
        <w:jc w:val="both"/>
        <w:rPr>
          <w:rFonts w:ascii="Times New Roman" w:hAnsi="Times New Roman" w:cs="Times New Roman"/>
          <w:noProof/>
        </w:rPr>
      </w:pPr>
    </w:p>
    <w:tbl>
      <w:tblPr>
        <w:tblW w:w="2470" w:type="pct"/>
        <w:tblInd w:w="-3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0"/>
        <w:gridCol w:w="2378"/>
      </w:tblGrid>
      <w:tr>
        <w:trPr>
          <w:trHeight w:val="2171"/>
        </w:trPr>
        <w:tc>
          <w:tcPr>
            <w:tcW w:w="2408" w:type="pct"/>
            <w:tcBorders>
              <w:top w:val="single" w:sz="8" w:space="0" w:color="7BA0CD"/>
              <w:left w:val="single" w:sz="8" w:space="0" w:color="7BA0CD"/>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noProof/>
              </w:rPr>
              <w:br w:type="page"/>
            </w:r>
          </w:p>
        </w:tc>
        <w:tc>
          <w:tcPr>
            <w:tcW w:w="2592" w:type="pct"/>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Prêt d’appui à la relance des PME en Turquie — RSL</w:t>
            </w:r>
          </w:p>
          <w:p>
            <w:pPr>
              <w:spacing w:before="60" w:after="120" w:line="360" w:lineRule="auto"/>
              <w:jc w:val="center"/>
              <w:rPr>
                <w:rFonts w:ascii="Times New Roman" w:hAnsi="Times New Roman" w:cs="Times New Roman"/>
                <w:b/>
                <w:bCs/>
                <w:noProof/>
                <w:color w:val="FFFFFF" w:themeColor="background1"/>
              </w:rPr>
            </w:pPr>
            <w:r>
              <w:rPr>
                <w:rFonts w:ascii="Times New Roman" w:hAnsi="Times New Roman"/>
                <w:b/>
                <w:noProof/>
                <w:color w:val="FFFFFF" w:themeColor="background1"/>
              </w:rPr>
              <w:t>(point 5.7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themeColor="background1"/>
              </w:rPr>
              <w:t>DG responsable: NEAR</w:t>
            </w:r>
          </w:p>
        </w:tc>
      </w:tr>
      <w:tr>
        <w:trPr>
          <w:trHeight w:val="968"/>
        </w:trP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592"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1085/2006 du Conseil</w:t>
            </w:r>
          </w:p>
        </w:tc>
      </w:tr>
      <w:tr>
        <w:trPr>
          <w:trHeight w:val="1984"/>
        </w:trP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2592" w:type="pct"/>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de cofinancement servant à atténuer les effets de la crise et à soutenir les PME afin de développer l’économie turque</w:t>
            </w:r>
          </w:p>
        </w:tc>
      </w:tr>
      <w:tr>
        <w:trPr>
          <w:trHeight w:val="1673"/>
        </w:trP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592"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BEI (partenaire du partage des risques)</w:t>
            </w:r>
          </w:p>
          <w:p>
            <w:pPr>
              <w:spacing w:before="60" w:after="120" w:line="240" w:lineRule="auto"/>
              <w:jc w:val="center"/>
              <w:rPr>
                <w:rFonts w:ascii="Times New Roman" w:hAnsi="Times New Roman" w:cs="Times New Roman"/>
                <w:noProof/>
              </w:rPr>
            </w:pPr>
            <w:r>
              <w:rPr>
                <w:rFonts w:ascii="Times New Roman" w:hAnsi="Times New Roman"/>
                <w:noProof/>
              </w:rPr>
              <w:t>Halkbank, Akbank</w:t>
            </w:r>
          </w:p>
        </w:tc>
      </w:tr>
      <w:t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592"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30 Mio EUR</w:t>
            </w:r>
          </w:p>
          <w:p>
            <w:pPr>
              <w:spacing w:before="60" w:after="120" w:line="240" w:lineRule="auto"/>
              <w:jc w:val="center"/>
              <w:rPr>
                <w:rFonts w:ascii="Times New Roman" w:hAnsi="Times New Roman" w:cs="Times New Roman"/>
                <w:noProof/>
              </w:rPr>
            </w:pPr>
            <w:r>
              <w:rPr>
                <w:rFonts w:ascii="Times New Roman" w:hAnsi="Times New Roman"/>
                <w:noProof/>
              </w:rPr>
              <w:t>30 Mio EUR</w:t>
            </w:r>
          </w:p>
        </w:tc>
      </w:tr>
      <w:t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2592" w:type="pct"/>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299,6 Mio EUR de nouveaux financements déjà fournis à 265 bénéficiaires finaux</w:t>
            </w:r>
          </w:p>
        </w:tc>
      </w:tr>
      <w:t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592"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592"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19,4 Mio EUR</w:t>
            </w:r>
          </w:p>
        </w:tc>
      </w:tr>
      <w:t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592" w:type="pct"/>
            <w:tcBorders>
              <w:left w:val="nil"/>
            </w:tcBorders>
            <w:shd w:val="clear" w:color="auto" w:fill="auto"/>
            <w:vAlign w:val="center"/>
          </w:tcPr>
          <w:p>
            <w:pPr>
              <w:spacing w:before="60" w:after="120" w:line="240" w:lineRule="auto"/>
              <w:contextualSpacing/>
              <w:jc w:val="center"/>
              <w:rPr>
                <w:rFonts w:ascii="Times New Roman" w:hAnsi="Times New Roman" w:cs="Times New Roman"/>
                <w:noProof/>
              </w:rPr>
            </w:pPr>
            <w:r>
              <w:rPr>
                <w:rFonts w:ascii="Times New Roman" w:hAnsi="Times New Roman"/>
                <w:noProof/>
              </w:rPr>
              <w:t>9,4 Mio EUR</w:t>
            </w:r>
          </w:p>
        </w:tc>
      </w:tr>
      <w:t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592"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592" w:type="pct"/>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408" w:type="pct"/>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2592" w:type="pct"/>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10</w:t>
            </w:r>
          </w:p>
          <w:p>
            <w:pPr>
              <w:spacing w:before="60" w:after="120" w:line="240" w:lineRule="auto"/>
              <w:jc w:val="center"/>
              <w:rPr>
                <w:rFonts w:ascii="Times New Roman" w:hAnsi="Times New Roman" w:cs="Times New Roman"/>
                <w:noProof/>
              </w:rPr>
            </w:pPr>
            <w:r>
              <w:rPr>
                <w:rFonts w:ascii="Times New Roman" w:hAnsi="Times New Roman"/>
                <w:noProof/>
              </w:rPr>
              <w:t>Atteint: 10</w:t>
            </w:r>
          </w:p>
        </w:tc>
      </w:tr>
      <w:tr>
        <w:trPr>
          <w:trHeight w:val="761"/>
        </w:trPr>
        <w:tc>
          <w:tcPr>
            <w:tcW w:w="2408" w:type="pct"/>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592" w:type="pct"/>
            <w:tcBorders>
              <w:left w:val="nil"/>
            </w:tcBorders>
            <w:shd w:val="clear" w:color="auto" w:fill="auto"/>
            <w:vAlign w:val="center"/>
          </w:tcPr>
          <w:p>
            <w:pPr>
              <w:pStyle w:val="ListParagraph"/>
              <w:spacing w:after="120" w:line="240" w:lineRule="auto"/>
              <w:ind w:left="0"/>
              <w:rPr>
                <w:noProof/>
                <w:sz w:val="22"/>
              </w:rPr>
            </w:pPr>
            <w:r>
              <w:rPr>
                <w:noProof/>
                <w:sz w:val="22"/>
              </w:rPr>
              <w:t>299,6 Mio EUR de nouveaux financements mobilisés au profit de 265 bénéficiaires finaux éligibles,</w:t>
            </w:r>
            <w:r>
              <w:rPr>
                <w:noProof/>
              </w:rPr>
              <w:t xml:space="preserve"> visant à créer plus de 4 000 nouveaux emplois.</w:t>
            </w:r>
          </w:p>
        </w:tc>
      </w:tr>
    </w:tbl>
    <w:p>
      <w:pPr>
        <w:pStyle w:val="Heading4"/>
        <w:spacing w:before="120"/>
        <w:rPr>
          <w:noProof/>
          <w:sz w:val="22"/>
          <w:szCs w:val="22"/>
        </w:rPr>
      </w:pPr>
      <w:bookmarkStart w:id="24" w:name="_Toc399517423"/>
      <w:r>
        <w:rPr>
          <w:noProof/>
        </w:rPr>
        <w:br w:type="page"/>
      </w:r>
      <w:r>
        <w:rPr>
          <w:noProof/>
          <w:sz w:val="22"/>
        </w:rPr>
        <w:t>Instruments financiers concernant les pays relevant de la politique de voisinage et les pays couverts par l’ICD</w:t>
      </w:r>
      <w:bookmarkEnd w:id="24"/>
    </w:p>
    <w:tbl>
      <w:tblPr>
        <w:tblW w:w="935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11"/>
        <w:gridCol w:w="2381"/>
        <w:gridCol w:w="2381"/>
        <w:gridCol w:w="2381"/>
      </w:tblGrid>
      <w:tr>
        <w:tc>
          <w:tcPr>
            <w:tcW w:w="2211" w:type="dxa"/>
            <w:tcBorders>
              <w:top w:val="single" w:sz="8" w:space="0" w:color="7BA0CD"/>
              <w:left w:val="single" w:sz="8" w:space="0" w:color="7BA0CD"/>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Facilité d'investissement dans le cadre de la politique de voisinage – FIPV</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6.1.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NEAR</w:t>
            </w:r>
          </w:p>
        </w:tc>
        <w:tc>
          <w:tcPr>
            <w:tcW w:w="2381" w:type="dxa"/>
            <w:tcBorders>
              <w:top w:val="single" w:sz="8" w:space="0" w:color="7BA0CD"/>
              <w:left w:val="nil"/>
              <w:bottom w:val="single" w:sz="8" w:space="0" w:color="7BA0CD"/>
              <w:right w:val="nil"/>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Facilité d’investissement pour l’Asie centrale – FIAC</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6.2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DEVCO</w:t>
            </w:r>
          </w:p>
        </w:tc>
        <w:tc>
          <w:tcPr>
            <w:tcW w:w="2381" w:type="dxa"/>
            <w:tcBorders>
              <w:top w:val="single" w:sz="8" w:space="0" w:color="7BA0CD"/>
              <w:left w:val="nil"/>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Facilité d’investissement pour l’Asie — FIA</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6.2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DEVCO</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1638/2006</w:t>
            </w:r>
          </w:p>
          <w:p>
            <w:pPr>
              <w:spacing w:before="60" w:after="120" w:line="240" w:lineRule="auto"/>
              <w:jc w:val="center"/>
              <w:rPr>
                <w:rFonts w:ascii="Times New Roman" w:hAnsi="Times New Roman" w:cs="Times New Roman"/>
                <w:noProof/>
              </w:rPr>
            </w:pPr>
            <w:r>
              <w:rPr>
                <w:rFonts w:ascii="Times New Roman" w:hAnsi="Times New Roman"/>
                <w:noProof/>
              </w:rPr>
              <w:t>Règlement (UE) n° 232/2014</w:t>
            </w:r>
          </w:p>
          <w:p>
            <w:pPr>
              <w:spacing w:before="60" w:after="120" w:line="240" w:lineRule="auto"/>
              <w:jc w:val="center"/>
              <w:rPr>
                <w:rFonts w:ascii="Times New Roman" w:hAnsi="Times New Roman" w:cs="Times New Roman"/>
                <w:noProof/>
              </w:rPr>
            </w:pPr>
            <w:r>
              <w:rPr>
                <w:rFonts w:ascii="Times New Roman" w:hAnsi="Times New Roman"/>
                <w:noProof/>
              </w:rPr>
              <w:t>Règlement (UE) n° 236/2014</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1905/2006</w:t>
            </w:r>
          </w:p>
          <w:p>
            <w:pPr>
              <w:spacing w:before="60" w:after="120" w:line="240" w:lineRule="auto"/>
              <w:jc w:val="center"/>
              <w:rPr>
                <w:rFonts w:ascii="Times New Roman" w:hAnsi="Times New Roman" w:cs="Times New Roman"/>
                <w:noProof/>
              </w:rPr>
            </w:pPr>
            <w:r>
              <w:rPr>
                <w:rFonts w:ascii="Times New Roman" w:hAnsi="Times New Roman"/>
                <w:noProof/>
              </w:rPr>
              <w:t>Règlement (UE) n° 233/2014</w:t>
            </w:r>
          </w:p>
          <w:p>
            <w:pPr>
              <w:spacing w:before="60" w:after="120" w:line="240" w:lineRule="auto"/>
              <w:jc w:val="center"/>
              <w:rPr>
                <w:noProof/>
              </w:rPr>
            </w:pPr>
            <w:r>
              <w:rPr>
                <w:rFonts w:ascii="Times New Roman" w:hAnsi="Times New Roman"/>
                <w:noProof/>
              </w:rPr>
              <w:t>Règlement (UE) n° 236/2014</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Règlement (CE) n° 1905/2006</w:t>
            </w:r>
          </w:p>
          <w:p>
            <w:pPr>
              <w:spacing w:before="60" w:after="120" w:line="240" w:lineRule="auto"/>
              <w:jc w:val="center"/>
              <w:rPr>
                <w:rFonts w:ascii="Times New Roman" w:hAnsi="Times New Roman" w:cs="Times New Roman"/>
                <w:noProof/>
              </w:rPr>
            </w:pPr>
            <w:r>
              <w:rPr>
                <w:rFonts w:ascii="Times New Roman" w:hAnsi="Times New Roman"/>
                <w:noProof/>
              </w:rPr>
              <w:t>Règlement (UE) n° 233/2014</w:t>
            </w:r>
          </w:p>
          <w:p>
            <w:pPr>
              <w:spacing w:before="60" w:after="120" w:line="240" w:lineRule="auto"/>
              <w:jc w:val="center"/>
              <w:rPr>
                <w:rFonts w:ascii="Times New Roman" w:hAnsi="Times New Roman" w:cs="Times New Roman"/>
                <w:noProof/>
              </w:rPr>
            </w:pPr>
            <w:r>
              <w:rPr>
                <w:rFonts w:ascii="Times New Roman" w:hAnsi="Times New Roman"/>
                <w:noProof/>
              </w:rPr>
              <w:t>Règlement (UE) n° 236/2014</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promouvant les investissements, l'accent étant mis sur l’énergie, le transport, l’environnement, les PME et le développement socio-économique</w:t>
            </w:r>
          </w:p>
        </w:tc>
        <w:tc>
          <w:tcPr>
            <w:tcW w:w="2381" w:type="dxa"/>
            <w:tcBorders>
              <w:left w:val="nil"/>
              <w:righ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promouvant les investissements et les infrastructures clés, l'accent étant mis sur l’énergie et l’environnement.</w:t>
            </w:r>
          </w:p>
        </w:tc>
        <w:tc>
          <w:tcPr>
            <w:tcW w:w="2381" w:type="dxa"/>
            <w:tcBorders>
              <w:left w:val="nil"/>
            </w:tcBorders>
            <w:shd w:val="clear" w:color="auto" w:fill="auto"/>
            <w:vAlign w:val="center"/>
          </w:tcPr>
          <w:p>
            <w:pPr>
              <w:spacing w:before="60" w:after="120" w:line="240" w:lineRule="auto"/>
              <w:rPr>
                <w:rFonts w:ascii="Times New Roman" w:hAnsi="Times New Roman" w:cs="Times New Roman"/>
                <w:noProof/>
              </w:rPr>
            </w:pPr>
            <w:r>
              <w:rPr>
                <w:rFonts w:ascii="Times New Roman" w:hAnsi="Times New Roman"/>
                <w:noProof/>
              </w:rPr>
              <w:t>Instrument promouvant les investissements et les infrastructures clés, principalement axé sur le changement climatique et les instruments «verts» ainsi que les PME.</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BEI, BERD, CEB, NIB, AFD, KfW, AECID, SIMEST</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BEI, BERD, NIB, KfW, AFD, SIMEST, AECID</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BEI, BERD, NIB, KfW, AFD, SIMEST, AECID</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1 454,1 Mio EUR</w:t>
            </w:r>
          </w:p>
          <w:p>
            <w:pPr>
              <w:spacing w:before="60" w:after="120" w:line="240" w:lineRule="auto"/>
              <w:jc w:val="center"/>
              <w:rPr>
                <w:rFonts w:ascii="Times New Roman" w:hAnsi="Times New Roman" w:cs="Times New Roman"/>
                <w:noProof/>
              </w:rPr>
            </w:pPr>
            <w:r>
              <w:rPr>
                <w:rFonts w:ascii="Times New Roman" w:hAnsi="Times New Roman"/>
                <w:noProof/>
              </w:rPr>
              <w:t>545,7 Mio EUR</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145,6 Mio EUR</w:t>
            </w:r>
          </w:p>
          <w:p>
            <w:pPr>
              <w:spacing w:before="60" w:after="120" w:line="240" w:lineRule="auto"/>
              <w:jc w:val="center"/>
              <w:rPr>
                <w:rFonts w:ascii="Times New Roman" w:hAnsi="Times New Roman" w:cs="Times New Roman"/>
                <w:noProof/>
              </w:rPr>
            </w:pPr>
            <w:r>
              <w:rPr>
                <w:rFonts w:ascii="Times New Roman" w:hAnsi="Times New Roman"/>
                <w:noProof/>
              </w:rPr>
              <w:t>52,7 Mio EUR</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142 Mio EUR</w:t>
            </w:r>
          </w:p>
          <w:p>
            <w:pPr>
              <w:spacing w:before="60" w:after="120" w:line="240" w:lineRule="auto"/>
              <w:jc w:val="center"/>
              <w:rPr>
                <w:rFonts w:ascii="Times New Roman" w:hAnsi="Times New Roman" w:cs="Times New Roman"/>
                <w:noProof/>
              </w:rPr>
            </w:pPr>
            <w:r>
              <w:rPr>
                <w:rFonts w:ascii="Times New Roman" w:hAnsi="Times New Roman"/>
                <w:noProof/>
              </w:rPr>
              <w:t>28,8 Mio EUR</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13,8 Mrd EUR de financements approuvés en faveur de 112 projets</w:t>
            </w:r>
          </w:p>
          <w:p>
            <w:pPr>
              <w:spacing w:before="60" w:after="120" w:line="240" w:lineRule="auto"/>
              <w:rPr>
                <w:rFonts w:ascii="Times New Roman" w:hAnsi="Times New Roman" w:cs="Times New Roman"/>
                <w:noProof/>
              </w:rPr>
            </w:pPr>
          </w:p>
        </w:tc>
        <w:tc>
          <w:tcPr>
            <w:tcW w:w="2381" w:type="dxa"/>
            <w:tcBorders>
              <w:left w:val="nil"/>
              <w:righ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 xml:space="preserve">672 Mio EUR de financements approuvés (119 Mio EUR de contribution de l’UE + 553 Mio EUR via les institutions financières européennes) en faveur de 20 projets  </w:t>
            </w:r>
          </w:p>
        </w:tc>
        <w:tc>
          <w:tcPr>
            <w:tcW w:w="2381" w:type="dxa"/>
            <w:tcBorders>
              <w:left w:val="nil"/>
            </w:tcBorders>
            <w:shd w:val="clear" w:color="auto" w:fill="D3DFEE"/>
            <w:vAlign w:val="center"/>
          </w:tcPr>
          <w:p>
            <w:pPr>
              <w:spacing w:before="60" w:after="120" w:line="240" w:lineRule="auto"/>
              <w:rPr>
                <w:rFonts w:ascii="Times New Roman" w:hAnsi="Times New Roman" w:cs="Times New Roman"/>
                <w:noProof/>
              </w:rPr>
            </w:pPr>
            <w:r>
              <w:rPr>
                <w:rFonts w:ascii="Times New Roman" w:hAnsi="Times New Roman"/>
                <w:noProof/>
              </w:rPr>
              <w:t>1 525 Mio EUR de financements approuvés (89 Mio EUR de contribution de l’UE + 1 436 Mio EUR via les institutions financières européennes) en faveur de 18 projets</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lang w:val="it-IT"/>
              </w:rPr>
            </w:pPr>
            <w:r>
              <w:rPr>
                <w:rFonts w:ascii="Times New Roman" w:hAnsi="Times New Roman"/>
                <w:noProof/>
                <w:lang w:val="it-IT"/>
              </w:rPr>
              <w:t>SANAD: 1,0 Mio EUR</w:t>
            </w:r>
          </w:p>
          <w:p>
            <w:pPr>
              <w:spacing w:before="60" w:after="120" w:line="240" w:lineRule="auto"/>
              <w:jc w:val="center"/>
              <w:rPr>
                <w:rFonts w:ascii="Times New Roman" w:hAnsi="Times New Roman" w:cs="Times New Roman"/>
                <w:noProof/>
                <w:lang w:val="it-IT"/>
              </w:rPr>
            </w:pPr>
            <w:r>
              <w:rPr>
                <w:rFonts w:ascii="Times New Roman" w:hAnsi="Times New Roman"/>
                <w:noProof/>
                <w:lang w:val="it-IT"/>
              </w:rPr>
              <w:t>GGF: 2,1 Mio EUR</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 xml:space="preserve">Fonds d'investissement MIFA:                                   0 EUR </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Idem FIAC</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15,3 Mio EUR</w:t>
            </w:r>
          </w:p>
          <w:p>
            <w:pPr>
              <w:spacing w:before="60" w:after="120" w:line="240" w:lineRule="auto"/>
              <w:jc w:val="center"/>
              <w:rPr>
                <w:rFonts w:ascii="Times New Roman" w:hAnsi="Times New Roman" w:cs="Times New Roman"/>
                <w:noProof/>
              </w:rPr>
            </w:pPr>
            <w:r>
              <w:rPr>
                <w:rFonts w:ascii="Times New Roman" w:hAnsi="Times New Roman"/>
                <w:noProof/>
              </w:rPr>
              <w:t>9,6 Mio USD</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8,9 Mio EUR</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Idem FIAC</w:t>
            </w:r>
          </w:p>
        </w:tc>
      </w:tr>
      <w:t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Néant</w:t>
            </w:r>
          </w:p>
        </w:tc>
        <w:tc>
          <w:tcPr>
            <w:tcW w:w="2381" w:type="dxa"/>
            <w:tcBorders>
              <w:left w:val="nil"/>
              <w:righ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c>
          <w:tcPr>
            <w:tcW w:w="2381" w:type="dxa"/>
            <w:tcBorders>
              <w:left w:val="nil"/>
            </w:tcBorders>
            <w:shd w:val="clear" w:color="auto" w:fill="auto"/>
            <w:vAlign w:val="center"/>
          </w:tcPr>
          <w:p>
            <w:pPr>
              <w:spacing w:before="60" w:after="120" w:line="240" w:lineRule="auto"/>
              <w:jc w:val="center"/>
              <w:rPr>
                <w:rFonts w:ascii="Times New Roman" w:hAnsi="Times New Roman" w:cs="Times New Roman"/>
                <w:noProof/>
              </w:rPr>
            </w:pPr>
            <w:r>
              <w:rPr>
                <w:rFonts w:ascii="Times New Roman" w:hAnsi="Times New Roman"/>
                <w:noProof/>
              </w:rPr>
              <w:t>Sans objet</w:t>
            </w:r>
          </w:p>
        </w:tc>
      </w:tr>
      <w:tr>
        <w:tc>
          <w:tcPr>
            <w:tcW w:w="2211" w:type="dxa"/>
            <w:tcBorders>
              <w:right w:val="nil"/>
            </w:tcBorders>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4 à 5</w:t>
            </w:r>
          </w:p>
          <w:p>
            <w:pPr>
              <w:spacing w:before="60" w:after="120" w:line="240" w:lineRule="auto"/>
              <w:jc w:val="center"/>
              <w:rPr>
                <w:rFonts w:ascii="Times New Roman" w:hAnsi="Times New Roman" w:cs="Times New Roman"/>
                <w:noProof/>
              </w:rPr>
            </w:pPr>
            <w:r>
              <w:rPr>
                <w:rFonts w:ascii="Times New Roman" w:hAnsi="Times New Roman"/>
                <w:noProof/>
              </w:rPr>
              <w:t>Attendu (2008-2014): 11,41</w:t>
            </w:r>
          </w:p>
          <w:p>
            <w:pPr>
              <w:spacing w:before="60" w:after="120" w:line="240" w:lineRule="auto"/>
              <w:jc w:val="center"/>
              <w:rPr>
                <w:rFonts w:ascii="Times New Roman" w:hAnsi="Times New Roman" w:cs="Times New Roman"/>
                <w:noProof/>
              </w:rPr>
            </w:pPr>
            <w:r>
              <w:rPr>
                <w:rFonts w:ascii="Times New Roman" w:hAnsi="Times New Roman"/>
                <w:noProof/>
              </w:rPr>
              <w:t>Attendu (2015): 5,91</w:t>
            </w:r>
          </w:p>
        </w:tc>
        <w:tc>
          <w:tcPr>
            <w:tcW w:w="2381" w:type="dxa"/>
            <w:tcBorders>
              <w:left w:val="nil"/>
              <w:righ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4 à 5</w:t>
            </w:r>
          </w:p>
          <w:p>
            <w:pPr>
              <w:spacing w:before="60" w:after="120" w:line="240" w:lineRule="auto"/>
              <w:jc w:val="center"/>
              <w:rPr>
                <w:rFonts w:ascii="Times New Roman" w:hAnsi="Times New Roman" w:cs="Times New Roman"/>
                <w:noProof/>
              </w:rPr>
            </w:pPr>
            <w:r>
              <w:rPr>
                <w:rFonts w:ascii="Times New Roman" w:hAnsi="Times New Roman"/>
                <w:noProof/>
              </w:rPr>
              <w:t>Atteint: 6,96</w:t>
            </w:r>
          </w:p>
        </w:tc>
        <w:tc>
          <w:tcPr>
            <w:tcW w:w="2381" w:type="dxa"/>
            <w:tcBorders>
              <w:left w:val="nil"/>
            </w:tcBorders>
            <w:shd w:val="clear" w:color="auto" w:fill="D3DFEE"/>
            <w:vAlign w:val="center"/>
          </w:tcPr>
          <w:p>
            <w:pPr>
              <w:spacing w:before="60" w:after="120" w:line="240" w:lineRule="auto"/>
              <w:jc w:val="center"/>
              <w:rPr>
                <w:rFonts w:ascii="Times New Roman" w:hAnsi="Times New Roman" w:cs="Times New Roman"/>
                <w:noProof/>
              </w:rPr>
            </w:pPr>
            <w:r>
              <w:rPr>
                <w:rFonts w:ascii="Times New Roman" w:hAnsi="Times New Roman"/>
                <w:noProof/>
              </w:rPr>
              <w:t>Visé: 4 à 5</w:t>
            </w:r>
          </w:p>
          <w:p>
            <w:pPr>
              <w:spacing w:before="60" w:after="120" w:line="240" w:lineRule="auto"/>
              <w:jc w:val="center"/>
              <w:rPr>
                <w:rFonts w:ascii="Times New Roman" w:hAnsi="Times New Roman" w:cs="Times New Roman"/>
                <w:noProof/>
              </w:rPr>
            </w:pPr>
            <w:r>
              <w:rPr>
                <w:rFonts w:ascii="Times New Roman" w:hAnsi="Times New Roman"/>
                <w:noProof/>
              </w:rPr>
              <w:t>Atteint: 29,4</w:t>
            </w:r>
          </w:p>
        </w:tc>
      </w:tr>
      <w:tr>
        <w:trPr>
          <w:trHeight w:val="761"/>
        </w:trPr>
        <w:tc>
          <w:tcPr>
            <w:tcW w:w="2211"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381" w:type="dxa"/>
            <w:tcBorders>
              <w:left w:val="nil"/>
              <w:right w:val="nil"/>
            </w:tcBorders>
            <w:shd w:val="clear" w:color="auto" w:fill="auto"/>
            <w:vAlign w:val="center"/>
          </w:tcPr>
          <w:p>
            <w:pPr>
              <w:autoSpaceDE w:val="0"/>
              <w:autoSpaceDN w:val="0"/>
              <w:adjustRightInd w:val="0"/>
              <w:spacing w:before="60" w:after="120" w:line="240" w:lineRule="auto"/>
              <w:rPr>
                <w:rFonts w:ascii="Times New Roman" w:hAnsi="Times New Roman" w:cs="Times New Roman"/>
                <w:noProof/>
              </w:rPr>
            </w:pPr>
            <w:r>
              <w:rPr>
                <w:rFonts w:ascii="Times New Roman" w:hAnsi="Times New Roman"/>
                <w:noProof/>
              </w:rPr>
              <w:t>28,8 Mrd EUR d’investissements mobilisés (coût total des projets);</w:t>
            </w:r>
          </w:p>
          <w:p>
            <w:pPr>
              <w:autoSpaceDE w:val="0"/>
              <w:autoSpaceDN w:val="0"/>
              <w:adjustRightInd w:val="0"/>
              <w:spacing w:before="60" w:after="120" w:line="240" w:lineRule="auto"/>
              <w:rPr>
                <w:rFonts w:ascii="Times New Roman" w:hAnsi="Times New Roman" w:cs="Times New Roman"/>
                <w:noProof/>
              </w:rPr>
            </w:pPr>
            <w:r>
              <w:rPr>
                <w:rFonts w:ascii="Times New Roman" w:hAnsi="Times New Roman"/>
                <w:noProof/>
              </w:rPr>
              <w:t>6 pays couverts</w:t>
            </w:r>
          </w:p>
        </w:tc>
        <w:tc>
          <w:tcPr>
            <w:tcW w:w="2381" w:type="dxa"/>
            <w:tcBorders>
              <w:left w:val="nil"/>
              <w:right w:val="nil"/>
            </w:tcBorders>
            <w:shd w:val="clear" w:color="auto" w:fill="auto"/>
            <w:vAlign w:val="center"/>
          </w:tcPr>
          <w:p>
            <w:pPr>
              <w:pStyle w:val="ListParagraph"/>
              <w:spacing w:after="120" w:line="240" w:lineRule="auto"/>
              <w:ind w:left="0"/>
              <w:rPr>
                <w:noProof/>
                <w:sz w:val="22"/>
              </w:rPr>
            </w:pPr>
            <w:r>
              <w:rPr>
                <w:noProof/>
                <w:sz w:val="22"/>
              </w:rPr>
              <w:t>828 Mio EUR d’investissements mobilisés;</w:t>
            </w:r>
          </w:p>
          <w:p>
            <w:pPr>
              <w:pStyle w:val="ListParagraph"/>
              <w:spacing w:after="120" w:line="240" w:lineRule="auto"/>
              <w:ind w:left="0"/>
              <w:rPr>
                <w:noProof/>
                <w:sz w:val="22"/>
              </w:rPr>
            </w:pPr>
          </w:p>
          <w:p>
            <w:pPr>
              <w:pStyle w:val="ListParagraph"/>
              <w:spacing w:after="120" w:line="240" w:lineRule="auto"/>
              <w:ind w:left="0"/>
              <w:rPr>
                <w:noProof/>
                <w:sz w:val="22"/>
              </w:rPr>
            </w:pPr>
            <w:r>
              <w:rPr>
                <w:noProof/>
                <w:sz w:val="22"/>
              </w:rPr>
              <w:t>5 pays couverts</w:t>
            </w:r>
          </w:p>
        </w:tc>
        <w:tc>
          <w:tcPr>
            <w:tcW w:w="2381" w:type="dxa"/>
            <w:tcBorders>
              <w:left w:val="nil"/>
            </w:tcBorders>
            <w:shd w:val="clear" w:color="auto" w:fill="auto"/>
            <w:vAlign w:val="center"/>
          </w:tcPr>
          <w:p>
            <w:pPr>
              <w:pStyle w:val="ListParagraph"/>
              <w:spacing w:after="120" w:line="240" w:lineRule="auto"/>
              <w:ind w:left="0"/>
              <w:rPr>
                <w:noProof/>
                <w:sz w:val="22"/>
              </w:rPr>
            </w:pPr>
            <w:r>
              <w:rPr>
                <w:noProof/>
                <w:sz w:val="22"/>
              </w:rPr>
              <w:t>2,63 Mrd EUR d’investissements mobilisés;</w:t>
            </w:r>
          </w:p>
          <w:p>
            <w:pPr>
              <w:pStyle w:val="ListParagraph"/>
              <w:spacing w:after="120" w:line="240" w:lineRule="auto"/>
              <w:ind w:left="0"/>
              <w:rPr>
                <w:noProof/>
                <w:sz w:val="22"/>
              </w:rPr>
            </w:pPr>
          </w:p>
          <w:p>
            <w:pPr>
              <w:pStyle w:val="ListParagraph"/>
              <w:spacing w:after="120" w:line="240" w:lineRule="auto"/>
              <w:ind w:left="0"/>
              <w:rPr>
                <w:noProof/>
                <w:sz w:val="22"/>
              </w:rPr>
            </w:pPr>
            <w:r>
              <w:rPr>
                <w:noProof/>
                <w:sz w:val="22"/>
              </w:rPr>
              <w:t>9 pays couverts</w:t>
            </w:r>
          </w:p>
        </w:tc>
      </w:tr>
    </w:tbl>
    <w:p>
      <w:pPr>
        <w:rPr>
          <w:rFonts w:ascii="Times New Roman" w:hAnsi="Times New Roman" w:cs="Times New Roman"/>
          <w:noProof/>
        </w:rPr>
      </w:pPr>
    </w:p>
    <w:p>
      <w:pPr>
        <w:rPr>
          <w:rFonts w:ascii="Times New Roman" w:hAnsi="Times New Roman" w:cs="Times New Roman"/>
          <w:noProof/>
        </w:rPr>
      </w:pPr>
      <w:r>
        <w:rPr>
          <w:noProof/>
        </w:rPr>
        <w:br w:type="page"/>
      </w:r>
    </w:p>
    <w:tbl>
      <w:tblPr>
        <w:tblW w:w="932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85"/>
        <w:gridCol w:w="2518"/>
        <w:gridCol w:w="2409"/>
        <w:gridCol w:w="2410"/>
      </w:tblGrid>
      <w:tr>
        <w:trPr>
          <w:trHeight w:val="2608"/>
        </w:trPr>
        <w:tc>
          <w:tcPr>
            <w:tcW w:w="1985"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518"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Facilité d’investissement pour l'Amérique latine — FIAL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6.3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DEVCO</w:t>
            </w:r>
          </w:p>
        </w:tc>
        <w:tc>
          <w:tcPr>
            <w:tcW w:w="2409" w:type="dxa"/>
            <w:tcBorders>
              <w:top w:val="single" w:sz="8" w:space="0" w:color="7BA0CD"/>
              <w:bottom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Soutien à la FEMIP</w:t>
            </w:r>
            <w:r>
              <w:rPr>
                <w:rStyle w:val="FootnoteReference"/>
                <w:rFonts w:ascii="Times New Roman" w:hAnsi="Times New Roman"/>
                <w:b/>
                <w:noProof/>
                <w:color w:val="FFFFFF"/>
              </w:rPr>
              <w:footnoteReference w:id="11"/>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6.4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NEAR</w:t>
            </w:r>
          </w:p>
        </w:tc>
        <w:tc>
          <w:tcPr>
            <w:tcW w:w="2410" w:type="dxa"/>
            <w:tcBorders>
              <w:top w:val="single" w:sz="8" w:space="0" w:color="7BA0CD"/>
              <w:bottom w:val="single" w:sz="8" w:space="0" w:color="7BA0CD"/>
              <w:right w:val="single" w:sz="8" w:space="0" w:color="7BA0CD"/>
            </w:tcBorders>
            <w:shd w:val="clear" w:color="auto" w:fill="4F81BD"/>
            <w:vAlign w:val="center"/>
          </w:tcPr>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Fonds mondial pour l'efficacité énergétique et les énergies renouvelables — GEEREF</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(point 6.5 du document de travail)</w:t>
            </w:r>
          </w:p>
          <w:p>
            <w:pPr>
              <w:spacing w:before="60" w:after="120" w:line="360" w:lineRule="auto"/>
              <w:jc w:val="center"/>
              <w:rPr>
                <w:rFonts w:ascii="Times New Roman" w:hAnsi="Times New Roman" w:cs="Times New Roman"/>
                <w:b/>
                <w:bCs/>
                <w:noProof/>
                <w:color w:val="FFFFFF"/>
              </w:rPr>
            </w:pPr>
            <w:r>
              <w:rPr>
                <w:rFonts w:ascii="Times New Roman" w:hAnsi="Times New Roman"/>
                <w:b/>
                <w:noProof/>
                <w:color w:val="FFFFFF"/>
              </w:rPr>
              <w:t>DG responsable: DEVCO</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a) Identification / acte de base</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Règlement (CE) n° 1905/2006</w:t>
            </w:r>
          </w:p>
          <w:p>
            <w:pPr>
              <w:spacing w:before="60" w:after="120" w:line="240" w:lineRule="auto"/>
              <w:ind w:right="57"/>
              <w:jc w:val="center"/>
              <w:rPr>
                <w:rFonts w:ascii="Times New Roman" w:hAnsi="Times New Roman" w:cs="Times New Roman"/>
                <w:noProof/>
              </w:rPr>
            </w:pPr>
            <w:r>
              <w:rPr>
                <w:rFonts w:ascii="Times New Roman" w:hAnsi="Times New Roman"/>
                <w:noProof/>
              </w:rPr>
              <w:t>Règlement (UE) n° 233/2014</w:t>
            </w:r>
          </w:p>
          <w:p>
            <w:pPr>
              <w:spacing w:before="60" w:after="120" w:line="240" w:lineRule="auto"/>
              <w:ind w:right="57"/>
              <w:jc w:val="center"/>
              <w:rPr>
                <w:rFonts w:ascii="Times New Roman" w:hAnsi="Times New Roman" w:cs="Times New Roman"/>
                <w:noProof/>
              </w:rPr>
            </w:pPr>
            <w:r>
              <w:rPr>
                <w:rFonts w:ascii="Times New Roman" w:hAnsi="Times New Roman"/>
                <w:noProof/>
              </w:rPr>
              <w:t>Règlement (UE) n° 236/2014</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Règlement (CE) n° 1638/2006</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Règlements (CE) n° 1905/2006, (UE) nº 233/2014 et (UE) nº 236/2014</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b) Description</w:t>
            </w:r>
          </w:p>
        </w:tc>
        <w:tc>
          <w:tcPr>
            <w:tcW w:w="2518"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noProof/>
              </w:rPr>
              <w:t>Instrument destiné à promouvoir les investissements et les infrastructures dans les secteurs des transports, de l’énergie, de l’environnement et dans le secteur social en Amérique latine</w:t>
            </w:r>
          </w:p>
        </w:tc>
        <w:tc>
          <w:tcPr>
            <w:tcW w:w="2409"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noProof/>
              </w:rPr>
              <w:t>Instrument fournissant des capitaux au secteur privé à des conditions qui ne sont pas offertes localement</w:t>
            </w:r>
          </w:p>
        </w:tc>
        <w:tc>
          <w:tcPr>
            <w:tcW w:w="2410" w:type="dxa"/>
            <w:tcBorders>
              <w:lef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noProof/>
              </w:rPr>
              <w:t>Instrument de financement destiné à promouvoir les projets d'efficacité énergétique et d'énergies renouvelables par l'intermédiaire de fonds régionaux de capital-investissement</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c) Institution(s) financière(s) concernée(s)</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lang w:val="da-DK"/>
              </w:rPr>
            </w:pPr>
            <w:r>
              <w:rPr>
                <w:rFonts w:ascii="Times New Roman" w:hAnsi="Times New Roman"/>
                <w:noProof/>
                <w:lang w:val="da-DK"/>
              </w:rPr>
              <w:t>BEI, BERD, AFD, AECID, KfW et SIMEST</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BEI</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FEI (mandataire)</w:t>
            </w:r>
          </w:p>
          <w:p>
            <w:pPr>
              <w:spacing w:before="60" w:after="120" w:line="240" w:lineRule="auto"/>
              <w:ind w:right="57"/>
              <w:jc w:val="center"/>
              <w:rPr>
                <w:rFonts w:ascii="Times New Roman" w:hAnsi="Times New Roman" w:cs="Times New Roman"/>
                <w:noProof/>
              </w:rPr>
            </w:pPr>
            <w:r>
              <w:rPr>
                <w:rFonts w:ascii="Times New Roman" w:hAnsi="Times New Roman"/>
                <w:noProof/>
              </w:rPr>
              <w:t>BEI</w:t>
            </w:r>
          </w:p>
        </w:tc>
      </w:tr>
      <w:tr>
        <w:trPr>
          <w:trHeight w:val="2514"/>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518" w:type="dxa"/>
            <w:tcBorders>
              <w:left w:val="nil"/>
              <w:right w:val="nil"/>
            </w:tcBorders>
            <w:shd w:val="clear" w:color="auto" w:fill="auto"/>
            <w:vAlign w:val="center"/>
          </w:tcPr>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noProof/>
              </w:rPr>
              <w:t>252,8 Mio EUR</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noProof/>
              </w:rPr>
              <w:t>114,3 Mio EUR</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noProof/>
              </w:rPr>
              <w:t>Volet «changement climatique»:</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noProof/>
              </w:rPr>
              <w:t>17,3 Mio EUR</w:t>
            </w:r>
          </w:p>
          <w:p>
            <w:pPr>
              <w:shd w:val="clear" w:color="auto" w:fill="FFFFFF"/>
              <w:spacing w:before="60" w:after="120" w:line="240" w:lineRule="auto"/>
              <w:ind w:right="57"/>
              <w:jc w:val="center"/>
              <w:rPr>
                <w:rFonts w:ascii="Times New Roman" w:hAnsi="Times New Roman" w:cs="Times New Roman"/>
                <w:noProof/>
              </w:rPr>
            </w:pPr>
            <w:r>
              <w:rPr>
                <w:rFonts w:ascii="Times New Roman" w:hAnsi="Times New Roman"/>
                <w:noProof/>
              </w:rPr>
              <w:t>15,8 Mio EUR</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224 Mio EUR</w:t>
            </w:r>
          </w:p>
          <w:p>
            <w:pPr>
              <w:spacing w:before="60" w:after="120" w:line="240" w:lineRule="auto"/>
              <w:ind w:right="57"/>
              <w:jc w:val="center"/>
              <w:rPr>
                <w:rFonts w:ascii="Times New Roman" w:hAnsi="Times New Roman" w:cs="Times New Roman"/>
                <w:noProof/>
              </w:rPr>
            </w:pPr>
            <w:r>
              <w:rPr>
                <w:rFonts w:ascii="Times New Roman" w:hAnsi="Times New Roman"/>
                <w:noProof/>
              </w:rPr>
              <w:t>224 Mio EUR</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81,1 Mio EUR</w:t>
            </w:r>
          </w:p>
          <w:p>
            <w:pPr>
              <w:spacing w:before="60" w:after="120" w:line="240" w:lineRule="auto"/>
              <w:ind w:right="57"/>
              <w:jc w:val="center"/>
              <w:rPr>
                <w:rFonts w:ascii="Times New Roman" w:hAnsi="Times New Roman" w:cs="Times New Roman"/>
                <w:noProof/>
                <w:highlight w:val="yellow"/>
              </w:rPr>
            </w:pPr>
            <w:r>
              <w:rPr>
                <w:rFonts w:ascii="Times New Roman" w:hAnsi="Times New Roman"/>
                <w:noProof/>
              </w:rPr>
              <w:t>79,5 Mio EUR</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e) Résultats</w:t>
            </w:r>
          </w:p>
        </w:tc>
        <w:tc>
          <w:tcPr>
            <w:tcW w:w="2518" w:type="dxa"/>
            <w:shd w:val="clear" w:color="auto" w:fill="D3DFEE"/>
            <w:vAlign w:val="center"/>
          </w:tcPr>
          <w:p>
            <w:pPr>
              <w:spacing w:before="60" w:after="120" w:line="240" w:lineRule="auto"/>
              <w:ind w:right="57"/>
              <w:rPr>
                <w:rFonts w:ascii="Times New Roman" w:hAnsi="Times New Roman" w:cs="Times New Roman"/>
                <w:noProof/>
              </w:rPr>
            </w:pPr>
            <w:r>
              <w:rPr>
                <w:rFonts w:ascii="Times New Roman" w:hAnsi="Times New Roman"/>
                <w:noProof/>
              </w:rPr>
              <w:t>3 502 Mio EUR de financements approuvés (232 Mio EUR de contribution de l’UE + 3 270 Mio EUR via les institutions financières européennes) en faveur de 28 projets</w:t>
            </w:r>
          </w:p>
        </w:tc>
        <w:tc>
          <w:tcPr>
            <w:tcW w:w="2409" w:type="dxa"/>
            <w:shd w:val="clear" w:color="auto" w:fill="D3DFEE"/>
            <w:vAlign w:val="center"/>
          </w:tcPr>
          <w:p>
            <w:pPr>
              <w:spacing w:before="60" w:after="120" w:line="240" w:lineRule="auto"/>
              <w:ind w:right="57"/>
              <w:contextualSpacing/>
              <w:rPr>
                <w:rFonts w:ascii="Times New Roman" w:hAnsi="Times New Roman" w:cs="Times New Roman"/>
                <w:noProof/>
              </w:rPr>
            </w:pPr>
            <w:r>
              <w:rPr>
                <w:rFonts w:ascii="Times New Roman" w:hAnsi="Times New Roman"/>
                <w:noProof/>
              </w:rPr>
              <w:t>33 Mio EUR alloués à des opérations d’assistance technique;</w:t>
            </w:r>
          </w:p>
          <w:p>
            <w:pPr>
              <w:spacing w:before="60" w:after="120" w:line="240" w:lineRule="auto"/>
              <w:ind w:right="57"/>
              <w:contextualSpacing/>
              <w:rPr>
                <w:rFonts w:ascii="Times New Roman" w:hAnsi="Times New Roman" w:cs="Times New Roman"/>
                <w:noProof/>
              </w:rPr>
            </w:pPr>
            <w:r>
              <w:rPr>
                <w:rFonts w:ascii="Times New Roman" w:hAnsi="Times New Roman"/>
                <w:noProof/>
              </w:rPr>
              <w:t>180,3 Mio EUR de financements alloués à 28 opérations de capital-risque;</w:t>
            </w:r>
          </w:p>
          <w:p>
            <w:pPr>
              <w:spacing w:before="60" w:after="120" w:line="240" w:lineRule="auto"/>
              <w:ind w:right="57"/>
              <w:contextualSpacing/>
              <w:rPr>
                <w:rFonts w:ascii="Times New Roman" w:hAnsi="Times New Roman" w:cs="Times New Roman"/>
                <w:noProof/>
              </w:rPr>
            </w:pPr>
            <w:r>
              <w:rPr>
                <w:rFonts w:ascii="Times New Roman" w:hAnsi="Times New Roman"/>
                <w:noProof/>
              </w:rPr>
              <w:t>Co-financement de la BEI de 2,3 Mrd EUR</w:t>
            </w:r>
          </w:p>
        </w:tc>
        <w:tc>
          <w:tcPr>
            <w:tcW w:w="2410" w:type="dxa"/>
            <w:shd w:val="clear" w:color="auto" w:fill="D3DFEE"/>
            <w:vAlign w:val="center"/>
          </w:tcPr>
          <w:p>
            <w:pPr>
              <w:spacing w:before="60" w:after="120" w:line="240" w:lineRule="auto"/>
              <w:ind w:right="57"/>
              <w:rPr>
                <w:rFonts w:ascii="Times New Roman" w:hAnsi="Times New Roman" w:cs="Times New Roman"/>
                <w:noProof/>
              </w:rPr>
            </w:pPr>
            <w:r>
              <w:rPr>
                <w:rFonts w:ascii="Times New Roman" w:hAnsi="Times New Roman"/>
                <w:noProof/>
              </w:rPr>
              <w:t>222 Mio EUR de financement attendu en faveur de projets éligibles</w:t>
            </w:r>
          </w:p>
          <w:p>
            <w:pPr>
              <w:spacing w:before="60" w:after="120" w:line="240" w:lineRule="auto"/>
              <w:ind w:right="57"/>
              <w:rPr>
                <w:rFonts w:ascii="Times New Roman" w:hAnsi="Times New Roman" w:cs="Times New Roman"/>
                <w:noProof/>
                <w:highlight w:val="yellow"/>
              </w:rPr>
            </w:pPr>
            <w:r>
              <w:rPr>
                <w:rFonts w:ascii="Times New Roman" w:hAnsi="Times New Roman"/>
                <w:noProof/>
              </w:rPr>
              <w:t xml:space="preserve"> </w:t>
            </w:r>
          </w:p>
        </w:tc>
      </w:tr>
      <w:tr>
        <w:trPr>
          <w:trHeight w:val="1531"/>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g) Solde du compte fiduciaire</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62,4 Mio EUR</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1,6 Mio EUR</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h) Recettes et remboursements</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9,8 Mio EUR</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i) Valeur des investissements en fonds propres</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8,0 Mio EUR</w:t>
            </w:r>
          </w:p>
          <w:p>
            <w:pPr>
              <w:spacing w:before="60" w:after="120" w:line="240" w:lineRule="auto"/>
              <w:ind w:right="57"/>
              <w:jc w:val="center"/>
              <w:rPr>
                <w:rFonts w:ascii="Times New Roman" w:hAnsi="Times New Roman" w:cs="Times New Roman"/>
                <w:noProof/>
              </w:rPr>
            </w:pPr>
            <w:r>
              <w:rPr>
                <w:rFonts w:ascii="Times New Roman" w:hAnsi="Times New Roman"/>
                <w:noProof/>
              </w:rPr>
              <w:t>Fonds de capital-risque: 69,2 Mio EUR</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73,9 Mio EUR</w:t>
            </w:r>
          </w:p>
        </w:tc>
      </w:tr>
      <w:t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j) Dépréciations / garanties appelées</w:t>
            </w:r>
          </w:p>
        </w:tc>
        <w:tc>
          <w:tcPr>
            <w:tcW w:w="2518"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7,9 Mio EUR</w:t>
            </w:r>
          </w:p>
        </w:tc>
        <w:tc>
          <w:tcPr>
            <w:tcW w:w="2410" w:type="dxa"/>
            <w:tcBorders>
              <w:left w:val="nil"/>
            </w:tcBorders>
            <w:shd w:val="clear" w:color="auto" w:fill="auto"/>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Néant</w:t>
            </w:r>
          </w:p>
        </w:tc>
      </w:tr>
      <w:tr>
        <w:tc>
          <w:tcPr>
            <w:tcW w:w="1985" w:type="dxa"/>
            <w:shd w:val="clear" w:color="auto" w:fill="D3DFEE"/>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k) Effet de levier</w:t>
            </w:r>
          </w:p>
        </w:tc>
        <w:tc>
          <w:tcPr>
            <w:tcW w:w="2518"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Visé: 4 à 5</w:t>
            </w:r>
          </w:p>
          <w:p>
            <w:pPr>
              <w:spacing w:before="60" w:after="120" w:line="240" w:lineRule="auto"/>
              <w:ind w:right="57"/>
              <w:jc w:val="center"/>
              <w:rPr>
                <w:rFonts w:ascii="Times New Roman" w:hAnsi="Times New Roman" w:cs="Times New Roman"/>
                <w:noProof/>
              </w:rPr>
            </w:pPr>
            <w:r>
              <w:rPr>
                <w:rFonts w:ascii="Times New Roman" w:hAnsi="Times New Roman"/>
                <w:noProof/>
              </w:rPr>
              <w:t>Atteint: 29,6</w:t>
            </w:r>
          </w:p>
        </w:tc>
        <w:tc>
          <w:tcPr>
            <w:tcW w:w="2409"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Attendu (2007-2014): 6,0</w:t>
            </w:r>
          </w:p>
          <w:p>
            <w:pPr>
              <w:spacing w:before="60" w:after="120" w:line="240" w:lineRule="auto"/>
              <w:ind w:right="57"/>
              <w:jc w:val="center"/>
              <w:rPr>
                <w:rFonts w:ascii="Times New Roman" w:hAnsi="Times New Roman" w:cs="Times New Roman"/>
                <w:noProof/>
              </w:rPr>
            </w:pPr>
            <w:r>
              <w:rPr>
                <w:rFonts w:ascii="Times New Roman" w:hAnsi="Times New Roman"/>
                <w:noProof/>
              </w:rPr>
              <w:t>Attendu (2014): 26,8</w:t>
            </w:r>
          </w:p>
        </w:tc>
        <w:tc>
          <w:tcPr>
            <w:tcW w:w="2410" w:type="dxa"/>
            <w:shd w:val="clear" w:color="auto" w:fill="D3DFEE"/>
            <w:vAlign w:val="center"/>
          </w:tcPr>
          <w:p>
            <w:pPr>
              <w:spacing w:before="60" w:after="120" w:line="240" w:lineRule="auto"/>
              <w:ind w:right="57"/>
              <w:jc w:val="center"/>
              <w:rPr>
                <w:rFonts w:ascii="Times New Roman" w:hAnsi="Times New Roman" w:cs="Times New Roman"/>
                <w:noProof/>
              </w:rPr>
            </w:pPr>
            <w:r>
              <w:rPr>
                <w:rFonts w:ascii="Times New Roman" w:hAnsi="Times New Roman"/>
                <w:noProof/>
              </w:rPr>
              <w:t>Visé: 2,7</w:t>
            </w:r>
          </w:p>
          <w:p>
            <w:pPr>
              <w:spacing w:before="60" w:after="120" w:line="240" w:lineRule="auto"/>
              <w:ind w:right="57"/>
              <w:jc w:val="center"/>
              <w:rPr>
                <w:rFonts w:ascii="Times New Roman" w:hAnsi="Times New Roman" w:cs="Times New Roman"/>
                <w:noProof/>
              </w:rPr>
            </w:pPr>
            <w:r>
              <w:rPr>
                <w:rFonts w:ascii="Times New Roman" w:hAnsi="Times New Roman"/>
                <w:noProof/>
              </w:rPr>
              <w:t>Atteint: 2,7</w:t>
            </w:r>
          </w:p>
        </w:tc>
      </w:tr>
      <w:tr>
        <w:trPr>
          <w:trHeight w:val="761"/>
        </w:trPr>
        <w:tc>
          <w:tcPr>
            <w:tcW w:w="1985" w:type="dxa"/>
            <w:tcBorders>
              <w:right w:val="nil"/>
            </w:tcBorders>
            <w:shd w:val="clear" w:color="auto" w:fill="auto"/>
            <w:vAlign w:val="center"/>
          </w:tcPr>
          <w:p>
            <w:pPr>
              <w:spacing w:before="60" w:after="120" w:line="312" w:lineRule="auto"/>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518"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noProof/>
              </w:rPr>
              <w:t>6,9 Mrd EUR d’investissements mobilisés;</w:t>
            </w:r>
          </w:p>
          <w:p>
            <w:pPr>
              <w:spacing w:before="60" w:after="120" w:line="240" w:lineRule="auto"/>
              <w:ind w:right="57"/>
              <w:rPr>
                <w:rFonts w:ascii="Times New Roman" w:hAnsi="Times New Roman" w:cs="Times New Roman"/>
                <w:noProof/>
              </w:rPr>
            </w:pPr>
            <w:r>
              <w:rPr>
                <w:rFonts w:ascii="Times New Roman" w:hAnsi="Times New Roman"/>
                <w:noProof/>
              </w:rPr>
              <w:t>10 pays couverts</w:t>
            </w:r>
          </w:p>
        </w:tc>
        <w:tc>
          <w:tcPr>
            <w:tcW w:w="2409" w:type="dxa"/>
            <w:tcBorders>
              <w:left w:val="nil"/>
              <w:right w:val="nil"/>
            </w:tcBorders>
            <w:shd w:val="clear" w:color="auto" w:fill="auto"/>
            <w:vAlign w:val="center"/>
          </w:tcPr>
          <w:p>
            <w:pPr>
              <w:spacing w:before="60" w:after="120" w:line="240" w:lineRule="auto"/>
              <w:ind w:right="57"/>
              <w:rPr>
                <w:rFonts w:ascii="Times New Roman" w:hAnsi="Times New Roman" w:cs="Times New Roman"/>
                <w:noProof/>
              </w:rPr>
            </w:pPr>
            <w:r>
              <w:rPr>
                <w:rFonts w:ascii="Times New Roman" w:hAnsi="Times New Roman"/>
                <w:noProof/>
              </w:rPr>
              <w:t>Près de 4,4 Mrd EUR d’investissements mobilisés;</w:t>
            </w:r>
          </w:p>
          <w:p>
            <w:pPr>
              <w:spacing w:before="60" w:after="120" w:line="240" w:lineRule="auto"/>
              <w:ind w:right="57"/>
              <w:rPr>
                <w:rFonts w:ascii="Times New Roman" w:hAnsi="Times New Roman" w:cs="Times New Roman"/>
                <w:noProof/>
              </w:rPr>
            </w:pPr>
            <w:r>
              <w:rPr>
                <w:rFonts w:ascii="Times New Roman" w:hAnsi="Times New Roman"/>
                <w:noProof/>
              </w:rPr>
              <w:t>6 pays couverts</w:t>
            </w:r>
          </w:p>
        </w:tc>
        <w:tc>
          <w:tcPr>
            <w:tcW w:w="2410" w:type="dxa"/>
            <w:tcBorders>
              <w:left w:val="nil"/>
            </w:tcBorders>
            <w:shd w:val="clear" w:color="auto" w:fill="auto"/>
            <w:vAlign w:val="center"/>
          </w:tcPr>
          <w:p>
            <w:pPr>
              <w:pStyle w:val="ListParagraph"/>
              <w:spacing w:after="120" w:line="240" w:lineRule="auto"/>
              <w:ind w:left="0" w:right="57"/>
              <w:rPr>
                <w:noProof/>
              </w:rPr>
            </w:pPr>
            <w:r>
              <w:rPr>
                <w:noProof/>
                <w:sz w:val="22"/>
              </w:rPr>
              <w:t>1</w:t>
            </w:r>
            <w:r>
              <w:rPr>
                <w:noProof/>
              </w:rPr>
              <w:t>43</w:t>
            </w:r>
            <w:r>
              <w:rPr>
                <w:noProof/>
                <w:sz w:val="22"/>
              </w:rPr>
              <w:t xml:space="preserve"> Mio EUR de nouveaux financements mobilisés,</w:t>
            </w:r>
            <w:r>
              <w:rPr>
                <w:noProof/>
              </w:rPr>
              <w:t xml:space="preserve"> en faveur de 10 fonds régionaux de capital-investissement ou fonds constitués en sociétés;</w:t>
            </w:r>
          </w:p>
          <w:p>
            <w:pPr>
              <w:pStyle w:val="ListParagraph"/>
              <w:spacing w:after="120" w:line="240" w:lineRule="auto"/>
              <w:ind w:left="0" w:right="57"/>
              <w:rPr>
                <w:noProof/>
              </w:rPr>
            </w:pPr>
          </w:p>
          <w:p>
            <w:pPr>
              <w:pStyle w:val="ListParagraph"/>
              <w:spacing w:after="120" w:line="240" w:lineRule="auto"/>
              <w:ind w:left="0" w:right="57"/>
              <w:rPr>
                <w:noProof/>
                <w:sz w:val="22"/>
              </w:rPr>
            </w:pPr>
            <w:r>
              <w:rPr>
                <w:noProof/>
                <w:sz w:val="22"/>
              </w:rPr>
              <w:t>environ 1 Mrd EUR d’investissements mobilisés en faveur de 33 projets.</w:t>
            </w:r>
          </w:p>
          <w:p>
            <w:pPr>
              <w:spacing w:before="60" w:after="120" w:line="240" w:lineRule="auto"/>
              <w:rPr>
                <w:noProof/>
              </w:rPr>
            </w:pPr>
          </w:p>
        </w:tc>
      </w:tr>
    </w:tbl>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after="120"/>
        <w:ind w:left="284" w:hanging="426"/>
        <w:jc w:val="both"/>
      </w:pPr>
      <w:r>
        <w:rPr>
          <w:rStyle w:val="FootnoteReference"/>
        </w:rPr>
        <w:footnoteRef/>
      </w:r>
      <w:r>
        <w:t xml:space="preserve"> </w:t>
      </w:r>
      <w:r>
        <w:tab/>
        <w:t>Le règlement financier actuel et ses règles d’application exigent une approche unifiée des informations diffusées concernant l'effet de levier. Étant donné que les dispositions applicables aux instruments financiers sont entrées en vigueur en janvier 2014, cette approche est appliquée uniquement aux instruments financiers de la période 2014-2020.</w:t>
      </w:r>
    </w:p>
  </w:footnote>
  <w:footnote w:id="2">
    <w:p>
      <w:pPr>
        <w:pStyle w:val="FootnoteText"/>
        <w:jc w:val="both"/>
      </w:pPr>
      <w:r>
        <w:rPr>
          <w:rStyle w:val="FootnoteReference"/>
        </w:rPr>
        <w:footnoteRef/>
      </w:r>
      <w:r>
        <w:t xml:space="preserve"> Veuillez noter que le chiffre fourni est également inclus dans le MFPR.</w:t>
      </w:r>
    </w:p>
  </w:footnote>
  <w:footnote w:id="3">
    <w:p>
      <w:pPr>
        <w:pStyle w:val="FootnoteText"/>
      </w:pPr>
      <w:r>
        <w:rPr>
          <w:rStyle w:val="FootnoteReference"/>
        </w:rPr>
        <w:footnoteRef/>
      </w:r>
      <w:r>
        <w:t xml:space="preserve"> Données incluant le FEIS; pour plus de précisions, voir le document de travail. </w:t>
      </w:r>
    </w:p>
  </w:footnote>
  <w:footnote w:id="4">
    <w:p>
      <w:pPr>
        <w:pStyle w:val="FootnoteText"/>
      </w:pPr>
      <w:r>
        <w:rPr>
          <w:rStyle w:val="FootnoteReference"/>
        </w:rPr>
        <w:footnoteRef/>
      </w:r>
      <w:r>
        <w:t xml:space="preserve"> Données incluant le FEIS; pour plus de précisions, voir le document de travail.</w:t>
      </w:r>
    </w:p>
  </w:footnote>
  <w:footnote w:id="5">
    <w:p>
      <w:pPr>
        <w:pStyle w:val="FootnoteText"/>
      </w:pPr>
      <w:r>
        <w:rPr>
          <w:rStyle w:val="FootnoteReference"/>
        </w:rPr>
        <w:footnoteRef/>
      </w:r>
      <w:r>
        <w:t xml:space="preserve"> Veuillez noter que le chiffre fourni inclut également le chiffre de l’IPR.</w:t>
      </w:r>
    </w:p>
  </w:footnote>
  <w:footnote w:id="6">
    <w:p>
      <w:pPr>
        <w:pStyle w:val="FootnoteText"/>
      </w:pPr>
      <w:r>
        <w:rPr>
          <w:rStyle w:val="FootnoteReference"/>
        </w:rPr>
        <w:footnoteRef/>
      </w:r>
      <w:r>
        <w:t xml:space="preserve"> Chiffres H2020 uniquement, n’inclut pas la contribution du FEDER (voir document de travail pour plus de précisions).</w:t>
      </w:r>
    </w:p>
  </w:footnote>
  <w:footnote w:id="7">
    <w:p>
      <w:pPr>
        <w:pStyle w:val="FootnoteText"/>
        <w:spacing w:before="0" w:after="120"/>
        <w:ind w:left="284" w:hanging="426"/>
        <w:jc w:val="both"/>
      </w:pPr>
      <w:r>
        <w:rPr>
          <w:rStyle w:val="FootnoteReference"/>
        </w:rPr>
        <w:footnoteRef/>
      </w:r>
      <w:r>
        <w:t xml:space="preserve"> </w:t>
      </w:r>
      <w:r>
        <w:tab/>
        <w:t>Mécanisme pour l’innovation et le développement des entreprises dans les Balkans occidentaux (WB EDIF)</w:t>
      </w:r>
    </w:p>
  </w:footnote>
  <w:footnote w:id="8">
    <w:p>
      <w:pPr>
        <w:pStyle w:val="FootnoteText"/>
        <w:spacing w:before="0" w:after="120"/>
        <w:ind w:left="284" w:hanging="426"/>
        <w:jc w:val="both"/>
      </w:pPr>
      <w:r>
        <w:rPr>
          <w:rStyle w:val="FootnoteReference"/>
        </w:rPr>
        <w:footnoteRef/>
      </w:r>
      <w:r>
        <w:t xml:space="preserve"> </w:t>
      </w:r>
      <w:r>
        <w:tab/>
        <w:t>Mécanisme pour l’innovation et le développement des entreprises dans les Balkans occidentaux (WB EDIF)</w:t>
      </w:r>
    </w:p>
  </w:footnote>
  <w:footnote w:id="9">
    <w:p>
      <w:pPr>
        <w:pStyle w:val="FootnoteText"/>
        <w:spacing w:before="0" w:after="120"/>
        <w:ind w:left="284" w:hanging="426"/>
        <w:jc w:val="both"/>
      </w:pPr>
      <w:r>
        <w:rPr>
          <w:rStyle w:val="FootnoteReference"/>
        </w:rPr>
        <w:footnoteRef/>
      </w:r>
      <w:r>
        <w:t xml:space="preserve"> </w:t>
      </w:r>
      <w:r>
        <w:tab/>
        <w:t>Dans le cadre du WB EDIF.</w:t>
      </w:r>
    </w:p>
  </w:footnote>
  <w:footnote w:id="10">
    <w:p>
      <w:pPr>
        <w:pStyle w:val="FootnoteText"/>
        <w:spacing w:before="0" w:after="120"/>
        <w:ind w:left="284" w:hanging="426"/>
        <w:jc w:val="both"/>
      </w:pPr>
      <w:r>
        <w:rPr>
          <w:rStyle w:val="FootnoteReference"/>
        </w:rPr>
        <w:footnoteRef/>
      </w:r>
      <w:r>
        <w:t xml:space="preserve"> </w:t>
      </w:r>
      <w:r>
        <w:tab/>
        <w:t>Dans le cadre du WB EDIF.</w:t>
      </w:r>
    </w:p>
  </w:footnote>
  <w:footnote w:id="11">
    <w:p>
      <w:pPr>
        <w:pStyle w:val="FootnoteText"/>
        <w:spacing w:before="0" w:after="120"/>
        <w:ind w:left="284" w:hanging="426"/>
        <w:jc w:val="both"/>
      </w:pPr>
      <w:r>
        <w:rPr>
          <w:rStyle w:val="FootnoteReference"/>
        </w:rPr>
        <w:footnoteRef/>
      </w:r>
      <w:r>
        <w:t xml:space="preserve"> </w:t>
      </w:r>
      <w:r>
        <w:tab/>
        <w:t>Facilité euro-méditerranéenne d'investissement et de partenariat.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7555AE80D61C4E34BFB197DE3FA661B2"/>
    <w:docVar w:name="LW_CROSSREFERENCE" w:val="{SWD(2016) 335 final}"/>
    <w:docVar w:name="LW_DATE.ADOPT.CP_ISODATE" w:val="&lt;EMPTY&gt;"/>
    <w:docVar w:name="LW_DocType" w:val="NORMAL"/>
    <w:docVar w:name="LW_EMISSION" w:val="24.10.2016"/>
    <w:docVar w:name="LW_EMISSION_ISODATE" w:val="2016-10-24"/>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concernant les instruments financiers soutenus par le budget général conformément à l'article 140, paragraphe 8, du règlement financier au 31 décembre 2015_x000b_"/>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75"/>
    <w:docVar w:name="LW_REF.INTERNE" w:val="&lt;UNUSED&gt;"/>
    <w:docVar w:name="LW_SOUS.TITRE.OBJ.CP" w:val="&lt;UNUSED&gt;"/>
    <w:docVar w:name="LW_SUPERTITRE" w:val="&lt;UNUSED&gt;"/>
    <w:docVar w:name="LW_TITRE.OBJ.CP"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5F0E-DB5D-4FE7-B238-64DC992C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5184</Words>
  <Characters>27789</Characters>
  <Application>Microsoft Office Word</Application>
  <DocSecurity>0</DocSecurity>
  <Lines>2137</Lines>
  <Paragraphs>999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12</cp:revision>
  <cp:lastPrinted>2016-09-12T10:37:00Z</cp:lastPrinted>
  <dcterms:created xsi:type="dcterms:W3CDTF">2016-10-12T16:03:00Z</dcterms:created>
  <dcterms:modified xsi:type="dcterms:W3CDTF">2016-10-13T13:01:00Z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