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DB1AA98A7A445018A3D781CB1748FD1" style="width:450.35pt;height:455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bookmarkStart w:id="1" w:name="_GoBack"/>
      <w:bookmarkEnd w:id="1"/>
      <w:r>
        <w:rPr>
          <w:noProof/>
        </w:rPr>
        <w:lastRenderedPageBreak/>
        <w:t>RÉGIONS ET PAYS POTENTIELLEMENT ÉLIGIBLES</w:t>
      </w:r>
    </w:p>
    <w:p>
      <w:pPr>
        <w:widowControl w:val="0"/>
        <w:tabs>
          <w:tab w:val="left" w:pos="289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A. Pays en phase de préadhésion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Candidats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Albanie, ancienne République yougoslave de Macédoine, Monténégro, Serbie, Turquie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Candidats potentiels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Bosnie-et-Herzégovine, Kosovo.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B. Pays couverts par la politique de voisinage et de partenariat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Pays méditerranéens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Algérie, Égypte, Jordanie, Liban, Libye, Maroc, Palestine, Syrie, Tunisie</w:t>
      </w:r>
    </w:p>
    <w:p>
      <w:pPr>
        <w:widowControl w:val="0"/>
        <w:tabs>
          <w:tab w:val="left" w:pos="250"/>
          <w:tab w:val="left" w:pos="4080"/>
        </w:tabs>
        <w:spacing w:before="0"/>
        <w:ind w:right="169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 xml:space="preserve">2. Europe orientale, Caucase du Sud et Russie </w:t>
      </w:r>
    </w:p>
    <w:p>
      <w:pPr>
        <w:widowControl w:val="0"/>
        <w:tabs>
          <w:tab w:val="left" w:pos="250"/>
          <w:tab w:val="left" w:pos="4080"/>
        </w:tabs>
        <w:spacing w:before="0"/>
        <w:ind w:right="169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Europe orientale: Biélorussie, République de Moldavie, Ukraine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Caucase du Sud: Arménie, Azerbaïdjan, Géorgie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>Russie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1031"/>
        <w:jc w:val="left"/>
        <w:rPr>
          <w:rFonts w:cstheme="minorBidi"/>
          <w:noProof/>
          <w:szCs w:val="24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C. Asie et Amérique latine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Amérique latine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Argentine, Bolivie, Brésil, Colombie, Costa Rica, Cuba, Équateur, El Salvador, Guatemala, Honduras, Mexique, Nicaragua, Panama, Paraguay, Pérou, Uruguay, Venezuela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Asie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Afghanistan, Bangladesh, Bhoutan, Cambodge, Chine, Inde, Indonésie, Iran, Iraq, Laos, Malaisie, Maldives, Mongolie, Myanmar/Birmanie, Népal, Pakistan, Philippines, Sri Lanka, Taïwan, Thaïlande, Viêt Nam, Yémen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3. Asie centrale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Kazakhstan, Kirghizstan, Tadjikistan, Turkménistan, Ouzbékistan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</w:p>
    <w:p>
      <w:pPr>
        <w:widowControl w:val="0"/>
        <w:tabs>
          <w:tab w:val="left" w:pos="294"/>
          <w:tab w:val="left" w:pos="2400"/>
          <w:tab w:val="left" w:pos="2520"/>
          <w:tab w:val="left" w:pos="9240"/>
        </w:tabs>
        <w:spacing w:before="0"/>
        <w:ind w:right="5929"/>
        <w:jc w:val="left"/>
        <w:rPr>
          <w:rFonts w:cstheme="minorBidi"/>
          <w:noProof/>
          <w:szCs w:val="24"/>
        </w:rPr>
      </w:pPr>
      <w:r>
        <w:rPr>
          <w:noProof/>
        </w:rPr>
        <w:t xml:space="preserve">D. Afrique du Sud </w:t>
      </w:r>
    </w:p>
    <w:p>
      <w:pPr>
        <w:widowControl w:val="0"/>
        <w:tabs>
          <w:tab w:val="left" w:pos="294"/>
          <w:tab w:val="left" w:pos="2400"/>
          <w:tab w:val="left" w:pos="2520"/>
          <w:tab w:val="left" w:pos="9240"/>
        </w:tabs>
        <w:spacing w:before="0"/>
        <w:ind w:right="5929"/>
        <w:jc w:val="left"/>
        <w:rPr>
          <w:rFonts w:cstheme="minorBidi"/>
          <w:noProof/>
          <w:szCs w:val="24"/>
        </w:rPr>
      </w:pPr>
      <w:r>
        <w:rPr>
          <w:noProof/>
        </w:rPr>
        <w:tab/>
        <w:t>Afrique du Sud</w:t>
      </w:r>
    </w:p>
    <w:p>
      <w:pPr>
        <w:rPr>
          <w:noProof/>
        </w:rPr>
      </w:pPr>
    </w:p>
    <w:p>
      <w:pPr>
        <w:spacing w:before="0" w:after="200" w:line="276" w:lineRule="auto"/>
        <w:jc w:val="center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0151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8DB1AA98A7A445018A3D781CB1748FD1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a décision n° 466/2014/UE du 16 avril 2014 accordant une garantie de l\u8217?Union européenne à la Banque européenne d\u8217?investissement en cas de pertes résultant d'opérations de financement en faveur de projets menés en dehors de l'Un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583"/>
    <w:docVar w:name="LW_REF.INTERNE" w:val="&lt;UNUSED&gt;"/>
    <w:docVar w:name="LW_SUPERTITRE" w:val="&lt;UNUSED&gt;"/>
    <w:docVar w:name="LW_TITRE.OBJ.CP" w:val="Régions et pays potentiellement éligibles"/>
    <w:docVar w:name="LW_TYPE.DOC.CP" w:val="ANNEXE_x000b_"/>
    <w:docVar w:name="LW_TYPEACTEPRINCIPAL.CP" w:val="Proposition de décision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964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 Monique (ECFIN)</dc:creator>
  <cp:lastModifiedBy>DIGIT/A3</cp:lastModifiedBy>
  <cp:revision>21</cp:revision>
  <cp:lastPrinted>2016-09-07T08:31:00Z</cp:lastPrinted>
  <dcterms:created xsi:type="dcterms:W3CDTF">2016-09-02T09:57:00Z</dcterms:created>
  <dcterms:modified xsi:type="dcterms:W3CDTF">2016-10-03T07:35:00Z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