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7B4E97BA5CEB4A40A902624FA56EC688" style="width:450.75pt;height:442.5pt">
            <v:imagedata r:id="rId7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0" w:after="200" w:line="276" w:lineRule="auto"/>
        <w:jc w:val="center"/>
        <w:rPr>
          <w:rFonts w:cstheme="minorBidi"/>
          <w:noProof/>
          <w:szCs w:val="24"/>
        </w:rPr>
      </w:pPr>
      <w:bookmarkStart w:id="1" w:name="_GoBack"/>
      <w:bookmarkEnd w:id="1"/>
    </w:p>
    <w:p>
      <w:pPr>
        <w:spacing w:before="0" w:after="200" w:line="276" w:lineRule="auto"/>
        <w:jc w:val="center"/>
        <w:rPr>
          <w:rFonts w:cstheme="minorBidi"/>
          <w:noProof/>
          <w:szCs w:val="24"/>
        </w:rPr>
      </w:pPr>
      <w:r>
        <w:rPr>
          <w:noProof/>
        </w:rPr>
        <w:t>RÉGIONS ET PAYS ÉLIGIBLES</w:t>
      </w:r>
    </w:p>
    <w:p>
      <w:pPr>
        <w:widowControl w:val="0"/>
        <w:tabs>
          <w:tab w:val="left" w:pos="289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A. Pays en phase de préadhésion</w:t>
      </w:r>
    </w:p>
    <w:p>
      <w:pPr>
        <w:widowControl w:val="0"/>
        <w:tabs>
          <w:tab w:val="left" w:pos="25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1. Candidats</w:t>
      </w:r>
    </w:p>
    <w:p>
      <w:pPr>
        <w:widowControl w:val="0"/>
        <w:spacing w:before="0"/>
        <w:ind w:left="260"/>
        <w:rPr>
          <w:rFonts w:cstheme="minorBidi"/>
          <w:noProof/>
          <w:szCs w:val="24"/>
        </w:rPr>
      </w:pPr>
      <w:r>
        <w:rPr>
          <w:noProof/>
        </w:rPr>
        <w:t>Albanie, ancienne République yougoslave de Macédoine, Monténégro, Serbie, Turquie</w:t>
      </w:r>
    </w:p>
    <w:p>
      <w:pPr>
        <w:widowControl w:val="0"/>
        <w:tabs>
          <w:tab w:val="left" w:pos="25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2. Candidats potentiels</w:t>
      </w:r>
    </w:p>
    <w:p>
      <w:pPr>
        <w:widowControl w:val="0"/>
        <w:spacing w:before="0"/>
        <w:ind w:left="260"/>
        <w:rPr>
          <w:rFonts w:cstheme="minorBidi"/>
          <w:noProof/>
          <w:szCs w:val="24"/>
        </w:rPr>
      </w:pPr>
      <w:r>
        <w:rPr>
          <w:noProof/>
        </w:rPr>
        <w:t>Bosnie-et-Herzégovine, Kosovo.</w:t>
      </w:r>
    </w:p>
    <w:p>
      <w:pPr>
        <w:widowControl w:val="0"/>
        <w:tabs>
          <w:tab w:val="left" w:pos="260"/>
        </w:tabs>
        <w:spacing w:before="0"/>
        <w:jc w:val="left"/>
        <w:rPr>
          <w:rFonts w:cstheme="minorBidi"/>
          <w:noProof/>
          <w:szCs w:val="24"/>
          <w:shd w:val="clear" w:color="auto" w:fill="FFFFFF"/>
        </w:rPr>
      </w:pPr>
    </w:p>
    <w:p>
      <w:pPr>
        <w:widowControl w:val="0"/>
        <w:tabs>
          <w:tab w:val="left" w:pos="26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B. Pays couverts par la politique de voisinage et de partenariat</w:t>
      </w:r>
    </w:p>
    <w:p>
      <w:pPr>
        <w:widowControl w:val="0"/>
        <w:tabs>
          <w:tab w:val="left" w:pos="246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1. Pays méditerranéens</w:t>
      </w:r>
    </w:p>
    <w:p>
      <w:pPr>
        <w:widowControl w:val="0"/>
        <w:spacing w:before="0"/>
        <w:ind w:left="260"/>
        <w:rPr>
          <w:rFonts w:cstheme="minorBidi"/>
          <w:noProof/>
          <w:szCs w:val="24"/>
        </w:rPr>
      </w:pPr>
      <w:r>
        <w:rPr>
          <w:noProof/>
        </w:rPr>
        <w:t>Algérie, Égypte, Jordanie, Liban, Libye, Maroc, Palestine, Tunisie</w:t>
      </w:r>
    </w:p>
    <w:p>
      <w:pPr>
        <w:widowControl w:val="0"/>
        <w:tabs>
          <w:tab w:val="left" w:pos="250"/>
        </w:tabs>
        <w:spacing w:before="0"/>
        <w:ind w:right="71"/>
        <w:jc w:val="left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>2. Europe orientale, Caucase du Sud et Russie</w:t>
      </w:r>
    </w:p>
    <w:p>
      <w:pPr>
        <w:widowControl w:val="0"/>
        <w:tabs>
          <w:tab w:val="left" w:pos="250"/>
        </w:tabs>
        <w:spacing w:before="0"/>
        <w:ind w:right="71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ab/>
        <w:t xml:space="preserve">Europe orientale: Biélorussie, République de Moldavie, Ukraine </w:t>
      </w:r>
    </w:p>
    <w:p>
      <w:pPr>
        <w:widowControl w:val="0"/>
        <w:shd w:val="clear" w:color="auto" w:fill="FFFFFF"/>
        <w:tabs>
          <w:tab w:val="left" w:pos="250"/>
        </w:tabs>
        <w:spacing w:before="0"/>
        <w:ind w:left="20" w:right="2111"/>
        <w:jc w:val="left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ab/>
        <w:t xml:space="preserve">Caucase du Sud: Arménie, Azerbaïdjan, Géorgie </w:t>
      </w:r>
    </w:p>
    <w:p>
      <w:pPr>
        <w:widowControl w:val="0"/>
        <w:shd w:val="clear" w:color="auto" w:fill="FFFFFF"/>
        <w:tabs>
          <w:tab w:val="left" w:pos="250"/>
        </w:tabs>
        <w:spacing w:before="0"/>
        <w:ind w:left="20" w:right="2111"/>
        <w:jc w:val="left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ab/>
        <w:t>Russie</w:t>
      </w:r>
    </w:p>
    <w:p>
      <w:pPr>
        <w:widowControl w:val="0"/>
        <w:tabs>
          <w:tab w:val="left" w:pos="260"/>
        </w:tabs>
        <w:spacing w:before="0"/>
        <w:jc w:val="left"/>
        <w:rPr>
          <w:rFonts w:cstheme="minorBidi"/>
          <w:noProof/>
          <w:szCs w:val="24"/>
          <w:shd w:val="clear" w:color="auto" w:fill="FFFFFF"/>
        </w:rPr>
      </w:pPr>
    </w:p>
    <w:p>
      <w:pPr>
        <w:widowControl w:val="0"/>
        <w:tabs>
          <w:tab w:val="left" w:pos="26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C. Asie et Amérique latine</w:t>
      </w:r>
    </w:p>
    <w:p>
      <w:pPr>
        <w:widowControl w:val="0"/>
        <w:tabs>
          <w:tab w:val="left" w:pos="246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1. Amérique latine</w:t>
      </w:r>
    </w:p>
    <w:p>
      <w:pPr>
        <w:widowControl w:val="0"/>
        <w:spacing w:before="0"/>
        <w:ind w:left="260" w:right="200"/>
        <w:rPr>
          <w:rFonts w:cstheme="minorBidi"/>
          <w:noProof/>
          <w:szCs w:val="24"/>
        </w:rPr>
      </w:pPr>
      <w:r>
        <w:rPr>
          <w:noProof/>
        </w:rPr>
        <w:t>Argentine, Bolivie, Brésil, Colombie, Costa Rica, Équateur, El Salvador, Guatemala, Honduras, Mexique, Nicaragua, Panama, Paraguay, Pérou, Uruguay, Venezuela</w:t>
      </w:r>
    </w:p>
    <w:p>
      <w:pPr>
        <w:widowControl w:val="0"/>
        <w:tabs>
          <w:tab w:val="left" w:pos="246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2. Asie</w:t>
      </w:r>
    </w:p>
    <w:p>
      <w:pPr>
        <w:widowControl w:val="0"/>
        <w:spacing w:before="0"/>
        <w:ind w:left="260" w:right="200"/>
        <w:rPr>
          <w:rFonts w:cstheme="minorBidi"/>
          <w:noProof/>
          <w:szCs w:val="24"/>
        </w:rPr>
      </w:pPr>
      <w:r>
        <w:rPr>
          <w:noProof/>
        </w:rPr>
        <w:t>Bangladesh, Bhoutan, Cambodge, Chine, Inde, Indonésie, Iraq, Laos, Malaisie, Maldives, Mongolie, Myanmar/Birmanie, Népal, Pakistan, Philippines, Sri Lanka, Thaïlande, Viêt Nam, Yémen</w:t>
      </w:r>
    </w:p>
    <w:p>
      <w:pPr>
        <w:widowControl w:val="0"/>
        <w:tabs>
          <w:tab w:val="left" w:pos="250"/>
        </w:tabs>
        <w:spacing w:before="0"/>
        <w:jc w:val="left"/>
        <w:rPr>
          <w:rFonts w:cstheme="minorBidi"/>
          <w:noProof/>
          <w:szCs w:val="24"/>
        </w:rPr>
      </w:pPr>
      <w:r>
        <w:rPr>
          <w:noProof/>
        </w:rPr>
        <w:t>3. Asie centrale</w:t>
      </w:r>
    </w:p>
    <w:p>
      <w:pPr>
        <w:widowControl w:val="0"/>
        <w:spacing w:before="0"/>
        <w:ind w:left="260"/>
        <w:rPr>
          <w:rFonts w:cstheme="minorBidi"/>
          <w:noProof/>
          <w:szCs w:val="24"/>
          <w:shd w:val="clear" w:color="auto" w:fill="FFFFFF"/>
        </w:rPr>
      </w:pPr>
      <w:r>
        <w:rPr>
          <w:noProof/>
        </w:rPr>
        <w:t>Kazakhstan, Kirghizstan, Tadjikistan, Turkménistan, Ouzbékistan</w:t>
      </w:r>
    </w:p>
    <w:p>
      <w:pPr>
        <w:widowControl w:val="0"/>
        <w:spacing w:before="0"/>
        <w:ind w:left="260"/>
        <w:rPr>
          <w:rFonts w:cstheme="minorBidi"/>
          <w:noProof/>
          <w:szCs w:val="24"/>
          <w:shd w:val="clear" w:color="auto" w:fill="FFFFFF"/>
        </w:rPr>
      </w:pPr>
    </w:p>
    <w:p>
      <w:pPr>
        <w:spacing w:before="0"/>
        <w:rPr>
          <w:rFonts w:cstheme="minorBidi"/>
          <w:noProof/>
          <w:szCs w:val="24"/>
        </w:rPr>
      </w:pPr>
      <w:r>
        <w:rPr>
          <w:noProof/>
        </w:rPr>
        <w:t>D. Afrique du Sud</w:t>
      </w:r>
    </w:p>
    <w:p>
      <w:pPr>
        <w:spacing w:before="0"/>
        <w:ind w:left="260"/>
        <w:rPr>
          <w:rFonts w:cstheme="minorBidi"/>
          <w:noProof/>
          <w:szCs w:val="24"/>
        </w:rPr>
      </w:pPr>
      <w:r>
        <w:rPr>
          <w:noProof/>
        </w:rPr>
        <w:t>Afrique du Sud</w:t>
      </w:r>
    </w:p>
    <w:p>
      <w:pPr>
        <w:spacing w:before="0"/>
        <w:rPr>
          <w:noProof/>
          <w:szCs w:val="24"/>
        </w:rPr>
      </w:pPr>
    </w:p>
    <w:p>
      <w:pPr>
        <w:spacing w:before="0" w:after="200" w:line="276" w:lineRule="auto"/>
        <w:jc w:val="center"/>
        <w:rPr>
          <w:noProof/>
          <w:szCs w:val="24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51053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 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7B4E97BA5CEB4A40A902624FA56EC688"/>
    <w:docVar w:name="LW_CROSSREFERENCE" w:val="&lt;UNUSED&gt;"/>
    <w:docVar w:name="LW_DocType" w:val="NORMAL"/>
    <w:docVar w:name="LW_EMISSION" w:val="14.9.2016"/>
    <w:docVar w:name="LW_EMISSION_ISODATE" w:val="2016-09-14"/>
    <w:docVar w:name="LW_EMISSION_LOCATION" w:val="BRX"/>
    <w:docVar w:name="LW_EMISSION_PREFIX" w:val="Bruxelles, le "/>
    <w:docVar w:name="LW_EMISSION_SUFFIX" w:val=" "/>
    <w:docVar w:name="LW_ID_DOCTYPE_NONLW" w:val="CP-036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modifiant la décision n° 466/2014/UE du 16 avril 2014 accordant une garantie de l\u8217?Union européenne à la Banque européenne d\u8217?investissement en cas de pertes résultant d'opérations de financement en faveur de projets menés en dehors de l\u8217?Union"/>
    <w:docVar w:name="LW_PART_NBR" w:val="1"/>
    <w:docVar w:name="LW_PART_NBR_TOTAL" w:val="1"/>
    <w:docVar w:name="LW_REF.INST.NEW" w:val="COM"/>
    <w:docVar w:name="LW_REF.INST.NEW_ADOPTED" w:val="final"/>
    <w:docVar w:name="LW_REF.INST.NEW_TEXT" w:val="(2016) 583"/>
    <w:docVar w:name="LW_REF.INTERNE" w:val="&lt;UNUSED&gt;"/>
    <w:docVar w:name="LW_SUPERTITRE" w:val="&lt;UNUSED&gt;"/>
    <w:docVar w:name="LW_TITRE.OBJ.CP" w:val="Régions et pays éligibles"/>
    <w:docVar w:name="LW_TYPE.DOC.CP" w:val="ANNEXE_x000b_"/>
    <w:docVar w:name="LW_TYPEACTEPRINCIPAL.CP" w:val="Proposition de décision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theme="minorBidi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cstheme="minorBidi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cstheme="minorBidi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cstheme="minorBidi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135</Words>
  <Characters>913</Characters>
  <Application>Microsoft Office Word</Application>
  <DocSecurity>0</DocSecurity>
  <Lines>32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KIRSCH Monique (ECFIN)</dc:creator>
  <cp:lastModifiedBy>DIGIT/A3</cp:lastModifiedBy>
  <cp:revision>22</cp:revision>
  <cp:lastPrinted>2016-09-07T08:31:00Z</cp:lastPrinted>
  <dcterms:created xsi:type="dcterms:W3CDTF">2016-09-02T10:01:00Z</dcterms:created>
  <dcterms:modified xsi:type="dcterms:W3CDTF">2016-10-03T07:35:00Z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3</vt:lpwstr>
  </property>
  <property fmtid="{D5CDD505-2E9C-101B-9397-08002B2CF9AE}" pid="3" name="Last annex">
    <vt:lpwstr>3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