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BA88AECED59E4D79B6F6F6EDBDE57A99" style="width:450.35pt;height:320.6pt">
            <v:imagedata r:id="rId9" o:title=""/>
          </v:shape>
        </w:pict>
      </w:r>
    </w:p>
    <w:bookmarkEnd w:id="0"/>
    <w:p>
      <w:pPr>
        <w:rPr>
          <w:noProof/>
          <w:lang w:eastAsia="en-US"/>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No 966/2012 of the European Parliament and of the Council of 25 October 2012 on the financial rules applicable to the general budget of the Union</w:t>
      </w:r>
      <w:r>
        <w:rPr>
          <w:rStyle w:val="FootnoteReference"/>
          <w:noProof/>
        </w:rPr>
        <w:footnoteReference w:id="2"/>
      </w:r>
      <w:r>
        <w:rPr>
          <w:noProof/>
        </w:rPr>
        <w:t>, and in particular Article 41 thereof,</w:t>
      </w:r>
    </w:p>
    <w:p>
      <w:pPr>
        <w:pStyle w:val="Tiret0"/>
        <w:tabs>
          <w:tab w:val="clear" w:pos="850"/>
          <w:tab w:val="num" w:pos="927"/>
        </w:tabs>
        <w:rPr>
          <w:noProof/>
        </w:rPr>
      </w:pPr>
      <w:r>
        <w:rPr>
          <w:noProof/>
        </w:rPr>
        <w:t>the general budget of the European Union for the financial year 2016, as adopted on 25 November 2015</w:t>
      </w:r>
      <w:r>
        <w:rPr>
          <w:rStyle w:val="FootnoteReference"/>
          <w:noProof/>
        </w:rPr>
        <w:footnoteReference w:id="3"/>
      </w:r>
      <w:r>
        <w:rPr>
          <w:noProof/>
        </w:rPr>
        <w:t>,</w:t>
      </w:r>
    </w:p>
    <w:p>
      <w:pPr>
        <w:pStyle w:val="Tiret0"/>
        <w:tabs>
          <w:tab w:val="clear" w:pos="850"/>
          <w:tab w:val="num" w:pos="927"/>
        </w:tabs>
        <w:rPr>
          <w:noProof/>
        </w:rPr>
      </w:pPr>
      <w:r>
        <w:rPr>
          <w:noProof/>
        </w:rPr>
        <w:t>Amending budget No 1/2016</w:t>
      </w:r>
      <w:r>
        <w:rPr>
          <w:rStyle w:val="FootnoteReference"/>
          <w:noProof/>
        </w:rPr>
        <w:footnoteReference w:id="4"/>
      </w:r>
      <w:r>
        <w:rPr>
          <w:noProof/>
        </w:rPr>
        <w:t>, adopted on 14 April 2016,</w:t>
      </w:r>
    </w:p>
    <w:p>
      <w:pPr>
        <w:pStyle w:val="Tiret0"/>
        <w:tabs>
          <w:tab w:val="clear" w:pos="850"/>
          <w:tab w:val="num" w:pos="927"/>
        </w:tabs>
        <w:rPr>
          <w:noProof/>
        </w:rPr>
      </w:pPr>
      <w:r>
        <w:rPr>
          <w:noProof/>
        </w:rPr>
        <w:t>Amending budget No 2/2016</w:t>
      </w:r>
      <w:r>
        <w:rPr>
          <w:rStyle w:val="FootnoteReference"/>
          <w:noProof/>
        </w:rPr>
        <w:footnoteReference w:id="5"/>
      </w:r>
      <w:r>
        <w:rPr>
          <w:noProof/>
        </w:rPr>
        <w:t>, adopted on 6 July 2016,</w:t>
      </w:r>
    </w:p>
    <w:p>
      <w:pPr>
        <w:pStyle w:val="Tiret0"/>
        <w:tabs>
          <w:tab w:val="clear" w:pos="850"/>
          <w:tab w:val="num" w:pos="927"/>
        </w:tabs>
        <w:rPr>
          <w:noProof/>
        </w:rPr>
      </w:pPr>
      <w:r>
        <w:rPr>
          <w:noProof/>
        </w:rPr>
        <w:t>Draft amending budget No 3/2016</w:t>
      </w:r>
      <w:r>
        <w:rPr>
          <w:rStyle w:val="FootnoteReference"/>
          <w:noProof/>
        </w:rPr>
        <w:footnoteReference w:id="6"/>
      </w:r>
      <w:r>
        <w:rPr>
          <w:noProof/>
        </w:rPr>
        <w:t>, adopted on 30 June 2016,</w:t>
      </w:r>
    </w:p>
    <w:p>
      <w:pPr>
        <w:pStyle w:val="Tiret0"/>
        <w:tabs>
          <w:tab w:val="clear" w:pos="850"/>
          <w:tab w:val="num" w:pos="927"/>
        </w:tabs>
        <w:rPr>
          <w:noProof/>
        </w:rPr>
      </w:pPr>
      <w:r>
        <w:rPr>
          <w:noProof/>
        </w:rPr>
        <w:t>Draft amending budget No 4/2016</w:t>
      </w:r>
      <w:r>
        <w:rPr>
          <w:rStyle w:val="FootnoteReference"/>
          <w:noProof/>
        </w:rPr>
        <w:footnoteReference w:id="7"/>
      </w:r>
      <w:r>
        <w:rPr>
          <w:noProof/>
        </w:rPr>
        <w:t>, adopted on 30 September 2016,</w:t>
      </w:r>
    </w:p>
    <w:p>
      <w:pPr>
        <w:spacing w:after="600"/>
        <w:jc w:val="both"/>
        <w:rPr>
          <w:noProof/>
        </w:rPr>
      </w:pPr>
      <w:r>
        <w:rPr>
          <w:noProof/>
        </w:rPr>
        <w:t>The European Commission hereby presents Draft amending budget No 5 to the 2016 budget to the European Parliament and to the Council.</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OF CONTENTS</w:t>
      </w:r>
    </w:p>
    <w:sdt>
      <w:sdtPr>
        <w:rPr>
          <w:b w:val="0"/>
          <w:noProof/>
          <w:sz w:val="24"/>
          <w:lang w:eastAsia="en-GB"/>
        </w:rPr>
        <w:id w:val="2029912794"/>
        <w:docPartObj>
          <w:docPartGallery w:val="Table of Contents"/>
          <w:docPartUnique/>
        </w:docPartObj>
      </w:sdtPr>
      <w:sdtEndPr>
        <w:rPr>
          <w:bCs/>
        </w:rPr>
      </w:sdtEndPr>
      <w:sdtContent>
        <w:p>
          <w:pPr>
            <w:pStyle w:val="TOCHeading"/>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4"/>
              <w:szCs w:val="24"/>
              <w:lang w:val="fr-FR" w:eastAsia="fr-FR"/>
            </w:rPr>
          </w:pPr>
          <w:r>
            <w:rPr>
              <w:noProof/>
            </w:rPr>
            <w:fldChar w:fldCharType="begin"/>
          </w:r>
          <w:r>
            <w:rPr>
              <w:noProof/>
            </w:rPr>
            <w:instrText xml:space="preserve"> TOC \o "1-3" \h \z \u </w:instrText>
          </w:r>
          <w:r>
            <w:rPr>
              <w:noProof/>
            </w:rPr>
            <w:fldChar w:fldCharType="separate"/>
          </w:r>
          <w:hyperlink w:anchor="_Toc463466444" w:history="1">
            <w:r>
              <w:rPr>
                <w:rStyle w:val="Hyperlink"/>
                <w:noProof/>
              </w:rPr>
              <w:t>1.</w:t>
            </w:r>
            <w:r>
              <w:rPr>
                <w:rFonts w:asciiTheme="minorHAnsi" w:eastAsiaTheme="minorEastAsia" w:hAnsiTheme="minorHAnsi" w:cstheme="minorBidi"/>
                <w:b w:val="0"/>
                <w:bCs w:val="0"/>
                <w:caps w:val="0"/>
                <w:noProof/>
                <w:sz w:val="24"/>
                <w:szCs w:val="24"/>
                <w:lang w:val="fr-FR" w:eastAsia="fr-FR"/>
              </w:rPr>
              <w:tab/>
            </w:r>
            <w:r>
              <w:rPr>
                <w:rStyle w:val="Hyperlink"/>
                <w:noProof/>
              </w:rPr>
              <w:t>Introduction</w:t>
            </w:r>
            <w:r>
              <w:rPr>
                <w:noProof/>
                <w:webHidden/>
              </w:rPr>
              <w:tab/>
            </w:r>
            <w:r>
              <w:rPr>
                <w:noProof/>
                <w:webHidden/>
              </w:rPr>
              <w:fldChar w:fldCharType="begin"/>
            </w:r>
            <w:r>
              <w:rPr>
                <w:noProof/>
                <w:webHidden/>
              </w:rPr>
              <w:instrText xml:space="preserve"> PAGEREF _Toc463466444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4"/>
              <w:szCs w:val="24"/>
              <w:lang w:val="fr-FR" w:eastAsia="fr-FR"/>
            </w:rPr>
          </w:pPr>
          <w:hyperlink w:anchor="_Toc463466445" w:history="1">
            <w:r>
              <w:rPr>
                <w:rStyle w:val="Hyperlink"/>
                <w:noProof/>
              </w:rPr>
              <w:t xml:space="preserve">2. </w:t>
            </w:r>
            <w:r>
              <w:rPr>
                <w:rFonts w:asciiTheme="minorHAnsi" w:eastAsiaTheme="minorEastAsia" w:hAnsiTheme="minorHAnsi" w:cstheme="minorBidi"/>
                <w:b w:val="0"/>
                <w:bCs w:val="0"/>
                <w:caps w:val="0"/>
                <w:noProof/>
                <w:sz w:val="24"/>
                <w:szCs w:val="24"/>
                <w:lang w:val="fr-FR" w:eastAsia="fr-FR"/>
              </w:rPr>
              <w:tab/>
            </w:r>
            <w:r>
              <w:rPr>
                <w:rStyle w:val="Hyperlink"/>
                <w:noProof/>
              </w:rPr>
              <w:t>Budgetary year 2014: retroactive impact of ord 2014</w:t>
            </w:r>
            <w:r>
              <w:rPr>
                <w:noProof/>
                <w:webHidden/>
              </w:rPr>
              <w:tab/>
            </w:r>
            <w:r>
              <w:rPr>
                <w:noProof/>
                <w:webHidden/>
              </w:rPr>
              <w:fldChar w:fldCharType="begin"/>
            </w:r>
            <w:r>
              <w:rPr>
                <w:noProof/>
                <w:webHidden/>
              </w:rPr>
              <w:instrText xml:space="preserve"> PAGEREF _Toc463466445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46" w:history="1">
            <w:r>
              <w:rPr>
                <w:rStyle w:val="Hyperlink"/>
                <w:rFonts w:eastAsia="Calibri"/>
                <w:noProof/>
              </w:rPr>
              <w:t xml:space="preserve">2.1 </w:t>
            </w:r>
            <w:r>
              <w:rPr>
                <w:rFonts w:asciiTheme="minorHAnsi" w:eastAsiaTheme="minorEastAsia" w:hAnsiTheme="minorHAnsi" w:cstheme="minorBidi"/>
                <w:smallCaps w:val="0"/>
                <w:noProof/>
                <w:sz w:val="24"/>
                <w:szCs w:val="24"/>
                <w:lang w:val="fr-FR" w:eastAsia="fr-FR"/>
              </w:rPr>
              <w:tab/>
            </w:r>
            <w:r>
              <w:rPr>
                <w:rStyle w:val="Hyperlink"/>
                <w:rFonts w:eastAsia="Calibri"/>
                <w:noProof/>
              </w:rPr>
              <w:t>Decrease in collection costs of Traditional Own Resources (TOR)</w:t>
            </w:r>
            <w:r>
              <w:rPr>
                <w:noProof/>
                <w:webHidden/>
              </w:rPr>
              <w:tab/>
            </w:r>
            <w:r>
              <w:rPr>
                <w:noProof/>
                <w:webHidden/>
              </w:rPr>
              <w:fldChar w:fldCharType="begin"/>
            </w:r>
            <w:r>
              <w:rPr>
                <w:noProof/>
                <w:webHidden/>
              </w:rPr>
              <w:instrText xml:space="preserve"> PAGEREF _Toc463466446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47" w:history="1">
            <w:r>
              <w:rPr>
                <w:rStyle w:val="Hyperlink"/>
                <w:rFonts w:eastAsia="Calibri"/>
                <w:noProof/>
              </w:rPr>
              <w:t xml:space="preserve">2.2 </w:t>
            </w:r>
            <w:r>
              <w:rPr>
                <w:rFonts w:asciiTheme="minorHAnsi" w:eastAsiaTheme="minorEastAsia" w:hAnsiTheme="minorHAnsi" w:cstheme="minorBidi"/>
                <w:smallCaps w:val="0"/>
                <w:noProof/>
                <w:sz w:val="24"/>
                <w:szCs w:val="24"/>
                <w:lang w:val="fr-FR" w:eastAsia="fr-FR"/>
              </w:rPr>
              <w:tab/>
            </w:r>
            <w:r>
              <w:rPr>
                <w:rStyle w:val="Hyperlink"/>
                <w:rFonts w:eastAsia="Calibri"/>
                <w:noProof/>
              </w:rPr>
              <w:t>Rate of call of the VAT-based resource</w:t>
            </w:r>
            <w:r>
              <w:rPr>
                <w:noProof/>
                <w:webHidden/>
              </w:rPr>
              <w:tab/>
            </w:r>
            <w:r>
              <w:rPr>
                <w:noProof/>
                <w:webHidden/>
              </w:rPr>
              <w:fldChar w:fldCharType="begin"/>
            </w:r>
            <w:r>
              <w:rPr>
                <w:noProof/>
                <w:webHidden/>
              </w:rPr>
              <w:instrText xml:space="preserve"> PAGEREF _Toc463466447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48" w:history="1">
            <w:r>
              <w:rPr>
                <w:rStyle w:val="Hyperlink"/>
                <w:rFonts w:eastAsia="Calibri"/>
                <w:noProof/>
              </w:rPr>
              <w:t xml:space="preserve">2.3 </w:t>
            </w:r>
            <w:r>
              <w:rPr>
                <w:rFonts w:asciiTheme="minorHAnsi" w:eastAsiaTheme="minorEastAsia" w:hAnsiTheme="minorHAnsi" w:cstheme="minorBidi"/>
                <w:smallCaps w:val="0"/>
                <w:noProof/>
                <w:sz w:val="24"/>
                <w:szCs w:val="24"/>
                <w:lang w:val="fr-FR" w:eastAsia="fr-FR"/>
              </w:rPr>
              <w:tab/>
            </w:r>
            <w:r>
              <w:rPr>
                <w:rStyle w:val="Hyperlink"/>
                <w:rFonts w:eastAsia="Calibri"/>
                <w:noProof/>
              </w:rPr>
              <w:t>Gross reductions in their annual GNI-based contributions for Denmark, the Netherlands, Sweden and Austria</w:t>
            </w:r>
            <w:r>
              <w:rPr>
                <w:noProof/>
                <w:webHidden/>
              </w:rPr>
              <w:tab/>
            </w:r>
            <w:r>
              <w:rPr>
                <w:noProof/>
                <w:webHidden/>
              </w:rPr>
              <w:fldChar w:fldCharType="begin"/>
            </w:r>
            <w:r>
              <w:rPr>
                <w:noProof/>
                <w:webHidden/>
              </w:rPr>
              <w:instrText xml:space="preserve"> PAGEREF _Toc463466448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49" w:history="1">
            <w:r>
              <w:rPr>
                <w:rStyle w:val="Hyperlink"/>
                <w:rFonts w:eastAsia="Calibri"/>
                <w:noProof/>
              </w:rPr>
              <w:t xml:space="preserve">2.4 </w:t>
            </w:r>
            <w:r>
              <w:rPr>
                <w:rFonts w:asciiTheme="minorHAnsi" w:eastAsiaTheme="minorEastAsia" w:hAnsiTheme="minorHAnsi" w:cstheme="minorBidi"/>
                <w:smallCaps w:val="0"/>
                <w:noProof/>
                <w:sz w:val="24"/>
                <w:szCs w:val="24"/>
                <w:lang w:val="fr-FR" w:eastAsia="fr-FR"/>
              </w:rPr>
              <w:tab/>
            </w:r>
            <w:r>
              <w:rPr>
                <w:rStyle w:val="Hyperlink"/>
                <w:rFonts w:eastAsia="Calibri"/>
                <w:noProof/>
              </w:rPr>
              <w:t>Calculation of the correction mechanism in favour of the United Kingdom (UK correction)</w:t>
            </w:r>
            <w:r>
              <w:rPr>
                <w:noProof/>
                <w:webHidden/>
              </w:rPr>
              <w:tab/>
            </w:r>
            <w:r>
              <w:rPr>
                <w:noProof/>
                <w:webHidden/>
              </w:rPr>
              <w:fldChar w:fldCharType="begin"/>
            </w:r>
            <w:r>
              <w:rPr>
                <w:noProof/>
                <w:webHidden/>
              </w:rPr>
              <w:instrText xml:space="preserve"> PAGEREF _Toc463466449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50" w:history="1">
            <w:r>
              <w:rPr>
                <w:rStyle w:val="Hyperlink"/>
                <w:rFonts w:eastAsia="Calibri"/>
                <w:noProof/>
              </w:rPr>
              <w:t xml:space="preserve">2.5 </w:t>
            </w:r>
            <w:r>
              <w:rPr>
                <w:rFonts w:asciiTheme="minorHAnsi" w:eastAsiaTheme="minorEastAsia" w:hAnsiTheme="minorHAnsi" w:cstheme="minorBidi"/>
                <w:smallCaps w:val="0"/>
                <w:noProof/>
                <w:sz w:val="24"/>
                <w:szCs w:val="24"/>
                <w:lang w:val="fr-FR" w:eastAsia="fr-FR"/>
              </w:rPr>
              <w:tab/>
            </w:r>
            <w:r>
              <w:rPr>
                <w:rStyle w:val="Hyperlink"/>
                <w:rFonts w:eastAsia="Calibri"/>
                <w:noProof/>
              </w:rPr>
              <w:t>Impact on the GNI-based own resource contribution for 2014</w:t>
            </w:r>
            <w:r>
              <w:rPr>
                <w:noProof/>
                <w:webHidden/>
              </w:rPr>
              <w:tab/>
            </w:r>
            <w:r>
              <w:rPr>
                <w:noProof/>
                <w:webHidden/>
              </w:rPr>
              <w:fldChar w:fldCharType="begin"/>
            </w:r>
            <w:r>
              <w:rPr>
                <w:noProof/>
                <w:webHidden/>
              </w:rPr>
              <w:instrText xml:space="preserve"> PAGEREF _Toc463466450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51" w:history="1">
            <w:r>
              <w:rPr>
                <w:rStyle w:val="Hyperlink"/>
                <w:rFonts w:eastAsia="Calibri"/>
                <w:noProof/>
              </w:rPr>
              <w:t xml:space="preserve">2.6 </w:t>
            </w:r>
            <w:r>
              <w:rPr>
                <w:rFonts w:asciiTheme="minorHAnsi" w:eastAsiaTheme="minorEastAsia" w:hAnsiTheme="minorHAnsi" w:cstheme="minorBidi"/>
                <w:smallCaps w:val="0"/>
                <w:noProof/>
                <w:sz w:val="24"/>
                <w:szCs w:val="24"/>
                <w:lang w:val="fr-FR" w:eastAsia="fr-FR"/>
              </w:rPr>
              <w:tab/>
            </w:r>
            <w:r>
              <w:rPr>
                <w:rStyle w:val="Hyperlink"/>
                <w:rFonts w:eastAsia="Calibri"/>
                <w:noProof/>
              </w:rPr>
              <w:t>Summary of the financial impact from the implementation of the ORD 2014 for the year 2014</w:t>
            </w:r>
            <w:r>
              <w:rPr>
                <w:noProof/>
                <w:webHidden/>
              </w:rPr>
              <w:tab/>
            </w:r>
            <w:r>
              <w:rPr>
                <w:noProof/>
                <w:webHidden/>
              </w:rPr>
              <w:fldChar w:fldCharType="begin"/>
            </w:r>
            <w:r>
              <w:rPr>
                <w:noProof/>
                <w:webHidden/>
              </w:rPr>
              <w:instrText xml:space="preserve"> PAGEREF _Toc463466451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4"/>
              <w:szCs w:val="24"/>
              <w:lang w:val="fr-FR" w:eastAsia="fr-FR"/>
            </w:rPr>
          </w:pPr>
          <w:hyperlink w:anchor="_Toc463466452" w:history="1">
            <w:r>
              <w:rPr>
                <w:rStyle w:val="Hyperlink"/>
                <w:noProof/>
              </w:rPr>
              <w:t xml:space="preserve">3. </w:t>
            </w:r>
            <w:r>
              <w:rPr>
                <w:rFonts w:asciiTheme="minorHAnsi" w:eastAsiaTheme="minorEastAsia" w:hAnsiTheme="minorHAnsi" w:cstheme="minorBidi"/>
                <w:b w:val="0"/>
                <w:bCs w:val="0"/>
                <w:caps w:val="0"/>
                <w:noProof/>
                <w:sz w:val="24"/>
                <w:szCs w:val="24"/>
                <w:lang w:val="fr-FR" w:eastAsia="fr-FR"/>
              </w:rPr>
              <w:tab/>
            </w:r>
            <w:r>
              <w:rPr>
                <w:rStyle w:val="Hyperlink"/>
                <w:noProof/>
              </w:rPr>
              <w:t>Budgetary year 2015: retroactive impact of ord 2014</w:t>
            </w:r>
            <w:r>
              <w:rPr>
                <w:noProof/>
                <w:webHidden/>
              </w:rPr>
              <w:tab/>
            </w:r>
            <w:r>
              <w:rPr>
                <w:noProof/>
                <w:webHidden/>
              </w:rPr>
              <w:fldChar w:fldCharType="begin"/>
            </w:r>
            <w:r>
              <w:rPr>
                <w:noProof/>
                <w:webHidden/>
              </w:rPr>
              <w:instrText xml:space="preserve"> PAGEREF _Toc463466452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53" w:history="1">
            <w:r>
              <w:rPr>
                <w:rStyle w:val="Hyperlink"/>
                <w:rFonts w:eastAsia="Calibri"/>
                <w:noProof/>
              </w:rPr>
              <w:t xml:space="preserve">3.1 </w:t>
            </w:r>
            <w:r>
              <w:rPr>
                <w:rFonts w:asciiTheme="minorHAnsi" w:eastAsiaTheme="minorEastAsia" w:hAnsiTheme="minorHAnsi" w:cstheme="minorBidi"/>
                <w:smallCaps w:val="0"/>
                <w:noProof/>
                <w:sz w:val="24"/>
                <w:szCs w:val="24"/>
                <w:lang w:val="fr-FR" w:eastAsia="fr-FR"/>
              </w:rPr>
              <w:tab/>
            </w:r>
            <w:r>
              <w:rPr>
                <w:rStyle w:val="Hyperlink"/>
                <w:rFonts w:eastAsia="Calibri"/>
                <w:noProof/>
              </w:rPr>
              <w:t>Decrease in collection costs of Traditional Own Resources (TOR)</w:t>
            </w:r>
            <w:r>
              <w:rPr>
                <w:noProof/>
                <w:webHidden/>
              </w:rPr>
              <w:tab/>
            </w:r>
            <w:r>
              <w:rPr>
                <w:noProof/>
                <w:webHidden/>
              </w:rPr>
              <w:fldChar w:fldCharType="begin"/>
            </w:r>
            <w:r>
              <w:rPr>
                <w:noProof/>
                <w:webHidden/>
              </w:rPr>
              <w:instrText xml:space="preserve"> PAGEREF _Toc463466453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54" w:history="1">
            <w:r>
              <w:rPr>
                <w:rStyle w:val="Hyperlink"/>
                <w:rFonts w:eastAsia="Calibri"/>
                <w:noProof/>
              </w:rPr>
              <w:t xml:space="preserve">3.2 </w:t>
            </w:r>
            <w:r>
              <w:rPr>
                <w:rFonts w:asciiTheme="minorHAnsi" w:eastAsiaTheme="minorEastAsia" w:hAnsiTheme="minorHAnsi" w:cstheme="minorBidi"/>
                <w:smallCaps w:val="0"/>
                <w:noProof/>
                <w:sz w:val="24"/>
                <w:szCs w:val="24"/>
                <w:lang w:val="fr-FR" w:eastAsia="fr-FR"/>
              </w:rPr>
              <w:tab/>
            </w:r>
            <w:r>
              <w:rPr>
                <w:rStyle w:val="Hyperlink"/>
                <w:rFonts w:eastAsia="Calibri"/>
                <w:noProof/>
              </w:rPr>
              <w:t>Rate of call of the VAT-based resource</w:t>
            </w:r>
            <w:r>
              <w:rPr>
                <w:noProof/>
                <w:webHidden/>
              </w:rPr>
              <w:tab/>
            </w:r>
            <w:r>
              <w:rPr>
                <w:noProof/>
                <w:webHidden/>
              </w:rPr>
              <w:fldChar w:fldCharType="begin"/>
            </w:r>
            <w:r>
              <w:rPr>
                <w:noProof/>
                <w:webHidden/>
              </w:rPr>
              <w:instrText xml:space="preserve"> PAGEREF _Toc463466454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55" w:history="1">
            <w:r>
              <w:rPr>
                <w:rStyle w:val="Hyperlink"/>
                <w:rFonts w:eastAsia="Calibri"/>
                <w:noProof/>
              </w:rPr>
              <w:t xml:space="preserve">3.3 </w:t>
            </w:r>
            <w:r>
              <w:rPr>
                <w:rFonts w:asciiTheme="minorHAnsi" w:eastAsiaTheme="minorEastAsia" w:hAnsiTheme="minorHAnsi" w:cstheme="minorBidi"/>
                <w:smallCaps w:val="0"/>
                <w:noProof/>
                <w:sz w:val="24"/>
                <w:szCs w:val="24"/>
                <w:lang w:val="fr-FR" w:eastAsia="fr-FR"/>
              </w:rPr>
              <w:tab/>
            </w:r>
            <w:r>
              <w:rPr>
                <w:rStyle w:val="Hyperlink"/>
                <w:rFonts w:eastAsia="Calibri"/>
                <w:noProof/>
              </w:rPr>
              <w:t>Gross reductions in their annual GNI-bassed contributions for Denmark, the Netherlands, Sweden and Austria</w:t>
            </w:r>
            <w:r>
              <w:rPr>
                <w:noProof/>
                <w:webHidden/>
              </w:rPr>
              <w:tab/>
            </w:r>
            <w:r>
              <w:rPr>
                <w:noProof/>
                <w:webHidden/>
              </w:rPr>
              <w:fldChar w:fldCharType="begin"/>
            </w:r>
            <w:r>
              <w:rPr>
                <w:noProof/>
                <w:webHidden/>
              </w:rPr>
              <w:instrText xml:space="preserve"> PAGEREF _Toc463466455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56" w:history="1">
            <w:r>
              <w:rPr>
                <w:rStyle w:val="Hyperlink"/>
                <w:rFonts w:eastAsia="Calibri"/>
                <w:noProof/>
              </w:rPr>
              <w:t xml:space="preserve">3.4 </w:t>
            </w:r>
            <w:r>
              <w:rPr>
                <w:rFonts w:asciiTheme="minorHAnsi" w:eastAsiaTheme="minorEastAsia" w:hAnsiTheme="minorHAnsi" w:cstheme="minorBidi"/>
                <w:smallCaps w:val="0"/>
                <w:noProof/>
                <w:sz w:val="24"/>
                <w:szCs w:val="24"/>
                <w:lang w:val="fr-FR" w:eastAsia="fr-FR"/>
              </w:rPr>
              <w:tab/>
            </w:r>
            <w:r>
              <w:rPr>
                <w:rStyle w:val="Hyperlink"/>
                <w:rFonts w:eastAsia="Calibri"/>
                <w:noProof/>
              </w:rPr>
              <w:t>Calculation of the correction mechanism in favour of the United Kingdom (UK correction)</w:t>
            </w:r>
            <w:r>
              <w:rPr>
                <w:noProof/>
                <w:webHidden/>
              </w:rPr>
              <w:tab/>
            </w:r>
            <w:r>
              <w:rPr>
                <w:noProof/>
                <w:webHidden/>
              </w:rPr>
              <w:fldChar w:fldCharType="begin"/>
            </w:r>
            <w:r>
              <w:rPr>
                <w:noProof/>
                <w:webHidden/>
              </w:rPr>
              <w:instrText xml:space="preserve"> PAGEREF _Toc463466456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57" w:history="1">
            <w:r>
              <w:rPr>
                <w:rStyle w:val="Hyperlink"/>
                <w:rFonts w:eastAsia="Calibri"/>
                <w:noProof/>
              </w:rPr>
              <w:t xml:space="preserve">3.5 </w:t>
            </w:r>
            <w:r>
              <w:rPr>
                <w:rFonts w:asciiTheme="minorHAnsi" w:eastAsiaTheme="minorEastAsia" w:hAnsiTheme="minorHAnsi" w:cstheme="minorBidi"/>
                <w:smallCaps w:val="0"/>
                <w:noProof/>
                <w:sz w:val="24"/>
                <w:szCs w:val="24"/>
                <w:lang w:val="fr-FR" w:eastAsia="fr-FR"/>
              </w:rPr>
              <w:tab/>
            </w:r>
            <w:r>
              <w:rPr>
                <w:rStyle w:val="Hyperlink"/>
                <w:rFonts w:eastAsia="Calibri"/>
                <w:noProof/>
              </w:rPr>
              <w:t>Impact on the GNI-based own resource contribution for 2015</w:t>
            </w:r>
            <w:r>
              <w:rPr>
                <w:noProof/>
                <w:webHidden/>
              </w:rPr>
              <w:tab/>
            </w:r>
            <w:r>
              <w:rPr>
                <w:noProof/>
                <w:webHidden/>
              </w:rPr>
              <w:fldChar w:fldCharType="begin"/>
            </w:r>
            <w:r>
              <w:rPr>
                <w:noProof/>
                <w:webHidden/>
              </w:rPr>
              <w:instrText xml:space="preserve"> PAGEREF _Toc463466457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58" w:history="1">
            <w:r>
              <w:rPr>
                <w:rStyle w:val="Hyperlink"/>
                <w:rFonts w:eastAsia="Calibri"/>
                <w:noProof/>
              </w:rPr>
              <w:t xml:space="preserve">3.6 </w:t>
            </w:r>
            <w:r>
              <w:rPr>
                <w:rFonts w:asciiTheme="minorHAnsi" w:eastAsiaTheme="minorEastAsia" w:hAnsiTheme="minorHAnsi" w:cstheme="minorBidi"/>
                <w:smallCaps w:val="0"/>
                <w:noProof/>
                <w:sz w:val="24"/>
                <w:szCs w:val="24"/>
                <w:lang w:val="fr-FR" w:eastAsia="fr-FR"/>
              </w:rPr>
              <w:tab/>
            </w:r>
            <w:r>
              <w:rPr>
                <w:rStyle w:val="Hyperlink"/>
                <w:rFonts w:eastAsia="Calibri"/>
                <w:noProof/>
              </w:rPr>
              <w:t>Summary of the financial impact from the implementation of the ORD 2014 for the year 2015</w:t>
            </w:r>
            <w:r>
              <w:rPr>
                <w:noProof/>
                <w:webHidden/>
              </w:rPr>
              <w:tab/>
            </w:r>
            <w:r>
              <w:rPr>
                <w:noProof/>
                <w:webHidden/>
              </w:rPr>
              <w:fldChar w:fldCharType="begin"/>
            </w:r>
            <w:r>
              <w:rPr>
                <w:noProof/>
                <w:webHidden/>
              </w:rPr>
              <w:instrText xml:space="preserve"> PAGEREF _Toc463466458 \h </w:instrText>
            </w:r>
            <w:r>
              <w:rPr>
                <w:noProof/>
                <w:webHidden/>
              </w:rPr>
            </w:r>
            <w:r>
              <w:rPr>
                <w:noProof/>
                <w:webHidden/>
              </w:rPr>
              <w:fldChar w:fldCharType="separate"/>
            </w:r>
            <w:r>
              <w:rPr>
                <w:noProof/>
                <w:webHidden/>
              </w:rPr>
              <w:t>19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4"/>
              <w:szCs w:val="24"/>
              <w:lang w:val="fr-FR" w:eastAsia="fr-FR"/>
            </w:rPr>
          </w:pPr>
          <w:hyperlink w:anchor="_Toc463466459" w:history="1">
            <w:r>
              <w:rPr>
                <w:rStyle w:val="Hyperlink"/>
                <w:noProof/>
              </w:rPr>
              <w:t xml:space="preserve">4. </w:t>
            </w:r>
            <w:r>
              <w:rPr>
                <w:rFonts w:asciiTheme="minorHAnsi" w:eastAsiaTheme="minorEastAsia" w:hAnsiTheme="minorHAnsi" w:cstheme="minorBidi"/>
                <w:b w:val="0"/>
                <w:bCs w:val="0"/>
                <w:caps w:val="0"/>
                <w:noProof/>
                <w:sz w:val="24"/>
                <w:szCs w:val="24"/>
                <w:lang w:val="fr-FR" w:eastAsia="fr-FR"/>
              </w:rPr>
              <w:tab/>
            </w:r>
            <w:r>
              <w:rPr>
                <w:rStyle w:val="Hyperlink"/>
                <w:noProof/>
              </w:rPr>
              <w:t>Budgetary year 2016: retroactive impact of ord 2014</w:t>
            </w:r>
            <w:r>
              <w:rPr>
                <w:noProof/>
                <w:webHidden/>
              </w:rPr>
              <w:tab/>
            </w:r>
            <w:r>
              <w:rPr>
                <w:noProof/>
                <w:webHidden/>
              </w:rPr>
              <w:fldChar w:fldCharType="begin"/>
            </w:r>
            <w:r>
              <w:rPr>
                <w:noProof/>
                <w:webHidden/>
              </w:rPr>
              <w:instrText xml:space="preserve"> PAGEREF _Toc463466459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60" w:history="1">
            <w:r>
              <w:rPr>
                <w:rStyle w:val="Hyperlink"/>
                <w:rFonts w:eastAsia="Calibri"/>
                <w:noProof/>
              </w:rPr>
              <w:t xml:space="preserve">4.1 </w:t>
            </w:r>
            <w:r>
              <w:rPr>
                <w:rFonts w:asciiTheme="minorHAnsi" w:eastAsiaTheme="minorEastAsia" w:hAnsiTheme="minorHAnsi" w:cstheme="minorBidi"/>
                <w:smallCaps w:val="0"/>
                <w:noProof/>
                <w:sz w:val="24"/>
                <w:szCs w:val="24"/>
                <w:lang w:val="fr-FR" w:eastAsia="fr-FR"/>
              </w:rPr>
              <w:tab/>
            </w:r>
            <w:r>
              <w:rPr>
                <w:rStyle w:val="Hyperlink"/>
                <w:rFonts w:eastAsia="Calibri"/>
                <w:noProof/>
              </w:rPr>
              <w:t>Decrease in collection costs of Traditional Own Resources (TOR)</w:t>
            </w:r>
            <w:r>
              <w:rPr>
                <w:noProof/>
                <w:webHidden/>
              </w:rPr>
              <w:tab/>
            </w:r>
            <w:r>
              <w:rPr>
                <w:noProof/>
                <w:webHidden/>
              </w:rPr>
              <w:fldChar w:fldCharType="begin"/>
            </w:r>
            <w:r>
              <w:rPr>
                <w:noProof/>
                <w:webHidden/>
              </w:rPr>
              <w:instrText xml:space="preserve"> PAGEREF _Toc463466460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61" w:history="1">
            <w:r>
              <w:rPr>
                <w:rStyle w:val="Hyperlink"/>
                <w:rFonts w:eastAsia="Calibri"/>
                <w:noProof/>
              </w:rPr>
              <w:t xml:space="preserve">4.2 </w:t>
            </w:r>
            <w:r>
              <w:rPr>
                <w:rFonts w:asciiTheme="minorHAnsi" w:eastAsiaTheme="minorEastAsia" w:hAnsiTheme="minorHAnsi" w:cstheme="minorBidi"/>
                <w:smallCaps w:val="0"/>
                <w:noProof/>
                <w:sz w:val="24"/>
                <w:szCs w:val="24"/>
                <w:lang w:val="fr-FR" w:eastAsia="fr-FR"/>
              </w:rPr>
              <w:tab/>
            </w:r>
            <w:r>
              <w:rPr>
                <w:rStyle w:val="Hyperlink"/>
                <w:rFonts w:eastAsia="Calibri"/>
                <w:noProof/>
              </w:rPr>
              <w:t>Rate of call of the VAT-based resource</w:t>
            </w:r>
            <w:r>
              <w:rPr>
                <w:noProof/>
                <w:webHidden/>
              </w:rPr>
              <w:tab/>
            </w:r>
            <w:r>
              <w:rPr>
                <w:noProof/>
                <w:webHidden/>
              </w:rPr>
              <w:fldChar w:fldCharType="begin"/>
            </w:r>
            <w:r>
              <w:rPr>
                <w:noProof/>
                <w:webHidden/>
              </w:rPr>
              <w:instrText xml:space="preserve"> PAGEREF _Toc463466461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62" w:history="1">
            <w:r>
              <w:rPr>
                <w:rStyle w:val="Hyperlink"/>
                <w:rFonts w:eastAsia="Calibri"/>
                <w:noProof/>
              </w:rPr>
              <w:t xml:space="preserve">4.3 </w:t>
            </w:r>
            <w:r>
              <w:rPr>
                <w:rFonts w:asciiTheme="minorHAnsi" w:eastAsiaTheme="minorEastAsia" w:hAnsiTheme="minorHAnsi" w:cstheme="minorBidi"/>
                <w:smallCaps w:val="0"/>
                <w:noProof/>
                <w:sz w:val="24"/>
                <w:szCs w:val="24"/>
                <w:lang w:val="fr-FR" w:eastAsia="fr-FR"/>
              </w:rPr>
              <w:tab/>
            </w:r>
            <w:r>
              <w:rPr>
                <w:rStyle w:val="Hyperlink"/>
                <w:rFonts w:eastAsia="Calibri"/>
                <w:noProof/>
              </w:rPr>
              <w:t>Gross reductions in their annual GNI-bassed contributions for Denmark, the Netherlands, Sweden and Austria</w:t>
            </w:r>
            <w:r>
              <w:rPr>
                <w:noProof/>
                <w:webHidden/>
              </w:rPr>
              <w:tab/>
            </w:r>
            <w:r>
              <w:rPr>
                <w:noProof/>
                <w:webHidden/>
              </w:rPr>
              <w:fldChar w:fldCharType="begin"/>
            </w:r>
            <w:r>
              <w:rPr>
                <w:noProof/>
                <w:webHidden/>
              </w:rPr>
              <w:instrText xml:space="preserve"> PAGEREF _Toc463466462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63" w:history="1">
            <w:r>
              <w:rPr>
                <w:rStyle w:val="Hyperlink"/>
                <w:rFonts w:eastAsia="Calibri"/>
                <w:noProof/>
              </w:rPr>
              <w:t xml:space="preserve">4.4 </w:t>
            </w:r>
            <w:r>
              <w:rPr>
                <w:rFonts w:asciiTheme="minorHAnsi" w:eastAsiaTheme="minorEastAsia" w:hAnsiTheme="minorHAnsi" w:cstheme="minorBidi"/>
                <w:smallCaps w:val="0"/>
                <w:noProof/>
                <w:sz w:val="24"/>
                <w:szCs w:val="24"/>
                <w:lang w:val="fr-FR" w:eastAsia="fr-FR"/>
              </w:rPr>
              <w:tab/>
            </w:r>
            <w:r>
              <w:rPr>
                <w:rStyle w:val="Hyperlink"/>
                <w:rFonts w:eastAsia="Calibri"/>
                <w:noProof/>
              </w:rPr>
              <w:t>Calculation of the correction mechanism in favour of the United Kingdom (UK correction)</w:t>
            </w:r>
            <w:r>
              <w:rPr>
                <w:noProof/>
                <w:webHidden/>
              </w:rPr>
              <w:tab/>
            </w:r>
            <w:r>
              <w:rPr>
                <w:noProof/>
                <w:webHidden/>
              </w:rPr>
              <w:fldChar w:fldCharType="begin"/>
            </w:r>
            <w:r>
              <w:rPr>
                <w:noProof/>
                <w:webHidden/>
              </w:rPr>
              <w:instrText xml:space="preserve"> PAGEREF _Toc463466463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64" w:history="1">
            <w:r>
              <w:rPr>
                <w:rStyle w:val="Hyperlink"/>
                <w:rFonts w:eastAsia="Calibri"/>
                <w:noProof/>
              </w:rPr>
              <w:t xml:space="preserve">4.5 </w:t>
            </w:r>
            <w:r>
              <w:rPr>
                <w:rFonts w:asciiTheme="minorHAnsi" w:eastAsiaTheme="minorEastAsia" w:hAnsiTheme="minorHAnsi" w:cstheme="minorBidi"/>
                <w:smallCaps w:val="0"/>
                <w:noProof/>
                <w:sz w:val="24"/>
                <w:szCs w:val="24"/>
                <w:lang w:val="fr-FR" w:eastAsia="fr-FR"/>
              </w:rPr>
              <w:tab/>
            </w:r>
            <w:r>
              <w:rPr>
                <w:rStyle w:val="Hyperlink"/>
                <w:rFonts w:eastAsia="Calibri"/>
                <w:noProof/>
              </w:rPr>
              <w:t>Impact on the GNI-based own resource contribution for 2016</w:t>
            </w:r>
            <w:r>
              <w:rPr>
                <w:noProof/>
                <w:webHidden/>
              </w:rPr>
              <w:tab/>
            </w:r>
            <w:r>
              <w:rPr>
                <w:noProof/>
                <w:webHidden/>
              </w:rPr>
              <w:fldChar w:fldCharType="begin"/>
            </w:r>
            <w:r>
              <w:rPr>
                <w:noProof/>
                <w:webHidden/>
              </w:rPr>
              <w:instrText xml:space="preserve"> PAGEREF _Toc463466464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65" w:history="1">
            <w:r>
              <w:rPr>
                <w:rStyle w:val="Hyperlink"/>
                <w:rFonts w:eastAsia="Calibri"/>
                <w:noProof/>
              </w:rPr>
              <w:t xml:space="preserve">4.6 </w:t>
            </w:r>
            <w:r>
              <w:rPr>
                <w:rFonts w:asciiTheme="minorHAnsi" w:eastAsiaTheme="minorEastAsia" w:hAnsiTheme="minorHAnsi" w:cstheme="minorBidi"/>
                <w:smallCaps w:val="0"/>
                <w:noProof/>
                <w:sz w:val="24"/>
                <w:szCs w:val="24"/>
                <w:lang w:val="fr-FR" w:eastAsia="fr-FR"/>
              </w:rPr>
              <w:tab/>
            </w:r>
            <w:r>
              <w:rPr>
                <w:rStyle w:val="Hyperlink"/>
                <w:rFonts w:eastAsia="Calibri"/>
                <w:noProof/>
              </w:rPr>
              <w:t>Summary of the financial impact from the implementation of the ORD 2014 for the year 2016</w:t>
            </w:r>
            <w:r>
              <w:rPr>
                <w:noProof/>
                <w:webHidden/>
              </w:rPr>
              <w:tab/>
            </w:r>
            <w:r>
              <w:rPr>
                <w:noProof/>
                <w:webHidden/>
              </w:rPr>
              <w:fldChar w:fldCharType="begin"/>
            </w:r>
            <w:r>
              <w:rPr>
                <w:noProof/>
                <w:webHidden/>
              </w:rPr>
              <w:instrText xml:space="preserve"> PAGEREF _Toc463466465 \h </w:instrText>
            </w:r>
            <w:r>
              <w:rPr>
                <w:noProof/>
                <w:webHidden/>
              </w:rPr>
            </w:r>
            <w:r>
              <w:rPr>
                <w:noProof/>
                <w:webHidden/>
              </w:rPr>
              <w:fldChar w:fldCharType="separate"/>
            </w:r>
            <w:r>
              <w:rPr>
                <w:noProof/>
                <w:webHidden/>
              </w:rPr>
              <w:t>28</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4"/>
              <w:szCs w:val="24"/>
              <w:lang w:val="fr-FR" w:eastAsia="fr-FR"/>
            </w:rPr>
          </w:pPr>
          <w:hyperlink w:anchor="_Toc463466466" w:history="1">
            <w:r>
              <w:rPr>
                <w:rStyle w:val="Hyperlink"/>
                <w:noProof/>
              </w:rPr>
              <w:t xml:space="preserve">5. </w:t>
            </w:r>
            <w:r>
              <w:rPr>
                <w:rFonts w:asciiTheme="minorHAnsi" w:eastAsiaTheme="minorEastAsia" w:hAnsiTheme="minorHAnsi" w:cstheme="minorBidi"/>
                <w:b w:val="0"/>
                <w:bCs w:val="0"/>
                <w:caps w:val="0"/>
                <w:noProof/>
                <w:sz w:val="24"/>
                <w:szCs w:val="24"/>
                <w:lang w:val="fr-FR" w:eastAsia="fr-FR"/>
              </w:rPr>
              <w:tab/>
            </w:r>
            <w:r>
              <w:rPr>
                <w:rStyle w:val="Hyperlink"/>
                <w:noProof/>
              </w:rPr>
              <w:t>Other amendments related to the implementation of ORD 2014</w:t>
            </w:r>
            <w:r>
              <w:rPr>
                <w:noProof/>
                <w:webHidden/>
              </w:rPr>
              <w:tab/>
            </w:r>
            <w:r>
              <w:rPr>
                <w:noProof/>
                <w:webHidden/>
              </w:rPr>
              <w:fldChar w:fldCharType="begin"/>
            </w:r>
            <w:r>
              <w:rPr>
                <w:noProof/>
                <w:webHidden/>
              </w:rPr>
              <w:instrText xml:space="preserve"> PAGEREF _Toc463466466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67" w:history="1">
            <w:r>
              <w:rPr>
                <w:rStyle w:val="Hyperlink"/>
                <w:rFonts w:eastAsia="Calibri"/>
                <w:noProof/>
              </w:rPr>
              <w:t xml:space="preserve">5.1 </w:t>
            </w:r>
            <w:r>
              <w:rPr>
                <w:rFonts w:asciiTheme="minorHAnsi" w:eastAsiaTheme="minorEastAsia" w:hAnsiTheme="minorHAnsi" w:cstheme="minorBidi"/>
                <w:smallCaps w:val="0"/>
                <w:noProof/>
                <w:sz w:val="24"/>
                <w:szCs w:val="24"/>
                <w:lang w:val="fr-FR" w:eastAsia="fr-FR"/>
              </w:rPr>
              <w:tab/>
            </w:r>
            <w:r>
              <w:rPr>
                <w:rStyle w:val="Hyperlink"/>
                <w:rFonts w:eastAsia="Calibri"/>
                <w:noProof/>
              </w:rPr>
              <w:t>Adjustement of the collection costs for Traditional Own Resources for the year 2016</w:t>
            </w:r>
            <w:r>
              <w:rPr>
                <w:noProof/>
                <w:webHidden/>
              </w:rPr>
              <w:tab/>
            </w:r>
            <w:r>
              <w:rPr>
                <w:noProof/>
                <w:webHidden/>
              </w:rPr>
              <w:fldChar w:fldCharType="begin"/>
            </w:r>
            <w:r>
              <w:rPr>
                <w:noProof/>
                <w:webHidden/>
              </w:rPr>
              <w:instrText xml:space="preserve"> PAGEREF _Toc463466467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smallCaps w:val="0"/>
              <w:noProof/>
              <w:sz w:val="24"/>
              <w:szCs w:val="24"/>
              <w:lang w:val="fr-FR" w:eastAsia="fr-FR"/>
            </w:rPr>
          </w:pPr>
          <w:hyperlink w:anchor="_Toc463466468" w:history="1">
            <w:r>
              <w:rPr>
                <w:rStyle w:val="Hyperlink"/>
                <w:rFonts w:eastAsia="Calibri"/>
                <w:noProof/>
              </w:rPr>
              <w:t xml:space="preserve">5.2 </w:t>
            </w:r>
            <w:r>
              <w:rPr>
                <w:rFonts w:asciiTheme="minorHAnsi" w:eastAsiaTheme="minorEastAsia" w:hAnsiTheme="minorHAnsi" w:cstheme="minorBidi"/>
                <w:smallCaps w:val="0"/>
                <w:noProof/>
                <w:sz w:val="24"/>
                <w:szCs w:val="24"/>
                <w:lang w:val="fr-FR" w:eastAsia="fr-FR"/>
              </w:rPr>
              <w:tab/>
            </w:r>
            <w:r>
              <w:rPr>
                <w:rStyle w:val="Hyperlink"/>
                <w:rFonts w:eastAsia="Calibri"/>
                <w:noProof/>
              </w:rPr>
              <w:t>Technical amendments related to the implementation of ORD 2014</w:t>
            </w:r>
            <w:r>
              <w:rPr>
                <w:noProof/>
                <w:webHidden/>
              </w:rPr>
              <w:tab/>
            </w:r>
            <w:r>
              <w:rPr>
                <w:noProof/>
                <w:webHidden/>
              </w:rPr>
              <w:fldChar w:fldCharType="begin"/>
            </w:r>
            <w:r>
              <w:rPr>
                <w:noProof/>
                <w:webHidden/>
              </w:rPr>
              <w:instrText xml:space="preserve"> PAGEREF _Toc463466468 \h </w:instrText>
            </w:r>
            <w:r>
              <w:rPr>
                <w:noProof/>
                <w:webHidden/>
              </w:rPr>
            </w:r>
            <w:r>
              <w:rPr>
                <w:noProof/>
                <w:webHidden/>
              </w:rPr>
              <w:fldChar w:fldCharType="separate"/>
            </w:r>
            <w:r>
              <w:rPr>
                <w:noProof/>
                <w:webHidden/>
              </w:rPr>
              <w:t>31</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4"/>
              <w:szCs w:val="24"/>
              <w:lang w:val="fr-FR" w:eastAsia="fr-FR"/>
            </w:rPr>
          </w:pPr>
          <w:hyperlink w:anchor="_Toc463466469" w:history="1">
            <w:r>
              <w:rPr>
                <w:rStyle w:val="Hyperlink"/>
                <w:noProof/>
              </w:rPr>
              <w:t xml:space="preserve">6. </w:t>
            </w:r>
            <w:r>
              <w:rPr>
                <w:rFonts w:asciiTheme="minorHAnsi" w:eastAsiaTheme="minorEastAsia" w:hAnsiTheme="minorHAnsi" w:cstheme="minorBidi"/>
                <w:b w:val="0"/>
                <w:bCs w:val="0"/>
                <w:caps w:val="0"/>
                <w:noProof/>
                <w:sz w:val="24"/>
                <w:szCs w:val="24"/>
                <w:lang w:val="fr-FR" w:eastAsia="fr-FR"/>
              </w:rPr>
              <w:tab/>
            </w:r>
            <w:r>
              <w:rPr>
                <w:rStyle w:val="Hyperlink"/>
                <w:noProof/>
              </w:rPr>
              <w:t>Summary of the financing of the general budget</w:t>
            </w:r>
            <w:r>
              <w:rPr>
                <w:noProof/>
                <w:webHidden/>
              </w:rPr>
              <w:tab/>
            </w:r>
            <w:r>
              <w:rPr>
                <w:noProof/>
                <w:webHidden/>
              </w:rPr>
              <w:fldChar w:fldCharType="begin"/>
            </w:r>
            <w:r>
              <w:rPr>
                <w:noProof/>
                <w:webHidden/>
              </w:rPr>
              <w:instrText xml:space="preserve"> PAGEREF _Toc463466469 \h </w:instrText>
            </w:r>
            <w:r>
              <w:rPr>
                <w:noProof/>
                <w:webHidden/>
              </w:rPr>
            </w:r>
            <w:r>
              <w:rPr>
                <w:noProof/>
                <w:webHidden/>
              </w:rPr>
              <w:fldChar w:fldCharType="separate"/>
            </w:r>
            <w:r>
              <w:rPr>
                <w:noProof/>
                <w:webHidden/>
              </w:rPr>
              <w:t>31</w:t>
            </w:r>
            <w:r>
              <w:rPr>
                <w:noProof/>
                <w:webHidden/>
              </w:rPr>
              <w:fldChar w:fldCharType="end"/>
            </w:r>
          </w:hyperlink>
        </w:p>
        <w:p>
          <w:pPr>
            <w:rPr>
              <w:noProof/>
            </w:rPr>
          </w:pPr>
          <w:r>
            <w:rPr>
              <w:b/>
              <w:bCs/>
              <w:noProof/>
            </w:rPr>
            <w:fldChar w:fldCharType="end"/>
          </w:r>
        </w:p>
      </w:sdtContent>
    </w:sdt>
    <w:p>
      <w:pPr>
        <w:rPr>
          <w:noProof/>
        </w:rPr>
      </w:pPr>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pPr>
      <w:bookmarkStart w:id="8" w:name="_Toc385506031"/>
      <w:bookmarkStart w:id="9" w:name="_Toc430865946"/>
      <w:bookmarkStart w:id="10" w:name="_Toc430867524"/>
      <w:bookmarkStart w:id="11" w:name="_Toc463466444"/>
      <w:bookmarkStart w:id="12" w:name="_Toc351469332"/>
      <w:bookmarkStart w:id="13" w:name="_Toc361649879"/>
      <w:r>
        <w:t>1.</w:t>
      </w:r>
      <w:r>
        <w:tab/>
        <w:t>Introduction</w:t>
      </w:r>
      <w:bookmarkEnd w:id="8"/>
      <w:bookmarkEnd w:id="9"/>
      <w:bookmarkEnd w:id="10"/>
      <w:bookmarkEnd w:id="11"/>
    </w:p>
    <w:p>
      <w:pPr>
        <w:spacing w:before="120" w:after="120"/>
        <w:jc w:val="both"/>
        <w:rPr>
          <w:rFonts w:eastAsia="Calibri"/>
          <w:noProof/>
          <w:lang w:eastAsia="en-US"/>
        </w:rPr>
      </w:pPr>
      <w:bookmarkStart w:id="14" w:name="_Toc430865947"/>
      <w:bookmarkStart w:id="15" w:name="_Toc430867525"/>
      <w:r>
        <w:rPr>
          <w:rFonts w:eastAsia="Calibri"/>
          <w:noProof/>
          <w:lang w:eastAsia="en-US"/>
        </w:rPr>
        <w:t>This Draft Amending Budget No 5 to the Budget for 2016 (DAB 5/2016) covers the implementation of the new Own Resources Decision No 2014/335/EU, Euratom (hereafter, ORD 2014), following the completion of the ratification process and the entry into force of ORD 2014 on 1 October 2016.</w:t>
      </w:r>
    </w:p>
    <w:p>
      <w:pPr>
        <w:spacing w:before="120" w:after="120"/>
        <w:jc w:val="both"/>
        <w:rPr>
          <w:rFonts w:eastAsia="Calibri"/>
          <w:noProof/>
          <w:lang w:eastAsia="en-US"/>
        </w:rPr>
      </w:pPr>
      <w:r>
        <w:rPr>
          <w:rFonts w:eastAsia="Calibri"/>
          <w:noProof/>
          <w:lang w:eastAsia="en-US"/>
        </w:rPr>
        <w:t>DAB 5/2016 takes into account the retroactive effect of ORD 2014 from 1 January 2014 onwards and therefore includes the adjustments for the financial years 2014, 2015 and 2016 related to the new provisions introduced by ORD 2014.</w:t>
      </w:r>
    </w:p>
    <w:p>
      <w:pPr>
        <w:pStyle w:val="ManualHeading1"/>
      </w:pPr>
      <w:bookmarkStart w:id="16" w:name="_Toc463466445"/>
      <w:r>
        <w:t xml:space="preserve">2. </w:t>
      </w:r>
      <w:r>
        <w:tab/>
        <w:t>Budgetary year 2014: retroactive impact of ord 2014</w:t>
      </w:r>
      <w:bookmarkEnd w:id="16"/>
    </w:p>
    <w:p>
      <w:pPr>
        <w:spacing w:before="120" w:after="120"/>
        <w:jc w:val="both"/>
        <w:rPr>
          <w:rFonts w:eastAsia="Calibri"/>
          <w:noProof/>
          <w:lang w:eastAsia="en-US"/>
        </w:rPr>
      </w:pPr>
      <w:r>
        <w:rPr>
          <w:rFonts w:eastAsia="Calibri"/>
          <w:noProof/>
          <w:lang w:eastAsia="en-US"/>
        </w:rPr>
        <w:t xml:space="preserve">The retroactive impact is calculated by comparing the amounts that Member States should have made available for the year 2014 according to the ORD 2014 and the amounts that have already been made available for that year based on the Own Resources Decision No 2007/436/EC, Euratom (hereafter, ORD 2007). Therefore, the calculation of the retroactive effect is based on the latest available real data for each type of own resource. </w:t>
      </w:r>
    </w:p>
    <w:p>
      <w:pPr>
        <w:pStyle w:val="ManualHeading2"/>
        <w:spacing w:before="360"/>
        <w:rPr>
          <w:rFonts w:eastAsia="Calibri"/>
          <w:noProof/>
        </w:rPr>
      </w:pPr>
      <w:bookmarkStart w:id="17" w:name="_Toc463466446"/>
      <w:r>
        <w:rPr>
          <w:rFonts w:eastAsia="Calibri"/>
          <w:noProof/>
        </w:rPr>
        <w:t xml:space="preserve">2.1 </w:t>
      </w:r>
      <w:r>
        <w:rPr>
          <w:rFonts w:eastAsia="Calibri"/>
          <w:noProof/>
        </w:rPr>
        <w:tab/>
        <w:t>Decrease in collection costs of Traditional Own Resources (TOR)</w:t>
      </w:r>
      <w:bookmarkEnd w:id="17"/>
    </w:p>
    <w:p>
      <w:pPr>
        <w:spacing w:after="200"/>
        <w:jc w:val="both"/>
        <w:rPr>
          <w:rFonts w:eastAsiaTheme="minorHAnsi"/>
          <w:noProof/>
          <w:lang w:eastAsia="en-US"/>
        </w:rPr>
      </w:pPr>
      <w:bookmarkStart w:id="18" w:name="_Toc461100993"/>
      <w:bookmarkEnd w:id="2"/>
      <w:bookmarkEnd w:id="3"/>
      <w:bookmarkEnd w:id="4"/>
      <w:bookmarkEnd w:id="5"/>
      <w:bookmarkEnd w:id="6"/>
      <w:bookmarkEnd w:id="7"/>
      <w:bookmarkEnd w:id="12"/>
      <w:bookmarkEnd w:id="13"/>
      <w:bookmarkEnd w:id="14"/>
      <w:bookmarkEnd w:id="15"/>
      <w:bookmarkEnd w:id="18"/>
      <w:r>
        <w:rPr>
          <w:rFonts w:eastAsiaTheme="minorHAnsi"/>
          <w:noProof/>
          <w:lang w:eastAsia="en-US"/>
        </w:rPr>
        <w:t xml:space="preserve">ORD 2014 decreases the collection costs for Traditional Own Resources (TOR) from 25 % to 20 % for amounts that should have been made available by Member States after 1 March 2014. The TOR figures included in Amending Budget (AB) No 7/2014 were forecasts. However during that year Member States have made available the actual collected amounts. Therefore, the calculation of the retroactive impact is based on the actual collected TOR. </w:t>
      </w:r>
    </w:p>
    <w:p>
      <w:pPr>
        <w:spacing w:after="200"/>
        <w:rPr>
          <w:rFonts w:eastAsiaTheme="minorHAnsi"/>
          <w:noProof/>
          <w:lang w:eastAsia="en-US"/>
        </w:rPr>
      </w:pPr>
      <w:r>
        <w:rPr>
          <w:rFonts w:eastAsiaTheme="minorHAnsi"/>
          <w:noProof/>
          <w:lang w:eastAsia="en-US"/>
        </w:rPr>
        <w:t>The following table provides an overview of the impact of the decreased collection costs:</w:t>
      </w:r>
    </w:p>
    <w:p>
      <w:pPr>
        <w:jc w:val="center"/>
        <w:rPr>
          <w:rFonts w:eastAsiaTheme="minorHAnsi"/>
          <w:noProof/>
          <w:sz w:val="18"/>
          <w:szCs w:val="18"/>
          <w:lang w:eastAsia="en-US"/>
        </w:rPr>
      </w:pPr>
      <w:r>
        <w:rPr>
          <w:rFonts w:eastAsiaTheme="minorHAnsi"/>
          <w:noProof/>
          <w:sz w:val="18"/>
          <w:szCs w:val="18"/>
          <w:lang w:eastAsia="en-US"/>
        </w:rPr>
        <w:t>Budgetary year 2014 (in EUR)</w:t>
      </w:r>
    </w:p>
    <w:tbl>
      <w:tblPr>
        <w:tblW w:w="9057" w:type="dxa"/>
        <w:jc w:val="center"/>
        <w:tblLook w:val="04A0" w:firstRow="1" w:lastRow="0" w:firstColumn="1" w:lastColumn="0" w:noHBand="0" w:noVBand="1"/>
      </w:tblPr>
      <w:tblGrid>
        <w:gridCol w:w="1665"/>
        <w:gridCol w:w="1435"/>
        <w:gridCol w:w="1435"/>
        <w:gridCol w:w="1435"/>
        <w:gridCol w:w="1435"/>
        <w:gridCol w:w="1652"/>
      </w:tblGrid>
      <w:tr>
        <w:trPr>
          <w:trHeight w:val="263"/>
          <w:tblHeader/>
          <w:jc w:val="center"/>
        </w:trPr>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Actual amount of sugar levies collected at 25%</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Actual amount of custom duties collected at 25%</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Actual amount of sugar levies collected at 20%</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Actual amount of custom duties collected at 20%</w:t>
            </w:r>
          </w:p>
        </w:tc>
        <w:tc>
          <w:tcPr>
            <w:tcW w:w="1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Difference in collection costs </w:t>
            </w:r>
          </w:p>
        </w:tc>
      </w:tr>
      <w:tr>
        <w:trPr>
          <w:trHeight w:val="207"/>
          <w:tblHeade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43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43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43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43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652"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55"/>
          <w:tblHeade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435"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435"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435"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w:t>
            </w:r>
          </w:p>
        </w:tc>
        <w:tc>
          <w:tcPr>
            <w:tcW w:w="1435"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(4)</w:t>
            </w:r>
          </w:p>
        </w:tc>
        <w:tc>
          <w:tcPr>
            <w:tcW w:w="1652"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(5) = (3+4) - (1+2)</w:t>
            </w:r>
          </w:p>
        </w:tc>
      </w:tr>
      <w:tr>
        <w:trPr>
          <w:trHeight w:val="285"/>
          <w:jc w:val="center"/>
        </w:trPr>
        <w:tc>
          <w:tcPr>
            <w:tcW w:w="1665" w:type="dxa"/>
            <w:tcBorders>
              <w:top w:val="single" w:sz="4" w:space="0" w:color="auto"/>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- 6 723 048</w:t>
            </w:r>
          </w:p>
        </w:tc>
        <w:tc>
          <w:tcPr>
            <w:tcW w:w="143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1 579 252 098</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- 6 277 390</w:t>
            </w:r>
          </w:p>
        </w:tc>
        <w:tc>
          <w:tcPr>
            <w:tcW w:w="143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1 668 546 854</w:t>
            </w:r>
          </w:p>
        </w:tc>
        <w:tc>
          <w:tcPr>
            <w:tcW w:w="1652"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89 740 414</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401 390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56 299 282</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428 150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59 501 482</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3 228 960</w:t>
            </w:r>
          </w:p>
        </w:tc>
      </w:tr>
      <w:tr>
        <w:trPr>
          <w:trHeight w:val="32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2 530 805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196 017 383</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2 740 585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207 389 254</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11 581 651</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- 3 347 222</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297 351 694</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- 3 008 015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314 515 261</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17 502 774</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- 39 970 025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3 367 018 994</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- 38 212 955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3 558 017 137</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192 755 213</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22 157 722</w:t>
            </w:r>
          </w:p>
        </w:tc>
        <w:tc>
          <w:tcPr>
            <w:tcW w:w="143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23 425 270</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1 267 548</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- 1 629 766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227 194 979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- 1 629 765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240 221 650</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13 026 672</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1 428 317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121 801 766</w:t>
            </w:r>
          </w:p>
        </w:tc>
        <w:tc>
          <w:tcPr>
            <w:tcW w:w="1435" w:type="dxa"/>
            <w:tcBorders>
              <w:top w:val="nil"/>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1 523 539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128 904 377</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7 197 833</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1 624 096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1 131 277 340</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1 939 328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1 196 197 853</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65 235 745</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- 31 048 766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1 425 142 160</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- 28 629 018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1 506 319 176</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83 596 764</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1 733 344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40 825 559</w:t>
            </w:r>
          </w:p>
        </w:tc>
        <w:tc>
          <w:tcPr>
            <w:tcW w:w="143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1 848 900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43 298 880</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2 588 877</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- 1 250 884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1 521 698 520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972 677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1 610 030 721</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88 610 408</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17 833 312</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18 833 122</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999 810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37 347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25 916 142</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37 347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27 390 416</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1 474 274</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759 777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63 542 514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813 928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67 065 620</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3 577 257</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14 026 782</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14 821 472</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794 690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2 082 729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107 240 633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2 221 579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113 429 983</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6 328 200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10 453 494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11 056 764</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603 270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- 8 688 846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1 990 418 279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- 8 201 468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2 103 264 618</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113 333 717</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- 3 248 958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181 825 082</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- 3 038 341</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192 279 287</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10 664 822</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9 134 964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421 544 723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10 006 542</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445 809 300</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25 136 155</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495 781</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111 464 267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492 030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117 920 812</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6 460 296</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754 416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104 072 380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804 711</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110 050 525</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6 028 440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4 160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58 214 760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4 159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61 580 135</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3 365 376</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317 655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94 783 822</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405 475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100 180 169</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5 484 167</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595 328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127 444 447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546 730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134 818 073</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7 422 224</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5 811 454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472 337 853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5 983 363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498 598 164</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26 432 220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1 469 218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2 640 541 000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2 104 888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2 788 389 550</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148 484 220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- 68 991 966</w:t>
            </w:r>
          </w:p>
        </w:tc>
        <w:tc>
          <w:tcPr>
            <w:tcW w:w="143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16 427 696 987</w:t>
            </w:r>
          </w:p>
        </w:tc>
        <w:tc>
          <w:tcPr>
            <w:tcW w:w="143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- 60 228 907</w:t>
            </w:r>
          </w:p>
        </w:tc>
        <w:tc>
          <w:tcPr>
            <w:tcW w:w="143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17 361 855 925</w:t>
            </w:r>
          </w:p>
        </w:tc>
        <w:tc>
          <w:tcPr>
            <w:tcW w:w="1652"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xml:space="preserve"> 942 921 997</w:t>
            </w:r>
          </w:p>
        </w:tc>
      </w:tr>
    </w:tbl>
    <w:p>
      <w:pPr>
        <w:pStyle w:val="ManualHeading2"/>
        <w:spacing w:before="360"/>
        <w:rPr>
          <w:rFonts w:eastAsia="Calibri"/>
          <w:noProof/>
        </w:rPr>
      </w:pPr>
      <w:bookmarkStart w:id="19" w:name="_Toc463466447"/>
      <w:r>
        <w:rPr>
          <w:rFonts w:eastAsia="Calibri"/>
          <w:noProof/>
        </w:rPr>
        <w:t xml:space="preserve">2.2 </w:t>
      </w:r>
      <w:r>
        <w:rPr>
          <w:rFonts w:eastAsia="Calibri"/>
          <w:noProof/>
        </w:rPr>
        <w:tab/>
        <w:t>Rate of call of the VAT-based resource</w:t>
      </w:r>
      <w:bookmarkEnd w:id="19"/>
    </w:p>
    <w:p>
      <w:pPr>
        <w:spacing w:after="200"/>
        <w:jc w:val="both"/>
        <w:rPr>
          <w:rFonts w:eastAsiaTheme="minorHAnsi"/>
          <w:noProof/>
          <w:lang w:eastAsia="en-US"/>
        </w:rPr>
      </w:pPr>
      <w:r>
        <w:rPr>
          <w:rFonts w:eastAsiaTheme="minorHAnsi"/>
          <w:noProof/>
          <w:lang w:eastAsia="en-US"/>
        </w:rPr>
        <w:t>ORD 2007 provided for the application of a uniform rate of 0.30 % valid for all Member States to the harmonised Value Added Tax (VAT) assessment bases determined according to Union rules. Some Member States benefitted from reduced rates, but only applicable for the period 2007 to 2013.</w:t>
      </w:r>
    </w:p>
    <w:p>
      <w:pPr>
        <w:spacing w:after="200"/>
        <w:jc w:val="both"/>
        <w:rPr>
          <w:rFonts w:eastAsiaTheme="minorHAnsi"/>
          <w:noProof/>
          <w:lang w:eastAsia="en-US"/>
        </w:rPr>
      </w:pPr>
      <w:r>
        <w:rPr>
          <w:rFonts w:eastAsiaTheme="minorHAnsi"/>
          <w:noProof/>
          <w:lang w:eastAsia="en-US"/>
        </w:rPr>
        <w:t>According to ORD 2014, the uniform rate of call of the VAT based resource is fixed at 0.30 % from 1 January 2014. However, for the period 2014-2020, the rate of call of the VAT based own resource for Germany, the Netherlands and Sweden has been fixed at 0.15 %.</w:t>
      </w:r>
    </w:p>
    <w:p>
      <w:pPr>
        <w:spacing w:after="200"/>
        <w:jc w:val="both"/>
        <w:rPr>
          <w:rFonts w:eastAsiaTheme="minorHAnsi"/>
          <w:noProof/>
          <w:lang w:eastAsia="en-US"/>
        </w:rPr>
      </w:pPr>
      <w:r>
        <w:rPr>
          <w:rFonts w:eastAsiaTheme="minorHAnsi"/>
          <w:noProof/>
          <w:lang w:eastAsia="en-US"/>
        </w:rPr>
        <w:t>The impact of the new ORD has been calculated based on the final budget 2014 (AB 7/2014) updated with the latest available data for the VAT base. These data correspond to the 2014 amounts taken into account for the yearly VAT balances calculated in autumn 2015 and made available on 1 December 2015.</w:t>
      </w:r>
    </w:p>
    <w:p>
      <w:pPr>
        <w:spacing w:after="200"/>
        <w:jc w:val="both"/>
        <w:rPr>
          <w:rFonts w:eastAsiaTheme="minorHAnsi"/>
          <w:noProof/>
          <w:lang w:eastAsia="en-US"/>
        </w:rPr>
      </w:pPr>
      <w:r>
        <w:rPr>
          <w:rFonts w:eastAsiaTheme="minorHAnsi"/>
          <w:noProof/>
          <w:lang w:eastAsia="en-US"/>
        </w:rPr>
        <w:t>The revised VAT based own resource contributions taking into account the new rates and the real VAT bases are set out in the following table:</w:t>
      </w:r>
    </w:p>
    <w:p>
      <w:pPr>
        <w:jc w:val="center"/>
        <w:rPr>
          <w:rFonts w:eastAsiaTheme="minorHAnsi"/>
          <w:noProof/>
          <w:sz w:val="18"/>
          <w:szCs w:val="18"/>
          <w:lang w:eastAsia="en-US"/>
        </w:rPr>
      </w:pPr>
      <w:r>
        <w:rPr>
          <w:rFonts w:eastAsiaTheme="minorHAnsi"/>
          <w:noProof/>
          <w:sz w:val="18"/>
          <w:szCs w:val="18"/>
          <w:lang w:eastAsia="en-US"/>
        </w:rPr>
        <w:t>Budgetary year 2014 (in EUR)</w:t>
      </w:r>
    </w:p>
    <w:tbl>
      <w:tblPr>
        <w:tblW w:w="9802" w:type="dxa"/>
        <w:jc w:val="center"/>
        <w:tblLook w:val="04A0" w:firstRow="1" w:lastRow="0" w:firstColumn="1" w:lastColumn="0" w:noHBand="0" w:noVBand="1"/>
      </w:tblPr>
      <w:tblGrid>
        <w:gridCol w:w="1560"/>
        <w:gridCol w:w="1522"/>
        <w:gridCol w:w="1560"/>
        <w:gridCol w:w="1567"/>
        <w:gridCol w:w="1567"/>
        <w:gridCol w:w="2026"/>
      </w:tblGrid>
      <w:tr>
        <w:trPr>
          <w:trHeight w:val="939"/>
          <w:tblHeader/>
          <w:jc w:val="center"/>
        </w:trPr>
        <w:tc>
          <w:tcPr>
            <w:tcW w:w="1560" w:type="dxa"/>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522"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1% of capped VAT base used for VAT balances                (as in updated AB 7/2014)</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1% of capped VAT base used for VAT balances                (capping GNI ESA 2010)</w:t>
            </w:r>
          </w:p>
        </w:tc>
        <w:tc>
          <w:tcPr>
            <w:tcW w:w="1567"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rFonts w:eastAsiaTheme="minorHAnsi"/>
                <w:noProof/>
                <w:sz w:val="18"/>
                <w:szCs w:val="18"/>
                <w:lang w:eastAsia="en-US"/>
              </w:rPr>
              <w:t>Uniform rate of VAT-based own resource (in %) according to ORD 2007</w:t>
            </w:r>
          </w:p>
        </w:tc>
        <w:tc>
          <w:tcPr>
            <w:tcW w:w="1567"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rFonts w:eastAsiaTheme="minorHAnsi"/>
                <w:noProof/>
                <w:sz w:val="18"/>
                <w:szCs w:val="18"/>
                <w:lang w:eastAsia="en-US"/>
              </w:rPr>
              <w:t>Uniform rate of VAT-based own resource (in %) according to ORD 2014</w:t>
            </w:r>
          </w:p>
        </w:tc>
        <w:tc>
          <w:tcPr>
            <w:tcW w:w="2026"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rFonts w:eastAsiaTheme="minorHAnsi"/>
                <w:noProof/>
                <w:sz w:val="18"/>
                <w:szCs w:val="18"/>
                <w:lang w:eastAsia="en-US"/>
              </w:rPr>
              <w:t>Difference in the VAT-based own resource contributions according to ORD 2014</w:t>
            </w:r>
          </w:p>
        </w:tc>
      </w:tr>
      <w:tr>
        <w:trPr>
          <w:trHeight w:val="285"/>
          <w:tblHeader/>
          <w:jc w:val="center"/>
        </w:trPr>
        <w:tc>
          <w:tcPr>
            <w:tcW w:w="1560" w:type="dxa"/>
            <w:vMerge/>
            <w:tcBorders>
              <w:left w:val="single" w:sz="4" w:space="0" w:color="auto"/>
              <w:bottom w:val="single" w:sz="4" w:space="0" w:color="auto"/>
              <w:right w:val="single" w:sz="4" w:space="0" w:color="auto"/>
            </w:tcBorders>
            <w:shd w:val="clear" w:color="auto" w:fill="auto"/>
            <w:vAlign w:val="center"/>
          </w:tcPr>
          <w:p>
            <w:pPr>
              <w:jc w:val="both"/>
              <w:rPr>
                <w:noProof/>
                <w:sz w:val="18"/>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heme="minorHAnsi"/>
                <w:noProof/>
                <w:sz w:val="18"/>
                <w:szCs w:val="18"/>
                <w:lang w:eastAsia="en-US"/>
              </w:rPr>
            </w:pPr>
            <w:r>
              <w:rPr>
                <w:noProof/>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tcPr>
          <w:p>
            <w:pPr>
              <w:jc w:val="center"/>
              <w:rPr>
                <w:rFonts w:eastAsiaTheme="minorHAnsi"/>
                <w:noProof/>
                <w:sz w:val="18"/>
                <w:szCs w:val="18"/>
                <w:lang w:eastAsia="en-US"/>
              </w:rPr>
            </w:pPr>
            <w:r>
              <w:rPr>
                <w:noProof/>
                <w:sz w:val="18"/>
                <w:szCs w:val="18"/>
              </w:rPr>
              <w:t>(2)</w:t>
            </w:r>
          </w:p>
        </w:tc>
        <w:tc>
          <w:tcPr>
            <w:tcW w:w="1567" w:type="dxa"/>
            <w:tcBorders>
              <w:top w:val="single" w:sz="4" w:space="0" w:color="auto"/>
              <w:left w:val="nil"/>
              <w:bottom w:val="single" w:sz="4" w:space="0" w:color="auto"/>
              <w:right w:val="single" w:sz="4" w:space="0" w:color="auto"/>
            </w:tcBorders>
            <w:shd w:val="clear" w:color="auto" w:fill="auto"/>
            <w:vAlign w:val="center"/>
          </w:tcPr>
          <w:p>
            <w:pPr>
              <w:jc w:val="center"/>
              <w:rPr>
                <w:rFonts w:eastAsiaTheme="minorHAnsi"/>
                <w:noProof/>
                <w:sz w:val="18"/>
                <w:szCs w:val="18"/>
                <w:lang w:eastAsia="en-US"/>
              </w:rPr>
            </w:pPr>
            <w:r>
              <w:rPr>
                <w:noProof/>
                <w:sz w:val="18"/>
                <w:szCs w:val="18"/>
              </w:rPr>
              <w:t>(3)</w:t>
            </w:r>
          </w:p>
        </w:tc>
        <w:tc>
          <w:tcPr>
            <w:tcW w:w="1567" w:type="dxa"/>
            <w:tcBorders>
              <w:top w:val="single" w:sz="4" w:space="0" w:color="auto"/>
              <w:left w:val="nil"/>
              <w:bottom w:val="single" w:sz="4" w:space="0" w:color="auto"/>
              <w:right w:val="single" w:sz="4" w:space="0" w:color="auto"/>
            </w:tcBorders>
            <w:shd w:val="clear" w:color="auto" w:fill="auto"/>
            <w:vAlign w:val="center"/>
          </w:tcPr>
          <w:p>
            <w:pPr>
              <w:jc w:val="center"/>
              <w:rPr>
                <w:rFonts w:eastAsiaTheme="minorHAnsi"/>
                <w:noProof/>
                <w:sz w:val="18"/>
                <w:szCs w:val="18"/>
                <w:lang w:eastAsia="en-US"/>
              </w:rPr>
            </w:pPr>
            <w:r>
              <w:rPr>
                <w:noProof/>
                <w:sz w:val="18"/>
                <w:szCs w:val="18"/>
              </w:rPr>
              <w:t>(4)</w:t>
            </w:r>
          </w:p>
        </w:tc>
        <w:tc>
          <w:tcPr>
            <w:tcW w:w="2026" w:type="dxa"/>
            <w:tcBorders>
              <w:top w:val="single" w:sz="4" w:space="0" w:color="auto"/>
              <w:left w:val="nil"/>
              <w:bottom w:val="single" w:sz="4" w:space="0" w:color="auto"/>
              <w:right w:val="single" w:sz="4" w:space="0" w:color="auto"/>
            </w:tcBorders>
            <w:shd w:val="clear" w:color="auto" w:fill="auto"/>
            <w:vAlign w:val="center"/>
          </w:tcPr>
          <w:p>
            <w:pPr>
              <w:jc w:val="center"/>
              <w:rPr>
                <w:rFonts w:eastAsiaTheme="minorHAnsi"/>
                <w:noProof/>
                <w:color w:val="000000"/>
                <w:sz w:val="18"/>
                <w:szCs w:val="18"/>
                <w:lang w:eastAsia="en-US"/>
              </w:rPr>
            </w:pPr>
            <w:r>
              <w:rPr>
                <w:noProof/>
                <w:sz w:val="18"/>
                <w:szCs w:val="18"/>
              </w:rPr>
              <w:t>(5) = (2 x 4) - (1 x 3)</w:t>
            </w:r>
          </w:p>
        </w:tc>
      </w:tr>
      <w:tr>
        <w:trPr>
          <w:trHeight w:val="285"/>
          <w:jc w:val="center"/>
        </w:trPr>
        <w:tc>
          <w:tcPr>
            <w:tcW w:w="1560" w:type="dxa"/>
            <w:tcBorders>
              <w:top w:val="single" w:sz="4" w:space="0" w:color="auto"/>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1 693 253 418</w:t>
            </w:r>
          </w:p>
        </w:tc>
        <w:tc>
          <w:tcPr>
            <w:tcW w:w="1560"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1 693 253 418</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single" w:sz="4" w:space="0" w:color="auto"/>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188 037 390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188 037 390</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631 044 709</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631 044 709</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928 251 252</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928 251 252</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12 091 795 195</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12 091 795 195</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0.15</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-1 813 769 280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89 165 317</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89 165 317</w:t>
            </w:r>
          </w:p>
        </w:tc>
        <w:tc>
          <w:tcPr>
            <w:tcW w:w="1567" w:type="dxa"/>
            <w:tcBorders>
              <w:top w:val="single" w:sz="4" w:space="0" w:color="auto"/>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679 071 717</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679 071 717</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749 168 699</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749 168 699</w:t>
            </w:r>
          </w:p>
        </w:tc>
        <w:tc>
          <w:tcPr>
            <w:tcW w:w="1567" w:type="dxa"/>
            <w:tcBorders>
              <w:top w:val="nil"/>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4 481 813 662</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4 481 813 662</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9 478 025 064</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9 478 025 064</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207 275 290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208 890 710</w:t>
            </w:r>
          </w:p>
        </w:tc>
        <w:tc>
          <w:tcPr>
            <w:tcW w:w="1567" w:type="dxa"/>
            <w:tcBorders>
              <w:top w:val="single" w:sz="4" w:space="0" w:color="auto"/>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484 626</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5 940 917 875</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5 940 917 875</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83 345 000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84 295 000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285 000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91 329 224</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91 329 224</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138 288 224</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138 288 224</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162 980 000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163 635 000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196 500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416 974 673</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416 974 673</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37 640 000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37 895 000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76 500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2 656 743 680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2 656 743 680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0.15</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- 398 511 552</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1 483 426 403</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1 483 426 403</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1 780 664 720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1 780 664 720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813 195 627</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813 195 627</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490 877 328</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490 877 328</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178 572 494</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178 572 494</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253 201 506</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253 201 506</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900 400 416</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900 400 416</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1 893 924 712</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1 893 924 712</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0.15</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- 284 088 707</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9 944 090 143</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9 944 090 143</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58 483 473 738</w:t>
            </w:r>
          </w:p>
        </w:tc>
        <w:tc>
          <w:tcPr>
            <w:tcW w:w="1560"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58 486 949 158</w:t>
            </w:r>
          </w:p>
        </w:tc>
        <w:tc>
          <w:tcPr>
            <w:tcW w:w="1567"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w:t>
            </w:r>
          </w:p>
        </w:tc>
        <w:tc>
          <w:tcPr>
            <w:tcW w:w="1567"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w:t>
            </w:r>
          </w:p>
        </w:tc>
        <w:tc>
          <w:tcPr>
            <w:tcW w:w="2026"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-2 495 326 913</w:t>
            </w:r>
          </w:p>
        </w:tc>
      </w:tr>
    </w:tbl>
    <w:p>
      <w:pPr>
        <w:pStyle w:val="ManualHeading2"/>
        <w:spacing w:before="360"/>
        <w:rPr>
          <w:rFonts w:eastAsia="Calibri"/>
          <w:noProof/>
        </w:rPr>
      </w:pPr>
      <w:bookmarkStart w:id="20" w:name="_Toc463466448"/>
      <w:r>
        <w:rPr>
          <w:rFonts w:eastAsia="Calibri"/>
          <w:noProof/>
        </w:rPr>
        <w:t xml:space="preserve">2.3 </w:t>
      </w:r>
      <w:r>
        <w:rPr>
          <w:rFonts w:eastAsia="Calibri"/>
          <w:noProof/>
        </w:rPr>
        <w:tab/>
        <w:t>Gross reductions in their annual GNI-based contributions for Denmark, the Netherlands, Sweden and Austria</w:t>
      </w:r>
      <w:bookmarkEnd w:id="20"/>
    </w:p>
    <w:p>
      <w:pPr>
        <w:spacing w:after="200"/>
        <w:jc w:val="both"/>
        <w:rPr>
          <w:rFonts w:eastAsiaTheme="minorHAnsi"/>
          <w:noProof/>
          <w:lang w:eastAsia="en-US"/>
        </w:rPr>
      </w:pPr>
      <w:r>
        <w:rPr>
          <w:rFonts w:eastAsiaTheme="minorHAnsi"/>
          <w:noProof/>
          <w:lang w:eastAsia="en-US"/>
        </w:rPr>
        <w:t>According to ORD 2014, Denmark, the Netherlands, Sweden and Austria are entitled to a gross reduction in their annual Gross National Income (GNI) based contributions for the period 2014-2020. ORD 2014 specifies the amount of this reduction (which has to be adapted for current prices) and indicates that this reduction shall be granted after financing of the correction mechanism in favour of the UK (UK correction) and is to be financed by all Member States.</w:t>
      </w:r>
    </w:p>
    <w:p>
      <w:pPr>
        <w:spacing w:after="200"/>
        <w:jc w:val="both"/>
        <w:rPr>
          <w:rFonts w:eastAsiaTheme="minorHAnsi"/>
          <w:noProof/>
          <w:lang w:eastAsia="en-US"/>
        </w:rPr>
      </w:pPr>
      <w:r>
        <w:rPr>
          <w:rFonts w:eastAsiaTheme="minorHAnsi"/>
          <w:noProof/>
          <w:lang w:eastAsia="en-US"/>
        </w:rPr>
        <w:t>The gross reduction for Denmark, the Netherlands, Sweden and Austria, which equals respectively EUR 130 million, EUR 695 million, EUR 185 million and EUR 30 million in 2011 prices, is adjusted to current prices by applying the GDP deflator for the EU expressed in Euro.</w:t>
      </w:r>
    </w:p>
    <w:p>
      <w:pPr>
        <w:spacing w:after="200"/>
        <w:jc w:val="both"/>
        <w:rPr>
          <w:rFonts w:eastAsiaTheme="minorHAnsi"/>
          <w:noProof/>
          <w:lang w:eastAsia="en-US"/>
        </w:rPr>
      </w:pPr>
      <w:r>
        <w:rPr>
          <w:rFonts w:eastAsiaTheme="minorHAnsi"/>
          <w:noProof/>
          <w:lang w:eastAsia="en-US"/>
        </w:rPr>
        <w:t>The following table provides an overview of the gross reductions and their financing:</w:t>
      </w:r>
    </w:p>
    <w:p>
      <w:pPr>
        <w:jc w:val="center"/>
        <w:rPr>
          <w:rFonts w:eastAsiaTheme="minorHAnsi"/>
          <w:noProof/>
          <w:sz w:val="18"/>
          <w:szCs w:val="18"/>
          <w:lang w:eastAsia="en-US"/>
        </w:rPr>
      </w:pPr>
      <w:r>
        <w:rPr>
          <w:rFonts w:eastAsiaTheme="minorHAnsi"/>
          <w:noProof/>
          <w:sz w:val="18"/>
          <w:szCs w:val="18"/>
          <w:lang w:eastAsia="en-US"/>
        </w:rPr>
        <w:t>Budgetary year 2014 (in EUR)</w:t>
      </w:r>
    </w:p>
    <w:tbl>
      <w:tblPr>
        <w:tblW w:w="9276" w:type="dxa"/>
        <w:jc w:val="center"/>
        <w:tblLook w:val="04A0" w:firstRow="1" w:lastRow="0" w:firstColumn="1" w:lastColumn="0" w:noHBand="0" w:noVBand="1"/>
      </w:tblPr>
      <w:tblGrid>
        <w:gridCol w:w="1979"/>
        <w:gridCol w:w="1736"/>
        <w:gridCol w:w="1588"/>
        <w:gridCol w:w="1750"/>
        <w:gridCol w:w="2223"/>
      </w:tblGrid>
      <w:tr>
        <w:trPr>
          <w:trHeight w:val="420"/>
          <w:tblHeader/>
          <w:jc w:val="center"/>
        </w:trPr>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Gross reduction</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Percentage share of GNI base</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GNI key applied to the gross reduction</w:t>
            </w:r>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Financing of the reduction in favour of Denmark, Netherlands, Austria and Sweden</w:t>
            </w:r>
          </w:p>
        </w:tc>
      </w:tr>
      <w:tr>
        <w:trPr>
          <w:trHeight w:val="207"/>
          <w:tblHeader/>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736"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588"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r>
      <w:tr>
        <w:trPr>
          <w:trHeight w:val="300"/>
          <w:tblHeader/>
          <w:jc w:val="center"/>
        </w:trPr>
        <w:tc>
          <w:tcPr>
            <w:tcW w:w="1979" w:type="dxa"/>
            <w:vMerge/>
            <w:tcBorders>
              <w:top w:val="nil"/>
              <w:left w:val="single" w:sz="4" w:space="0" w:color="auto"/>
              <w:bottom w:val="single" w:sz="4" w:space="0" w:color="auto"/>
              <w:right w:val="single" w:sz="4" w:space="0" w:color="auto"/>
            </w:tcBorders>
            <w:vAlign w:val="center"/>
            <w:hideMark/>
          </w:tcPr>
          <w:p>
            <w:pPr>
              <w:rPr>
                <w:noProof/>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588"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75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w:t>
            </w:r>
          </w:p>
        </w:tc>
        <w:tc>
          <w:tcPr>
            <w:tcW w:w="2223"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(4) = (1 + 3)</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2,92%</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31 897 706</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31 897 706</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0,31%</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3 355 611</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3 355 611</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1,03%</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11 229 194</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11 229 194</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- 136 498 831</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1,90%</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20 778 848</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- 115 719 983</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21,47%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234 488 897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234 488 897</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0,14%</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1 529 781</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1 529 781</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1,18%</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12 856 702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12 856 702</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13 921 132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13 921 132</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7,45%</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81 331 342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81 331 342</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15,63%</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170 720 623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170 720 623</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0,30%</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3 276 836</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3 276 836</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11,57%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126 348 739</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126 348 739</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0,12%</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1 322 322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1 322 322</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0,17%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1 855 283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1 855 283</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2 824 000</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2 824 000</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0,24%</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2 566 917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2 566 917</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0,74%</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8 121 407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8 121 407</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0,05%</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594 453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594 453</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- 729 743 748</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4,82%</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52 639 244</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- 677 104 504</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- 31 499 730</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2,35%</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25 663 754</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- 5 835 976</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2,87%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31 324 107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31 324 107</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1,23%</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13 421 585</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13 421 585</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1,05%</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11 484 324</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11 484 324</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2 921 282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2 921 282</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0,53%</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5 734 953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5 734 953</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1,47%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16 075 250</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16 075 250</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- 194 248 336</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3,29%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35 931 169</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- 158 317 167</w:t>
            </w:r>
          </w:p>
        </w:tc>
      </w:tr>
      <w:tr>
        <w:trPr>
          <w:trHeight w:val="255"/>
          <w:jc w:val="center"/>
        </w:trPr>
        <w:tc>
          <w:tcPr>
            <w:tcW w:w="1979"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15,36%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167 775 184</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167 775 184</w:t>
            </w:r>
          </w:p>
        </w:tc>
      </w:tr>
      <w:tr>
        <w:trPr>
          <w:trHeight w:val="83"/>
          <w:jc w:val="center"/>
        </w:trPr>
        <w:tc>
          <w:tcPr>
            <w:tcW w:w="1979"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-1 091 990 645</w:t>
            </w:r>
          </w:p>
        </w:tc>
        <w:tc>
          <w:tcPr>
            <w:tcW w:w="1588"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100,00%</w:t>
            </w:r>
          </w:p>
        </w:tc>
        <w:tc>
          <w:tcPr>
            <w:tcW w:w="1750"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1 091 990 645</w:t>
            </w:r>
          </w:p>
        </w:tc>
        <w:tc>
          <w:tcPr>
            <w:tcW w:w="2223"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r>
      <w:tr>
        <w:trPr>
          <w:trHeight w:val="83"/>
          <w:jc w:val="center"/>
        </w:trPr>
        <w:tc>
          <w:tcPr>
            <w:tcW w:w="1979" w:type="dxa"/>
            <w:tcBorders>
              <w:top w:val="nil"/>
              <w:left w:val="nil"/>
              <w:bottom w:val="nil"/>
              <w:right w:val="nil"/>
            </w:tcBorders>
            <w:shd w:val="clear" w:color="auto" w:fill="auto"/>
            <w:noWrap/>
            <w:vAlign w:val="center"/>
            <w:hideMark/>
          </w:tcPr>
          <w:p>
            <w:pPr>
              <w:jc w:val="right"/>
              <w:rPr>
                <w:noProof/>
                <w:sz w:val="18"/>
                <w:szCs w:val="18"/>
              </w:rPr>
            </w:pPr>
          </w:p>
        </w:tc>
        <w:tc>
          <w:tcPr>
            <w:tcW w:w="1736" w:type="dxa"/>
            <w:tcBorders>
              <w:top w:val="nil"/>
              <w:left w:val="nil"/>
              <w:bottom w:val="nil"/>
              <w:right w:val="nil"/>
            </w:tcBorders>
            <w:shd w:val="clear" w:color="auto" w:fill="auto"/>
            <w:noWrap/>
            <w:vAlign w:val="bottom"/>
            <w:hideMark/>
          </w:tcPr>
          <w:p>
            <w:pPr>
              <w:rPr>
                <w:noProof/>
                <w:sz w:val="18"/>
                <w:szCs w:val="18"/>
              </w:rPr>
            </w:pPr>
          </w:p>
        </w:tc>
        <w:tc>
          <w:tcPr>
            <w:tcW w:w="1588" w:type="dxa"/>
            <w:tcBorders>
              <w:top w:val="nil"/>
              <w:left w:val="nil"/>
              <w:bottom w:val="nil"/>
              <w:right w:val="nil"/>
            </w:tcBorders>
            <w:shd w:val="clear" w:color="auto" w:fill="auto"/>
            <w:noWrap/>
            <w:vAlign w:val="bottom"/>
            <w:hideMark/>
          </w:tcPr>
          <w:p>
            <w:pPr>
              <w:rPr>
                <w:noProof/>
                <w:sz w:val="18"/>
                <w:szCs w:val="18"/>
              </w:rPr>
            </w:pPr>
          </w:p>
        </w:tc>
        <w:tc>
          <w:tcPr>
            <w:tcW w:w="1750" w:type="dxa"/>
            <w:tcBorders>
              <w:top w:val="nil"/>
              <w:left w:val="nil"/>
              <w:bottom w:val="nil"/>
              <w:right w:val="nil"/>
            </w:tcBorders>
            <w:shd w:val="clear" w:color="auto" w:fill="auto"/>
            <w:noWrap/>
            <w:vAlign w:val="bottom"/>
            <w:hideMark/>
          </w:tcPr>
          <w:p>
            <w:pPr>
              <w:rPr>
                <w:noProof/>
                <w:sz w:val="18"/>
                <w:szCs w:val="18"/>
              </w:rPr>
            </w:pPr>
          </w:p>
        </w:tc>
        <w:tc>
          <w:tcPr>
            <w:tcW w:w="2223" w:type="dxa"/>
            <w:tcBorders>
              <w:top w:val="nil"/>
              <w:left w:val="nil"/>
              <w:bottom w:val="nil"/>
              <w:right w:val="nil"/>
            </w:tcBorders>
            <w:shd w:val="clear" w:color="auto" w:fill="auto"/>
            <w:noWrap/>
            <w:vAlign w:val="bottom"/>
            <w:hideMark/>
          </w:tcPr>
          <w:p>
            <w:pPr>
              <w:rPr>
                <w:noProof/>
                <w:sz w:val="18"/>
                <w:szCs w:val="18"/>
              </w:rPr>
            </w:pPr>
          </w:p>
        </w:tc>
      </w:tr>
      <w:tr>
        <w:trPr>
          <w:trHeight w:val="310"/>
          <w:jc w:val="center"/>
        </w:trPr>
        <w:tc>
          <w:tcPr>
            <w:tcW w:w="927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EU GDP price deflator, in EUR, (spring 2013 economic forecast) :</w:t>
            </w:r>
            <w:r>
              <w:rPr>
                <w:noProof/>
                <w:sz w:val="18"/>
                <w:szCs w:val="18"/>
              </w:rPr>
              <w:br/>
              <w:t xml:space="preserve"> (a) 2011 EU27 = 107,5085 / (b) 2013 EU27 = 111,0906</w:t>
            </w:r>
            <w:r>
              <w:rPr>
                <w:noProof/>
                <w:sz w:val="18"/>
                <w:szCs w:val="18"/>
              </w:rPr>
              <w:br/>
              <w:t>(c) 2013 EU28 = 111,1304 / (d) 2014 EU28 = 112,9234</w:t>
            </w:r>
          </w:p>
        </w:tc>
      </w:tr>
      <w:tr>
        <w:trPr>
          <w:trHeight w:val="283"/>
          <w:jc w:val="center"/>
        </w:trPr>
        <w:tc>
          <w:tcPr>
            <w:tcW w:w="927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Netherlands: in 2014 prices:                </w:t>
            </w:r>
            <w:r>
              <w:rPr>
                <w:noProof/>
                <w:sz w:val="18"/>
                <w:szCs w:val="18"/>
              </w:rPr>
              <w:br/>
              <w:t>695 000 000 EUR x [ (b/a) x (d/c) ] = 729 743 748 EUR</w:t>
            </w:r>
          </w:p>
        </w:tc>
      </w:tr>
      <w:tr>
        <w:trPr>
          <w:trHeight w:val="255"/>
          <w:jc w:val="center"/>
        </w:trPr>
        <w:tc>
          <w:tcPr>
            <w:tcW w:w="927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Sweden: in 2014 prices:                </w:t>
            </w:r>
            <w:r>
              <w:rPr>
                <w:noProof/>
                <w:sz w:val="18"/>
                <w:szCs w:val="18"/>
              </w:rPr>
              <w:br/>
              <w:t>185 000 000 EUR x [ (b/a) x (d/c) ] = 194 248 336 EUR</w:t>
            </w:r>
          </w:p>
        </w:tc>
      </w:tr>
      <w:tr>
        <w:trPr>
          <w:trHeight w:val="199"/>
          <w:jc w:val="center"/>
        </w:trPr>
        <w:tc>
          <w:tcPr>
            <w:tcW w:w="927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Denmark: in 2014 prices:                </w:t>
            </w:r>
            <w:r>
              <w:rPr>
                <w:noProof/>
                <w:sz w:val="18"/>
                <w:szCs w:val="18"/>
              </w:rPr>
              <w:br/>
              <w:t>130 000 000 EUR x [ (b/a) x (d/c) ] = 136 498 831 EUR</w:t>
            </w:r>
          </w:p>
        </w:tc>
      </w:tr>
      <w:tr>
        <w:trPr>
          <w:trHeight w:val="83"/>
          <w:jc w:val="center"/>
        </w:trPr>
        <w:tc>
          <w:tcPr>
            <w:tcW w:w="927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Austria: in 2014 prices:                </w:t>
            </w:r>
            <w:r>
              <w:rPr>
                <w:noProof/>
                <w:sz w:val="18"/>
                <w:szCs w:val="18"/>
              </w:rPr>
              <w:br/>
              <w:t>30 000 000 EUR x [ (b/a) x (d/c) ] = 31 499 730 EUR</w:t>
            </w:r>
          </w:p>
        </w:tc>
      </w:tr>
    </w:tbl>
    <w:p>
      <w:pPr>
        <w:pStyle w:val="ManualHeading2"/>
        <w:spacing w:before="360"/>
        <w:rPr>
          <w:rFonts w:eastAsia="Calibri"/>
          <w:noProof/>
        </w:rPr>
      </w:pPr>
      <w:bookmarkStart w:id="21" w:name="_Toc463466449"/>
      <w:r>
        <w:rPr>
          <w:rFonts w:eastAsia="Calibri"/>
          <w:noProof/>
        </w:rPr>
        <w:t xml:space="preserve">2.4 </w:t>
      </w:r>
      <w:r>
        <w:rPr>
          <w:rFonts w:eastAsia="Calibri"/>
          <w:noProof/>
        </w:rPr>
        <w:tab/>
        <w:t>Calculation of the correction mechanism in favour of the United Kingdom (UK correction)</w:t>
      </w:r>
      <w:bookmarkEnd w:id="21"/>
    </w:p>
    <w:p>
      <w:pPr>
        <w:spacing w:after="200"/>
        <w:jc w:val="both"/>
        <w:rPr>
          <w:rFonts w:eastAsiaTheme="minorHAnsi"/>
          <w:noProof/>
          <w:lang w:eastAsia="en-US"/>
        </w:rPr>
      </w:pPr>
      <w:r>
        <w:rPr>
          <w:rFonts w:eastAsiaTheme="minorHAnsi"/>
          <w:noProof/>
          <w:lang w:eastAsia="en-US"/>
        </w:rPr>
        <w:t>The ORD 2014 does not change provisions on the calculation of the UK correction. The different changes to the own resources bases (change of TOR collection costs, reduced VAT call rates for some Member States and introduction of ESA 2010 for GNI resource) do impact the amount of the UK corrections as of 2014 correction (budgeted for the first time in 2015).</w:t>
      </w:r>
    </w:p>
    <w:p>
      <w:pPr>
        <w:spacing w:after="200"/>
        <w:jc w:val="both"/>
        <w:rPr>
          <w:rFonts w:eastAsiaTheme="minorHAnsi"/>
          <w:noProof/>
          <w:lang w:eastAsia="en-US"/>
        </w:rPr>
      </w:pPr>
      <w:r>
        <w:rPr>
          <w:rFonts w:eastAsiaTheme="minorHAnsi"/>
          <w:noProof/>
          <w:lang w:eastAsia="en-US"/>
        </w:rPr>
        <w:t>The 2014 budget (AB 7/2014) included budgeting of the 2013 correction and the update of the 2011 correction and the definitive amount of the 2010 correction. All these corrections are calculated based on the 2007 ORD rules and therefore the amounts do not change. However the 2013 UK correction was budgeted in 2014 and the financing of the amount by the 27 Member States is calculated based on the 2014 GNI figures used for the calculation of the financing of the 2014 budget. Therefore, while the amount of the 2013 correction as included in the 2014 budget (EUR 5 542 182 33) does not change, its financing key does due to the change of the GNI used for the financing of the EU budget (i.e. GNI based on ESA 2010 instead of ESA 95).</w:t>
      </w:r>
    </w:p>
    <w:p>
      <w:pPr>
        <w:spacing w:after="200"/>
        <w:jc w:val="both"/>
        <w:rPr>
          <w:rFonts w:eastAsiaTheme="minorHAnsi"/>
          <w:noProof/>
          <w:lang w:eastAsia="en-US"/>
        </w:rPr>
      </w:pPr>
      <w:r>
        <w:rPr>
          <w:rFonts w:eastAsiaTheme="minorHAnsi"/>
          <w:noProof/>
          <w:lang w:eastAsia="en-US"/>
        </w:rPr>
        <w:t>The revised financing of the 2013 UK correction is set out in the following table:</w:t>
      </w:r>
    </w:p>
    <w:p>
      <w:pPr>
        <w:rPr>
          <w:rFonts w:eastAsiaTheme="minorHAnsi"/>
          <w:noProof/>
          <w:lang w:eastAsia="en-US"/>
        </w:rPr>
      </w:pPr>
      <w:r>
        <w:rPr>
          <w:rFonts w:eastAsiaTheme="minorHAnsi"/>
          <w:noProof/>
          <w:lang w:eastAsia="en-US"/>
        </w:rPr>
        <w:br w:type="page"/>
      </w:r>
    </w:p>
    <w:tbl>
      <w:tblPr>
        <w:tblW w:w="6563" w:type="dxa"/>
        <w:jc w:val="center"/>
        <w:tblLook w:val="04A0" w:firstRow="1" w:lastRow="0" w:firstColumn="1" w:lastColumn="0" w:noHBand="0" w:noVBand="1"/>
      </w:tblPr>
      <w:tblGrid>
        <w:gridCol w:w="1601"/>
        <w:gridCol w:w="1518"/>
        <w:gridCol w:w="1559"/>
        <w:gridCol w:w="1885"/>
      </w:tblGrid>
      <w:tr>
        <w:trPr>
          <w:trHeight w:val="263"/>
          <w:tblHeader/>
          <w:jc w:val="center"/>
        </w:trPr>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2013 UK correction </w:t>
            </w:r>
            <w:r>
              <w:rPr>
                <w:noProof/>
                <w:sz w:val="18"/>
                <w:szCs w:val="18"/>
              </w:rPr>
              <w:br/>
            </w:r>
          </w:p>
          <w:p>
            <w:pPr>
              <w:jc w:val="center"/>
              <w:rPr>
                <w:noProof/>
                <w:sz w:val="18"/>
                <w:szCs w:val="18"/>
              </w:rPr>
            </w:pPr>
            <w:r>
              <w:rPr>
                <w:noProof/>
                <w:sz w:val="18"/>
                <w:szCs w:val="18"/>
              </w:rPr>
              <w:t>(1</w:t>
            </w:r>
            <w:r>
              <w:rPr>
                <w:noProof/>
                <w:sz w:val="18"/>
                <w:szCs w:val="18"/>
                <w:vertAlign w:val="superscript"/>
              </w:rPr>
              <w:t>st</w:t>
            </w:r>
            <w:r>
              <w:rPr>
                <w:noProof/>
                <w:sz w:val="18"/>
                <w:szCs w:val="18"/>
              </w:rPr>
              <w:t xml:space="preserve"> update) financing as in AB 7/2014</w:t>
            </w:r>
          </w:p>
          <w:p>
            <w:pPr>
              <w:jc w:val="center"/>
              <w:rPr>
                <w:noProof/>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2013 UK correction </w:t>
            </w:r>
            <w:r>
              <w:rPr>
                <w:noProof/>
                <w:sz w:val="18"/>
                <w:szCs w:val="18"/>
              </w:rPr>
              <w:br/>
              <w:t>(1</w:t>
            </w:r>
            <w:r>
              <w:rPr>
                <w:noProof/>
                <w:sz w:val="18"/>
                <w:szCs w:val="18"/>
                <w:vertAlign w:val="superscript"/>
              </w:rPr>
              <w:t>st</w:t>
            </w:r>
            <w:r>
              <w:rPr>
                <w:noProof/>
                <w:sz w:val="18"/>
                <w:szCs w:val="18"/>
              </w:rPr>
              <w:t xml:space="preserve"> update)</w:t>
            </w:r>
          </w:p>
          <w:p>
            <w:pPr>
              <w:jc w:val="center"/>
              <w:rPr>
                <w:noProof/>
                <w:sz w:val="18"/>
                <w:szCs w:val="18"/>
              </w:rPr>
            </w:pPr>
            <w:r>
              <w:rPr>
                <w:noProof/>
                <w:sz w:val="18"/>
                <w:szCs w:val="18"/>
              </w:rPr>
              <w:t>financing based on the latest available 2014 GNI ESA 2010</w:t>
            </w:r>
          </w:p>
          <w:p>
            <w:pPr>
              <w:jc w:val="center"/>
              <w:rPr>
                <w:noProof/>
                <w:sz w:val="18"/>
                <w:szCs w:val="18"/>
              </w:rPr>
            </w:pPr>
            <w:r>
              <w:rPr>
                <w:noProof/>
                <w:sz w:val="18"/>
                <w:szCs w:val="18"/>
              </w:rPr>
              <w:t>(1</w:t>
            </w:r>
            <w:r>
              <w:rPr>
                <w:noProof/>
                <w:sz w:val="18"/>
                <w:szCs w:val="18"/>
                <w:vertAlign w:val="superscript"/>
              </w:rPr>
              <w:t>st</w:t>
            </w:r>
            <w:r>
              <w:rPr>
                <w:noProof/>
                <w:sz w:val="18"/>
                <w:szCs w:val="18"/>
              </w:rPr>
              <w:t xml:space="preserve"> update) financing based on the latest available 2014 GNI ESA 2010</w:t>
            </w:r>
          </w:p>
        </w:tc>
        <w:tc>
          <w:tcPr>
            <w:tcW w:w="1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Difference in the financing of the 1</w:t>
            </w:r>
            <w:r>
              <w:rPr>
                <w:noProof/>
                <w:sz w:val="18"/>
                <w:szCs w:val="18"/>
                <w:vertAlign w:val="superscript"/>
              </w:rPr>
              <w:t>st</w:t>
            </w:r>
            <w:r>
              <w:rPr>
                <w:noProof/>
                <w:sz w:val="18"/>
                <w:szCs w:val="18"/>
              </w:rPr>
              <w:t xml:space="preserve"> update of the 2013 correction</w:t>
            </w:r>
          </w:p>
        </w:tc>
      </w:tr>
      <w:tr>
        <w:trPr>
          <w:trHeight w:val="263"/>
          <w:tblHeader/>
          <w:jc w:val="center"/>
        </w:trPr>
        <w:tc>
          <w:tcPr>
            <w:tcW w:w="1601"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sz w:val="18"/>
                <w:szCs w:val="18"/>
              </w:rPr>
            </w:pPr>
          </w:p>
        </w:tc>
        <w:tc>
          <w:tcPr>
            <w:tcW w:w="1518"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c>
          <w:tcPr>
            <w:tcW w:w="1885"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r>
      <w:tr>
        <w:trPr>
          <w:trHeight w:val="1568"/>
          <w:tblHeader/>
          <w:jc w:val="center"/>
        </w:trPr>
        <w:tc>
          <w:tcPr>
            <w:tcW w:w="160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r>
      <w:tr>
        <w:trPr>
          <w:trHeight w:val="255"/>
          <w:tblHeader/>
          <w:jc w:val="center"/>
        </w:trPr>
        <w:tc>
          <w:tcPr>
            <w:tcW w:w="160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 = (2) - (1)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274 500 044</w:t>
            </w:r>
          </w:p>
        </w:tc>
        <w:tc>
          <w:tcPr>
            <w:tcW w:w="1559"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278 208 823</w:t>
            </w:r>
          </w:p>
        </w:tc>
        <w:tc>
          <w:tcPr>
            <w:tcW w:w="1885"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3 708 779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27 934 257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29 267 330</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1 333 073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94 951 620</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97 939 981</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2 988 361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185 590 353</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181 231 179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- 4 359 174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350 335 402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351 536 053</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1 200 651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13 009 847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13 342 607</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332 760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100 289 723</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112 134 955</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11 845 232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125 774 188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121 418 821</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- 4 355 367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719 085 138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709 364 397</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- 9 720 741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1 497 272 756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1 489 009 391</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- 8 263 365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29 531 974</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28 580 258</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951 716</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1 102 325 579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1 102 001 949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323 630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10 728 512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11 533 174</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804 662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17 213 087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16 181 605</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- 1 031 482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24 422 396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24 630 664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208 268</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22 729 297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22 388 408</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340 889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68 496 553</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70 834 158</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2 337 605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4 925 108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5 184 763</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259 655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75 487 301</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78 914 575</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3 427 274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38 863 752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38 474 039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389 713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274 942 269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273 205 950</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- 1 736 319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115 767 753</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117 061 814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1 294 061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101 027 954</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100 165 203</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862 751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24 635 887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25 479 153</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843 266</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50 755 299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50 019 727</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735 572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138 677 954</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140 206 832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1 528 878</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52 908 328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53 866 522</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958 194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-5 542 182 331</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-5 542 182 331</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c>
          <w:tcPr>
            <w:tcW w:w="1559"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c>
          <w:tcPr>
            <w:tcW w:w="188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r>
    </w:tbl>
    <w:p>
      <w:pPr>
        <w:pStyle w:val="ManualHeading2"/>
        <w:spacing w:before="360"/>
        <w:rPr>
          <w:rFonts w:eastAsia="Calibri"/>
          <w:noProof/>
        </w:rPr>
      </w:pPr>
      <w:bookmarkStart w:id="22" w:name="_Toc463466450"/>
      <w:r>
        <w:rPr>
          <w:rFonts w:eastAsia="Calibri"/>
          <w:noProof/>
        </w:rPr>
        <w:t xml:space="preserve">2.5 </w:t>
      </w:r>
      <w:r>
        <w:rPr>
          <w:rFonts w:eastAsia="Calibri"/>
          <w:noProof/>
        </w:rPr>
        <w:tab/>
        <w:t>Impact on the GNI-based own resource contribution for 2014</w:t>
      </w:r>
      <w:bookmarkEnd w:id="22"/>
    </w:p>
    <w:p>
      <w:pPr>
        <w:spacing w:after="200"/>
        <w:jc w:val="both"/>
        <w:rPr>
          <w:rFonts w:eastAsiaTheme="minorHAnsi"/>
          <w:noProof/>
          <w:lang w:eastAsia="en-US"/>
        </w:rPr>
      </w:pPr>
      <w:r>
        <w:rPr>
          <w:rFonts w:eastAsiaTheme="minorHAnsi"/>
          <w:noProof/>
          <w:lang w:eastAsia="en-US"/>
        </w:rPr>
        <w:t>The impact of the new ORD will be calculated based on the final budget 2014 (AB 7/2014) updated with the latest available data for the GNI base provided by Eurostat. These data correspond to the 2014 ESA 95 amounts taken into account for the yearly GNI balances calculated in autumn 2015 and made available on 1 December 2015.</w:t>
      </w:r>
    </w:p>
    <w:p>
      <w:pPr>
        <w:spacing w:after="200"/>
        <w:jc w:val="both"/>
        <w:rPr>
          <w:rFonts w:eastAsiaTheme="minorHAnsi"/>
          <w:noProof/>
          <w:lang w:eastAsia="en-US"/>
        </w:rPr>
      </w:pPr>
      <w:r>
        <w:rPr>
          <w:rFonts w:eastAsiaTheme="minorHAnsi"/>
          <w:noProof/>
          <w:lang w:eastAsia="en-US"/>
        </w:rPr>
        <w:t>As according to ORD 2014, the GNI contribution of the Member States should be calculated from 1 January 2014 onwards on the basis of ESA 2010 data instead of the ESA 95, the amounts were updated a second time to incorporate this effect.</w:t>
      </w:r>
    </w:p>
    <w:p>
      <w:pPr>
        <w:spacing w:after="200"/>
        <w:jc w:val="both"/>
        <w:rPr>
          <w:rFonts w:eastAsiaTheme="minorHAnsi"/>
          <w:noProof/>
          <w:lang w:eastAsia="en-US"/>
        </w:rPr>
      </w:pPr>
      <w:r>
        <w:rPr>
          <w:rFonts w:eastAsiaTheme="minorHAnsi"/>
          <w:noProof/>
          <w:lang w:eastAsia="en-US"/>
        </w:rPr>
        <w:t xml:space="preserve">By implementing the new rules regarding the new rate of the collection costs, the reduced VAT call rate for some Member States and the use of ESA 2010 instead of ESA 95 for GNI own resource base, the amount of own resources other than GNI decreased by EUR </w:t>
      </w:r>
      <w:r>
        <w:rPr>
          <w:noProof/>
        </w:rPr>
        <w:t>1 552 404 916</w:t>
      </w:r>
      <w:r>
        <w:rPr>
          <w:rFonts w:eastAsiaTheme="minorHAnsi"/>
          <w:noProof/>
          <w:lang w:eastAsia="en-US"/>
        </w:rPr>
        <w:t xml:space="preserve">. </w:t>
      </w:r>
    </w:p>
    <w:p>
      <w:pPr>
        <w:spacing w:after="200"/>
        <w:jc w:val="both"/>
        <w:rPr>
          <w:rFonts w:eastAsiaTheme="minorHAnsi"/>
          <w:noProof/>
          <w:lang w:eastAsia="en-US"/>
        </w:rPr>
      </w:pPr>
      <w:r>
        <w:rPr>
          <w:rFonts w:eastAsiaTheme="minorHAnsi"/>
          <w:noProof/>
          <w:lang w:eastAsia="en-US"/>
        </w:rPr>
        <w:t>In order to respect the principle of equilibrium applicable to the budget of the European Union, the uniform rate to be applied to the sum of all Member States' GNI has to be recalcualted taken into account all other revenue.</w:t>
      </w:r>
    </w:p>
    <w:p>
      <w:pPr>
        <w:spacing w:after="200"/>
        <w:jc w:val="both"/>
        <w:rPr>
          <w:rFonts w:eastAsiaTheme="minorHAnsi"/>
          <w:noProof/>
          <w:lang w:eastAsia="en-US"/>
        </w:rPr>
      </w:pPr>
      <w:r>
        <w:rPr>
          <w:rFonts w:eastAsiaTheme="minorHAnsi"/>
          <w:noProof/>
          <w:lang w:eastAsia="en-US"/>
        </w:rPr>
        <w:t>The recalculated uniform rate for the GNI-based own resource is fixed as follows:</w:t>
      </w:r>
    </w:p>
    <w:p>
      <w:pPr>
        <w:spacing w:after="200"/>
        <w:jc w:val="both"/>
        <w:rPr>
          <w:rFonts w:eastAsiaTheme="minorHAnsi"/>
          <w:noProof/>
          <w:lang w:eastAsia="en-US"/>
        </w:rPr>
      </w:pPr>
      <w:r>
        <w:rPr>
          <w:rFonts w:eastAsiaTheme="minorHAnsi"/>
          <w:noProof/>
          <w:lang w:eastAsia="en-US"/>
        </w:rPr>
        <w:t>Uniform rate to be applied on 1 % of GNI = (total expenditure – other revenue – total net amount of TOR – VAT-based own resource contributions) / 1 % of GNI</w:t>
      </w:r>
    </w:p>
    <w:p>
      <w:pPr>
        <w:jc w:val="both"/>
        <w:rPr>
          <w:rFonts w:eastAsiaTheme="minorHAnsi"/>
          <w:noProof/>
          <w:lang w:eastAsia="en-US"/>
        </w:rPr>
      </w:pPr>
      <w:r>
        <w:rPr>
          <w:rFonts w:eastAsiaTheme="minorHAnsi"/>
          <w:noProof/>
          <w:lang w:eastAsia="en-US"/>
        </w:rPr>
        <w:t>Uniform rate :</w:t>
      </w:r>
    </w:p>
    <w:p>
      <w:pPr>
        <w:jc w:val="both"/>
        <w:rPr>
          <w:noProof/>
        </w:rPr>
      </w:pPr>
      <w:r>
        <w:rPr>
          <w:rFonts w:eastAsiaTheme="minorHAnsi"/>
          <w:noProof/>
          <w:lang w:eastAsia="en-US"/>
        </w:rPr>
        <w:t xml:space="preserve">= </w:t>
      </w:r>
      <w:r>
        <w:rPr>
          <w:noProof/>
        </w:rPr>
        <w:t xml:space="preserve">139 034 233 715 – 10 646 298 202 - 17 301 627 018 – 15 049 715 210) /139 223 757 465 </w:t>
      </w:r>
    </w:p>
    <w:p>
      <w:pPr>
        <w:contextualSpacing/>
        <w:jc w:val="both"/>
        <w:rPr>
          <w:noProof/>
        </w:rPr>
      </w:pPr>
      <w:r>
        <w:rPr>
          <w:noProof/>
        </w:rPr>
        <w:t>= 0,689800325990649 %</w:t>
      </w:r>
    </w:p>
    <w:p>
      <w:pPr>
        <w:spacing w:before="120" w:after="200"/>
        <w:jc w:val="both"/>
        <w:rPr>
          <w:rFonts w:eastAsiaTheme="minorHAnsi"/>
          <w:noProof/>
          <w:lang w:eastAsia="en-US"/>
        </w:rPr>
      </w:pPr>
      <w:r>
        <w:rPr>
          <w:rFonts w:eastAsiaTheme="minorHAnsi"/>
          <w:noProof/>
          <w:lang w:eastAsia="en-US"/>
        </w:rPr>
        <w:t>The revised GNI-based own resources contributions considering the new uniform rate are set out in the following table:</w:t>
      </w:r>
    </w:p>
    <w:p>
      <w:pPr>
        <w:jc w:val="center"/>
        <w:rPr>
          <w:rFonts w:eastAsiaTheme="minorHAnsi"/>
          <w:noProof/>
          <w:sz w:val="18"/>
          <w:szCs w:val="18"/>
          <w:lang w:eastAsia="en-US"/>
        </w:rPr>
      </w:pPr>
      <w:r>
        <w:rPr>
          <w:rFonts w:eastAsiaTheme="minorHAnsi"/>
          <w:noProof/>
          <w:sz w:val="18"/>
          <w:szCs w:val="18"/>
          <w:lang w:eastAsia="en-US"/>
        </w:rPr>
        <w:t>Budgetary year 2014 (in EUR)</w:t>
      </w:r>
    </w:p>
    <w:tbl>
      <w:tblPr>
        <w:tblW w:w="10661" w:type="dxa"/>
        <w:jc w:val="center"/>
        <w:tblLayout w:type="fixed"/>
        <w:tblLook w:val="04A0" w:firstRow="1" w:lastRow="0" w:firstColumn="1" w:lastColumn="0" w:noHBand="0" w:noVBand="1"/>
      </w:tblPr>
      <w:tblGrid>
        <w:gridCol w:w="1581"/>
        <w:gridCol w:w="1680"/>
        <w:gridCol w:w="1984"/>
        <w:gridCol w:w="1701"/>
        <w:gridCol w:w="1985"/>
        <w:gridCol w:w="1730"/>
      </w:tblGrid>
      <w:tr>
        <w:trPr>
          <w:trHeight w:val="263"/>
          <w:tblHeader/>
          <w:jc w:val="center"/>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1% of GNI base used for GNI balances                (updated actual GNI ESA 95)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Uniform rate of GNI-based own resource (in %) according to ORD 2007 (updated real figures)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lang w:val="it-IT"/>
              </w:rPr>
            </w:pPr>
            <w:r>
              <w:rPr>
                <w:noProof/>
                <w:sz w:val="18"/>
                <w:szCs w:val="18"/>
                <w:lang w:val="it-IT"/>
              </w:rPr>
              <w:t>1% of GNI base                 (GNI ESA 2010)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Uniform rate of GNI-based own resource (in %) according to ORD 2014 (updated real figures)</w:t>
            </w:r>
          </w:p>
        </w:tc>
        <w:tc>
          <w:tcPr>
            <w:tcW w:w="1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Difference in the GNI</w:t>
            </w:r>
          </w:p>
        </w:tc>
      </w:tr>
      <w:tr>
        <w:trPr>
          <w:trHeight w:val="506"/>
          <w:tblHeader/>
          <w:jc w:val="center"/>
        </w:trPr>
        <w:tc>
          <w:tcPr>
            <w:tcW w:w="158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730"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55"/>
          <w:tblHeader/>
          <w:jc w:val="center"/>
        </w:trPr>
        <w:tc>
          <w:tcPr>
            <w:tcW w:w="158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68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w:t>
            </w:r>
          </w:p>
        </w:tc>
        <w:tc>
          <w:tcPr>
            <w:tcW w:w="1985"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(4)</w:t>
            </w:r>
          </w:p>
        </w:tc>
        <w:tc>
          <w:tcPr>
            <w:tcW w:w="173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(5) = (3 x 4) - (1 x 2)</w:t>
            </w:r>
          </w:p>
        </w:tc>
      </w:tr>
      <w:tr>
        <w:trPr>
          <w:trHeight w:val="285"/>
          <w:jc w:val="center"/>
        </w:trPr>
        <w:tc>
          <w:tcPr>
            <w:tcW w:w="1581" w:type="dxa"/>
            <w:tcBorders>
              <w:top w:val="single" w:sz="4" w:space="0" w:color="auto"/>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3 962 290 000</w:t>
            </w:r>
          </w:p>
        </w:tc>
        <w:tc>
          <w:tcPr>
            <w:tcW w:w="1984" w:type="dxa"/>
            <w:vMerge w:val="restart"/>
            <w:tcBorders>
              <w:top w:val="single" w:sz="4" w:space="0" w:color="auto"/>
              <w:left w:val="single" w:sz="4" w:space="0" w:color="auto"/>
              <w:bottom w:val="nil"/>
              <w:right w:val="single" w:sz="4" w:space="0" w:color="auto"/>
            </w:tcBorders>
            <w:shd w:val="clear" w:color="auto" w:fill="auto"/>
            <w:vAlign w:val="center"/>
          </w:tcPr>
          <w:p>
            <w:pPr>
              <w:jc w:val="center"/>
              <w:rPr>
                <w:noProof/>
                <w:sz w:val="18"/>
                <w:szCs w:val="18"/>
              </w:rPr>
            </w:pPr>
            <w:r>
              <w:rPr>
                <w:noProof/>
                <w:sz w:val="18"/>
                <w:szCs w:val="18"/>
              </w:rPr>
              <w:t>0,695457193055224</w:t>
            </w:r>
          </w:p>
        </w:tc>
        <w:tc>
          <w:tcPr>
            <w:tcW w:w="1701"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4 066 810 000</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tcPr>
          <w:p>
            <w:pPr>
              <w:jc w:val="center"/>
              <w:rPr>
                <w:noProof/>
                <w:sz w:val="18"/>
                <w:szCs w:val="18"/>
              </w:rPr>
            </w:pPr>
            <w:r>
              <w:rPr>
                <w:noProof/>
                <w:sz w:val="18"/>
                <w:szCs w:val="18"/>
              </w:rPr>
              <w:t>0,689800325990649</w:t>
            </w:r>
          </w:p>
        </w:tc>
        <w:tc>
          <w:tcPr>
            <w:tcW w:w="1730"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49 683 783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424 179 364</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427 824 931</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115 187</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1 378 946 658</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1 431 670 252</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28 568 235</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2 572 293 647</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2 649 207 030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38 503 754</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29 029 130 000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29 896 250 000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433 925 729</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191 530 000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195 040 000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1 337 740</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1 550 170 000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1 639 170 000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52 623 123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1 750 870 000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1 774 880 000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6 657 667</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10 187 410 000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10 369 370 000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67 887 243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21 227 610 000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21 766 090 000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251 361 912</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414 550 580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417 781 420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116 423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15 833 330 000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16 108 880 000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100 507 436</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166 690 000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168 590 000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367 677</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234 440 000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236 540 000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122 385</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357 422 961</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360 046 918</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211 888</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325 960 000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327 270 000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940 274</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1 015 356 080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1 035 441 860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8 111 444</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75 280 000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75 790 000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74 050</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6 568 330 000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6 711 260 000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61 436 991</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3 126 530 000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3 272 010 000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82 665 787</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3 945 839 251</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3 993 678 839</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10 678 675</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1 674 800 000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1 711 190 000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15 627 713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1 453 737 419</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1 464 198 166</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- 1 007 773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364 460 000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372 450 000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3 449 802</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716 950 000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731 180 000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5 760 167</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1 976 870 000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2 049 520 000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38 931 103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4 407 675 723</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4 581 057 895</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94 665 443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20 926 448 363</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21 390 560 154</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201 766 328</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135 859 100 046</w:t>
            </w:r>
          </w:p>
        </w:tc>
        <w:tc>
          <w:tcPr>
            <w:tcW w:w="1984" w:type="dxa"/>
            <w:tcBorders>
              <w:top w:val="single" w:sz="4" w:space="0" w:color="auto"/>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w:t>
            </w:r>
          </w:p>
        </w:tc>
        <w:tc>
          <w:tcPr>
            <w:tcW w:w="1701"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139 223 757 465</w:t>
            </w:r>
          </w:p>
        </w:tc>
        <w:tc>
          <w:tcPr>
            <w:tcW w:w="1985" w:type="dxa"/>
            <w:tcBorders>
              <w:top w:val="single" w:sz="4" w:space="0" w:color="auto"/>
              <w:left w:val="nil"/>
              <w:bottom w:val="single" w:sz="4" w:space="0" w:color="auto"/>
              <w:right w:val="single" w:sz="4" w:space="0" w:color="auto"/>
            </w:tcBorders>
            <w:shd w:val="clear" w:color="auto" w:fill="auto"/>
            <w:vAlign w:val="center"/>
          </w:tcPr>
          <w:p>
            <w:pPr>
              <w:jc w:val="center"/>
              <w:rPr>
                <w:b/>
                <w:noProof/>
                <w:sz w:val="18"/>
                <w:szCs w:val="18"/>
              </w:rPr>
            </w:pPr>
            <w:r>
              <w:rPr>
                <w:b/>
                <w:noProof/>
                <w:sz w:val="18"/>
                <w:szCs w:val="18"/>
              </w:rPr>
              <w:t> </w:t>
            </w:r>
          </w:p>
        </w:tc>
        <w:tc>
          <w:tcPr>
            <w:tcW w:w="1730"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1 552 404 916</w:t>
            </w:r>
          </w:p>
        </w:tc>
      </w:tr>
    </w:tbl>
    <w:p>
      <w:pPr>
        <w:pStyle w:val="ManualHeading2"/>
        <w:spacing w:before="360"/>
        <w:rPr>
          <w:rFonts w:eastAsia="Calibri"/>
          <w:noProof/>
        </w:rPr>
      </w:pPr>
      <w:bookmarkStart w:id="23" w:name="_Toc463466451"/>
      <w:r>
        <w:rPr>
          <w:rFonts w:eastAsia="Calibri"/>
          <w:noProof/>
        </w:rPr>
        <w:t xml:space="preserve">2.6 </w:t>
      </w:r>
      <w:r>
        <w:rPr>
          <w:rFonts w:eastAsia="Calibri"/>
          <w:noProof/>
        </w:rPr>
        <w:tab/>
        <w:t>Summary of the financial impact from the implementation of the ORD 2014 for the year 2014</w:t>
      </w:r>
      <w:bookmarkEnd w:id="23"/>
    </w:p>
    <w:p>
      <w:pPr>
        <w:spacing w:after="200"/>
        <w:jc w:val="both"/>
        <w:rPr>
          <w:rFonts w:eastAsiaTheme="minorHAnsi"/>
          <w:noProof/>
          <w:lang w:eastAsia="en-US"/>
        </w:rPr>
      </w:pPr>
      <w:r>
        <w:rPr>
          <w:rFonts w:eastAsiaTheme="minorHAnsi"/>
          <w:noProof/>
          <w:lang w:eastAsia="en-US"/>
        </w:rPr>
        <w:t>The following summary table shows for 2014 the global impact of the implementation of ORD 2014.  This global impact is the result of the sum of the amendments related to the new rate of collection costs, the reduced VAT call rate for some Member States, the use of ESA 2010 data for GNI, the gross reduction in the annual GNI-based contribution for Denmark, the Netherlands, Austria and Sweden and the revised financing of the 2013 UK correction.</w:t>
      </w:r>
    </w:p>
    <w:p>
      <w:pPr>
        <w:spacing w:after="200"/>
        <w:jc w:val="both"/>
        <w:rPr>
          <w:rFonts w:eastAsiaTheme="minorHAnsi"/>
          <w:noProof/>
          <w:lang w:eastAsia="en-US"/>
        </w:rPr>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pPr>
    </w:p>
    <w:tbl>
      <w:tblPr>
        <w:tblW w:w="14739" w:type="dxa"/>
        <w:jc w:val="center"/>
        <w:tblLook w:val="04A0" w:firstRow="1" w:lastRow="0" w:firstColumn="1" w:lastColumn="0" w:noHBand="0" w:noVBand="1"/>
      </w:tblPr>
      <w:tblGrid>
        <w:gridCol w:w="2009"/>
        <w:gridCol w:w="2040"/>
        <w:gridCol w:w="2400"/>
        <w:gridCol w:w="2157"/>
        <w:gridCol w:w="1826"/>
        <w:gridCol w:w="2034"/>
        <w:gridCol w:w="2273"/>
      </w:tblGrid>
      <w:tr>
        <w:trPr>
          <w:trHeight w:val="68"/>
          <w:jc w:val="center"/>
        </w:trPr>
        <w:tc>
          <w:tcPr>
            <w:tcW w:w="14739" w:type="dxa"/>
            <w:gridSpan w:val="7"/>
            <w:tcBorders>
              <w:top w:val="nil"/>
              <w:left w:val="nil"/>
              <w:bottom w:val="nil"/>
              <w:right w:val="nil"/>
            </w:tcBorders>
            <w:shd w:val="clear" w:color="000000" w:fill="FFFFFF"/>
            <w:noWrap/>
            <w:vAlign w:val="bottom"/>
            <w:hideMark/>
          </w:tcPr>
          <w:p>
            <w:pPr>
              <w:jc w:val="center"/>
              <w:rPr>
                <w:b/>
                <w:bCs/>
                <w:noProof/>
                <w:sz w:val="20"/>
                <w:szCs w:val="20"/>
              </w:rPr>
            </w:pPr>
            <w:bookmarkStart w:id="24" w:name="RANGE!B2:H34"/>
            <w:r>
              <w:rPr>
                <w:b/>
                <w:bCs/>
                <w:noProof/>
                <w:sz w:val="20"/>
                <w:szCs w:val="20"/>
              </w:rPr>
              <w:t>Retroactive impact of the new ORD for the 2014 budget</w:t>
            </w:r>
            <w:bookmarkEnd w:id="24"/>
            <w:r>
              <w:rPr>
                <w:b/>
                <w:bCs/>
                <w:noProof/>
                <w:sz w:val="20"/>
                <w:szCs w:val="20"/>
              </w:rPr>
              <w:t xml:space="preserve"> (AB 7 /2014)</w:t>
            </w:r>
          </w:p>
        </w:tc>
      </w:tr>
      <w:tr>
        <w:trPr>
          <w:trHeight w:val="120"/>
          <w:jc w:val="center"/>
        </w:trPr>
        <w:tc>
          <w:tcPr>
            <w:tcW w:w="2009"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040"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400"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157"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1826"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034"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273"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r>
      <w:tr>
        <w:trPr>
          <w:trHeight w:val="1216"/>
          <w:jc w:val="center"/>
        </w:trPr>
        <w:tc>
          <w:tcPr>
            <w:tcW w:w="2009" w:type="dxa"/>
            <w:vMerge w:val="restart"/>
            <w:tcBorders>
              <w:top w:val="single" w:sz="8" w:space="0" w:color="auto"/>
              <w:left w:val="single" w:sz="8" w:space="0" w:color="auto"/>
              <w:right w:val="single" w:sz="8" w:space="0" w:color="auto"/>
            </w:tcBorders>
            <w:shd w:val="clear" w:color="000000" w:fill="FFFFFF"/>
            <w:vAlign w:val="center"/>
            <w:hideMark/>
          </w:tcPr>
          <w:p>
            <w:pPr>
              <w:jc w:val="center"/>
              <w:rPr>
                <w:bCs/>
                <w:noProof/>
                <w:sz w:val="18"/>
                <w:szCs w:val="18"/>
              </w:rPr>
            </w:pPr>
            <w:r>
              <w:rPr>
                <w:b/>
                <w:bCs/>
                <w:noProof/>
                <w:sz w:val="18"/>
                <w:szCs w:val="18"/>
              </w:rPr>
              <w:t>Member States</w:t>
            </w:r>
            <w:r>
              <w:rPr>
                <w:b/>
                <w:bCs/>
                <w:noProof/>
                <w:sz w:val="18"/>
                <w:szCs w:val="18"/>
              </w:rPr>
              <w:br/>
            </w:r>
            <w:r>
              <w:rPr>
                <w:b/>
                <w:bCs/>
                <w:noProof/>
                <w:sz w:val="18"/>
                <w:szCs w:val="18"/>
              </w:rPr>
              <w:br/>
            </w:r>
            <w:r>
              <w:rPr>
                <w:bCs/>
                <w:noProof/>
                <w:sz w:val="18"/>
                <w:szCs w:val="18"/>
              </w:rPr>
              <w:t>(amounts in EUR)</w:t>
            </w:r>
          </w:p>
          <w:p>
            <w:pPr>
              <w:rPr>
                <w:b/>
                <w:bCs/>
                <w:noProof/>
                <w:sz w:val="18"/>
                <w:szCs w:val="18"/>
              </w:rPr>
            </w:pPr>
            <w:r>
              <w:rPr>
                <w:noProof/>
                <w:sz w:val="18"/>
                <w:szCs w:val="18"/>
              </w:rPr>
              <w:t> </w:t>
            </w:r>
          </w:p>
        </w:tc>
        <w:tc>
          <w:tcPr>
            <w:tcW w:w="2040" w:type="dxa"/>
            <w:tcBorders>
              <w:top w:val="single" w:sz="8" w:space="0" w:color="auto"/>
              <w:left w:val="nil"/>
              <w:bottom w:val="single" w:sz="8" w:space="0" w:color="auto"/>
              <w:right w:val="nil"/>
            </w:tcBorders>
            <w:shd w:val="clear" w:color="000000" w:fill="FFFFFF"/>
            <w:vAlign w:val="center"/>
            <w:hideMark/>
          </w:tcPr>
          <w:p>
            <w:pPr>
              <w:jc w:val="center"/>
              <w:rPr>
                <w:noProof/>
                <w:sz w:val="18"/>
                <w:szCs w:val="18"/>
              </w:rPr>
            </w:pPr>
            <w:r>
              <w:rPr>
                <w:noProof/>
                <w:sz w:val="18"/>
                <w:szCs w:val="18"/>
              </w:rPr>
              <w:t xml:space="preserve">Gross impact of decrease of TOR collection costs from 25% to 20% </w:t>
            </w:r>
          </w:p>
        </w:tc>
        <w:tc>
          <w:tcPr>
            <w:tcW w:w="2400"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Gross impact of reduced VAT-based call rates for DE, NL and SE + update of capping (GNI ESA 2010)</w:t>
            </w:r>
          </w:p>
        </w:tc>
        <w:tc>
          <w:tcPr>
            <w:tcW w:w="2157" w:type="dxa"/>
            <w:tcBorders>
              <w:top w:val="single" w:sz="8" w:space="0" w:color="auto"/>
              <w:left w:val="nil"/>
              <w:bottom w:val="single" w:sz="8" w:space="0" w:color="auto"/>
              <w:right w:val="nil"/>
            </w:tcBorders>
            <w:shd w:val="clear" w:color="000000" w:fill="FFFFFF"/>
            <w:vAlign w:val="center"/>
            <w:hideMark/>
          </w:tcPr>
          <w:p>
            <w:pPr>
              <w:jc w:val="center"/>
              <w:rPr>
                <w:noProof/>
                <w:sz w:val="18"/>
                <w:szCs w:val="18"/>
              </w:rPr>
            </w:pPr>
            <w:r>
              <w:rPr>
                <w:noProof/>
                <w:sz w:val="18"/>
                <w:szCs w:val="18"/>
              </w:rPr>
              <w:t>GNI reduction in favour of Netherlands, Sweden, Denmark and Austria (net impact)</w:t>
            </w:r>
          </w:p>
        </w:tc>
        <w:tc>
          <w:tcPr>
            <w:tcW w:w="1826"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Impact of changes in GNI for the financing of the 2013 United Kingdom correction</w:t>
            </w:r>
          </w:p>
        </w:tc>
        <w:tc>
          <w:tcPr>
            <w:tcW w:w="2034" w:type="dxa"/>
            <w:tcBorders>
              <w:top w:val="single" w:sz="8" w:space="0" w:color="auto"/>
              <w:left w:val="nil"/>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Net impact of all changes for GNI resource (lower TOR collection costs, reduced VAT call rates, ESA 2010)</w:t>
            </w:r>
          </w:p>
        </w:tc>
        <w:tc>
          <w:tcPr>
            <w:tcW w:w="2273" w:type="dxa"/>
            <w:tcBorders>
              <w:top w:val="single" w:sz="8" w:space="0" w:color="auto"/>
              <w:left w:val="nil"/>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Impact of the introduction of the new ORD on total own resources for 2014</w:t>
            </w:r>
          </w:p>
        </w:tc>
      </w:tr>
      <w:tr>
        <w:trPr>
          <w:trHeight w:val="288"/>
          <w:jc w:val="center"/>
        </w:trPr>
        <w:tc>
          <w:tcPr>
            <w:tcW w:w="2009" w:type="dxa"/>
            <w:vMerge/>
            <w:tcBorders>
              <w:left w:val="single" w:sz="8" w:space="0" w:color="auto"/>
              <w:bottom w:val="nil"/>
              <w:right w:val="single" w:sz="8" w:space="0" w:color="auto"/>
            </w:tcBorders>
            <w:shd w:val="clear" w:color="000000" w:fill="FFFFFF"/>
            <w:vAlign w:val="center"/>
            <w:hideMark/>
          </w:tcPr>
          <w:p>
            <w:pPr>
              <w:rPr>
                <w:noProof/>
                <w:sz w:val="18"/>
                <w:szCs w:val="18"/>
              </w:rPr>
            </w:pPr>
          </w:p>
        </w:tc>
        <w:tc>
          <w:tcPr>
            <w:tcW w:w="2040" w:type="dxa"/>
            <w:tcBorders>
              <w:top w:val="nil"/>
              <w:left w:val="nil"/>
              <w:bottom w:val="nil"/>
              <w:right w:val="nil"/>
            </w:tcBorders>
            <w:shd w:val="clear" w:color="000000" w:fill="FFFFFF"/>
            <w:vAlign w:val="center"/>
            <w:hideMark/>
          </w:tcPr>
          <w:p>
            <w:pPr>
              <w:jc w:val="center"/>
              <w:rPr>
                <w:noProof/>
                <w:sz w:val="18"/>
                <w:szCs w:val="18"/>
              </w:rPr>
            </w:pPr>
            <w:r>
              <w:rPr>
                <w:noProof/>
                <w:sz w:val="18"/>
                <w:szCs w:val="18"/>
              </w:rPr>
              <w:t>(1)</w:t>
            </w:r>
          </w:p>
        </w:tc>
        <w:tc>
          <w:tcPr>
            <w:tcW w:w="2400" w:type="dxa"/>
            <w:tcBorders>
              <w:top w:val="nil"/>
              <w:left w:val="single" w:sz="8" w:space="0" w:color="auto"/>
              <w:bottom w:val="nil"/>
              <w:right w:val="single" w:sz="8" w:space="0" w:color="auto"/>
            </w:tcBorders>
            <w:shd w:val="clear" w:color="000000" w:fill="FFFFFF"/>
            <w:vAlign w:val="center"/>
            <w:hideMark/>
          </w:tcPr>
          <w:p>
            <w:pPr>
              <w:jc w:val="center"/>
              <w:rPr>
                <w:noProof/>
                <w:sz w:val="18"/>
                <w:szCs w:val="18"/>
              </w:rPr>
            </w:pPr>
            <w:r>
              <w:rPr>
                <w:noProof/>
                <w:sz w:val="18"/>
                <w:szCs w:val="18"/>
              </w:rPr>
              <w:t>(2)</w:t>
            </w:r>
          </w:p>
        </w:tc>
        <w:tc>
          <w:tcPr>
            <w:tcW w:w="2157" w:type="dxa"/>
            <w:tcBorders>
              <w:top w:val="nil"/>
              <w:left w:val="nil"/>
              <w:bottom w:val="nil"/>
              <w:right w:val="nil"/>
            </w:tcBorders>
            <w:shd w:val="clear" w:color="000000" w:fill="FFFFFF"/>
            <w:vAlign w:val="center"/>
            <w:hideMark/>
          </w:tcPr>
          <w:p>
            <w:pPr>
              <w:jc w:val="center"/>
              <w:rPr>
                <w:noProof/>
                <w:sz w:val="18"/>
                <w:szCs w:val="18"/>
              </w:rPr>
            </w:pPr>
            <w:r>
              <w:rPr>
                <w:noProof/>
                <w:sz w:val="18"/>
                <w:szCs w:val="18"/>
              </w:rPr>
              <w:t>(3)</w:t>
            </w:r>
          </w:p>
        </w:tc>
        <w:tc>
          <w:tcPr>
            <w:tcW w:w="1826" w:type="dxa"/>
            <w:tcBorders>
              <w:top w:val="nil"/>
              <w:left w:val="single" w:sz="8" w:space="0" w:color="auto"/>
              <w:bottom w:val="nil"/>
              <w:right w:val="single" w:sz="8" w:space="0" w:color="auto"/>
            </w:tcBorders>
            <w:shd w:val="clear" w:color="000000" w:fill="FFFFFF"/>
            <w:vAlign w:val="center"/>
            <w:hideMark/>
          </w:tcPr>
          <w:p>
            <w:pPr>
              <w:jc w:val="center"/>
              <w:rPr>
                <w:noProof/>
                <w:sz w:val="18"/>
                <w:szCs w:val="18"/>
              </w:rPr>
            </w:pPr>
            <w:r>
              <w:rPr>
                <w:noProof/>
                <w:sz w:val="18"/>
                <w:szCs w:val="18"/>
              </w:rPr>
              <w:t>(4)</w:t>
            </w:r>
          </w:p>
        </w:tc>
        <w:tc>
          <w:tcPr>
            <w:tcW w:w="2034" w:type="dxa"/>
            <w:tcBorders>
              <w:top w:val="nil"/>
              <w:left w:val="nil"/>
              <w:bottom w:val="nil"/>
              <w:right w:val="single" w:sz="8" w:space="0" w:color="auto"/>
            </w:tcBorders>
            <w:shd w:val="clear" w:color="000000" w:fill="FFFFFF"/>
            <w:vAlign w:val="center"/>
            <w:hideMark/>
          </w:tcPr>
          <w:p>
            <w:pPr>
              <w:jc w:val="center"/>
              <w:rPr>
                <w:noProof/>
                <w:sz w:val="18"/>
                <w:szCs w:val="18"/>
              </w:rPr>
            </w:pPr>
            <w:r>
              <w:rPr>
                <w:noProof/>
                <w:sz w:val="18"/>
                <w:szCs w:val="18"/>
              </w:rPr>
              <w:t>(5)</w:t>
            </w:r>
          </w:p>
        </w:tc>
        <w:tc>
          <w:tcPr>
            <w:tcW w:w="2273" w:type="dxa"/>
            <w:tcBorders>
              <w:top w:val="nil"/>
              <w:left w:val="nil"/>
              <w:bottom w:val="nil"/>
              <w:right w:val="single" w:sz="8" w:space="0" w:color="auto"/>
            </w:tcBorders>
            <w:shd w:val="clear" w:color="000000" w:fill="FFFFFF"/>
            <w:vAlign w:val="center"/>
            <w:hideMark/>
          </w:tcPr>
          <w:p>
            <w:pPr>
              <w:jc w:val="center"/>
              <w:rPr>
                <w:noProof/>
                <w:sz w:val="18"/>
                <w:szCs w:val="18"/>
              </w:rPr>
            </w:pPr>
            <w:r>
              <w:rPr>
                <w:noProof/>
                <w:sz w:val="18"/>
                <w:szCs w:val="18"/>
              </w:rPr>
              <w:t>(6) = (1 to 5)</w:t>
            </w:r>
          </w:p>
        </w:tc>
      </w:tr>
      <w:tr>
        <w:trPr>
          <w:trHeight w:val="264"/>
          <w:jc w:val="center"/>
        </w:trPr>
        <w:tc>
          <w:tcPr>
            <w:tcW w:w="2009"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Belgium</w:t>
            </w:r>
          </w:p>
        </w:tc>
        <w:tc>
          <w:tcPr>
            <w:tcW w:w="2040" w:type="dxa"/>
            <w:tcBorders>
              <w:top w:val="single" w:sz="4" w:space="0" w:color="auto"/>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89 740 414</w:t>
            </w:r>
          </w:p>
        </w:tc>
        <w:tc>
          <w:tcPr>
            <w:tcW w:w="2400" w:type="dxa"/>
            <w:tcBorders>
              <w:top w:val="single" w:sz="4" w:space="0" w:color="auto"/>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single" w:sz="4" w:space="0" w:color="auto"/>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31 897 706</w:t>
            </w:r>
          </w:p>
        </w:tc>
        <w:tc>
          <w:tcPr>
            <w:tcW w:w="1826" w:type="dxa"/>
            <w:tcBorders>
              <w:top w:val="single" w:sz="4" w:space="0" w:color="auto"/>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3 708 779</w:t>
            </w:r>
          </w:p>
        </w:tc>
        <w:tc>
          <w:tcPr>
            <w:tcW w:w="2034" w:type="dxa"/>
            <w:tcBorders>
              <w:top w:val="single" w:sz="4" w:space="0" w:color="auto"/>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49 683 783</w:t>
            </w:r>
          </w:p>
        </w:tc>
        <w:tc>
          <w:tcPr>
            <w:tcW w:w="2273" w:type="dxa"/>
            <w:tcBorders>
              <w:top w:val="single" w:sz="4" w:space="0" w:color="auto"/>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175 030 682</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Bulgaria</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3 228 960</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3 355 611</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1 333 073</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115 187</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8 032 831</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Czech Republic</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11 581 651</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11 229 194</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2 988 361</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28 568 235</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54 367 441</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Denmark</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17 502 774</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- 115 719 983</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- 4 359 174</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38 503 754</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- 64 072 629</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Germany</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192 755 213</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-1 813 769 280</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234 488 897</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1 200 651</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433 925 729</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- 951 398 790</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Estonia</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1 267 548</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1 529 781</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332 760</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1 337 740</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4 467 829</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Ireland</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13 026 672</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12 856 702</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11 845 232</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52 623 123</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90 351 729</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Greece</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7 197 833</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13 921 132</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- 4 355 367</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6 657 667</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23 421 265</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Spain</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65 235 745</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81 331 342</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- 9 720 741</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67 887 243</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204 733 589</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France</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83 596 764</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170 720 623</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- 8 263 365</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251 361 912</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497 415 934</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Croatia</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2 588 877</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484 626</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3 276 836</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951 716</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116 423</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5 282 200</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Italy</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88 610 408</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126 348 739</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323 630</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100 507 436</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315 142 953</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Cyprus</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999 810</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285 000</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1 322 322</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804 662</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367 677</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3 779 471</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Latvia</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1 474 274</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1 855 283</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- 1 031 482</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122 385</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2 420 460</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Lithuania</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3 577 257</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2 824 000</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208 268</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211 888</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6 397 637</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Luxembourg</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794 690</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196 500</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2 566 917</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340 889</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940 274</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2 276 944</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Hungary</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6 328 200</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8 121 407</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2 337 605</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8 111 444</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24 898 656</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Malta</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603 270</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76 500</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594 453</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259 655</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74 050</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1 459 828</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Netherlands</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113 333 717</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- 398 511 552</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- 677 104 504</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3 427 274</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61 436 991</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- 897 418 074</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Austria</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10 664 822</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- 5 835 976</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389 713</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82 665 787</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87 104 920</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Poland</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25 136 155</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31 324 107</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- 1 736 319</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10 678 675</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65 402 618</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Portugal</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6 460 296</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13 421 585</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1 294 061</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15 627 713</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36 803 655</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Romania</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6 028 440</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11 484 324</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862 751</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- 1 007 773</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15 642 240</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Slovenia</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3 365 376</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2 921 282</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843 266</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3 449 802</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10 579 726</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Slovak Republic</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5 484 167</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5 734 953</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735 572</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5 760 167</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16 243 715</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Finland</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7 422 224</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16 075 250</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1 528 878</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38 931 103</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63 957 455</w:t>
            </w:r>
          </w:p>
        </w:tc>
      </w:tr>
      <w:tr>
        <w:trPr>
          <w:trHeight w:val="264"/>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Sweden</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26 432 220</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- 284 088 707</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- 158 317 167</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958 194</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94 665 443</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- 320 350 017</w:t>
            </w:r>
          </w:p>
        </w:tc>
      </w:tr>
      <w:tr>
        <w:trPr>
          <w:trHeight w:val="288"/>
          <w:jc w:val="center"/>
        </w:trPr>
        <w:tc>
          <w:tcPr>
            <w:tcW w:w="200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United Kingdom</w:t>
            </w:r>
          </w:p>
        </w:tc>
        <w:tc>
          <w:tcPr>
            <w:tcW w:w="2040"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148 484 220</w:t>
            </w:r>
          </w:p>
        </w:tc>
        <w:tc>
          <w:tcPr>
            <w:tcW w:w="2400"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157"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167 775 184</w:t>
            </w:r>
          </w:p>
        </w:tc>
        <w:tc>
          <w:tcPr>
            <w:tcW w:w="1826"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0</w:t>
            </w:r>
          </w:p>
        </w:tc>
        <w:tc>
          <w:tcPr>
            <w:tcW w:w="203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201 766 328</w:t>
            </w:r>
          </w:p>
        </w:tc>
        <w:tc>
          <w:tcPr>
            <w:tcW w:w="2273"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518 025 732</w:t>
            </w:r>
          </w:p>
        </w:tc>
      </w:tr>
      <w:tr>
        <w:trPr>
          <w:trHeight w:val="276"/>
          <w:jc w:val="center"/>
        </w:trPr>
        <w:tc>
          <w:tcPr>
            <w:tcW w:w="2009" w:type="dxa"/>
            <w:tcBorders>
              <w:top w:val="nil"/>
              <w:left w:val="single" w:sz="8" w:space="0" w:color="auto"/>
              <w:bottom w:val="single" w:sz="8" w:space="0" w:color="auto"/>
              <w:right w:val="single" w:sz="8" w:space="0" w:color="auto"/>
            </w:tcBorders>
            <w:shd w:val="clear" w:color="auto" w:fill="auto"/>
            <w:vAlign w:val="center"/>
            <w:hideMark/>
          </w:tcPr>
          <w:p>
            <w:pPr>
              <w:jc w:val="center"/>
              <w:rPr>
                <w:b/>
                <w:noProof/>
                <w:sz w:val="18"/>
                <w:szCs w:val="18"/>
              </w:rPr>
            </w:pPr>
            <w:r>
              <w:rPr>
                <w:b/>
                <w:noProof/>
                <w:sz w:val="18"/>
                <w:szCs w:val="18"/>
              </w:rPr>
              <w:t xml:space="preserve">Total  </w:t>
            </w:r>
          </w:p>
        </w:tc>
        <w:tc>
          <w:tcPr>
            <w:tcW w:w="2040" w:type="dxa"/>
            <w:tcBorders>
              <w:top w:val="nil"/>
              <w:left w:val="nil"/>
              <w:bottom w:val="single" w:sz="8" w:space="0" w:color="auto"/>
              <w:right w:val="nil"/>
            </w:tcBorders>
            <w:shd w:val="clear" w:color="auto" w:fill="auto"/>
            <w:vAlign w:val="center"/>
          </w:tcPr>
          <w:p>
            <w:pPr>
              <w:jc w:val="right"/>
              <w:rPr>
                <w:b/>
                <w:noProof/>
                <w:sz w:val="18"/>
                <w:szCs w:val="18"/>
              </w:rPr>
            </w:pPr>
            <w:r>
              <w:rPr>
                <w:b/>
                <w:noProof/>
                <w:sz w:val="18"/>
                <w:szCs w:val="18"/>
              </w:rPr>
              <w:t xml:space="preserve"> 942 921 997</w:t>
            </w:r>
          </w:p>
        </w:tc>
        <w:tc>
          <w:tcPr>
            <w:tcW w:w="2400" w:type="dxa"/>
            <w:tcBorders>
              <w:top w:val="nil"/>
              <w:left w:val="single" w:sz="8" w:space="0" w:color="auto"/>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-2 495 326 913</w:t>
            </w:r>
          </w:p>
        </w:tc>
        <w:tc>
          <w:tcPr>
            <w:tcW w:w="2157" w:type="dxa"/>
            <w:tcBorders>
              <w:top w:val="nil"/>
              <w:left w:val="nil"/>
              <w:bottom w:val="single" w:sz="8" w:space="0" w:color="auto"/>
              <w:right w:val="nil"/>
            </w:tcBorders>
            <w:shd w:val="clear" w:color="auto" w:fill="auto"/>
            <w:vAlign w:val="center"/>
          </w:tcPr>
          <w:p>
            <w:pPr>
              <w:jc w:val="right"/>
              <w:rPr>
                <w:b/>
                <w:noProof/>
                <w:sz w:val="18"/>
                <w:szCs w:val="18"/>
              </w:rPr>
            </w:pPr>
            <w:r>
              <w:rPr>
                <w:b/>
                <w:noProof/>
                <w:sz w:val="18"/>
                <w:szCs w:val="18"/>
              </w:rPr>
              <w:t>0</w:t>
            </w:r>
          </w:p>
        </w:tc>
        <w:tc>
          <w:tcPr>
            <w:tcW w:w="1826" w:type="dxa"/>
            <w:tcBorders>
              <w:top w:val="nil"/>
              <w:left w:val="single" w:sz="8" w:space="0" w:color="auto"/>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0</w:t>
            </w:r>
          </w:p>
        </w:tc>
        <w:tc>
          <w:tcPr>
            <w:tcW w:w="2034" w:type="dxa"/>
            <w:tcBorders>
              <w:top w:val="nil"/>
              <w:left w:val="nil"/>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1 552 404 916</w:t>
            </w:r>
          </w:p>
        </w:tc>
        <w:tc>
          <w:tcPr>
            <w:tcW w:w="2273" w:type="dxa"/>
            <w:tcBorders>
              <w:top w:val="nil"/>
              <w:left w:val="nil"/>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0</w:t>
            </w:r>
          </w:p>
        </w:tc>
      </w:tr>
    </w:tbl>
    <w:p>
      <w:pPr>
        <w:spacing w:after="200"/>
        <w:jc w:val="both"/>
        <w:rPr>
          <w:rFonts w:eastAsiaTheme="minorHAnsi"/>
          <w:noProof/>
          <w:lang w:eastAsia="en-US"/>
        </w:rPr>
      </w:pPr>
    </w:p>
    <w:p>
      <w:pPr>
        <w:spacing w:after="200"/>
        <w:jc w:val="both"/>
        <w:rPr>
          <w:rFonts w:eastAsiaTheme="minorHAnsi"/>
          <w:noProof/>
          <w:lang w:eastAsia="en-US"/>
        </w:rPr>
        <w:sectPr>
          <w:headerReference w:type="even" r:id="rId35"/>
          <w:headerReference w:type="default" r:id="rId36"/>
          <w:footerReference w:type="even" r:id="rId37"/>
          <w:footerReference w:type="default" r:id="rId38"/>
          <w:headerReference w:type="first" r:id="rId39"/>
          <w:footerReference w:type="first" r:id="rId40"/>
          <w:pgSz w:w="16839" w:h="11907" w:orient="landscape"/>
          <w:pgMar w:top="568" w:right="1021" w:bottom="284" w:left="1021" w:header="709" w:footer="432" w:gutter="0"/>
          <w:cols w:space="708"/>
          <w:docGrid w:linePitch="360"/>
        </w:sectPr>
      </w:pPr>
    </w:p>
    <w:p>
      <w:pPr>
        <w:pStyle w:val="ManualHeading1"/>
      </w:pPr>
      <w:bookmarkStart w:id="25" w:name="_Toc463466452"/>
      <w:r>
        <w:t xml:space="preserve">3. </w:t>
      </w:r>
      <w:r>
        <w:tab/>
        <w:t>Budgetary year 2015: retroactive impact of ord 2014</w:t>
      </w:r>
      <w:bookmarkEnd w:id="25"/>
    </w:p>
    <w:p>
      <w:pPr>
        <w:spacing w:after="200"/>
        <w:jc w:val="both"/>
        <w:rPr>
          <w:rFonts w:eastAsiaTheme="minorHAnsi"/>
          <w:noProof/>
          <w:lang w:eastAsia="en-US"/>
        </w:rPr>
      </w:pPr>
      <w:r>
        <w:rPr>
          <w:rFonts w:eastAsiaTheme="minorHAnsi"/>
          <w:noProof/>
          <w:lang w:eastAsia="en-US"/>
        </w:rPr>
        <w:t xml:space="preserve">The retroactive impact is calculated using the same methodology as for 2014 and is based on the latest available data for each type of own resource. </w:t>
      </w:r>
    </w:p>
    <w:p>
      <w:pPr>
        <w:pStyle w:val="ManualHeading2"/>
        <w:spacing w:before="360"/>
        <w:rPr>
          <w:rFonts w:eastAsia="Calibri"/>
          <w:noProof/>
        </w:rPr>
      </w:pPr>
      <w:bookmarkStart w:id="26" w:name="_Toc463466453"/>
      <w:r>
        <w:rPr>
          <w:rFonts w:eastAsia="Calibri"/>
          <w:noProof/>
        </w:rPr>
        <w:t xml:space="preserve">3.1 </w:t>
      </w:r>
      <w:r>
        <w:rPr>
          <w:rFonts w:eastAsia="Calibri"/>
          <w:noProof/>
        </w:rPr>
        <w:tab/>
        <w:t>Decrease in collection costs of Traditional Own Resources (TOR)</w:t>
      </w:r>
      <w:bookmarkEnd w:id="26"/>
    </w:p>
    <w:p>
      <w:pPr>
        <w:spacing w:after="200"/>
        <w:jc w:val="both"/>
        <w:rPr>
          <w:rFonts w:eastAsiaTheme="minorHAnsi"/>
          <w:noProof/>
          <w:lang w:eastAsia="en-US"/>
        </w:rPr>
      </w:pPr>
      <w:r>
        <w:rPr>
          <w:rFonts w:eastAsiaTheme="minorHAnsi"/>
          <w:noProof/>
          <w:lang w:eastAsia="en-US"/>
        </w:rPr>
        <w:t xml:space="preserve">The TOR figures included in AB 8/2015 were forecasts taking into account the 25 % collection costs. However during that year Member States have made available the actual collected amounts. Therefore, the calculation of the retroactive impact is based on the actual collected TOR updated for the collection costs of 20 %. </w:t>
      </w:r>
    </w:p>
    <w:p>
      <w:pPr>
        <w:spacing w:after="200"/>
        <w:rPr>
          <w:rFonts w:eastAsiaTheme="minorHAnsi"/>
          <w:noProof/>
          <w:lang w:eastAsia="en-US"/>
        </w:rPr>
      </w:pPr>
      <w:r>
        <w:rPr>
          <w:rFonts w:eastAsiaTheme="minorHAnsi"/>
          <w:noProof/>
          <w:lang w:eastAsia="en-US"/>
        </w:rPr>
        <w:t>The following table provides an overview of the impact of the decreased collection costs:</w:t>
      </w:r>
    </w:p>
    <w:p>
      <w:pPr>
        <w:jc w:val="center"/>
        <w:rPr>
          <w:rFonts w:eastAsiaTheme="minorHAnsi"/>
          <w:noProof/>
          <w:sz w:val="18"/>
          <w:szCs w:val="18"/>
          <w:lang w:eastAsia="en-US"/>
        </w:rPr>
      </w:pPr>
      <w:r>
        <w:rPr>
          <w:rFonts w:eastAsiaTheme="minorHAnsi"/>
          <w:noProof/>
          <w:sz w:val="18"/>
          <w:szCs w:val="18"/>
          <w:lang w:eastAsia="en-US"/>
        </w:rPr>
        <w:t>Budgetary year 2015 (in EUR)</w:t>
      </w:r>
    </w:p>
    <w:tbl>
      <w:tblPr>
        <w:tblW w:w="9057" w:type="dxa"/>
        <w:jc w:val="center"/>
        <w:tblLook w:val="04A0" w:firstRow="1" w:lastRow="0" w:firstColumn="1" w:lastColumn="0" w:noHBand="0" w:noVBand="1"/>
      </w:tblPr>
      <w:tblGrid>
        <w:gridCol w:w="1665"/>
        <w:gridCol w:w="1435"/>
        <w:gridCol w:w="1435"/>
        <w:gridCol w:w="1435"/>
        <w:gridCol w:w="1435"/>
        <w:gridCol w:w="1652"/>
      </w:tblGrid>
      <w:tr>
        <w:trPr>
          <w:trHeight w:val="263"/>
          <w:tblHeader/>
          <w:jc w:val="center"/>
        </w:trPr>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Actual amount of sugar levies collected at 25%</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Actual amount of custom duties collected at 25%</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Actual amount of sugar levies collected at 20%</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Actual amount of custom duties collected at 20%</w:t>
            </w:r>
          </w:p>
        </w:tc>
        <w:tc>
          <w:tcPr>
            <w:tcW w:w="1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Difference in collection costs </w:t>
            </w:r>
          </w:p>
        </w:tc>
      </w:tr>
      <w:tr>
        <w:trPr>
          <w:trHeight w:val="207"/>
          <w:tblHeade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43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43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43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43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652"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55"/>
          <w:tblHeade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435"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(1)</w:t>
            </w:r>
          </w:p>
        </w:tc>
        <w:tc>
          <w:tcPr>
            <w:tcW w:w="1435"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(2)</w:t>
            </w:r>
          </w:p>
        </w:tc>
        <w:tc>
          <w:tcPr>
            <w:tcW w:w="1435"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(3)</w:t>
            </w:r>
          </w:p>
        </w:tc>
        <w:tc>
          <w:tcPr>
            <w:tcW w:w="1435"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(4)</w:t>
            </w:r>
          </w:p>
        </w:tc>
        <w:tc>
          <w:tcPr>
            <w:tcW w:w="1652"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(5) = (3+4) - (1+2)</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6 633 998</w:t>
            </w:r>
          </w:p>
        </w:tc>
        <w:tc>
          <w:tcPr>
            <w:tcW w:w="143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1 772 171 335</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7 076 265</w:t>
            </w:r>
          </w:p>
        </w:tc>
        <w:tc>
          <w:tcPr>
            <w:tcW w:w="143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1 890 316 090</w:t>
            </w:r>
          </w:p>
        </w:tc>
        <w:tc>
          <w:tcPr>
            <w:tcW w:w="1652"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118 587 022</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401 733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59 444 034</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428 515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63 406 970</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3 989 718</w:t>
            </w:r>
          </w:p>
        </w:tc>
      </w:tr>
      <w:tr>
        <w:trPr>
          <w:trHeight w:val="32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3 324 606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220 581 842</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3 546 246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235 287 298</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14 927 096</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3 359 093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327 902 556</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3 583 033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349 762 726</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22 084 110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26 242 225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3 815 805 891</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27 991 707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4 070 192 950</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256 136 541</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25 298 074</w:t>
            </w:r>
          </w:p>
        </w:tc>
        <w:tc>
          <w:tcPr>
            <w:tcW w:w="143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26 984 612</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1 686 538</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280 925 400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299 653 760</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18 728 360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1 428 318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135 746 740</w:t>
            </w:r>
          </w:p>
        </w:tc>
        <w:tc>
          <w:tcPr>
            <w:tcW w:w="1435" w:type="dxa"/>
            <w:tcBorders>
              <w:top w:val="nil"/>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1 523 539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144 796 523</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9 145 004</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4 044 126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1 312 929 886</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4 313 735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1 400 458 545</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87 798 268</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31 039 634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1 562 649 013</w:t>
            </w:r>
          </w:p>
        </w:tc>
        <w:tc>
          <w:tcPr>
            <w:tcW w:w="143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33 108 943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1 666 825 614</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106 245 910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1 732 380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38 417 658</w:t>
            </w:r>
          </w:p>
        </w:tc>
        <w:tc>
          <w:tcPr>
            <w:tcW w:w="143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1 847 871</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40 978 836</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2 676 669</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3 962 693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1 684 758 024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4 226 873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1 797 075 225</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112 581 381</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18 343 389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19 566 282</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1 222 893</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29 713 167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31 694 045</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1 980 878</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812 268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73 054 273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866 419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77 924 558</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4 924 436</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16 481 816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17 580 604</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1 098 788</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1 818 391</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123 471 858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1 939 617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131 703 315</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8 352 683</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11 806 196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12 593 276</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787 080</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7 179 140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2 180 736 875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7 657 750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2 326 119 333</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145 861 068</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3 159 247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193 962 422</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3 369 863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206 893 251</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13 141 445</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12 556 066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495 366 809</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13 393 137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528 391 263</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33 861 525</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56 250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117 680 528</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60 000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125 525 897</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7 849 119</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779 026</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124 903 005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830 962</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133 229 871</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8 378 802</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62 685 963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66 865 027</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4 179 064</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1 317 301</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87 560 374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1 405 121</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93 397 732</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5 925 178</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728 991</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124 345 170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777 590</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132 634 848</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8 338 277</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2 569 427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501 505 841</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2 740 723</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534 939 563</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33 605 018</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9 488 734</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2 973 243 555</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10 121 317</w:t>
            </w:r>
          </w:p>
        </w:tc>
        <w:tc>
          <w:tcPr>
            <w:tcW w:w="14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3 171 459 791</w:t>
            </w:r>
          </w:p>
        </w:tc>
        <w:tc>
          <w:tcPr>
            <w:tcW w:w="1652"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198 848 819</w:t>
            </w:r>
          </w:p>
        </w:tc>
      </w:tr>
      <w:tr>
        <w:trPr>
          <w:trHeight w:val="285"/>
          <w:jc w:val="center"/>
        </w:trPr>
        <w:tc>
          <w:tcPr>
            <w:tcW w:w="1665"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435"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xml:space="preserve"> 122 633 647</w:t>
            </w:r>
          </w:p>
        </w:tc>
        <w:tc>
          <w:tcPr>
            <w:tcW w:w="143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18 371 491 694</w:t>
            </w:r>
          </w:p>
        </w:tc>
        <w:tc>
          <w:tcPr>
            <w:tcW w:w="143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xml:space="preserve"> 130 809 226</w:t>
            </w:r>
          </w:p>
        </w:tc>
        <w:tc>
          <w:tcPr>
            <w:tcW w:w="143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19 596 257 805</w:t>
            </w:r>
          </w:p>
        </w:tc>
        <w:tc>
          <w:tcPr>
            <w:tcW w:w="1652"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1 232 941 690</w:t>
            </w:r>
          </w:p>
        </w:tc>
      </w:tr>
    </w:tbl>
    <w:p>
      <w:pPr>
        <w:pStyle w:val="ManualHeading2"/>
        <w:spacing w:before="360"/>
        <w:rPr>
          <w:rFonts w:eastAsia="Calibri"/>
          <w:noProof/>
        </w:rPr>
      </w:pPr>
      <w:bookmarkStart w:id="27" w:name="_Toc463466454"/>
      <w:r>
        <w:rPr>
          <w:rFonts w:eastAsia="Calibri"/>
          <w:noProof/>
        </w:rPr>
        <w:t xml:space="preserve">3.2 </w:t>
      </w:r>
      <w:r>
        <w:rPr>
          <w:rFonts w:eastAsia="Calibri"/>
          <w:noProof/>
        </w:rPr>
        <w:tab/>
        <w:t>Rate of call of the VAT-based resource</w:t>
      </w:r>
      <w:bookmarkEnd w:id="27"/>
    </w:p>
    <w:p>
      <w:pPr>
        <w:spacing w:after="200"/>
        <w:jc w:val="both"/>
        <w:rPr>
          <w:rFonts w:eastAsiaTheme="minorHAnsi"/>
          <w:noProof/>
          <w:lang w:eastAsia="en-US"/>
        </w:rPr>
      </w:pPr>
      <w:r>
        <w:rPr>
          <w:rFonts w:eastAsiaTheme="minorHAnsi"/>
          <w:noProof/>
          <w:lang w:eastAsia="en-US"/>
        </w:rPr>
        <w:t>According to ORD 2014, the uniform rate of call of the VAT based resource is fixed at 0.30 % from 1 January 2014. However, for the period 2014-2020, the rate of call of the VAT based own resource for Germany, the Netherlands and Sweden has been fixed at 0.15 %.</w:t>
      </w:r>
    </w:p>
    <w:p>
      <w:pPr>
        <w:spacing w:after="200"/>
        <w:jc w:val="both"/>
        <w:rPr>
          <w:rFonts w:eastAsiaTheme="minorHAnsi"/>
          <w:noProof/>
          <w:lang w:eastAsia="en-US"/>
        </w:rPr>
      </w:pPr>
      <w:r>
        <w:rPr>
          <w:rFonts w:eastAsiaTheme="minorHAnsi"/>
          <w:noProof/>
          <w:lang w:eastAsia="en-US"/>
        </w:rPr>
        <w:t>The impact of the new ORD has been calculated based on the forecasts included in the final budget 2015 (AB 8/2015), which corresponds to the amounts as adopted at the 163th meeting of the Advisory Committee  on Own Resources on 19 May 2015. These data are the latest available data for the VAT base for 2015.</w:t>
      </w:r>
    </w:p>
    <w:p>
      <w:pPr>
        <w:spacing w:after="200"/>
        <w:jc w:val="both"/>
        <w:rPr>
          <w:rFonts w:eastAsiaTheme="minorHAnsi"/>
          <w:noProof/>
          <w:lang w:eastAsia="en-US"/>
        </w:rPr>
      </w:pPr>
      <w:r>
        <w:rPr>
          <w:rFonts w:eastAsiaTheme="minorHAnsi"/>
          <w:noProof/>
          <w:lang w:eastAsia="en-US"/>
        </w:rPr>
        <w:t>The revised VAT based own resource contributions taking into account the new rates are set out in the following table:</w:t>
      </w:r>
    </w:p>
    <w:p>
      <w:pPr>
        <w:jc w:val="center"/>
        <w:rPr>
          <w:rFonts w:eastAsiaTheme="minorHAnsi"/>
          <w:noProof/>
          <w:sz w:val="18"/>
          <w:szCs w:val="18"/>
          <w:lang w:eastAsia="en-US"/>
        </w:rPr>
      </w:pPr>
      <w:r>
        <w:rPr>
          <w:rFonts w:eastAsiaTheme="minorHAnsi"/>
          <w:noProof/>
          <w:sz w:val="18"/>
          <w:szCs w:val="18"/>
          <w:lang w:eastAsia="en-US"/>
        </w:rPr>
        <w:t>Budgetary year 2015 (in EUR)</w:t>
      </w:r>
    </w:p>
    <w:tbl>
      <w:tblPr>
        <w:tblW w:w="9802" w:type="dxa"/>
        <w:jc w:val="center"/>
        <w:tblLook w:val="04A0" w:firstRow="1" w:lastRow="0" w:firstColumn="1" w:lastColumn="0" w:noHBand="0" w:noVBand="1"/>
      </w:tblPr>
      <w:tblGrid>
        <w:gridCol w:w="1560"/>
        <w:gridCol w:w="1522"/>
        <w:gridCol w:w="1560"/>
        <w:gridCol w:w="1567"/>
        <w:gridCol w:w="1567"/>
        <w:gridCol w:w="2026"/>
      </w:tblGrid>
      <w:tr>
        <w:trPr>
          <w:trHeight w:val="939"/>
          <w:tblHeader/>
          <w:jc w:val="center"/>
        </w:trPr>
        <w:tc>
          <w:tcPr>
            <w:tcW w:w="1560" w:type="dxa"/>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522"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rFonts w:eastAsiaTheme="minorHAnsi"/>
                <w:noProof/>
                <w:sz w:val="18"/>
                <w:szCs w:val="18"/>
                <w:lang w:eastAsia="en-US"/>
              </w:rPr>
              <w:t xml:space="preserve">1% of capped VAT base              </w:t>
            </w:r>
            <w:r>
              <w:rPr>
                <w:rFonts w:eastAsiaTheme="minorHAnsi"/>
                <w:noProof/>
                <w:sz w:val="18"/>
                <w:szCs w:val="18"/>
                <w:lang w:eastAsia="en-US"/>
              </w:rPr>
              <w:br/>
              <w:t xml:space="preserve">  (as AB 8/2015)</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rFonts w:eastAsiaTheme="minorHAnsi"/>
                <w:noProof/>
                <w:sz w:val="18"/>
                <w:szCs w:val="18"/>
                <w:lang w:eastAsia="en-US"/>
              </w:rPr>
              <w:t xml:space="preserve">1% of capped VAT base              </w:t>
            </w:r>
            <w:r>
              <w:rPr>
                <w:rFonts w:eastAsiaTheme="minorHAnsi"/>
                <w:noProof/>
                <w:sz w:val="18"/>
                <w:szCs w:val="18"/>
                <w:lang w:eastAsia="en-US"/>
              </w:rPr>
              <w:br/>
              <w:t>(capping GNI ESA 2010)</w:t>
            </w:r>
          </w:p>
        </w:tc>
        <w:tc>
          <w:tcPr>
            <w:tcW w:w="1567"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rFonts w:eastAsiaTheme="minorHAnsi"/>
                <w:noProof/>
                <w:sz w:val="18"/>
                <w:szCs w:val="18"/>
                <w:lang w:eastAsia="en-US"/>
              </w:rPr>
              <w:t>Uniform rate of VAT-based own resource (in %) according to ORD 2007</w:t>
            </w:r>
          </w:p>
        </w:tc>
        <w:tc>
          <w:tcPr>
            <w:tcW w:w="1567"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rFonts w:eastAsiaTheme="minorHAnsi"/>
                <w:noProof/>
                <w:sz w:val="18"/>
                <w:szCs w:val="18"/>
                <w:lang w:eastAsia="en-US"/>
              </w:rPr>
              <w:t>Uniform rate of VAT-based own resource (in %) according to ORD 2014</w:t>
            </w:r>
          </w:p>
        </w:tc>
        <w:tc>
          <w:tcPr>
            <w:tcW w:w="2026" w:type="dxa"/>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rFonts w:eastAsiaTheme="minorHAnsi"/>
                <w:noProof/>
                <w:sz w:val="18"/>
                <w:szCs w:val="18"/>
                <w:lang w:eastAsia="en-US"/>
              </w:rPr>
              <w:t>Difference in the VAT-based own resource contributions according to ORD 2014</w:t>
            </w:r>
          </w:p>
        </w:tc>
      </w:tr>
      <w:tr>
        <w:trPr>
          <w:trHeight w:val="285"/>
          <w:tblHeader/>
          <w:jc w:val="center"/>
        </w:trPr>
        <w:tc>
          <w:tcPr>
            <w:tcW w:w="1560" w:type="dxa"/>
            <w:vMerge/>
            <w:tcBorders>
              <w:left w:val="single" w:sz="4" w:space="0" w:color="auto"/>
              <w:bottom w:val="single" w:sz="4" w:space="0" w:color="auto"/>
              <w:right w:val="single" w:sz="4" w:space="0" w:color="auto"/>
            </w:tcBorders>
            <w:shd w:val="clear" w:color="auto" w:fill="auto"/>
            <w:vAlign w:val="center"/>
          </w:tcPr>
          <w:p>
            <w:pPr>
              <w:jc w:val="both"/>
              <w:rPr>
                <w:noProof/>
                <w:sz w:val="18"/>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heme="minorHAnsi"/>
                <w:noProof/>
                <w:sz w:val="18"/>
                <w:szCs w:val="18"/>
                <w:lang w:eastAsia="en-US"/>
              </w:rPr>
            </w:pPr>
            <w:r>
              <w:rPr>
                <w:noProof/>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tcPr>
          <w:p>
            <w:pPr>
              <w:jc w:val="center"/>
              <w:rPr>
                <w:rFonts w:eastAsiaTheme="minorHAnsi"/>
                <w:noProof/>
                <w:sz w:val="18"/>
                <w:szCs w:val="18"/>
                <w:lang w:eastAsia="en-US"/>
              </w:rPr>
            </w:pPr>
            <w:r>
              <w:rPr>
                <w:noProof/>
                <w:sz w:val="18"/>
                <w:szCs w:val="18"/>
              </w:rPr>
              <w:t>(2)</w:t>
            </w:r>
          </w:p>
        </w:tc>
        <w:tc>
          <w:tcPr>
            <w:tcW w:w="1567" w:type="dxa"/>
            <w:tcBorders>
              <w:top w:val="single" w:sz="4" w:space="0" w:color="auto"/>
              <w:left w:val="nil"/>
              <w:bottom w:val="nil"/>
              <w:right w:val="single" w:sz="4" w:space="0" w:color="auto"/>
            </w:tcBorders>
            <w:shd w:val="clear" w:color="auto" w:fill="auto"/>
            <w:vAlign w:val="center"/>
          </w:tcPr>
          <w:p>
            <w:pPr>
              <w:jc w:val="center"/>
              <w:rPr>
                <w:rFonts w:eastAsiaTheme="minorHAnsi"/>
                <w:noProof/>
                <w:sz w:val="18"/>
                <w:szCs w:val="18"/>
                <w:lang w:eastAsia="en-US"/>
              </w:rPr>
            </w:pPr>
            <w:r>
              <w:rPr>
                <w:noProof/>
                <w:sz w:val="18"/>
                <w:szCs w:val="18"/>
              </w:rPr>
              <w:t>(3)</w:t>
            </w:r>
          </w:p>
        </w:tc>
        <w:tc>
          <w:tcPr>
            <w:tcW w:w="1567" w:type="dxa"/>
            <w:tcBorders>
              <w:top w:val="single" w:sz="4" w:space="0" w:color="auto"/>
              <w:left w:val="nil"/>
              <w:bottom w:val="single" w:sz="4" w:space="0" w:color="auto"/>
              <w:right w:val="single" w:sz="4" w:space="0" w:color="auto"/>
            </w:tcBorders>
            <w:shd w:val="clear" w:color="auto" w:fill="auto"/>
            <w:vAlign w:val="center"/>
          </w:tcPr>
          <w:p>
            <w:pPr>
              <w:jc w:val="center"/>
              <w:rPr>
                <w:rFonts w:eastAsiaTheme="minorHAnsi"/>
                <w:noProof/>
                <w:sz w:val="18"/>
                <w:szCs w:val="18"/>
                <w:lang w:eastAsia="en-US"/>
              </w:rPr>
            </w:pPr>
            <w:r>
              <w:rPr>
                <w:noProof/>
                <w:sz w:val="18"/>
                <w:szCs w:val="18"/>
              </w:rPr>
              <w:t>(4)</w:t>
            </w:r>
          </w:p>
        </w:tc>
        <w:tc>
          <w:tcPr>
            <w:tcW w:w="2026" w:type="dxa"/>
            <w:tcBorders>
              <w:top w:val="single" w:sz="4" w:space="0" w:color="auto"/>
              <w:left w:val="nil"/>
              <w:bottom w:val="single" w:sz="4" w:space="0" w:color="auto"/>
              <w:right w:val="single" w:sz="4" w:space="0" w:color="auto"/>
            </w:tcBorders>
            <w:shd w:val="clear" w:color="auto" w:fill="auto"/>
            <w:vAlign w:val="center"/>
          </w:tcPr>
          <w:p>
            <w:pPr>
              <w:jc w:val="center"/>
              <w:rPr>
                <w:rFonts w:eastAsiaTheme="minorHAnsi"/>
                <w:noProof/>
                <w:color w:val="000000"/>
                <w:sz w:val="18"/>
                <w:szCs w:val="18"/>
                <w:lang w:eastAsia="en-US"/>
              </w:rPr>
            </w:pPr>
            <w:r>
              <w:rPr>
                <w:noProof/>
                <w:sz w:val="18"/>
                <w:szCs w:val="18"/>
              </w:rPr>
              <w:t>(5) = (2 x 4) - (1 x 3)</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1 706 142 000</w:t>
            </w:r>
          </w:p>
        </w:tc>
        <w:tc>
          <w:tcPr>
            <w:tcW w:w="1560"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1 706 142 000</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single" w:sz="4" w:space="0" w:color="auto"/>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198 876 547</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198 876 547</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647 411 520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647 411 520</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1 009 757 767</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1 009 757 767</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12 589 972 422</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12 589 972 422</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0.15</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-1 888 495 864</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94 993 380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94 993 380</w:t>
            </w:r>
          </w:p>
        </w:tc>
        <w:tc>
          <w:tcPr>
            <w:tcW w:w="1567" w:type="dxa"/>
            <w:tcBorders>
              <w:top w:val="single" w:sz="4" w:space="0" w:color="auto"/>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716 534 000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716 534 000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721 214 000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721 214 000</w:t>
            </w:r>
          </w:p>
        </w:tc>
        <w:tc>
          <w:tcPr>
            <w:tcW w:w="1567" w:type="dxa"/>
            <w:tcBorders>
              <w:top w:val="nil"/>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4 426 469 500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4 426 469 500</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9 641 876 785</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9 641 876 785</w:t>
            </w:r>
          </w:p>
        </w:tc>
        <w:tc>
          <w:tcPr>
            <w:tcW w:w="1567" w:type="dxa"/>
            <w:tcBorders>
              <w:top w:val="single" w:sz="4" w:space="0" w:color="auto"/>
              <w:left w:val="nil"/>
              <w:bottom w:val="nil"/>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207 350 832</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209 496 947</w:t>
            </w:r>
          </w:p>
        </w:tc>
        <w:tc>
          <w:tcPr>
            <w:tcW w:w="1567" w:type="dxa"/>
            <w:tcBorders>
              <w:top w:val="single" w:sz="4" w:space="0" w:color="auto"/>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643 834</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5 678 630 500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5 678 630 500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81 024 000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84 002 500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893 550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89 467 685</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89 467 685</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141 763 284</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141 763 284</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151 384 000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151 741 000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107 100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424 456 952</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424 456 952</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39 736 868</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39 998 618</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78 525</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2 656 093 000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2 656 093 000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0.15</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- 398 413 950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1 499 133 500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1 499 133 500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1 673 268 277</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1 673 268 277</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785 527 000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785 527 000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545 644 129</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545 644 129</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183 458 000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186 363 000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871 500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260 067 500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260 067 500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913 380 000</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913 380 000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1 871 874 481</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1 871 874 481</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0.15</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- 280 781 172</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11 122 338 554</w:t>
            </w:r>
          </w:p>
        </w:tc>
        <w:tc>
          <w:tcPr>
            <w:tcW w:w="156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11 122 338 554</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5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2026"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560"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522"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60 077 846 483</w:t>
            </w:r>
          </w:p>
        </w:tc>
        <w:tc>
          <w:tcPr>
            <w:tcW w:w="1560"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60 086 494 848</w:t>
            </w:r>
          </w:p>
        </w:tc>
        <w:tc>
          <w:tcPr>
            <w:tcW w:w="1567"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w:t>
            </w:r>
          </w:p>
        </w:tc>
        <w:tc>
          <w:tcPr>
            <w:tcW w:w="1567"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w:t>
            </w:r>
          </w:p>
        </w:tc>
        <w:tc>
          <w:tcPr>
            <w:tcW w:w="2026"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-2 565 096 477</w:t>
            </w:r>
          </w:p>
        </w:tc>
      </w:tr>
    </w:tbl>
    <w:p>
      <w:pPr>
        <w:pStyle w:val="ManualHeading2"/>
        <w:spacing w:before="360"/>
        <w:rPr>
          <w:rFonts w:eastAsia="Calibri"/>
          <w:noProof/>
        </w:rPr>
      </w:pPr>
      <w:bookmarkStart w:id="28" w:name="_Toc463466455"/>
      <w:r>
        <w:rPr>
          <w:rFonts w:eastAsia="Calibri"/>
          <w:noProof/>
        </w:rPr>
        <w:t xml:space="preserve">3.3 </w:t>
      </w:r>
      <w:r>
        <w:rPr>
          <w:rFonts w:eastAsia="Calibri"/>
          <w:noProof/>
        </w:rPr>
        <w:tab/>
        <w:t>Gross reductions in their annual GNI-bassed contributions for Denmark, the Netherlands, Sweden and Austria</w:t>
      </w:r>
      <w:bookmarkEnd w:id="28"/>
    </w:p>
    <w:p>
      <w:pPr>
        <w:spacing w:after="200"/>
        <w:jc w:val="both"/>
        <w:rPr>
          <w:rFonts w:eastAsiaTheme="minorHAnsi"/>
          <w:noProof/>
          <w:lang w:eastAsia="en-US"/>
        </w:rPr>
      </w:pPr>
      <w:r>
        <w:rPr>
          <w:rFonts w:eastAsiaTheme="minorHAnsi"/>
          <w:noProof/>
          <w:lang w:eastAsia="en-US"/>
        </w:rPr>
        <w:t>According to ORD 2014, Denmark, the Netherlands, Sweden and Austria are entitled to a gross reduction in their annual GNI-based contributions of respectively EUR 130 million, EUR 695 million, EUR 185 million and EUR 20 million in 2011 prices adjusted to current prices by applying the GDP deflator for the EU expressed in Euro.</w:t>
      </w:r>
    </w:p>
    <w:p>
      <w:pPr>
        <w:spacing w:after="200"/>
        <w:jc w:val="both"/>
        <w:rPr>
          <w:rFonts w:eastAsiaTheme="minorHAnsi"/>
          <w:noProof/>
          <w:lang w:eastAsia="en-US"/>
        </w:rPr>
      </w:pPr>
      <w:r>
        <w:rPr>
          <w:rFonts w:eastAsiaTheme="minorHAnsi"/>
          <w:noProof/>
          <w:lang w:eastAsia="en-US"/>
        </w:rPr>
        <w:t>The following table provides an overview of the gross reductions and their financing.</w:t>
      </w:r>
    </w:p>
    <w:p>
      <w:pPr>
        <w:jc w:val="center"/>
        <w:rPr>
          <w:rFonts w:eastAsiaTheme="minorHAnsi"/>
          <w:noProof/>
          <w:sz w:val="18"/>
          <w:szCs w:val="18"/>
          <w:lang w:eastAsia="en-US"/>
        </w:rPr>
      </w:pPr>
      <w:r>
        <w:rPr>
          <w:rFonts w:eastAsiaTheme="minorHAnsi"/>
          <w:noProof/>
          <w:sz w:val="18"/>
          <w:szCs w:val="18"/>
          <w:lang w:eastAsia="en-US"/>
        </w:rPr>
        <w:t>Budgetary year 2015 (in EUR)</w:t>
      </w:r>
    </w:p>
    <w:tbl>
      <w:tblPr>
        <w:tblW w:w="9373" w:type="dxa"/>
        <w:jc w:val="center"/>
        <w:tblLook w:val="04A0" w:firstRow="1" w:lastRow="0" w:firstColumn="1" w:lastColumn="0" w:noHBand="0" w:noVBand="1"/>
      </w:tblPr>
      <w:tblGrid>
        <w:gridCol w:w="2076"/>
        <w:gridCol w:w="1736"/>
        <w:gridCol w:w="1588"/>
        <w:gridCol w:w="1750"/>
        <w:gridCol w:w="2223"/>
      </w:tblGrid>
      <w:tr>
        <w:trPr>
          <w:trHeight w:val="420"/>
          <w:tblHeader/>
          <w:jc w:val="center"/>
        </w:trPr>
        <w:tc>
          <w:tcPr>
            <w:tcW w:w="2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Gross reduction</w:t>
            </w:r>
          </w:p>
        </w:tc>
        <w:tc>
          <w:tcPr>
            <w:tcW w:w="1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Percentage share of GNI base</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GNI key applied to the gross reduction</w:t>
            </w:r>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Financing of the reduction in favour of Denmark, Netherlands, Austria and Sweden</w:t>
            </w:r>
          </w:p>
        </w:tc>
      </w:tr>
      <w:tr>
        <w:trPr>
          <w:trHeight w:val="207"/>
          <w:tblHeader/>
          <w:jc w:val="center"/>
        </w:trPr>
        <w:tc>
          <w:tcPr>
            <w:tcW w:w="2076" w:type="dxa"/>
            <w:vMerge/>
            <w:tcBorders>
              <w:top w:val="nil"/>
              <w:left w:val="single" w:sz="4" w:space="0" w:color="auto"/>
              <w:bottom w:val="single" w:sz="4" w:space="0" w:color="auto"/>
              <w:right w:val="single" w:sz="4" w:space="0" w:color="auto"/>
            </w:tcBorders>
            <w:vAlign w:val="center"/>
            <w:hideMark/>
          </w:tcPr>
          <w:p>
            <w:pPr>
              <w:rPr>
                <w:noProof/>
                <w:sz w:val="18"/>
                <w:szCs w:val="18"/>
              </w:rPr>
            </w:pPr>
          </w:p>
        </w:tc>
        <w:tc>
          <w:tcPr>
            <w:tcW w:w="1736" w:type="dxa"/>
            <w:vMerge/>
            <w:tcBorders>
              <w:top w:val="nil"/>
              <w:left w:val="single" w:sz="4" w:space="0" w:color="auto"/>
              <w:bottom w:val="single" w:sz="4" w:space="0" w:color="000000"/>
              <w:right w:val="single" w:sz="4" w:space="0" w:color="auto"/>
            </w:tcBorders>
            <w:vAlign w:val="center"/>
            <w:hideMark/>
          </w:tcPr>
          <w:p>
            <w:pPr>
              <w:rPr>
                <w:noProof/>
                <w:sz w:val="18"/>
                <w:szCs w:val="18"/>
              </w:rPr>
            </w:pPr>
          </w:p>
        </w:tc>
        <w:tc>
          <w:tcPr>
            <w:tcW w:w="1588" w:type="dxa"/>
            <w:vMerge/>
            <w:tcBorders>
              <w:top w:val="nil"/>
              <w:left w:val="single" w:sz="4" w:space="0" w:color="auto"/>
              <w:bottom w:val="single" w:sz="4" w:space="0" w:color="000000"/>
              <w:right w:val="single" w:sz="4" w:space="0" w:color="auto"/>
            </w:tcBorders>
            <w:vAlign w:val="center"/>
            <w:hideMark/>
          </w:tcPr>
          <w:p>
            <w:pPr>
              <w:rPr>
                <w:noProof/>
                <w:sz w:val="18"/>
                <w:szCs w:val="18"/>
              </w:rPr>
            </w:pPr>
          </w:p>
        </w:tc>
        <w:tc>
          <w:tcPr>
            <w:tcW w:w="1750" w:type="dxa"/>
            <w:vMerge/>
            <w:tcBorders>
              <w:top w:val="nil"/>
              <w:left w:val="single" w:sz="4" w:space="0" w:color="auto"/>
              <w:bottom w:val="single" w:sz="4" w:space="0" w:color="auto"/>
              <w:right w:val="single" w:sz="4" w:space="0" w:color="auto"/>
            </w:tcBorders>
            <w:vAlign w:val="center"/>
            <w:hideMark/>
          </w:tcPr>
          <w:p>
            <w:pPr>
              <w:rPr>
                <w:noProof/>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pPr>
              <w:rPr>
                <w:noProof/>
                <w:sz w:val="18"/>
                <w:szCs w:val="18"/>
              </w:rPr>
            </w:pPr>
          </w:p>
        </w:tc>
      </w:tr>
      <w:tr>
        <w:trPr>
          <w:trHeight w:val="300"/>
          <w:tblHeader/>
          <w:jc w:val="center"/>
        </w:trPr>
        <w:tc>
          <w:tcPr>
            <w:tcW w:w="2076" w:type="dxa"/>
            <w:vMerge/>
            <w:tcBorders>
              <w:top w:val="nil"/>
              <w:left w:val="single" w:sz="4" w:space="0" w:color="auto"/>
              <w:bottom w:val="single" w:sz="4" w:space="0" w:color="auto"/>
              <w:right w:val="single" w:sz="4" w:space="0" w:color="auto"/>
            </w:tcBorders>
            <w:vAlign w:val="center"/>
            <w:hideMark/>
          </w:tcPr>
          <w:p>
            <w:pPr>
              <w:rPr>
                <w:noProof/>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588"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75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w:t>
            </w:r>
          </w:p>
        </w:tc>
        <w:tc>
          <w:tcPr>
            <w:tcW w:w="2223"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(4) = (1 + 3)</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2,89%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31 580 047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31 580 047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3 153 538</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3 153 538</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1,04%</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11 381 855</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11 381 855</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- 138 079 013</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1,89%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20 706 540</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- 117 372 473</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21,43%</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234 414 561</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234 414 561</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0,14%</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1 504 288</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1 504 288</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1,18%</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12 894 883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12 894 883</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1,24%</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13 588 185</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13 588 185</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7,57%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82 793 953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82 793 953</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15,46%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169 094 348</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169 094 348</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3 184 492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3 184 492</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11,36%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124 246 094</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124 246 094</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0,12%</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1 276 893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1 276 893</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0,17%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1 880 067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1 880 067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0,25%</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2 770 147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2 770 147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0,21%</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2 306 563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2 306 563</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0,73%</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7 947 801</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7 947 801</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0,06%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608 005</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608 005</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- 738 191 649</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4,67%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51 084 321</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- 687 107 328</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- 21 242 925</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2,33%</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25 440 242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4 197 317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2,82%</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30 878 890</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30 878 890</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1,22%</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13 299 627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13 299 627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1,06%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11 599 727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11 599 727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2 856 470</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2 856 470</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0,52%</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5 697 789</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5 697 789</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1,44%</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15 722 817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15 722 817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- 196 497 058</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3,12%</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34 115 841</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- 162 381 217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16,27%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177 982 661</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177 982 661</w:t>
            </w:r>
          </w:p>
        </w:tc>
      </w:tr>
      <w:tr>
        <w:trPr>
          <w:trHeight w:val="83"/>
          <w:jc w:val="center"/>
        </w:trPr>
        <w:tc>
          <w:tcPr>
            <w:tcW w:w="2076"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-1 094 010 645</w:t>
            </w:r>
          </w:p>
        </w:tc>
        <w:tc>
          <w:tcPr>
            <w:tcW w:w="1588"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100,00%</w:t>
            </w:r>
          </w:p>
        </w:tc>
        <w:tc>
          <w:tcPr>
            <w:tcW w:w="1750"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1 094 010 645</w:t>
            </w:r>
          </w:p>
        </w:tc>
        <w:tc>
          <w:tcPr>
            <w:tcW w:w="2223"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r>
      <w:tr>
        <w:trPr>
          <w:trHeight w:val="83"/>
          <w:jc w:val="center"/>
        </w:trPr>
        <w:tc>
          <w:tcPr>
            <w:tcW w:w="2076" w:type="dxa"/>
            <w:tcBorders>
              <w:top w:val="nil"/>
              <w:left w:val="nil"/>
              <w:bottom w:val="nil"/>
              <w:right w:val="nil"/>
            </w:tcBorders>
            <w:shd w:val="clear" w:color="auto" w:fill="auto"/>
            <w:noWrap/>
            <w:vAlign w:val="center"/>
            <w:hideMark/>
          </w:tcPr>
          <w:p>
            <w:pPr>
              <w:jc w:val="right"/>
              <w:rPr>
                <w:noProof/>
                <w:sz w:val="18"/>
                <w:szCs w:val="18"/>
              </w:rPr>
            </w:pPr>
          </w:p>
        </w:tc>
        <w:tc>
          <w:tcPr>
            <w:tcW w:w="1736" w:type="dxa"/>
            <w:tcBorders>
              <w:top w:val="nil"/>
              <w:left w:val="nil"/>
              <w:bottom w:val="nil"/>
              <w:right w:val="nil"/>
            </w:tcBorders>
            <w:shd w:val="clear" w:color="auto" w:fill="auto"/>
            <w:noWrap/>
            <w:vAlign w:val="bottom"/>
            <w:hideMark/>
          </w:tcPr>
          <w:p>
            <w:pPr>
              <w:rPr>
                <w:noProof/>
                <w:sz w:val="18"/>
                <w:szCs w:val="18"/>
              </w:rPr>
            </w:pPr>
          </w:p>
        </w:tc>
        <w:tc>
          <w:tcPr>
            <w:tcW w:w="1588" w:type="dxa"/>
            <w:tcBorders>
              <w:top w:val="nil"/>
              <w:left w:val="nil"/>
              <w:bottom w:val="nil"/>
              <w:right w:val="nil"/>
            </w:tcBorders>
            <w:shd w:val="clear" w:color="auto" w:fill="auto"/>
            <w:noWrap/>
            <w:vAlign w:val="bottom"/>
            <w:hideMark/>
          </w:tcPr>
          <w:p>
            <w:pPr>
              <w:rPr>
                <w:noProof/>
                <w:sz w:val="18"/>
                <w:szCs w:val="18"/>
              </w:rPr>
            </w:pPr>
          </w:p>
        </w:tc>
        <w:tc>
          <w:tcPr>
            <w:tcW w:w="1750" w:type="dxa"/>
            <w:tcBorders>
              <w:top w:val="nil"/>
              <w:left w:val="nil"/>
              <w:bottom w:val="nil"/>
              <w:right w:val="nil"/>
            </w:tcBorders>
            <w:shd w:val="clear" w:color="auto" w:fill="auto"/>
            <w:noWrap/>
            <w:vAlign w:val="bottom"/>
            <w:hideMark/>
          </w:tcPr>
          <w:p>
            <w:pPr>
              <w:rPr>
                <w:noProof/>
                <w:sz w:val="18"/>
                <w:szCs w:val="18"/>
              </w:rPr>
            </w:pPr>
          </w:p>
        </w:tc>
        <w:tc>
          <w:tcPr>
            <w:tcW w:w="2223" w:type="dxa"/>
            <w:tcBorders>
              <w:top w:val="nil"/>
              <w:left w:val="nil"/>
              <w:bottom w:val="nil"/>
              <w:right w:val="nil"/>
            </w:tcBorders>
            <w:shd w:val="clear" w:color="auto" w:fill="auto"/>
            <w:noWrap/>
            <w:vAlign w:val="bottom"/>
            <w:hideMark/>
          </w:tcPr>
          <w:p>
            <w:pPr>
              <w:rPr>
                <w:noProof/>
                <w:sz w:val="18"/>
                <w:szCs w:val="18"/>
              </w:rPr>
            </w:pPr>
          </w:p>
        </w:tc>
      </w:tr>
      <w:tr>
        <w:trPr>
          <w:trHeight w:val="310"/>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EU GDP price deflator, in EUR, (spring 2014 economic forecast) :</w:t>
            </w:r>
            <w:r>
              <w:rPr>
                <w:noProof/>
                <w:sz w:val="18"/>
                <w:szCs w:val="18"/>
              </w:rPr>
              <w:br/>
              <w:t>(a) 2011 EU27 = 107,6804 / (b) 2013 EU27 = 111,0466</w:t>
            </w:r>
            <w:r>
              <w:rPr>
                <w:noProof/>
                <w:sz w:val="18"/>
                <w:szCs w:val="18"/>
              </w:rPr>
              <w:br/>
              <w:t>(c) 2013 EU28 = 111,0822 / (d) 2015 EU28 = 114,4090</w:t>
            </w:r>
          </w:p>
        </w:tc>
      </w:tr>
      <w:tr>
        <w:trPr>
          <w:trHeight w:val="283"/>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Lump-sum for Netherlands: in 2015 prices:</w:t>
            </w:r>
            <w:r>
              <w:rPr>
                <w:noProof/>
                <w:sz w:val="18"/>
                <w:szCs w:val="18"/>
              </w:rPr>
              <w:br/>
              <w:t>695 000 000 EUR x [ (b/a) x (d/c) ] = 738 191 649 EUR</w:t>
            </w:r>
          </w:p>
        </w:tc>
      </w:tr>
      <w:tr>
        <w:trPr>
          <w:trHeight w:val="255"/>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Sweden: in 2015 prices:                </w:t>
            </w:r>
            <w:r>
              <w:rPr>
                <w:noProof/>
                <w:sz w:val="18"/>
                <w:szCs w:val="18"/>
              </w:rPr>
              <w:br/>
              <w:t>185 000 000 EUR x [ (b/a) x (d/c) ] = 196 497 058 EUR</w:t>
            </w:r>
          </w:p>
        </w:tc>
      </w:tr>
      <w:tr>
        <w:trPr>
          <w:trHeight w:val="199"/>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Denmark: in 2015 prices:                </w:t>
            </w:r>
            <w:r>
              <w:rPr>
                <w:noProof/>
                <w:sz w:val="18"/>
                <w:szCs w:val="18"/>
              </w:rPr>
              <w:br/>
              <w:t>130 000 000 EUR x [ (b/a) x (d/c) ] = 138 079 013 EUR</w:t>
            </w:r>
          </w:p>
        </w:tc>
      </w:tr>
      <w:tr>
        <w:trPr>
          <w:trHeight w:val="83"/>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Austria: in 2015 prices:                </w:t>
            </w:r>
            <w:r>
              <w:rPr>
                <w:noProof/>
                <w:sz w:val="18"/>
                <w:szCs w:val="18"/>
              </w:rPr>
              <w:br/>
              <w:t>20 000 000 EUR x [ (b/a) x (d/c) ] = 21 242 925 EUR</w:t>
            </w:r>
          </w:p>
        </w:tc>
      </w:tr>
    </w:tbl>
    <w:p>
      <w:pPr>
        <w:pStyle w:val="ManualHeading2"/>
        <w:spacing w:before="360"/>
        <w:rPr>
          <w:rFonts w:eastAsia="Calibri"/>
          <w:noProof/>
        </w:rPr>
      </w:pPr>
      <w:bookmarkStart w:id="29" w:name="_Toc463466456"/>
      <w:r>
        <w:rPr>
          <w:rFonts w:eastAsia="Calibri"/>
          <w:noProof/>
        </w:rPr>
        <w:t xml:space="preserve">3.4 </w:t>
      </w:r>
      <w:r>
        <w:rPr>
          <w:rFonts w:eastAsia="Calibri"/>
          <w:noProof/>
        </w:rPr>
        <w:tab/>
        <w:t>Calculation of the correction mechanism in favour of the United Kingdom (UK correction)</w:t>
      </w:r>
      <w:bookmarkEnd w:id="29"/>
    </w:p>
    <w:p>
      <w:pPr>
        <w:spacing w:after="200"/>
        <w:jc w:val="both"/>
        <w:rPr>
          <w:rFonts w:eastAsiaTheme="minorHAnsi"/>
          <w:noProof/>
          <w:lang w:eastAsia="en-US"/>
        </w:rPr>
      </w:pPr>
      <w:r>
        <w:rPr>
          <w:rFonts w:eastAsiaTheme="minorHAnsi"/>
          <w:noProof/>
          <w:lang w:eastAsia="en-US"/>
        </w:rPr>
        <w:t>In 2015 budget (AB 6/2015), the 2014 correction was budgeted as well as updates of the 2013 and 2012 correction and the definitive amount of the 2011 correction. The entry into force of ORD 2014 has no impact on the calculation or financing of the 2012 and 2011. It does have an impact on the financing of the 2013 correction (as explained in the section 2.4 of this explanatory memorandum) and on the amount and financing of the 2014 correction.</w:t>
      </w:r>
    </w:p>
    <w:p>
      <w:pPr>
        <w:tabs>
          <w:tab w:val="left" w:pos="851"/>
        </w:tabs>
        <w:spacing w:before="240" w:after="120"/>
        <w:rPr>
          <w:rStyle w:val="Strong"/>
          <w:b w:val="0"/>
          <w:i/>
          <w:noProof/>
          <w:lang w:eastAsia="de-DE"/>
        </w:rPr>
      </w:pPr>
      <w:bookmarkStart w:id="30" w:name="_Toc399926625"/>
      <w:bookmarkStart w:id="31" w:name="_Toc461100991"/>
      <w:r>
        <w:rPr>
          <w:rStyle w:val="Strong"/>
          <w:b w:val="0"/>
          <w:i/>
          <w:noProof/>
          <w:lang w:eastAsia="de-DE"/>
        </w:rPr>
        <w:t xml:space="preserve">3.4.1 </w:t>
      </w:r>
      <w:r>
        <w:rPr>
          <w:rStyle w:val="Strong"/>
          <w:b w:val="0"/>
          <w:i/>
          <w:noProof/>
          <w:lang w:eastAsia="de-DE"/>
        </w:rPr>
        <w:tab/>
      </w:r>
      <w:bookmarkEnd w:id="30"/>
      <w:bookmarkEnd w:id="31"/>
      <w:r>
        <w:rPr>
          <w:rStyle w:val="Strong"/>
          <w:b w:val="0"/>
          <w:i/>
          <w:noProof/>
          <w:lang w:eastAsia="de-DE"/>
        </w:rPr>
        <w:t>Update of the financing of the 2013 correction</w:t>
      </w:r>
    </w:p>
    <w:p>
      <w:pPr>
        <w:spacing w:after="200"/>
        <w:jc w:val="both"/>
        <w:rPr>
          <w:rFonts w:eastAsiaTheme="minorHAnsi"/>
          <w:noProof/>
          <w:lang w:eastAsia="en-US"/>
        </w:rPr>
      </w:pPr>
      <w:r>
        <w:rPr>
          <w:rFonts w:eastAsiaTheme="minorHAnsi"/>
          <w:noProof/>
          <w:lang w:eastAsia="en-US"/>
        </w:rPr>
        <w:t>The 2</w:t>
      </w:r>
      <w:r>
        <w:rPr>
          <w:rFonts w:eastAsiaTheme="minorHAnsi"/>
          <w:noProof/>
          <w:vertAlign w:val="superscript"/>
          <w:lang w:eastAsia="en-US"/>
        </w:rPr>
        <w:t>nd</w:t>
      </w:r>
      <w:r>
        <w:rPr>
          <w:rFonts w:eastAsiaTheme="minorHAnsi"/>
          <w:noProof/>
          <w:lang w:eastAsia="en-US"/>
        </w:rPr>
        <w:t xml:space="preserve"> update of the 2013 UK correction budgeted in AB 6/2015 amounted to EUR 5 923 047 619, which corresponded to an increase of EUR </w:t>
      </w:r>
      <w:r>
        <w:rPr>
          <w:rFonts w:eastAsiaTheme="minorHAnsi"/>
          <w:noProof/>
        </w:rPr>
        <w:t>380 865 </w:t>
      </w:r>
      <w:r>
        <w:rPr>
          <w:rFonts w:eastAsiaTheme="minorHAnsi"/>
          <w:noProof/>
          <w:lang w:eastAsia="en-US"/>
        </w:rPr>
        <w:t>288 compared to the 1</w:t>
      </w:r>
      <w:r>
        <w:rPr>
          <w:rFonts w:eastAsiaTheme="minorHAnsi"/>
          <w:noProof/>
          <w:vertAlign w:val="superscript"/>
          <w:lang w:eastAsia="en-US"/>
        </w:rPr>
        <w:t>st</w:t>
      </w:r>
      <w:r>
        <w:rPr>
          <w:rFonts w:eastAsiaTheme="minorHAnsi"/>
          <w:noProof/>
          <w:lang w:eastAsia="en-US"/>
        </w:rPr>
        <w:t xml:space="preserve"> update of the 2013 correction budgeted in 2014. This difference was budgeted in chapter 36 of the 2015 budget. </w:t>
      </w:r>
    </w:p>
    <w:p>
      <w:pPr>
        <w:spacing w:after="200"/>
        <w:jc w:val="both"/>
        <w:rPr>
          <w:rFonts w:eastAsiaTheme="minorHAnsi"/>
          <w:noProof/>
          <w:lang w:eastAsia="en-US"/>
        </w:rPr>
      </w:pPr>
      <w:r>
        <w:rPr>
          <w:rFonts w:eastAsiaTheme="minorHAnsi"/>
          <w:noProof/>
          <w:lang w:eastAsia="en-US"/>
        </w:rPr>
        <w:t>As explained in section 2.4 above, the calculation of the amount does not change but the financing key is updated using the 2014 GNI based on ESA 2010. The revised financing of the difference between the 2nd update and 1st update of the 2013 correction as budgeted in AB 6/2015 is set out in the following table:</w:t>
      </w:r>
    </w:p>
    <w:tbl>
      <w:tblPr>
        <w:tblW w:w="6563" w:type="dxa"/>
        <w:jc w:val="center"/>
        <w:tblLook w:val="04A0" w:firstRow="1" w:lastRow="0" w:firstColumn="1" w:lastColumn="0" w:noHBand="0" w:noVBand="1"/>
      </w:tblPr>
      <w:tblGrid>
        <w:gridCol w:w="1601"/>
        <w:gridCol w:w="1518"/>
        <w:gridCol w:w="1559"/>
        <w:gridCol w:w="1885"/>
      </w:tblGrid>
      <w:tr>
        <w:trPr>
          <w:trHeight w:val="263"/>
          <w:tblHeader/>
          <w:jc w:val="center"/>
        </w:trPr>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2013 UK correction </w:t>
            </w:r>
          </w:p>
          <w:p>
            <w:pPr>
              <w:jc w:val="center"/>
              <w:rPr>
                <w:noProof/>
                <w:sz w:val="18"/>
                <w:szCs w:val="18"/>
              </w:rPr>
            </w:pPr>
            <w:r>
              <w:rPr>
                <w:noProof/>
                <w:sz w:val="18"/>
                <w:szCs w:val="18"/>
              </w:rPr>
              <w:t>(2</w:t>
            </w:r>
            <w:r>
              <w:rPr>
                <w:noProof/>
                <w:sz w:val="18"/>
                <w:szCs w:val="18"/>
                <w:vertAlign w:val="superscript"/>
              </w:rPr>
              <w:t>nd</w:t>
            </w:r>
            <w:r>
              <w:rPr>
                <w:noProof/>
                <w:sz w:val="18"/>
                <w:szCs w:val="18"/>
              </w:rPr>
              <w:t xml:space="preserve"> update) financing as in AB 6/2015</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2013 UK correction </w:t>
            </w:r>
          </w:p>
          <w:p>
            <w:pPr>
              <w:jc w:val="center"/>
              <w:rPr>
                <w:noProof/>
                <w:sz w:val="18"/>
                <w:szCs w:val="18"/>
              </w:rPr>
            </w:pPr>
            <w:r>
              <w:rPr>
                <w:noProof/>
                <w:sz w:val="18"/>
                <w:szCs w:val="18"/>
              </w:rPr>
              <w:t>(2</w:t>
            </w:r>
            <w:r>
              <w:rPr>
                <w:noProof/>
                <w:sz w:val="18"/>
                <w:szCs w:val="18"/>
                <w:vertAlign w:val="superscript"/>
              </w:rPr>
              <w:t>nd</w:t>
            </w:r>
            <w:r>
              <w:rPr>
                <w:noProof/>
                <w:sz w:val="18"/>
                <w:szCs w:val="18"/>
              </w:rPr>
              <w:t xml:space="preserve"> update) </w:t>
            </w:r>
          </w:p>
          <w:p>
            <w:pPr>
              <w:jc w:val="center"/>
              <w:rPr>
                <w:noProof/>
                <w:sz w:val="18"/>
                <w:szCs w:val="18"/>
              </w:rPr>
            </w:pPr>
            <w:r>
              <w:rPr>
                <w:noProof/>
                <w:sz w:val="18"/>
                <w:szCs w:val="18"/>
              </w:rPr>
              <w:t>financing based on the latest available 2014 GNI ESA 2010</w:t>
            </w:r>
          </w:p>
        </w:tc>
        <w:tc>
          <w:tcPr>
            <w:tcW w:w="1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Difference in the financing of the 2</w:t>
            </w:r>
            <w:r>
              <w:rPr>
                <w:noProof/>
                <w:sz w:val="18"/>
                <w:szCs w:val="18"/>
                <w:vertAlign w:val="superscript"/>
              </w:rPr>
              <w:t>nd</w:t>
            </w:r>
            <w:r>
              <w:rPr>
                <w:noProof/>
                <w:sz w:val="18"/>
                <w:szCs w:val="18"/>
              </w:rPr>
              <w:t xml:space="preserve"> update of the 2013 correction</w:t>
            </w:r>
          </w:p>
        </w:tc>
      </w:tr>
      <w:tr>
        <w:trPr>
          <w:trHeight w:val="263"/>
          <w:tblHeader/>
          <w:jc w:val="center"/>
        </w:trPr>
        <w:tc>
          <w:tcPr>
            <w:tcW w:w="1601"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sz w:val="18"/>
                <w:szCs w:val="18"/>
              </w:rPr>
            </w:pPr>
          </w:p>
        </w:tc>
        <w:tc>
          <w:tcPr>
            <w:tcW w:w="1518"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c>
          <w:tcPr>
            <w:tcW w:w="1885"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r>
      <w:tr>
        <w:trPr>
          <w:trHeight w:val="255"/>
          <w:tblHeader/>
          <w:jc w:val="center"/>
        </w:trPr>
        <w:tc>
          <w:tcPr>
            <w:tcW w:w="160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88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55"/>
          <w:tblHeader/>
          <w:jc w:val="center"/>
        </w:trPr>
        <w:tc>
          <w:tcPr>
            <w:tcW w:w="160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8"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885"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 = (2) - (1)</w:t>
            </w:r>
          </w:p>
        </w:tc>
      </w:tr>
      <w:tr>
        <w:trPr>
          <w:trHeight w:val="285"/>
          <w:jc w:val="center"/>
        </w:trPr>
        <w:tc>
          <w:tcPr>
            <w:tcW w:w="1601" w:type="dxa"/>
            <w:tcBorders>
              <w:top w:val="single" w:sz="4" w:space="0" w:color="auto"/>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21 086 719</w:t>
            </w:r>
          </w:p>
        </w:tc>
        <w:tc>
          <w:tcPr>
            <w:tcW w:w="1559"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17 815 696</w:t>
            </w:r>
          </w:p>
        </w:tc>
        <w:tc>
          <w:tcPr>
            <w:tcW w:w="1885"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- 3 271 023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2 638 709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722 049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- 1 916 660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8 452 106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7 620 824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831 282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10 531 440</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12 312 212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1 780 772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23 687 365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22 876 369</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810 996</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1 123 952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576 198</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547 754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12 880 201</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4 469 479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- 8 410 722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5 940 696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8 922 693</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2 981 997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57 278 112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59 506 591</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2 228 479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96 456 818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104 261 812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7 804 994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1 527 600</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2 013 897</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486 297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65 379 144</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77 194 912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11 815 768</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1 558 619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812 662</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745 957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572 289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1 258 569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686 280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1 804 672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1 091 889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712 783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688 281</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849 381</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161 100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5 678 759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2 680 782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- 2 997 977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754 325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389 522</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364 803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8 532 126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4 537 456</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- 3 994 670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1 859 547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2 957 729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1 098 182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19 604 131</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18 664 337</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939 794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9 472 101</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7 965 935</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- 1 506 166</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8 755 802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7 479 837</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- 1 275 965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2 200 336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1 320 065</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880 271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2 943 154</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3 212 703</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269 549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8 548 776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8 838 302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289 526</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2 286 070</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2 212 149</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73 921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- 380 865 288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- 380 865 288</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c>
          <w:tcPr>
            <w:tcW w:w="1559"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c>
          <w:tcPr>
            <w:tcW w:w="188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r>
    </w:tbl>
    <w:p>
      <w:pPr>
        <w:tabs>
          <w:tab w:val="left" w:pos="851"/>
        </w:tabs>
        <w:spacing w:before="240" w:after="120"/>
        <w:rPr>
          <w:rStyle w:val="Strong"/>
          <w:b w:val="0"/>
          <w:i/>
          <w:noProof/>
          <w:lang w:eastAsia="de-DE"/>
        </w:rPr>
      </w:pPr>
      <w:r>
        <w:rPr>
          <w:rStyle w:val="Strong"/>
          <w:b w:val="0"/>
          <w:i/>
          <w:noProof/>
          <w:lang w:eastAsia="de-DE"/>
        </w:rPr>
        <w:t xml:space="preserve">3.4.2 </w:t>
      </w:r>
      <w:r>
        <w:rPr>
          <w:rStyle w:val="Strong"/>
          <w:b w:val="0"/>
          <w:i/>
          <w:noProof/>
          <w:lang w:eastAsia="de-DE"/>
        </w:rPr>
        <w:tab/>
        <w:t>Update of the amount and financing of the 2014 correction</w:t>
      </w:r>
    </w:p>
    <w:p>
      <w:pPr>
        <w:spacing w:after="200"/>
        <w:jc w:val="both"/>
        <w:rPr>
          <w:rFonts w:eastAsiaTheme="minorHAnsi"/>
          <w:noProof/>
          <w:lang w:eastAsia="en-US"/>
        </w:rPr>
      </w:pPr>
      <w:r>
        <w:rPr>
          <w:rFonts w:eastAsiaTheme="minorHAnsi"/>
          <w:noProof/>
          <w:lang w:eastAsia="en-US"/>
        </w:rPr>
        <w:t>The ORD 2014 does not change the rules for the calculation of the UK correction. However, the retroactive impact of the changes for different types of the own resources affects the amount calculated in the following way:</w:t>
      </w:r>
    </w:p>
    <w:p>
      <w:pPr>
        <w:pStyle w:val="ListParagraph"/>
        <w:numPr>
          <w:ilvl w:val="0"/>
          <w:numId w:val="22"/>
        </w:numPr>
        <w:ind w:left="426" w:hanging="426"/>
        <w:jc w:val="both"/>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Decrease of collection costs of Traditional Own Resources from 25% to 20%: the change is neutralised via the calculation of the “TOR windfall gains”;</w:t>
      </w:r>
    </w:p>
    <w:p>
      <w:pPr>
        <w:pStyle w:val="ListParagraph"/>
        <w:numPr>
          <w:ilvl w:val="0"/>
          <w:numId w:val="22"/>
        </w:numPr>
        <w:ind w:left="426" w:hanging="426"/>
        <w:jc w:val="both"/>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Reduced VAT call rates (0,15% instead of 0,30%) for Germany, the Netherlands and Sweden as well as the impact of the use of ESA 2010 for the GNI resource is neutralised via the “UK advantage”.</w:t>
      </w:r>
    </w:p>
    <w:p>
      <w:pPr>
        <w:spacing w:after="200"/>
        <w:jc w:val="both"/>
        <w:rPr>
          <w:rFonts w:eastAsiaTheme="minorHAnsi"/>
          <w:noProof/>
          <w:lang w:eastAsia="en-US"/>
        </w:rPr>
      </w:pPr>
      <w:r>
        <w:rPr>
          <w:rFonts w:eastAsiaTheme="minorHAnsi"/>
          <w:noProof/>
          <w:lang w:eastAsia="en-US"/>
        </w:rPr>
        <w:t>The amount of the 2014 UK correction needs to be recalculated to take these changes into account. The table below presents the calculation of the 1st update of the 2014 correction as included in the AB 6/2015 and its update based on the 2014 ORD rules:</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jc w:val="center"/>
        </w:trPr>
        <w:tc>
          <w:tcPr>
            <w:tcW w:w="550" w:type="dxa"/>
            <w:tcBorders>
              <w:top w:val="nil"/>
              <w:left w:val="nil"/>
              <w:bottom w:val="nil"/>
              <w:right w:val="nil"/>
            </w:tcBorders>
            <w:shd w:val="clear" w:color="auto" w:fill="auto"/>
            <w:noWrap/>
            <w:vAlign w:val="bottom"/>
          </w:tcPr>
          <w:p>
            <w:pPr>
              <w:rPr>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2014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noProof/>
                <w:color w:val="000000"/>
                <w:sz w:val="20"/>
                <w:szCs w:val="20"/>
              </w:rPr>
            </w:pPr>
            <w:r>
              <w:rPr>
                <w:b/>
                <w:noProof/>
                <w:color w:val="000000"/>
                <w:sz w:val="20"/>
                <w:szCs w:val="20"/>
              </w:rPr>
              <w:t>2014 UK correction</w:t>
            </w:r>
          </w:p>
          <w:p>
            <w:pPr>
              <w:autoSpaceDE w:val="0"/>
              <w:autoSpaceDN w:val="0"/>
              <w:adjustRightInd w:val="0"/>
              <w:jc w:val="center"/>
              <w:rPr>
                <w:b/>
                <w:noProof/>
                <w:color w:val="000000"/>
                <w:sz w:val="20"/>
                <w:szCs w:val="20"/>
              </w:rPr>
            </w:pPr>
            <w:r>
              <w:rPr>
                <w:b/>
                <w:noProof/>
                <w:color w:val="000000"/>
                <w:sz w:val="20"/>
                <w:szCs w:val="20"/>
              </w:rPr>
              <w:t>1</w:t>
            </w:r>
            <w:r>
              <w:rPr>
                <w:b/>
                <w:noProof/>
                <w:color w:val="000000"/>
                <w:sz w:val="20"/>
                <w:szCs w:val="20"/>
                <w:vertAlign w:val="superscript"/>
              </w:rPr>
              <w:t>st</w:t>
            </w:r>
            <w:r>
              <w:rPr>
                <w:b/>
                <w:noProof/>
                <w:color w:val="000000"/>
                <w:sz w:val="20"/>
                <w:szCs w:val="20"/>
              </w:rPr>
              <w:t xml:space="preserve"> update</w:t>
            </w:r>
          </w:p>
          <w:p>
            <w:pPr>
              <w:autoSpaceDE w:val="0"/>
              <w:autoSpaceDN w:val="0"/>
              <w:adjustRightInd w:val="0"/>
              <w:jc w:val="center"/>
              <w:rPr>
                <w:noProof/>
                <w:color w:val="000000"/>
                <w:sz w:val="20"/>
                <w:szCs w:val="20"/>
              </w:rPr>
            </w:pPr>
            <w:r>
              <w:rPr>
                <w:b/>
                <w:noProof/>
                <w:color w:val="000000"/>
                <w:sz w:val="20"/>
                <w:szCs w:val="20"/>
              </w:rPr>
              <w:t>2007 ORD</w:t>
            </w:r>
          </w:p>
          <w:p>
            <w:pPr>
              <w:autoSpaceDE w:val="0"/>
              <w:autoSpaceDN w:val="0"/>
              <w:adjustRightInd w:val="0"/>
              <w:jc w:val="center"/>
              <w:rPr>
                <w:noProof/>
                <w:color w:val="000000"/>
                <w:sz w:val="20"/>
                <w:szCs w:val="20"/>
              </w:rPr>
            </w:pPr>
            <w:r>
              <w:rPr>
                <w:noProof/>
                <w:color w:val="000000"/>
                <w:sz w:val="20"/>
                <w:szCs w:val="20"/>
              </w:rPr>
              <w:t>AB 6/2015</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szCs w:val="20"/>
              </w:rPr>
              <w:t>2014 UK correction</w:t>
            </w:r>
          </w:p>
          <w:p>
            <w:pPr>
              <w:autoSpaceDE w:val="0"/>
              <w:autoSpaceDN w:val="0"/>
              <w:adjustRightInd w:val="0"/>
              <w:jc w:val="center"/>
              <w:rPr>
                <w:b/>
                <w:noProof/>
                <w:color w:val="000000"/>
                <w:sz w:val="20"/>
                <w:szCs w:val="20"/>
              </w:rPr>
            </w:pPr>
            <w:r>
              <w:rPr>
                <w:b/>
                <w:noProof/>
                <w:color w:val="000000"/>
                <w:sz w:val="20"/>
                <w:szCs w:val="20"/>
              </w:rPr>
              <w:t>1st update</w:t>
            </w:r>
          </w:p>
          <w:p>
            <w:pPr>
              <w:autoSpaceDE w:val="0"/>
              <w:autoSpaceDN w:val="0"/>
              <w:adjustRightInd w:val="0"/>
              <w:jc w:val="center"/>
              <w:rPr>
                <w:b/>
                <w:bCs/>
                <w:noProof/>
                <w:color w:val="000000"/>
                <w:sz w:val="20"/>
                <w:szCs w:val="20"/>
              </w:rPr>
            </w:pPr>
            <w:r>
              <w:rPr>
                <w:b/>
                <w:noProof/>
                <w:color w:val="000000"/>
                <w:sz w:val="20"/>
                <w:szCs w:val="20"/>
              </w:rPr>
              <w:t>2014 ORD</w:t>
            </w:r>
          </w:p>
          <w:p>
            <w:pPr>
              <w:autoSpaceDE w:val="0"/>
              <w:autoSpaceDN w:val="0"/>
              <w:adjustRightInd w:val="0"/>
              <w:jc w:val="center"/>
              <w:rPr>
                <w:noProof/>
                <w:color w:val="000000"/>
                <w:sz w:val="20"/>
                <w:szCs w:val="20"/>
              </w:rPr>
            </w:pPr>
            <w:r>
              <w:rPr>
                <w:noProof/>
                <w:color w:val="000000"/>
                <w:sz w:val="20"/>
                <w:szCs w:val="20"/>
              </w:rPr>
              <w:t>DAB 5/2016</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szCs w:val="20"/>
              </w:rPr>
            </w:pPr>
            <w:r>
              <w:rPr>
                <w:b/>
                <w:i/>
                <w:noProof/>
                <w:color w:val="000000"/>
                <w:sz w:val="20"/>
                <w:szCs w:val="20"/>
              </w:rPr>
              <w:t>Difference</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szCs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share of uncapped VAT base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17.7333%</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18"/>
                <w:szCs w:val="18"/>
              </w:rPr>
              <w:t>17.7333%</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+ 0.0000%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7.3956%</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18"/>
                <w:szCs w:val="18"/>
              </w:rPr>
              <w:t>7.3956%</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+ 0.0000%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10.3377%</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18"/>
                <w:szCs w:val="18"/>
              </w:rPr>
              <w:t>10.3377%</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+ 0.0000%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128 742 225 549</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18"/>
                <w:szCs w:val="18"/>
              </w:rPr>
              <w:t>128 742 225 549</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Enlargement-related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33 471 514 270</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18"/>
                <w:szCs w:val="18"/>
              </w:rPr>
              <w:t>33 471 514 270</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95 270 711 279</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18"/>
                <w:szCs w:val="18"/>
              </w:rPr>
              <w:t>95 270 711 279</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6 500 187 311</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18"/>
                <w:szCs w:val="18"/>
              </w:rPr>
              <w:t>6 500 187 311</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advantage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1 992 582 801</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18"/>
                <w:szCs w:val="18"/>
              </w:rPr>
              <w:t>1 674 669 519</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+ 317 913 282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Core UK correction = (7) - (8)</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4 507 604 510</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18"/>
                <w:szCs w:val="18"/>
              </w:rPr>
              <w:t>4 825 517 792</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- 317 913 282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TOR windfall gains</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18"/>
                <w:szCs w:val="18"/>
              </w:rPr>
              <w:t>-36 554 387</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18"/>
                <w:szCs w:val="18"/>
              </w:rPr>
              <w:t>- 24 325 473</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18"/>
                <w:szCs w:val="18"/>
              </w:rPr>
              <w:t>- 12 228 915</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szCs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b/>
                <w:bCs/>
                <w:noProof/>
                <w:sz w:val="18"/>
                <w:szCs w:val="18"/>
              </w:rPr>
              <w:t>4 544 158 897</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b/>
                <w:bCs/>
                <w:noProof/>
                <w:sz w:val="18"/>
                <w:szCs w:val="18"/>
              </w:rPr>
              <w:t>4 849 843 265</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b/>
                <w:noProof/>
                <w:sz w:val="18"/>
                <w:szCs w:val="18"/>
              </w:rPr>
              <w:t xml:space="preserve"> - 305 684 368</w:t>
            </w:r>
          </w:p>
        </w:tc>
      </w:tr>
    </w:tbl>
    <w:p>
      <w:pPr>
        <w:spacing w:after="200"/>
        <w:jc w:val="both"/>
        <w:rPr>
          <w:rFonts w:eastAsiaTheme="minorHAnsi"/>
          <w:noProof/>
          <w:lang w:eastAsia="en-US"/>
        </w:rPr>
      </w:pPr>
    </w:p>
    <w:p>
      <w:pPr>
        <w:spacing w:after="200"/>
        <w:jc w:val="both"/>
        <w:rPr>
          <w:rFonts w:eastAsiaTheme="minorHAnsi"/>
          <w:noProof/>
          <w:lang w:eastAsia="en-US"/>
        </w:rPr>
      </w:pPr>
      <w:r>
        <w:rPr>
          <w:rFonts w:eastAsiaTheme="minorHAnsi"/>
          <w:noProof/>
          <w:lang w:eastAsia="en-US"/>
        </w:rPr>
        <w:t>The updated amount of the 2014 correction shall be financed using the 2015 GNI based on ESA 2010 used for the financing of the 2015 budget. The table below sets out the difference between the financing of the 1</w:t>
      </w:r>
      <w:r>
        <w:rPr>
          <w:rFonts w:eastAsiaTheme="minorHAnsi"/>
          <w:noProof/>
          <w:vertAlign w:val="superscript"/>
          <w:lang w:eastAsia="en-US"/>
        </w:rPr>
        <w:t>st</w:t>
      </w:r>
      <w:r>
        <w:rPr>
          <w:rFonts w:eastAsiaTheme="minorHAnsi"/>
          <w:noProof/>
          <w:lang w:eastAsia="en-US"/>
        </w:rPr>
        <w:t xml:space="preserve"> update of the 2014 UK correction as included in chapter 15 of AB 6/2015 and its revision based on the 2014 ORD rules and 2015 GNI based on ESA 2010:</w:t>
      </w:r>
      <w:r>
        <w:rPr>
          <w:rFonts w:eastAsiaTheme="minorHAnsi"/>
          <w:noProof/>
          <w:lang w:eastAsia="en-US"/>
        </w:rPr>
        <w:br w:type="page"/>
      </w:r>
    </w:p>
    <w:tbl>
      <w:tblPr>
        <w:tblW w:w="6563" w:type="dxa"/>
        <w:jc w:val="center"/>
        <w:tblLook w:val="04A0" w:firstRow="1" w:lastRow="0" w:firstColumn="1" w:lastColumn="0" w:noHBand="0" w:noVBand="1"/>
      </w:tblPr>
      <w:tblGrid>
        <w:gridCol w:w="1601"/>
        <w:gridCol w:w="1518"/>
        <w:gridCol w:w="1559"/>
        <w:gridCol w:w="1885"/>
      </w:tblGrid>
      <w:tr>
        <w:trPr>
          <w:trHeight w:val="263"/>
          <w:tblHeader/>
          <w:jc w:val="center"/>
        </w:trPr>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2014 UK correction </w:t>
            </w:r>
          </w:p>
          <w:p>
            <w:pPr>
              <w:jc w:val="center"/>
              <w:rPr>
                <w:noProof/>
                <w:sz w:val="18"/>
                <w:szCs w:val="18"/>
              </w:rPr>
            </w:pPr>
            <w:r>
              <w:rPr>
                <w:noProof/>
                <w:sz w:val="18"/>
                <w:szCs w:val="18"/>
              </w:rPr>
              <w:t>(1</w:t>
            </w:r>
            <w:r>
              <w:rPr>
                <w:noProof/>
                <w:sz w:val="18"/>
                <w:szCs w:val="18"/>
                <w:vertAlign w:val="superscript"/>
              </w:rPr>
              <w:t xml:space="preserve">st </w:t>
            </w:r>
            <w:r>
              <w:rPr>
                <w:noProof/>
                <w:sz w:val="18"/>
                <w:szCs w:val="18"/>
              </w:rPr>
              <w:t xml:space="preserve"> update) financing as in AB 6/2015</w:t>
            </w:r>
          </w:p>
          <w:p>
            <w:pPr>
              <w:jc w:val="center"/>
              <w:rPr>
                <w:noProof/>
                <w:sz w:val="18"/>
                <w:szCs w:val="18"/>
              </w:rPr>
            </w:pPr>
            <w:r>
              <w:rPr>
                <w:noProof/>
                <w:sz w:val="18"/>
                <w:szCs w:val="18"/>
              </w:rPr>
              <w:t>(1</w:t>
            </w:r>
            <w:r>
              <w:rPr>
                <w:noProof/>
                <w:sz w:val="18"/>
                <w:szCs w:val="18"/>
                <w:vertAlign w:val="superscript"/>
              </w:rPr>
              <w:t>st</w:t>
            </w:r>
            <w:r>
              <w:rPr>
                <w:noProof/>
                <w:sz w:val="18"/>
                <w:szCs w:val="18"/>
              </w:rPr>
              <w:t xml:space="preserve"> update) financing as in AB 6/2015</w:t>
            </w:r>
          </w:p>
          <w:p>
            <w:pPr>
              <w:jc w:val="center"/>
              <w:rPr>
                <w:noProof/>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Revised 2014 UK correction </w:t>
            </w:r>
          </w:p>
          <w:p>
            <w:pPr>
              <w:jc w:val="center"/>
              <w:rPr>
                <w:noProof/>
                <w:sz w:val="18"/>
                <w:szCs w:val="18"/>
              </w:rPr>
            </w:pPr>
            <w:r>
              <w:rPr>
                <w:noProof/>
                <w:sz w:val="18"/>
                <w:szCs w:val="18"/>
              </w:rPr>
              <w:t>(1</w:t>
            </w:r>
            <w:r>
              <w:rPr>
                <w:noProof/>
                <w:sz w:val="18"/>
                <w:szCs w:val="18"/>
                <w:vertAlign w:val="superscript"/>
              </w:rPr>
              <w:t>st</w:t>
            </w:r>
            <w:r>
              <w:rPr>
                <w:noProof/>
                <w:sz w:val="18"/>
                <w:szCs w:val="18"/>
              </w:rPr>
              <w:t xml:space="preserve"> update) </w:t>
            </w:r>
          </w:p>
          <w:p>
            <w:pPr>
              <w:jc w:val="center"/>
              <w:rPr>
                <w:noProof/>
                <w:sz w:val="18"/>
                <w:szCs w:val="18"/>
              </w:rPr>
            </w:pPr>
            <w:r>
              <w:rPr>
                <w:noProof/>
                <w:sz w:val="18"/>
                <w:szCs w:val="18"/>
              </w:rPr>
              <w:t>financing based on the latest available 2015 GNI ESA 2010</w:t>
            </w:r>
          </w:p>
          <w:p>
            <w:pPr>
              <w:jc w:val="center"/>
              <w:rPr>
                <w:noProof/>
                <w:sz w:val="18"/>
                <w:szCs w:val="18"/>
              </w:rPr>
            </w:pPr>
            <w:r>
              <w:rPr>
                <w:noProof/>
                <w:sz w:val="18"/>
                <w:szCs w:val="18"/>
              </w:rPr>
              <w:t>(1st update) financing based on the latest available 2015 GNI ESA 2010</w:t>
            </w:r>
          </w:p>
        </w:tc>
        <w:tc>
          <w:tcPr>
            <w:tcW w:w="1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Difference in the financing of the 1</w:t>
            </w:r>
            <w:r>
              <w:rPr>
                <w:noProof/>
                <w:sz w:val="18"/>
                <w:szCs w:val="18"/>
                <w:vertAlign w:val="superscript"/>
              </w:rPr>
              <w:t>st</w:t>
            </w:r>
            <w:r>
              <w:rPr>
                <w:noProof/>
                <w:sz w:val="18"/>
                <w:szCs w:val="18"/>
              </w:rPr>
              <w:t xml:space="preserve">  update of the 2014 correction</w:t>
            </w:r>
          </w:p>
        </w:tc>
      </w:tr>
      <w:tr>
        <w:trPr>
          <w:trHeight w:val="263"/>
          <w:tblHeader/>
          <w:jc w:val="center"/>
        </w:trPr>
        <w:tc>
          <w:tcPr>
            <w:tcW w:w="1601"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sz w:val="18"/>
                <w:szCs w:val="18"/>
              </w:rPr>
            </w:pPr>
          </w:p>
        </w:tc>
        <w:tc>
          <w:tcPr>
            <w:tcW w:w="1518"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c>
          <w:tcPr>
            <w:tcW w:w="1885"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r>
      <w:tr>
        <w:trPr>
          <w:trHeight w:val="1530"/>
          <w:tblHeader/>
          <w:jc w:val="center"/>
        </w:trPr>
        <w:tc>
          <w:tcPr>
            <w:tcW w:w="160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88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55"/>
          <w:tblHeader/>
          <w:jc w:val="center"/>
        </w:trPr>
        <w:tc>
          <w:tcPr>
            <w:tcW w:w="160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8"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885"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 = (2) - (1)</w:t>
            </w:r>
          </w:p>
        </w:tc>
      </w:tr>
      <w:tr>
        <w:trPr>
          <w:trHeight w:val="285"/>
          <w:jc w:val="center"/>
        </w:trPr>
        <w:tc>
          <w:tcPr>
            <w:tcW w:w="1601" w:type="dxa"/>
            <w:tcBorders>
              <w:top w:val="single" w:sz="4" w:space="0" w:color="auto"/>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227 330 088</w:t>
            </w:r>
          </w:p>
        </w:tc>
        <w:tc>
          <w:tcPr>
            <w:tcW w:w="1559"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242 980 185</w:t>
            </w:r>
          </w:p>
        </w:tc>
        <w:tc>
          <w:tcPr>
            <w:tcW w:w="1885"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15 650 097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23 176 845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24 263 655</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1 086 810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80 365 439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87 573 185</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7 207 746</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151 269 379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159 318 284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8 048 905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290 405 953</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310 272 693</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19 866 740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11 012 215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11 574 147</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561 932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90 230 685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99 214 579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8 983 894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98 844 865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104 548 918</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5 704 053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602 682 406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637 025 341</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34 342 935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1 219 446 279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1 301 029 618</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81 583 339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23 306 875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24 501 813</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1 194 938</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886 982 795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955 962 457</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68 979 662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9 107 348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9 824 552</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717 204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13 822 068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14 465 432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643 364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20 443 703</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21 313 802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870 099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17 016 030</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17 746 939</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730 909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57 819 847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61 151 210</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3 331 363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4 466 547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4 678 057</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211 510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63 786 269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67 615 551</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3 829 282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30 994 726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33 672 876</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2 678 150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224 653 059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237 585 414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12 932 355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96 042 290</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102 328 723</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6 286 433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85 286 224</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89 249 513</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3 963 289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20 621 247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21 977 979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1 356 732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41 436 080</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43 839 382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2 403 302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111 965 875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120 973 003</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9 007 128</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41 643 760</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45 155 957</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3 512 197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-4 544 158 897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-4 849 843 265</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- 305 684 368</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c>
          <w:tcPr>
            <w:tcW w:w="1559"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c>
          <w:tcPr>
            <w:tcW w:w="188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r>
    </w:tbl>
    <w:p>
      <w:pPr>
        <w:pStyle w:val="ManualHeading2"/>
        <w:spacing w:before="360"/>
        <w:rPr>
          <w:rFonts w:eastAsia="Calibri"/>
          <w:noProof/>
        </w:rPr>
      </w:pPr>
      <w:bookmarkStart w:id="32" w:name="_Toc463466457"/>
      <w:r>
        <w:rPr>
          <w:rFonts w:eastAsia="Calibri"/>
          <w:noProof/>
        </w:rPr>
        <w:t xml:space="preserve">3.5 </w:t>
      </w:r>
      <w:r>
        <w:rPr>
          <w:rFonts w:eastAsia="Calibri"/>
          <w:noProof/>
        </w:rPr>
        <w:tab/>
        <w:t>Impact on the GNI-based own resource contribution for 2015</w:t>
      </w:r>
      <w:bookmarkEnd w:id="32"/>
    </w:p>
    <w:p>
      <w:pPr>
        <w:spacing w:after="200"/>
        <w:jc w:val="both"/>
        <w:rPr>
          <w:rFonts w:eastAsiaTheme="minorHAnsi"/>
          <w:noProof/>
          <w:lang w:eastAsia="en-US"/>
        </w:rPr>
      </w:pPr>
      <w:r>
        <w:rPr>
          <w:rFonts w:eastAsiaTheme="minorHAnsi"/>
          <w:noProof/>
          <w:lang w:eastAsia="en-US"/>
        </w:rPr>
        <w:t>The impact of the new ORD will be calculated based on the forecasts included in the final budget 2015 (AB 8/2015), which corresponds to the 2015 ESA 95 amounts as adopted at the 163th meeting of the Advisory Committee on Own Resources on 19 May 2015. These data are the latest available data for the GNI base for 2015.</w:t>
      </w:r>
    </w:p>
    <w:p>
      <w:pPr>
        <w:spacing w:after="200"/>
        <w:jc w:val="both"/>
        <w:rPr>
          <w:rFonts w:eastAsiaTheme="minorHAnsi"/>
          <w:noProof/>
          <w:lang w:eastAsia="en-US"/>
        </w:rPr>
      </w:pPr>
      <w:r>
        <w:rPr>
          <w:rFonts w:eastAsiaTheme="minorHAnsi"/>
          <w:noProof/>
          <w:lang w:eastAsia="en-US"/>
        </w:rPr>
        <w:t>As according to ORD 2014, the GNI contribution of the Member States should be calculated from 1 January 2014 onwards on the basis of ESA 2010 data instead of the ESA 95, the amounts were updated to incorporate this effect.</w:t>
      </w:r>
    </w:p>
    <w:p>
      <w:pPr>
        <w:spacing w:after="200"/>
        <w:jc w:val="both"/>
        <w:rPr>
          <w:rFonts w:eastAsiaTheme="minorHAnsi"/>
          <w:noProof/>
          <w:lang w:eastAsia="en-US"/>
        </w:rPr>
      </w:pPr>
      <w:r>
        <w:rPr>
          <w:rFonts w:eastAsiaTheme="minorHAnsi"/>
          <w:noProof/>
          <w:lang w:eastAsia="en-US"/>
        </w:rPr>
        <w:t xml:space="preserve">By implementing the new rules regarding the new rate of the collection costs, the reduced VAT call rate for some Member States and the use of ESA 2010 instead of ESA 95 for GNI own resource base, the amount of own resources other than GNI decreased by EUR </w:t>
      </w:r>
      <w:r>
        <w:rPr>
          <w:noProof/>
        </w:rPr>
        <w:t>1 332 154 787</w:t>
      </w:r>
      <w:r>
        <w:rPr>
          <w:rFonts w:eastAsiaTheme="minorHAnsi"/>
          <w:noProof/>
          <w:lang w:eastAsia="en-US"/>
        </w:rPr>
        <w:t>.</w:t>
      </w:r>
    </w:p>
    <w:p>
      <w:pPr>
        <w:spacing w:after="200"/>
        <w:jc w:val="both"/>
        <w:rPr>
          <w:rFonts w:eastAsiaTheme="minorHAnsi"/>
          <w:noProof/>
          <w:lang w:eastAsia="en-US"/>
        </w:rPr>
      </w:pPr>
      <w:r>
        <w:rPr>
          <w:rFonts w:eastAsiaTheme="minorHAnsi"/>
          <w:noProof/>
          <w:lang w:eastAsia="en-US"/>
        </w:rPr>
        <w:t>In order to respect the principle of equilibrium applicable to the budget of the European Union, the uniform rate to be applied to the sum of all Member States ' GNI has to be recalculated taken into account all other revenue.</w:t>
      </w:r>
    </w:p>
    <w:p>
      <w:pPr>
        <w:spacing w:after="200"/>
        <w:jc w:val="both"/>
        <w:rPr>
          <w:rFonts w:eastAsiaTheme="minorHAnsi"/>
          <w:noProof/>
          <w:lang w:eastAsia="en-US"/>
        </w:rPr>
      </w:pPr>
      <w:r>
        <w:rPr>
          <w:rFonts w:eastAsiaTheme="minorHAnsi"/>
          <w:noProof/>
          <w:lang w:eastAsia="en-US"/>
        </w:rPr>
        <w:t>The recalculated uniform rate for the GNI-based own resource is fixed as follows:</w:t>
      </w:r>
    </w:p>
    <w:p>
      <w:pPr>
        <w:spacing w:after="200"/>
        <w:jc w:val="both"/>
        <w:rPr>
          <w:rFonts w:eastAsiaTheme="minorHAnsi"/>
          <w:noProof/>
          <w:lang w:eastAsia="en-US"/>
        </w:rPr>
      </w:pPr>
      <w:r>
        <w:rPr>
          <w:rFonts w:eastAsiaTheme="minorHAnsi"/>
          <w:noProof/>
          <w:lang w:eastAsia="en-US"/>
        </w:rPr>
        <w:t>Uniform rate to be applied on 1 % of GNI = (total expenditure – other revenue – total amount net amount of TOR – VAT-based own resource contributions) / 1 % of GNI</w:t>
      </w:r>
    </w:p>
    <w:p>
      <w:pPr>
        <w:jc w:val="both"/>
        <w:rPr>
          <w:rFonts w:eastAsiaTheme="minorHAnsi"/>
          <w:noProof/>
          <w:lang w:eastAsia="en-US"/>
        </w:rPr>
      </w:pPr>
      <w:r>
        <w:rPr>
          <w:rFonts w:eastAsiaTheme="minorHAnsi"/>
          <w:noProof/>
          <w:lang w:eastAsia="en-US"/>
        </w:rPr>
        <w:t xml:space="preserve">Uniform rate: </w:t>
      </w:r>
    </w:p>
    <w:p>
      <w:pPr>
        <w:jc w:val="both"/>
        <w:rPr>
          <w:noProof/>
        </w:rPr>
      </w:pPr>
      <w:r>
        <w:rPr>
          <w:rFonts w:eastAsiaTheme="minorHAnsi"/>
          <w:noProof/>
          <w:lang w:eastAsia="en-US"/>
        </w:rPr>
        <w:t xml:space="preserve">= </w:t>
      </w:r>
      <w:r>
        <w:rPr>
          <w:noProof/>
        </w:rPr>
        <w:t>141 280 422 939 – 11 613 299 265 – 19 727 067 031 – 15 458 257 469) /143 942 523 619</w:t>
      </w:r>
    </w:p>
    <w:p>
      <w:pPr>
        <w:contextualSpacing/>
        <w:jc w:val="both"/>
        <w:rPr>
          <w:noProof/>
        </w:rPr>
      </w:pPr>
      <w:r>
        <w:rPr>
          <w:noProof/>
        </w:rPr>
        <w:t>= 0,656385596129209 %</w:t>
      </w:r>
    </w:p>
    <w:p>
      <w:pPr>
        <w:spacing w:before="120" w:after="200"/>
        <w:jc w:val="both"/>
        <w:rPr>
          <w:rFonts w:eastAsiaTheme="minorHAnsi"/>
          <w:noProof/>
          <w:lang w:eastAsia="en-US"/>
        </w:rPr>
      </w:pPr>
      <w:r>
        <w:rPr>
          <w:rFonts w:eastAsiaTheme="minorHAnsi"/>
          <w:noProof/>
          <w:lang w:eastAsia="en-US"/>
        </w:rPr>
        <w:t>The revised GNI-based own resources contributions considering the new uniform rate are set out in the following table:</w:t>
      </w:r>
    </w:p>
    <w:p>
      <w:pPr>
        <w:jc w:val="center"/>
        <w:rPr>
          <w:rFonts w:eastAsiaTheme="minorHAnsi"/>
          <w:noProof/>
          <w:sz w:val="18"/>
          <w:szCs w:val="18"/>
          <w:lang w:eastAsia="en-US"/>
        </w:rPr>
      </w:pPr>
      <w:r>
        <w:rPr>
          <w:rFonts w:eastAsiaTheme="minorHAnsi"/>
          <w:noProof/>
          <w:sz w:val="18"/>
          <w:szCs w:val="18"/>
          <w:lang w:eastAsia="en-US"/>
        </w:rPr>
        <w:t>Budgetary year 2015 (in EUR)</w:t>
      </w:r>
    </w:p>
    <w:tbl>
      <w:tblPr>
        <w:tblW w:w="10661" w:type="dxa"/>
        <w:jc w:val="center"/>
        <w:tblLayout w:type="fixed"/>
        <w:tblLook w:val="04A0" w:firstRow="1" w:lastRow="0" w:firstColumn="1" w:lastColumn="0" w:noHBand="0" w:noVBand="1"/>
      </w:tblPr>
      <w:tblGrid>
        <w:gridCol w:w="1581"/>
        <w:gridCol w:w="1680"/>
        <w:gridCol w:w="1984"/>
        <w:gridCol w:w="1701"/>
        <w:gridCol w:w="1985"/>
        <w:gridCol w:w="1730"/>
      </w:tblGrid>
      <w:tr>
        <w:trPr>
          <w:trHeight w:val="263"/>
          <w:tblHeader/>
          <w:jc w:val="center"/>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1% of GNI base</w:t>
            </w:r>
            <w:r>
              <w:rPr>
                <w:noProof/>
                <w:sz w:val="18"/>
                <w:szCs w:val="18"/>
              </w:rPr>
              <w:br/>
              <w:t>(as in AB 8/2015 GNI ESA 95)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 xml:space="preserve">Uniform rate of GNI-based own resource (in %) according to ORD 2007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lang w:val="it-IT"/>
              </w:rPr>
            </w:pPr>
            <w:r>
              <w:rPr>
                <w:noProof/>
                <w:sz w:val="18"/>
                <w:szCs w:val="18"/>
                <w:lang w:val="it-IT"/>
              </w:rPr>
              <w:t>1% of GNI base                 (GNI ESA 2010)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Uniform rate of GNI-based own resource (in %) according to ORD 2014 (updated real figures)</w:t>
            </w:r>
          </w:p>
        </w:tc>
        <w:tc>
          <w:tcPr>
            <w:tcW w:w="1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Difference in the GNI</w:t>
            </w:r>
          </w:p>
        </w:tc>
      </w:tr>
      <w:tr>
        <w:trPr>
          <w:trHeight w:val="506"/>
          <w:tblHeader/>
          <w:jc w:val="center"/>
        </w:trPr>
        <w:tc>
          <w:tcPr>
            <w:tcW w:w="158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730"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55"/>
          <w:tblHeader/>
          <w:jc w:val="center"/>
        </w:trPr>
        <w:tc>
          <w:tcPr>
            <w:tcW w:w="158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68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w:t>
            </w:r>
          </w:p>
        </w:tc>
        <w:tc>
          <w:tcPr>
            <w:tcW w:w="1985"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(4)</w:t>
            </w:r>
          </w:p>
        </w:tc>
        <w:tc>
          <w:tcPr>
            <w:tcW w:w="173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(5) = (3 x 4) - (1 x 2)</w:t>
            </w:r>
          </w:p>
        </w:tc>
      </w:tr>
      <w:tr>
        <w:trPr>
          <w:trHeight w:val="285"/>
          <w:jc w:val="center"/>
        </w:trPr>
        <w:tc>
          <w:tcPr>
            <w:tcW w:w="1581" w:type="dxa"/>
            <w:tcBorders>
              <w:top w:val="single" w:sz="4" w:space="0" w:color="auto"/>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4 044 908 000</w:t>
            </w:r>
          </w:p>
        </w:tc>
        <w:tc>
          <w:tcPr>
            <w:tcW w:w="1984" w:type="dxa"/>
            <w:vMerge w:val="restart"/>
            <w:tcBorders>
              <w:top w:val="single" w:sz="4" w:space="0" w:color="auto"/>
              <w:left w:val="single" w:sz="4" w:space="0" w:color="auto"/>
              <w:bottom w:val="nil"/>
              <w:right w:val="single" w:sz="4" w:space="0" w:color="auto"/>
            </w:tcBorders>
            <w:shd w:val="clear" w:color="auto" w:fill="auto"/>
            <w:vAlign w:val="center"/>
          </w:tcPr>
          <w:p>
            <w:pPr>
              <w:jc w:val="center"/>
              <w:rPr>
                <w:noProof/>
                <w:sz w:val="18"/>
                <w:szCs w:val="18"/>
              </w:rPr>
            </w:pPr>
            <w:r>
              <w:rPr>
                <w:noProof/>
                <w:sz w:val="18"/>
                <w:szCs w:val="18"/>
              </w:rPr>
              <w:t>0,663738214086567</w:t>
            </w:r>
          </w:p>
        </w:tc>
        <w:tc>
          <w:tcPr>
            <w:tcW w:w="1701"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4 155 089 000</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tcPr>
          <w:p>
            <w:pPr>
              <w:jc w:val="center"/>
              <w:rPr>
                <w:noProof/>
                <w:sz w:val="18"/>
                <w:szCs w:val="18"/>
              </w:rPr>
            </w:pPr>
            <w:r>
              <w:rPr>
                <w:noProof/>
                <w:sz w:val="18"/>
                <w:szCs w:val="18"/>
              </w:rPr>
              <w:t>0,656385596129209</w:t>
            </w:r>
          </w:p>
        </w:tc>
        <w:tc>
          <w:tcPr>
            <w:tcW w:w="1730"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42 580 558</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412 388 025</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414 921 260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- 1 369 352</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1 429 950 658</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1 497 547 539</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33 855 738</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2 691 551 852</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2 724 426 484</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1 788 483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29 998 426 500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30 842 683 000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333 590 835</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195 941 500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197 924 000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139 398</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1 605 484 000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1 696 621 500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48 016 832</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1 758 757 000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1 787 841 500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6 159 179</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10 723 591 000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10 893 468 500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32 658 676</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21 697 735 000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22 248 291 000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201 841 872</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414 701 663</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418 993 894</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231 784</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15 782 177 500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16 347 461 000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255 003 626</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162 048 000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168 005 000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2 718 612</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245 937 500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247 366 500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870 309</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363 756 951</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364 477 236</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- 2 201 781</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302 768 000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303 482 000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- 1 757 479</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1 028 794 578</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1 045 717 869</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3 543 871</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79 473 735</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79 997 235</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240 722</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6 589 010 000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6 721 329 500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38 406 141</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3 201 701 000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3 347 255 000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71 998 665</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3 997 275 344</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4 062 835 580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13 642 356</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1 708 890 500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1 749 875 000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14 336 816</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1 517 506 692</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1 526 213 639</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- 5 442 533</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366 916 000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375 835 000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3 156 510</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737 276 500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749 676 500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2 718 269</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1 992 220 500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2 068 702 000</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35 553 318</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4 301 727 510</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4 488 731 715</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91 117 908</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22 990 023 751</w:t>
            </w:r>
          </w:p>
        </w:tc>
        <w:tc>
          <w:tcPr>
            <w:tcW w:w="1984"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01"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23 417 755 168</w:t>
            </w:r>
          </w:p>
        </w:tc>
        <w:tc>
          <w:tcPr>
            <w:tcW w:w="1985"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3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111 719 880</w:t>
            </w:r>
          </w:p>
        </w:tc>
      </w:tr>
      <w:tr>
        <w:trPr>
          <w:trHeight w:val="285"/>
          <w:jc w:val="center"/>
        </w:trPr>
        <w:tc>
          <w:tcPr>
            <w:tcW w:w="1581"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680"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140 340 939 259</w:t>
            </w:r>
          </w:p>
        </w:tc>
        <w:tc>
          <w:tcPr>
            <w:tcW w:w="1984" w:type="dxa"/>
            <w:tcBorders>
              <w:top w:val="single" w:sz="4" w:space="0" w:color="auto"/>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w:t>
            </w:r>
          </w:p>
        </w:tc>
        <w:tc>
          <w:tcPr>
            <w:tcW w:w="1701"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143 942 523 619</w:t>
            </w:r>
          </w:p>
        </w:tc>
        <w:tc>
          <w:tcPr>
            <w:tcW w:w="1985" w:type="dxa"/>
            <w:tcBorders>
              <w:top w:val="single" w:sz="4" w:space="0" w:color="auto"/>
              <w:left w:val="nil"/>
              <w:bottom w:val="single" w:sz="4" w:space="0" w:color="auto"/>
              <w:right w:val="single" w:sz="4" w:space="0" w:color="auto"/>
            </w:tcBorders>
            <w:shd w:val="clear" w:color="auto" w:fill="auto"/>
            <w:vAlign w:val="center"/>
          </w:tcPr>
          <w:p>
            <w:pPr>
              <w:jc w:val="center"/>
              <w:rPr>
                <w:b/>
                <w:noProof/>
                <w:sz w:val="18"/>
                <w:szCs w:val="18"/>
              </w:rPr>
            </w:pPr>
            <w:r>
              <w:rPr>
                <w:b/>
                <w:noProof/>
                <w:sz w:val="18"/>
                <w:szCs w:val="18"/>
              </w:rPr>
              <w:t> </w:t>
            </w:r>
          </w:p>
        </w:tc>
        <w:tc>
          <w:tcPr>
            <w:tcW w:w="1730"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1 332 154 787</w:t>
            </w:r>
          </w:p>
        </w:tc>
      </w:tr>
    </w:tbl>
    <w:p>
      <w:pPr>
        <w:pStyle w:val="ManualHeading2"/>
        <w:spacing w:before="360"/>
        <w:rPr>
          <w:rFonts w:eastAsia="Calibri"/>
          <w:noProof/>
        </w:rPr>
      </w:pPr>
      <w:bookmarkStart w:id="33" w:name="_Toc463466458"/>
      <w:r>
        <w:rPr>
          <w:rFonts w:eastAsia="Calibri"/>
          <w:noProof/>
        </w:rPr>
        <w:t xml:space="preserve">3.6 </w:t>
      </w:r>
      <w:r>
        <w:rPr>
          <w:rFonts w:eastAsia="Calibri"/>
          <w:noProof/>
        </w:rPr>
        <w:tab/>
        <w:t>Summary of the financial impact from the implementation of the ORD 2014 for the year 2015</w:t>
      </w:r>
      <w:bookmarkEnd w:id="33"/>
    </w:p>
    <w:p>
      <w:pPr>
        <w:spacing w:after="200"/>
        <w:jc w:val="both"/>
        <w:rPr>
          <w:rFonts w:eastAsiaTheme="minorHAnsi"/>
          <w:noProof/>
          <w:lang w:eastAsia="en-US"/>
        </w:rPr>
      </w:pPr>
      <w:r>
        <w:rPr>
          <w:rFonts w:eastAsiaTheme="minorHAnsi"/>
          <w:noProof/>
          <w:lang w:eastAsia="en-US"/>
        </w:rPr>
        <w:t>The following summary table shows for 2015 the global impact of the implementation of ORD 2014.  This global impact is the result of the sum of the amendments related to the new rate of collection costs, the reduced VAT call rate for some Member States, the use of ESA 2010 data for GNI, the gross reduction in the annual GNI-based contribution for Denmark, the Netherlands, Austria and Sweden and the revised financing of the 2nd update of the 2013 UK correction and revised amount and financing of the 1</w:t>
      </w:r>
      <w:r>
        <w:rPr>
          <w:rFonts w:eastAsiaTheme="minorHAnsi"/>
          <w:noProof/>
          <w:vertAlign w:val="superscript"/>
          <w:lang w:eastAsia="en-US"/>
        </w:rPr>
        <w:t>st</w:t>
      </w:r>
      <w:r>
        <w:rPr>
          <w:rFonts w:eastAsiaTheme="minorHAnsi"/>
          <w:noProof/>
          <w:lang w:eastAsia="en-US"/>
        </w:rPr>
        <w:t xml:space="preserve"> update of the 2014 UK correction.</w:t>
      </w:r>
    </w:p>
    <w:p>
      <w:pPr>
        <w:spacing w:after="200"/>
        <w:jc w:val="both"/>
        <w:rPr>
          <w:rFonts w:eastAsiaTheme="minorHAnsi"/>
          <w:noProof/>
          <w:lang w:eastAsia="en-US"/>
        </w:rPr>
        <w:sectPr>
          <w:headerReference w:type="even" r:id="rId41"/>
          <w:headerReference w:type="default" r:id="rId42"/>
          <w:footerReference w:type="even" r:id="rId43"/>
          <w:footerReference w:type="default" r:id="rId44"/>
          <w:headerReference w:type="first" r:id="rId45"/>
          <w:footerReference w:type="first" r:id="rId46"/>
          <w:pgSz w:w="11907" w:h="16839"/>
          <w:pgMar w:top="1021" w:right="1021" w:bottom="1021" w:left="1021" w:header="709" w:footer="709" w:gutter="0"/>
          <w:cols w:space="708"/>
          <w:docGrid w:linePitch="360"/>
        </w:sectPr>
      </w:pPr>
    </w:p>
    <w:tbl>
      <w:tblPr>
        <w:tblW w:w="14175" w:type="dxa"/>
        <w:jc w:val="center"/>
        <w:tblLook w:val="04A0" w:firstRow="1" w:lastRow="0" w:firstColumn="1" w:lastColumn="0" w:noHBand="0" w:noVBand="1"/>
      </w:tblPr>
      <w:tblGrid>
        <w:gridCol w:w="2013"/>
        <w:gridCol w:w="1773"/>
        <w:gridCol w:w="1745"/>
        <w:gridCol w:w="2026"/>
        <w:gridCol w:w="2224"/>
        <w:gridCol w:w="2268"/>
        <w:gridCol w:w="2126"/>
      </w:tblGrid>
      <w:tr>
        <w:trPr>
          <w:trHeight w:val="375"/>
          <w:jc w:val="center"/>
        </w:trPr>
        <w:tc>
          <w:tcPr>
            <w:tcW w:w="14175" w:type="dxa"/>
            <w:gridSpan w:val="7"/>
            <w:tcBorders>
              <w:top w:val="nil"/>
              <w:left w:val="nil"/>
              <w:bottom w:val="nil"/>
              <w:right w:val="nil"/>
            </w:tcBorders>
            <w:shd w:val="clear" w:color="000000" w:fill="FFFFFF"/>
            <w:noWrap/>
            <w:vAlign w:val="bottom"/>
            <w:hideMark/>
          </w:tcPr>
          <w:p>
            <w:pPr>
              <w:jc w:val="center"/>
              <w:rPr>
                <w:b/>
                <w:bCs/>
                <w:noProof/>
                <w:sz w:val="20"/>
                <w:szCs w:val="20"/>
              </w:rPr>
            </w:pPr>
            <w:r>
              <w:rPr>
                <w:b/>
                <w:bCs/>
                <w:noProof/>
                <w:sz w:val="20"/>
                <w:szCs w:val="20"/>
              </w:rPr>
              <w:t>Retroactive impact of the new ORD for the 2015 budget (AB 8/2015)</w:t>
            </w:r>
          </w:p>
        </w:tc>
      </w:tr>
      <w:tr>
        <w:trPr>
          <w:trHeight w:val="270"/>
          <w:jc w:val="center"/>
        </w:trPr>
        <w:tc>
          <w:tcPr>
            <w:tcW w:w="2013"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1773"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1745"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026"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224"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268"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126"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r>
      <w:tr>
        <w:trPr>
          <w:trHeight w:val="1549"/>
          <w:jc w:val="center"/>
        </w:trPr>
        <w:tc>
          <w:tcPr>
            <w:tcW w:w="2013"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jc w:val="center"/>
              <w:rPr>
                <w:b/>
                <w:bCs/>
                <w:noProof/>
                <w:sz w:val="18"/>
                <w:szCs w:val="18"/>
              </w:rPr>
            </w:pPr>
            <w:r>
              <w:rPr>
                <w:b/>
                <w:bCs/>
                <w:noProof/>
                <w:sz w:val="18"/>
                <w:szCs w:val="18"/>
              </w:rPr>
              <w:t>Member States</w:t>
            </w:r>
            <w:r>
              <w:rPr>
                <w:b/>
                <w:bCs/>
                <w:noProof/>
                <w:sz w:val="18"/>
                <w:szCs w:val="18"/>
              </w:rPr>
              <w:br/>
            </w:r>
            <w:r>
              <w:rPr>
                <w:b/>
                <w:bCs/>
                <w:noProof/>
                <w:sz w:val="18"/>
                <w:szCs w:val="18"/>
              </w:rPr>
              <w:br/>
            </w:r>
            <w:r>
              <w:rPr>
                <w:noProof/>
                <w:sz w:val="18"/>
                <w:szCs w:val="18"/>
              </w:rPr>
              <w:t>(amounts in EUR)</w:t>
            </w:r>
          </w:p>
        </w:tc>
        <w:tc>
          <w:tcPr>
            <w:tcW w:w="1773" w:type="dxa"/>
            <w:tcBorders>
              <w:top w:val="single" w:sz="8" w:space="0" w:color="auto"/>
              <w:left w:val="nil"/>
              <w:bottom w:val="single" w:sz="8" w:space="0" w:color="auto"/>
              <w:right w:val="nil"/>
            </w:tcBorders>
            <w:shd w:val="clear" w:color="000000" w:fill="FFFFFF"/>
            <w:vAlign w:val="center"/>
            <w:hideMark/>
          </w:tcPr>
          <w:p>
            <w:pPr>
              <w:jc w:val="center"/>
              <w:rPr>
                <w:noProof/>
                <w:sz w:val="18"/>
                <w:szCs w:val="18"/>
              </w:rPr>
            </w:pPr>
            <w:r>
              <w:rPr>
                <w:noProof/>
                <w:sz w:val="18"/>
                <w:szCs w:val="18"/>
              </w:rPr>
              <w:t xml:space="preserve">Gross impact of decrease of TOR collection costs from 25% to 20% </w:t>
            </w:r>
          </w:p>
        </w:tc>
        <w:tc>
          <w:tcPr>
            <w:tcW w:w="1745"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 xml:space="preserve">Gross impact of reduced VAT-based call rates for DE, NL and SE </w:t>
            </w:r>
          </w:p>
        </w:tc>
        <w:tc>
          <w:tcPr>
            <w:tcW w:w="2026" w:type="dxa"/>
            <w:tcBorders>
              <w:top w:val="single" w:sz="8" w:space="0" w:color="auto"/>
              <w:left w:val="nil"/>
              <w:bottom w:val="single" w:sz="8" w:space="0" w:color="auto"/>
              <w:right w:val="nil"/>
            </w:tcBorders>
            <w:shd w:val="clear" w:color="000000" w:fill="FFFFFF"/>
            <w:vAlign w:val="center"/>
            <w:hideMark/>
          </w:tcPr>
          <w:p>
            <w:pPr>
              <w:jc w:val="center"/>
              <w:rPr>
                <w:noProof/>
                <w:sz w:val="18"/>
                <w:szCs w:val="18"/>
              </w:rPr>
            </w:pPr>
            <w:r>
              <w:rPr>
                <w:noProof/>
                <w:sz w:val="18"/>
                <w:szCs w:val="18"/>
              </w:rPr>
              <w:t>GNI reduction in favour of Netherlands, Sweden, Denmark and Austria (net impact)</w:t>
            </w:r>
          </w:p>
        </w:tc>
        <w:tc>
          <w:tcPr>
            <w:tcW w:w="2224"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Impact of changes in GNI for the financing of the updated amount of the 2013 UK correction and the revised amount and financing of the &amp;2014 UKUnited Kingdom correction</w:t>
            </w:r>
          </w:p>
        </w:tc>
        <w:tc>
          <w:tcPr>
            <w:tcW w:w="2268" w:type="dxa"/>
            <w:tcBorders>
              <w:top w:val="single" w:sz="8" w:space="0" w:color="auto"/>
              <w:left w:val="nil"/>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Net impact of all changes for GNI resource (lower TOR collectioncollecion costs, reduced VAT call rates, ESA 2010)</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Impact of the introduction of the new ORD on total own resources for 2015</w:t>
            </w:r>
          </w:p>
        </w:tc>
      </w:tr>
      <w:tr>
        <w:trPr>
          <w:trHeight w:val="289"/>
          <w:jc w:val="center"/>
        </w:trPr>
        <w:tc>
          <w:tcPr>
            <w:tcW w:w="2013" w:type="dxa"/>
            <w:tcBorders>
              <w:top w:val="nil"/>
              <w:left w:val="single" w:sz="8" w:space="0" w:color="auto"/>
              <w:bottom w:val="nil"/>
              <w:right w:val="single" w:sz="8" w:space="0" w:color="auto"/>
            </w:tcBorders>
            <w:shd w:val="clear" w:color="000000" w:fill="FFFFFF"/>
            <w:vAlign w:val="center"/>
            <w:hideMark/>
          </w:tcPr>
          <w:p>
            <w:pPr>
              <w:rPr>
                <w:noProof/>
                <w:sz w:val="18"/>
                <w:szCs w:val="18"/>
              </w:rPr>
            </w:pPr>
            <w:r>
              <w:rPr>
                <w:noProof/>
                <w:sz w:val="18"/>
                <w:szCs w:val="18"/>
              </w:rPr>
              <w:t> </w:t>
            </w:r>
          </w:p>
        </w:tc>
        <w:tc>
          <w:tcPr>
            <w:tcW w:w="1773" w:type="dxa"/>
            <w:tcBorders>
              <w:top w:val="nil"/>
              <w:left w:val="nil"/>
              <w:bottom w:val="nil"/>
              <w:right w:val="nil"/>
            </w:tcBorders>
            <w:shd w:val="clear" w:color="000000" w:fill="FFFFFF"/>
            <w:vAlign w:val="center"/>
            <w:hideMark/>
          </w:tcPr>
          <w:p>
            <w:pPr>
              <w:jc w:val="center"/>
              <w:rPr>
                <w:noProof/>
                <w:sz w:val="18"/>
                <w:szCs w:val="18"/>
              </w:rPr>
            </w:pPr>
            <w:r>
              <w:rPr>
                <w:noProof/>
                <w:sz w:val="18"/>
                <w:szCs w:val="18"/>
              </w:rPr>
              <w:t>(1)</w:t>
            </w:r>
          </w:p>
        </w:tc>
        <w:tc>
          <w:tcPr>
            <w:tcW w:w="1745" w:type="dxa"/>
            <w:tcBorders>
              <w:top w:val="nil"/>
              <w:left w:val="single" w:sz="8" w:space="0" w:color="auto"/>
              <w:bottom w:val="nil"/>
              <w:right w:val="single" w:sz="8" w:space="0" w:color="auto"/>
            </w:tcBorders>
            <w:shd w:val="clear" w:color="000000" w:fill="FFFFFF"/>
            <w:vAlign w:val="center"/>
            <w:hideMark/>
          </w:tcPr>
          <w:p>
            <w:pPr>
              <w:jc w:val="center"/>
              <w:rPr>
                <w:noProof/>
                <w:sz w:val="18"/>
                <w:szCs w:val="18"/>
              </w:rPr>
            </w:pPr>
            <w:r>
              <w:rPr>
                <w:noProof/>
                <w:sz w:val="18"/>
                <w:szCs w:val="18"/>
              </w:rPr>
              <w:t>(2)</w:t>
            </w:r>
          </w:p>
        </w:tc>
        <w:tc>
          <w:tcPr>
            <w:tcW w:w="2026" w:type="dxa"/>
            <w:tcBorders>
              <w:top w:val="nil"/>
              <w:left w:val="nil"/>
              <w:bottom w:val="nil"/>
              <w:right w:val="nil"/>
            </w:tcBorders>
            <w:shd w:val="clear" w:color="000000" w:fill="FFFFFF"/>
            <w:vAlign w:val="center"/>
            <w:hideMark/>
          </w:tcPr>
          <w:p>
            <w:pPr>
              <w:jc w:val="center"/>
              <w:rPr>
                <w:noProof/>
                <w:sz w:val="18"/>
                <w:szCs w:val="18"/>
              </w:rPr>
            </w:pPr>
            <w:r>
              <w:rPr>
                <w:noProof/>
                <w:sz w:val="18"/>
                <w:szCs w:val="18"/>
              </w:rPr>
              <w:t>(3)</w:t>
            </w:r>
          </w:p>
        </w:tc>
        <w:tc>
          <w:tcPr>
            <w:tcW w:w="2224" w:type="dxa"/>
            <w:tcBorders>
              <w:top w:val="nil"/>
              <w:left w:val="single" w:sz="8" w:space="0" w:color="auto"/>
              <w:bottom w:val="nil"/>
              <w:right w:val="single" w:sz="8" w:space="0" w:color="auto"/>
            </w:tcBorders>
            <w:shd w:val="clear" w:color="000000" w:fill="FFFFFF"/>
            <w:vAlign w:val="center"/>
            <w:hideMark/>
          </w:tcPr>
          <w:p>
            <w:pPr>
              <w:jc w:val="center"/>
              <w:rPr>
                <w:noProof/>
                <w:sz w:val="18"/>
                <w:szCs w:val="18"/>
              </w:rPr>
            </w:pPr>
            <w:r>
              <w:rPr>
                <w:noProof/>
                <w:sz w:val="18"/>
                <w:szCs w:val="18"/>
              </w:rPr>
              <w:t>(4)</w:t>
            </w:r>
          </w:p>
        </w:tc>
        <w:tc>
          <w:tcPr>
            <w:tcW w:w="2268" w:type="dxa"/>
            <w:tcBorders>
              <w:top w:val="nil"/>
              <w:left w:val="nil"/>
              <w:bottom w:val="nil"/>
              <w:right w:val="single" w:sz="8" w:space="0" w:color="auto"/>
            </w:tcBorders>
            <w:shd w:val="clear" w:color="000000" w:fill="FFFFFF"/>
            <w:vAlign w:val="center"/>
            <w:hideMark/>
          </w:tcPr>
          <w:p>
            <w:pPr>
              <w:jc w:val="center"/>
              <w:rPr>
                <w:noProof/>
                <w:sz w:val="18"/>
                <w:szCs w:val="18"/>
              </w:rPr>
            </w:pPr>
            <w:r>
              <w:rPr>
                <w:noProof/>
                <w:sz w:val="18"/>
                <w:szCs w:val="18"/>
              </w:rPr>
              <w:t>(5)</w:t>
            </w:r>
          </w:p>
        </w:tc>
        <w:tc>
          <w:tcPr>
            <w:tcW w:w="2126" w:type="dxa"/>
            <w:tcBorders>
              <w:top w:val="nil"/>
              <w:left w:val="nil"/>
              <w:bottom w:val="nil"/>
              <w:right w:val="single" w:sz="8" w:space="0" w:color="auto"/>
            </w:tcBorders>
            <w:shd w:val="clear" w:color="000000" w:fill="FFFFFF"/>
            <w:vAlign w:val="center"/>
            <w:hideMark/>
          </w:tcPr>
          <w:p>
            <w:pPr>
              <w:jc w:val="center"/>
              <w:rPr>
                <w:noProof/>
                <w:sz w:val="18"/>
                <w:szCs w:val="18"/>
              </w:rPr>
            </w:pPr>
            <w:r>
              <w:rPr>
                <w:noProof/>
                <w:sz w:val="18"/>
                <w:szCs w:val="18"/>
              </w:rPr>
              <w:t>(6) = (1 to 5)</w:t>
            </w:r>
          </w:p>
        </w:tc>
      </w:tr>
      <w:tr>
        <w:trPr>
          <w:trHeight w:val="255"/>
          <w:jc w:val="center"/>
        </w:trPr>
        <w:tc>
          <w:tcPr>
            <w:tcW w:w="2013"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Belgium</w:t>
            </w:r>
          </w:p>
        </w:tc>
        <w:tc>
          <w:tcPr>
            <w:tcW w:w="1773" w:type="dxa"/>
            <w:tcBorders>
              <w:top w:val="single" w:sz="4" w:space="0" w:color="auto"/>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118 587 022</w:t>
            </w:r>
          </w:p>
        </w:tc>
        <w:tc>
          <w:tcPr>
            <w:tcW w:w="1745" w:type="dxa"/>
            <w:tcBorders>
              <w:top w:val="single" w:sz="4" w:space="0" w:color="auto"/>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single" w:sz="4" w:space="0" w:color="auto"/>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31 580 047</w:t>
            </w:r>
          </w:p>
        </w:tc>
        <w:tc>
          <w:tcPr>
            <w:tcW w:w="2224" w:type="dxa"/>
            <w:tcBorders>
              <w:top w:val="single" w:sz="4" w:space="0" w:color="auto"/>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12 379 074</w:t>
            </w:r>
          </w:p>
        </w:tc>
        <w:tc>
          <w:tcPr>
            <w:tcW w:w="2268" w:type="dxa"/>
            <w:tcBorders>
              <w:top w:val="single" w:sz="4" w:space="0" w:color="auto"/>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42 580 558</w:t>
            </w:r>
          </w:p>
        </w:tc>
        <w:tc>
          <w:tcPr>
            <w:tcW w:w="2126" w:type="dxa"/>
            <w:tcBorders>
              <w:top w:val="single" w:sz="4" w:space="0" w:color="auto"/>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205 126 701</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Bulgaria</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3 989 718</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3 153 538</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829 850</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- 1 369 352</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4 944 054</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Czech Republic</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14 927 096</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11 381 855</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6 376 464</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33 855 738</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66 541 153</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Denmark</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22 084 110</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- 117 372 473</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9 829 677</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1 788 483</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- 83 670 203</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Germany</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256 136 541</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-1 888 495 864</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234 414 561</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19 055 744</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333 590 835</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-1 045 298 183</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Estonia</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1 686 538</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1 504 288</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14 178</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139 398</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3 065 606</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Ireland</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18 728 360</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12 894 883</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573 172</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48 016 832</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80 213 247</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Greece</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9 145 004</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13 588 185</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8 686 050</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6 159 179</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37 578 418</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Spain</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87 798 268</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82 793 953</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36 571 414</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32 658 676</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239 822 311</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France</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106 245 910</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169 094 348</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89 388 333</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201 841 872</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566 570 463</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Croatia</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2 676 669</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643 834</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3 184 492</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1 681 235</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231 784</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7 954 446</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Italy</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112 581 381</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124 246 094</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80 795 430</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255 003 626</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572 626 531</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Cyprus</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1 222 893</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893 550</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1 276 893</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28 753</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2 718 612</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6 083 195</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Latvia</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1 980 878</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1 880 067</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1 329 644</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870 309</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4 320 280</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Lithuania</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4 924 436</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2 770 147</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157 316</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- 2 201 781</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5 650 118</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Luxembourg</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1 098 788</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107 100</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2 306 563</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569 809</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- 1 757 479</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2 324 781</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Hungary</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8 352 683</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7 947 801</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333 386</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3 543 871</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20 177 741</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Malta</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787 080</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78 525</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608 005</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153 293</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240 722</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1 079 595</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Netherlands</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145 861 068</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- 398 413 950</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- 687 107 328</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165 388</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38 406 141</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- 901 419 457</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Austria</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13 141 445</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4 197 317</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3 776 332</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71 998 665</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93 113 759</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Poland</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33 861 525</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30 878 890</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11 992 561</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13 642 356</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90 375 332</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Portugal</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7 849 119</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13 299 627</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4 780 267</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14 336 816</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40 265 829</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Romania</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8 378 802</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11 599 727</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2 687 324</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- 5 442 533</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17 223 320</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Slovenia</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4 179 064</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871 500</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2 856 470</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476 461</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3 156 510</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11 540 005</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Slovak Republic</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5 925 178</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5 697 789</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2 672 851</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2 718 269</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17 014 087</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Finland</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8 338 277</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15 722 817</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9 296 654</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35 553 318</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68 911 066</w:t>
            </w:r>
          </w:p>
        </w:tc>
      </w:tr>
      <w:tr>
        <w:trPr>
          <w:trHeight w:val="255"/>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Sweden</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33 605 018</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- 280 781 172</w:t>
            </w:r>
          </w:p>
        </w:tc>
        <w:tc>
          <w:tcPr>
            <w:tcW w:w="2026"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- 162 381 217</w:t>
            </w:r>
          </w:p>
        </w:tc>
        <w:tc>
          <w:tcPr>
            <w:tcW w:w="222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3 438 276</w:t>
            </w:r>
          </w:p>
        </w:tc>
        <w:tc>
          <w:tcPr>
            <w:tcW w:w="2268"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91 117 908</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- 315 001 187</w:t>
            </w:r>
          </w:p>
        </w:tc>
      </w:tr>
      <w:tr>
        <w:trPr>
          <w:trHeight w:val="289"/>
          <w:jc w:val="center"/>
        </w:trPr>
        <w:tc>
          <w:tcPr>
            <w:tcW w:w="2013"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United Kingdom</w:t>
            </w:r>
          </w:p>
        </w:tc>
        <w:tc>
          <w:tcPr>
            <w:tcW w:w="177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198 848 819</w:t>
            </w:r>
          </w:p>
        </w:tc>
        <w:tc>
          <w:tcPr>
            <w:tcW w:w="1745"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177 982 661</w:t>
            </w:r>
          </w:p>
        </w:tc>
        <w:tc>
          <w:tcPr>
            <w:tcW w:w="2224"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- 305 684 368</w:t>
            </w:r>
          </w:p>
        </w:tc>
        <w:tc>
          <w:tcPr>
            <w:tcW w:w="2268"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111 719 880</w:t>
            </w:r>
          </w:p>
        </w:tc>
        <w:tc>
          <w:tcPr>
            <w:tcW w:w="2126"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182 866 992</w:t>
            </w:r>
          </w:p>
        </w:tc>
      </w:tr>
      <w:tr>
        <w:trPr>
          <w:trHeight w:val="270"/>
          <w:jc w:val="center"/>
        </w:trPr>
        <w:tc>
          <w:tcPr>
            <w:tcW w:w="2013" w:type="dxa"/>
            <w:tcBorders>
              <w:top w:val="nil"/>
              <w:left w:val="single" w:sz="8" w:space="0" w:color="auto"/>
              <w:bottom w:val="single" w:sz="8" w:space="0" w:color="auto"/>
              <w:right w:val="single" w:sz="8" w:space="0" w:color="auto"/>
            </w:tcBorders>
            <w:shd w:val="clear" w:color="auto" w:fill="auto"/>
            <w:vAlign w:val="center"/>
            <w:hideMark/>
          </w:tcPr>
          <w:p>
            <w:pPr>
              <w:jc w:val="center"/>
              <w:rPr>
                <w:b/>
                <w:noProof/>
                <w:sz w:val="18"/>
                <w:szCs w:val="18"/>
              </w:rPr>
            </w:pPr>
            <w:r>
              <w:rPr>
                <w:b/>
                <w:noProof/>
                <w:sz w:val="18"/>
                <w:szCs w:val="18"/>
              </w:rPr>
              <w:t xml:space="preserve">Total  </w:t>
            </w:r>
          </w:p>
        </w:tc>
        <w:tc>
          <w:tcPr>
            <w:tcW w:w="1773" w:type="dxa"/>
            <w:tcBorders>
              <w:top w:val="nil"/>
              <w:left w:val="nil"/>
              <w:bottom w:val="single" w:sz="8" w:space="0" w:color="auto"/>
              <w:right w:val="nil"/>
            </w:tcBorders>
            <w:shd w:val="clear" w:color="auto" w:fill="auto"/>
            <w:vAlign w:val="center"/>
          </w:tcPr>
          <w:p>
            <w:pPr>
              <w:jc w:val="right"/>
              <w:rPr>
                <w:b/>
                <w:noProof/>
                <w:sz w:val="18"/>
                <w:szCs w:val="18"/>
              </w:rPr>
            </w:pPr>
            <w:r>
              <w:rPr>
                <w:b/>
                <w:noProof/>
                <w:sz w:val="18"/>
                <w:szCs w:val="18"/>
              </w:rPr>
              <w:t>1 232 941 690</w:t>
            </w:r>
          </w:p>
        </w:tc>
        <w:tc>
          <w:tcPr>
            <w:tcW w:w="1745" w:type="dxa"/>
            <w:tcBorders>
              <w:top w:val="nil"/>
              <w:left w:val="single" w:sz="8" w:space="0" w:color="auto"/>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-2 565 096 477</w:t>
            </w:r>
          </w:p>
        </w:tc>
        <w:tc>
          <w:tcPr>
            <w:tcW w:w="2026" w:type="dxa"/>
            <w:tcBorders>
              <w:top w:val="nil"/>
              <w:left w:val="nil"/>
              <w:bottom w:val="single" w:sz="8" w:space="0" w:color="auto"/>
              <w:right w:val="nil"/>
            </w:tcBorders>
            <w:shd w:val="clear" w:color="auto" w:fill="auto"/>
            <w:vAlign w:val="center"/>
          </w:tcPr>
          <w:p>
            <w:pPr>
              <w:jc w:val="right"/>
              <w:rPr>
                <w:b/>
                <w:noProof/>
                <w:sz w:val="18"/>
                <w:szCs w:val="18"/>
              </w:rPr>
            </w:pPr>
            <w:r>
              <w:rPr>
                <w:b/>
                <w:noProof/>
                <w:sz w:val="18"/>
                <w:szCs w:val="18"/>
              </w:rPr>
              <w:t>0</w:t>
            </w:r>
          </w:p>
        </w:tc>
        <w:tc>
          <w:tcPr>
            <w:tcW w:w="2224" w:type="dxa"/>
            <w:tcBorders>
              <w:top w:val="nil"/>
              <w:left w:val="single" w:sz="8" w:space="0" w:color="auto"/>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0</w:t>
            </w:r>
          </w:p>
        </w:tc>
        <w:tc>
          <w:tcPr>
            <w:tcW w:w="2268" w:type="dxa"/>
            <w:tcBorders>
              <w:top w:val="nil"/>
              <w:left w:val="nil"/>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1 332 154 787</w:t>
            </w:r>
          </w:p>
        </w:tc>
        <w:tc>
          <w:tcPr>
            <w:tcW w:w="2126" w:type="dxa"/>
            <w:tcBorders>
              <w:top w:val="nil"/>
              <w:left w:val="nil"/>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0</w:t>
            </w:r>
          </w:p>
        </w:tc>
      </w:tr>
    </w:tbl>
    <w:p>
      <w:pPr>
        <w:spacing w:after="200"/>
        <w:jc w:val="both"/>
        <w:rPr>
          <w:rFonts w:eastAsiaTheme="minorHAnsi"/>
          <w:noProof/>
          <w:lang w:eastAsia="en-US"/>
        </w:rPr>
        <w:sectPr>
          <w:headerReference w:type="even" r:id="rId47"/>
          <w:headerReference w:type="default" r:id="rId48"/>
          <w:footerReference w:type="even" r:id="rId49"/>
          <w:footerReference w:type="default" r:id="rId50"/>
          <w:headerReference w:type="first" r:id="rId51"/>
          <w:footerReference w:type="first" r:id="rId52"/>
          <w:pgSz w:w="16839" w:h="11907" w:orient="landscape"/>
          <w:pgMar w:top="709" w:right="1021" w:bottom="709" w:left="1021" w:header="709" w:footer="291" w:gutter="0"/>
          <w:cols w:space="708"/>
          <w:docGrid w:linePitch="360"/>
        </w:sectPr>
      </w:pPr>
    </w:p>
    <w:p>
      <w:pPr>
        <w:pStyle w:val="ManualHeading1"/>
      </w:pPr>
      <w:bookmarkStart w:id="34" w:name="_Toc463466459"/>
      <w:r>
        <w:t xml:space="preserve">4. </w:t>
      </w:r>
      <w:r>
        <w:tab/>
        <w:t>Budgetary year 2016: retroactive impact of ord 2014</w:t>
      </w:r>
      <w:bookmarkEnd w:id="34"/>
    </w:p>
    <w:p>
      <w:pPr>
        <w:spacing w:after="200"/>
        <w:jc w:val="both"/>
        <w:rPr>
          <w:rFonts w:eastAsiaTheme="minorHAnsi"/>
          <w:noProof/>
          <w:lang w:eastAsia="en-US"/>
        </w:rPr>
      </w:pPr>
      <w:r>
        <w:rPr>
          <w:rFonts w:eastAsiaTheme="minorHAnsi"/>
          <w:noProof/>
          <w:lang w:eastAsia="en-US"/>
        </w:rPr>
        <w:t xml:space="preserve">The retroactive impact is calculated using the same methodology as for 2014 and is based on the latest available data for each type of own resource. </w:t>
      </w:r>
    </w:p>
    <w:p>
      <w:pPr>
        <w:pStyle w:val="ManualHeading2"/>
        <w:spacing w:before="360"/>
        <w:rPr>
          <w:rFonts w:eastAsia="Calibri"/>
          <w:noProof/>
        </w:rPr>
      </w:pPr>
      <w:bookmarkStart w:id="35" w:name="_Toc463466460"/>
      <w:r>
        <w:rPr>
          <w:rFonts w:eastAsia="Calibri"/>
          <w:noProof/>
        </w:rPr>
        <w:t xml:space="preserve">4.1 </w:t>
      </w:r>
      <w:r>
        <w:rPr>
          <w:rFonts w:eastAsia="Calibri"/>
          <w:noProof/>
        </w:rPr>
        <w:tab/>
        <w:t>Decrease in collection costs of Traditional Own Resources (TOR)</w:t>
      </w:r>
      <w:bookmarkEnd w:id="35"/>
    </w:p>
    <w:p>
      <w:pPr>
        <w:spacing w:after="200"/>
        <w:jc w:val="both"/>
        <w:rPr>
          <w:rFonts w:eastAsiaTheme="minorHAnsi"/>
          <w:noProof/>
          <w:lang w:eastAsia="en-US"/>
        </w:rPr>
      </w:pPr>
      <w:r>
        <w:rPr>
          <w:rFonts w:eastAsiaTheme="minorHAnsi"/>
          <w:noProof/>
          <w:lang w:eastAsia="en-US"/>
        </w:rPr>
        <w:t>The TOR figures included in DAB 4/2016 were forecasts taking into account the 25 % collection costs and correspond to the amounts as adopted at the 166</w:t>
      </w:r>
      <w:r>
        <w:rPr>
          <w:rFonts w:eastAsiaTheme="minorHAnsi"/>
          <w:noProof/>
          <w:vertAlign w:val="superscript"/>
          <w:lang w:eastAsia="en-US"/>
        </w:rPr>
        <w:t>th</w:t>
      </w:r>
      <w:r>
        <w:rPr>
          <w:rFonts w:eastAsiaTheme="minorHAnsi"/>
          <w:noProof/>
          <w:lang w:eastAsia="en-US"/>
        </w:rPr>
        <w:t xml:space="preserve"> meeting of the Advisory Committee on Own Resources on 18 May 2016. These amounts were updated for the collection costs of 20 % for the calculation of the retroactive impact. </w:t>
      </w:r>
    </w:p>
    <w:p>
      <w:pPr>
        <w:spacing w:after="200"/>
        <w:rPr>
          <w:rFonts w:eastAsiaTheme="minorHAnsi"/>
          <w:noProof/>
          <w:lang w:eastAsia="en-US"/>
        </w:rPr>
      </w:pPr>
      <w:r>
        <w:rPr>
          <w:rFonts w:eastAsiaTheme="minorHAnsi"/>
          <w:noProof/>
          <w:lang w:eastAsia="en-US"/>
        </w:rPr>
        <w:t>The following table provides an overview of the impact of the decreased collection costs:</w:t>
      </w:r>
    </w:p>
    <w:p>
      <w:pPr>
        <w:jc w:val="center"/>
        <w:rPr>
          <w:rFonts w:eastAsiaTheme="minorHAnsi"/>
          <w:noProof/>
          <w:sz w:val="18"/>
          <w:szCs w:val="18"/>
          <w:lang w:eastAsia="en-US"/>
        </w:rPr>
      </w:pPr>
      <w:r>
        <w:rPr>
          <w:rFonts w:eastAsiaTheme="minorHAnsi"/>
          <w:noProof/>
          <w:sz w:val="18"/>
          <w:szCs w:val="18"/>
          <w:lang w:eastAsia="en-US"/>
        </w:rPr>
        <w:t>Budgetary year 2016 (in EUR)</w:t>
      </w:r>
    </w:p>
    <w:tbl>
      <w:tblPr>
        <w:tblW w:w="9211" w:type="dxa"/>
        <w:jc w:val="center"/>
        <w:tblLook w:val="04A0" w:firstRow="1" w:lastRow="0" w:firstColumn="1" w:lastColumn="0" w:noHBand="0" w:noVBand="1"/>
      </w:tblPr>
      <w:tblGrid>
        <w:gridCol w:w="1520"/>
        <w:gridCol w:w="1460"/>
        <w:gridCol w:w="1556"/>
        <w:gridCol w:w="1364"/>
        <w:gridCol w:w="1613"/>
        <w:gridCol w:w="1698"/>
      </w:tblGrid>
      <w:tr>
        <w:trPr>
          <w:trHeight w:val="263"/>
          <w:jc w:val="center"/>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ACOR May 2016 forecast amount of sugar levies collected at 25%</w:t>
            </w:r>
          </w:p>
        </w:tc>
        <w:tc>
          <w:tcPr>
            <w:tcW w:w="1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ACOR May forecast amount of custom duties collected at 25%</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ACOR May 2016 forecast amount of sugar levies collected at 20%</w:t>
            </w:r>
          </w:p>
        </w:tc>
        <w:tc>
          <w:tcPr>
            <w:tcW w:w="16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ACOR May 2016 forecast amount of custom duties collected at 20%</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Difference in collection costs </w:t>
            </w:r>
          </w:p>
        </w:tc>
      </w:tr>
      <w:tr>
        <w:trPr>
          <w:trHeight w:val="604"/>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556"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613"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55"/>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460"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(1)</w:t>
            </w:r>
          </w:p>
        </w:tc>
        <w:tc>
          <w:tcPr>
            <w:tcW w:w="1556"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(2)</w:t>
            </w:r>
          </w:p>
        </w:tc>
        <w:tc>
          <w:tcPr>
            <w:tcW w:w="1364"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(3)</w:t>
            </w:r>
          </w:p>
        </w:tc>
        <w:tc>
          <w:tcPr>
            <w:tcW w:w="1613"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(4)</w:t>
            </w:r>
          </w:p>
        </w:tc>
        <w:tc>
          <w:tcPr>
            <w:tcW w:w="1698"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(5) = (3+4) - (1+2)</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6 600 000</w:t>
            </w:r>
          </w:p>
        </w:tc>
        <w:tc>
          <w:tcPr>
            <w:tcW w:w="1556"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1 860 800 000</w:t>
            </w:r>
          </w:p>
        </w:tc>
        <w:tc>
          <w:tcPr>
            <w:tcW w:w="1364"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7 000 000</w:t>
            </w:r>
          </w:p>
        </w:tc>
        <w:tc>
          <w:tcPr>
            <w:tcW w:w="1613"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1 984 800 000</w:t>
            </w:r>
          </w:p>
        </w:tc>
        <w:tc>
          <w:tcPr>
            <w:tcW w:w="1698"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124 400 000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61 000 000</w:t>
            </w:r>
          </w:p>
        </w:tc>
        <w:tc>
          <w:tcPr>
            <w:tcW w:w="1364"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400 000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65 100 000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4 100 000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3 400 000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235 000 000</w:t>
            </w:r>
          </w:p>
        </w:tc>
        <w:tc>
          <w:tcPr>
            <w:tcW w:w="1364"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3 600 000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250 600 000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15 800 000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3 400 000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357 400 000</w:t>
            </w:r>
          </w:p>
        </w:tc>
        <w:tc>
          <w:tcPr>
            <w:tcW w:w="1364"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3 600 000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381 200 000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24 000 000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26 300 000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3 867 100 000</w:t>
            </w:r>
          </w:p>
        </w:tc>
        <w:tc>
          <w:tcPr>
            <w:tcW w:w="1364"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28 100 000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4 124 900 000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259 600 000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26 100 000</w:t>
            </w:r>
          </w:p>
        </w:tc>
        <w:tc>
          <w:tcPr>
            <w:tcW w:w="1364"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27 800 000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1 700 000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295 000 000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314 600 000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19 600 000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1 400 000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141 600 000</w:t>
            </w:r>
          </w:p>
        </w:tc>
        <w:tc>
          <w:tcPr>
            <w:tcW w:w="1364" w:type="dxa"/>
            <w:tcBorders>
              <w:top w:val="nil"/>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1 500 000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151 000 000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9 500 000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4 700 000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1 340 500 000</w:t>
            </w:r>
          </w:p>
        </w:tc>
        <w:tc>
          <w:tcPr>
            <w:tcW w:w="1364"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5 000 000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1 429 900 000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89 700 000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30 900 000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1 572 000 000</w:t>
            </w:r>
          </w:p>
        </w:tc>
        <w:tc>
          <w:tcPr>
            <w:tcW w:w="1364"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33 000 000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1 676 800 000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106 900 000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1 700 000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41 200 000</w:t>
            </w:r>
          </w:p>
        </w:tc>
        <w:tc>
          <w:tcPr>
            <w:tcW w:w="1364"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1 900 000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44 000 000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3 000 000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4 700 000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1 715 100 000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5 000 000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1 829 400 000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114 600 000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18 300 000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19 600 000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1 300 000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30 400 000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32 400 000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2 000 000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75 200 000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80 300 000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5 200 000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17 100 000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18 300 000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1 200 000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2 100 000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132 700 000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2 200 000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141 600 000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9 000 000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11 800 000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12 600 000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7 200 000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2 260 300 000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7 700 000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2 411 000 000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151 200 000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3 200 000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201 100 000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3 400 000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214 500 000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13 600 000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12 800 000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516 000 000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13 700 000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550 400 000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35 300 000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128 300 000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136 800 000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8 600 000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128 900 000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1 000 000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137 500 000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8 700 000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65 100 000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69 500 000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4 400 000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1 300 000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90 900 000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1 400 000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96 900 000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6 100 000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118 400 000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126 300 000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8 000 000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2 600 000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515 000 000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2 800 000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549 400 000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34 600 000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9 500 000</w:t>
            </w:r>
          </w:p>
        </w:tc>
        <w:tc>
          <w:tcPr>
            <w:tcW w:w="1556"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3 035 100 000</w:t>
            </w:r>
          </w:p>
        </w:tc>
        <w:tc>
          <w:tcPr>
            <w:tcW w:w="136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10 100 000</w:t>
            </w:r>
          </w:p>
        </w:tc>
        <w:tc>
          <w:tcPr>
            <w:tcW w:w="161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3 237 400 000</w:t>
            </w:r>
          </w:p>
        </w:tc>
        <w:tc>
          <w:tcPr>
            <w:tcW w:w="1698"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202 900 000</w:t>
            </w:r>
          </w:p>
        </w:tc>
      </w:tr>
      <w:tr>
        <w:trPr>
          <w:trHeight w:val="285"/>
          <w:jc w:val="center"/>
        </w:trPr>
        <w:tc>
          <w:tcPr>
            <w:tcW w:w="1520"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460"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xml:space="preserve"> 124 700 000</w:t>
            </w:r>
          </w:p>
        </w:tc>
        <w:tc>
          <w:tcPr>
            <w:tcW w:w="1556"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18 857 400 000</w:t>
            </w:r>
          </w:p>
        </w:tc>
        <w:tc>
          <w:tcPr>
            <w:tcW w:w="1364"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xml:space="preserve"> 133 300 000</w:t>
            </w:r>
          </w:p>
        </w:tc>
        <w:tc>
          <w:tcPr>
            <w:tcW w:w="1613"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20 114 600 000</w:t>
            </w:r>
          </w:p>
        </w:tc>
        <w:tc>
          <w:tcPr>
            <w:tcW w:w="1698"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1 265 800 000</w:t>
            </w:r>
          </w:p>
        </w:tc>
      </w:tr>
    </w:tbl>
    <w:p>
      <w:pPr>
        <w:pStyle w:val="ManualHeading2"/>
        <w:spacing w:before="360"/>
        <w:rPr>
          <w:rFonts w:eastAsia="Calibri"/>
          <w:noProof/>
        </w:rPr>
      </w:pPr>
      <w:bookmarkStart w:id="36" w:name="_Toc463466461"/>
      <w:r>
        <w:rPr>
          <w:rFonts w:eastAsia="Calibri"/>
          <w:noProof/>
        </w:rPr>
        <w:t xml:space="preserve">4.2 </w:t>
      </w:r>
      <w:r>
        <w:rPr>
          <w:rFonts w:eastAsia="Calibri"/>
          <w:noProof/>
        </w:rPr>
        <w:tab/>
        <w:t>Rate of call of the VAT-based resource</w:t>
      </w:r>
      <w:bookmarkEnd w:id="36"/>
    </w:p>
    <w:p>
      <w:pPr>
        <w:spacing w:after="200"/>
        <w:jc w:val="both"/>
        <w:rPr>
          <w:rFonts w:eastAsiaTheme="minorHAnsi"/>
          <w:noProof/>
          <w:lang w:eastAsia="en-US"/>
        </w:rPr>
      </w:pPr>
      <w:r>
        <w:rPr>
          <w:rFonts w:eastAsiaTheme="minorHAnsi"/>
          <w:noProof/>
          <w:lang w:eastAsia="en-US"/>
        </w:rPr>
        <w:t>According to ORD 2014, the uniform rate of call of the VAT based resource is fixed at 0.30 % from 1 January 2014. However, for the period 2014-2020, the rate of call of the VAT based own resource for Germany, the Netherlands and Sweden has been fixed at 0.15 %.</w:t>
      </w:r>
    </w:p>
    <w:p>
      <w:pPr>
        <w:spacing w:after="200"/>
        <w:jc w:val="both"/>
        <w:rPr>
          <w:rFonts w:eastAsiaTheme="minorHAnsi"/>
          <w:noProof/>
          <w:lang w:eastAsia="en-US"/>
        </w:rPr>
      </w:pPr>
      <w:r>
        <w:rPr>
          <w:rFonts w:eastAsiaTheme="minorHAnsi"/>
          <w:noProof/>
          <w:lang w:eastAsia="en-US"/>
        </w:rPr>
        <w:t>The impact of the new ORD has been calculated based on the forecasts included in DAB 4/2016, which corresponds to the 2016 amounts as adopted at the 166th meeting of the Advisory Committee on Own Resources on 18 May 2016. These data are the latest available data for the VAT base for 2016.</w:t>
      </w:r>
    </w:p>
    <w:p>
      <w:pPr>
        <w:spacing w:after="200"/>
        <w:jc w:val="both"/>
        <w:rPr>
          <w:rFonts w:eastAsiaTheme="minorHAnsi"/>
          <w:noProof/>
          <w:lang w:eastAsia="en-US"/>
        </w:rPr>
      </w:pPr>
      <w:r>
        <w:rPr>
          <w:rFonts w:eastAsiaTheme="minorHAnsi"/>
          <w:noProof/>
          <w:lang w:eastAsia="en-US"/>
        </w:rPr>
        <w:t xml:space="preserve">The revised VAT based own resource contributions taking into account the new rates are set out in the following table: </w:t>
      </w:r>
    </w:p>
    <w:p>
      <w:pPr>
        <w:jc w:val="center"/>
        <w:rPr>
          <w:rFonts w:eastAsiaTheme="minorHAnsi"/>
          <w:noProof/>
          <w:sz w:val="18"/>
          <w:szCs w:val="18"/>
          <w:lang w:eastAsia="en-US"/>
        </w:rPr>
      </w:pPr>
      <w:r>
        <w:rPr>
          <w:rFonts w:eastAsiaTheme="minorHAnsi"/>
          <w:noProof/>
          <w:sz w:val="18"/>
          <w:szCs w:val="18"/>
          <w:lang w:eastAsia="en-US"/>
        </w:rPr>
        <w:t>Budgetary year 2016 (in EUR)</w:t>
      </w:r>
    </w:p>
    <w:tbl>
      <w:tblPr>
        <w:tblW w:w="8977" w:type="dxa"/>
        <w:jc w:val="center"/>
        <w:tblLook w:val="04A0" w:firstRow="1" w:lastRow="0" w:firstColumn="1" w:lastColumn="0" w:noHBand="0" w:noVBand="1"/>
      </w:tblPr>
      <w:tblGrid>
        <w:gridCol w:w="1607"/>
        <w:gridCol w:w="1654"/>
        <w:gridCol w:w="1504"/>
        <w:gridCol w:w="1067"/>
        <w:gridCol w:w="1398"/>
        <w:gridCol w:w="1747"/>
      </w:tblGrid>
      <w:tr>
        <w:trPr>
          <w:trHeight w:val="263"/>
          <w:jc w:val="center"/>
        </w:trPr>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6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1% of capped VAT base              </w:t>
            </w:r>
            <w:r>
              <w:rPr>
                <w:noProof/>
                <w:sz w:val="18"/>
                <w:szCs w:val="18"/>
              </w:rPr>
              <w:br/>
              <w:t xml:space="preserve">  (as ACOR May 2016 forecast)</w:t>
            </w:r>
          </w:p>
        </w:tc>
        <w:tc>
          <w:tcPr>
            <w:tcW w:w="1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1% of capped VAT base              </w:t>
            </w:r>
            <w:r>
              <w:rPr>
                <w:noProof/>
                <w:sz w:val="18"/>
                <w:szCs w:val="18"/>
              </w:rPr>
              <w:br/>
              <w:t>(capping GNI ESA 2010)</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Uniform rate of VAT-based own resource (in %) according to ORD 2007</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Uniform rate of VAT-based own resource (in %) according to ORD 2014</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Difference in the VAT-based own resource contributions according to ORD 2014</w:t>
            </w:r>
          </w:p>
        </w:tc>
      </w:tr>
      <w:tr>
        <w:trPr>
          <w:trHeight w:val="1530"/>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504"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55"/>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654"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(1)</w:t>
            </w:r>
          </w:p>
        </w:tc>
        <w:tc>
          <w:tcPr>
            <w:tcW w:w="1504"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(2)</w:t>
            </w:r>
          </w:p>
        </w:tc>
        <w:tc>
          <w:tcPr>
            <w:tcW w:w="1067"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(3)</w:t>
            </w:r>
          </w:p>
        </w:tc>
        <w:tc>
          <w:tcPr>
            <w:tcW w:w="1398"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(4)</w:t>
            </w:r>
          </w:p>
        </w:tc>
        <w:tc>
          <w:tcPr>
            <w:tcW w:w="1747"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(5) = (2 x 4) - (1 x 3)</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1 721 991 000</w:t>
            </w:r>
          </w:p>
        </w:tc>
        <w:tc>
          <w:tcPr>
            <w:tcW w:w="1504"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1 721 991 000</w:t>
            </w:r>
          </w:p>
        </w:tc>
        <w:tc>
          <w:tcPr>
            <w:tcW w:w="1067" w:type="dxa"/>
            <w:tcBorders>
              <w:top w:val="single" w:sz="4" w:space="0" w:color="auto"/>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single" w:sz="4" w:space="0" w:color="auto"/>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207 858 000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207 858 000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680 378 000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680 378 000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1 022 373 000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1 022 373 000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12 984 422 000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12 984 422 000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0.15</w:t>
            </w:r>
          </w:p>
        </w:tc>
        <w:tc>
          <w:tcPr>
            <w:tcW w:w="174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-1 947 663 300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102 276 500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102 808 000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 xml:space="preserve">  159 450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809 088 000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809 088 000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759 264 000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759 264 000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4 723 052 000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4 723 052 000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9 712 577 000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9 712 577 000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217 754 000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219 249 500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448 650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6 088 296 000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6 088 296 000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86 934 500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86 271 000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199 050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98 291 000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98 291 000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151 049 000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151 049 000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174 375 000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175 076 000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210 300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433 908 000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433 908 000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45 390 000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45 653 000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78 900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2 787 039 000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2 787 039 000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0.15</w:t>
            </w:r>
          </w:p>
        </w:tc>
        <w:tc>
          <w:tcPr>
            <w:tcW w:w="174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- 418 055 850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1 556 782 000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1 556 782 000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1 833 156 000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1 833 156 000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871 109 000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871 109 000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550 855 000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550 855 000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178 550 000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178 550 000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266 343 000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266 343 000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915 357 000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915 357 000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2 034 845 000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2 034 845 000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0.15</w:t>
            </w:r>
          </w:p>
        </w:tc>
        <w:tc>
          <w:tcPr>
            <w:tcW w:w="174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- 305 226 750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12 151 903 000</w:t>
            </w:r>
          </w:p>
        </w:tc>
        <w:tc>
          <w:tcPr>
            <w:tcW w:w="1504"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12 151 903 000</w:t>
            </w:r>
          </w:p>
        </w:tc>
        <w:tc>
          <w:tcPr>
            <w:tcW w:w="1067"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398" w:type="dxa"/>
            <w:tcBorders>
              <w:top w:val="nil"/>
              <w:left w:val="nil"/>
              <w:bottom w:val="single" w:sz="4" w:space="0" w:color="auto"/>
              <w:right w:val="single" w:sz="4" w:space="0" w:color="auto"/>
            </w:tcBorders>
            <w:shd w:val="clear" w:color="auto" w:fill="auto"/>
            <w:vAlign w:val="center"/>
          </w:tcPr>
          <w:p>
            <w:pPr>
              <w:jc w:val="center"/>
              <w:rPr>
                <w:noProof/>
                <w:sz w:val="18"/>
                <w:szCs w:val="18"/>
              </w:rPr>
            </w:pPr>
            <w:r>
              <w:rPr>
                <w:noProof/>
                <w:sz w:val="18"/>
                <w:szCs w:val="18"/>
              </w:rPr>
              <w:t>0.30</w:t>
            </w:r>
          </w:p>
        </w:tc>
        <w:tc>
          <w:tcPr>
            <w:tcW w:w="1747"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color w:val="000000"/>
                <w:sz w:val="18"/>
                <w:szCs w:val="18"/>
              </w:rPr>
              <w:t>0</w:t>
            </w:r>
          </w:p>
        </w:tc>
      </w:tr>
      <w:tr>
        <w:trPr>
          <w:trHeight w:val="285"/>
          <w:jc w:val="center"/>
        </w:trPr>
        <w:tc>
          <w:tcPr>
            <w:tcW w:w="1607"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654"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63 165 216 000</w:t>
            </w:r>
          </w:p>
        </w:tc>
        <w:tc>
          <w:tcPr>
            <w:tcW w:w="1504"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63 167 543 500</w:t>
            </w:r>
          </w:p>
        </w:tc>
        <w:tc>
          <w:tcPr>
            <w:tcW w:w="1067" w:type="dxa"/>
            <w:tcBorders>
              <w:top w:val="nil"/>
              <w:left w:val="nil"/>
              <w:bottom w:val="single" w:sz="4" w:space="0" w:color="auto"/>
              <w:right w:val="single" w:sz="4" w:space="0" w:color="auto"/>
            </w:tcBorders>
            <w:shd w:val="clear" w:color="auto" w:fill="auto"/>
            <w:vAlign w:val="center"/>
          </w:tcPr>
          <w:p>
            <w:pPr>
              <w:jc w:val="center"/>
              <w:rPr>
                <w:b/>
                <w:noProof/>
                <w:sz w:val="18"/>
                <w:szCs w:val="18"/>
              </w:rPr>
            </w:pPr>
            <w:r>
              <w:rPr>
                <w:b/>
                <w:noProof/>
                <w:sz w:val="18"/>
                <w:szCs w:val="18"/>
              </w:rPr>
              <w:t> </w:t>
            </w:r>
          </w:p>
        </w:tc>
        <w:tc>
          <w:tcPr>
            <w:tcW w:w="1398"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w:t>
            </w:r>
          </w:p>
        </w:tc>
        <w:tc>
          <w:tcPr>
            <w:tcW w:w="1747"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-2 670 247 650</w:t>
            </w:r>
          </w:p>
        </w:tc>
      </w:tr>
    </w:tbl>
    <w:p>
      <w:pPr>
        <w:pStyle w:val="ManualHeading2"/>
        <w:spacing w:before="360"/>
        <w:rPr>
          <w:rFonts w:eastAsia="Calibri"/>
          <w:noProof/>
        </w:rPr>
      </w:pPr>
      <w:bookmarkStart w:id="37" w:name="_Toc463466462"/>
      <w:r>
        <w:rPr>
          <w:rFonts w:eastAsia="Calibri"/>
          <w:noProof/>
        </w:rPr>
        <w:t xml:space="preserve">4.3 </w:t>
      </w:r>
      <w:r>
        <w:rPr>
          <w:rFonts w:eastAsia="Calibri"/>
          <w:noProof/>
        </w:rPr>
        <w:tab/>
        <w:t>Gross reductions in their annual GNI-bassed contributions for Denmark, the Netherlands, Sweden and Austria</w:t>
      </w:r>
      <w:bookmarkEnd w:id="37"/>
    </w:p>
    <w:p>
      <w:pPr>
        <w:spacing w:after="200"/>
        <w:jc w:val="both"/>
        <w:rPr>
          <w:rFonts w:eastAsiaTheme="minorHAnsi"/>
          <w:noProof/>
          <w:lang w:eastAsia="en-US"/>
        </w:rPr>
      </w:pPr>
      <w:r>
        <w:rPr>
          <w:rFonts w:eastAsiaTheme="minorHAnsi"/>
          <w:noProof/>
          <w:lang w:eastAsia="en-US"/>
        </w:rPr>
        <w:t>According to ORD 2014, Denmark, the Netherlands, Sweden and Austria are entitled to a gross reduction in their annual GNI-based contributions of respectively EUR 130 million, EUR 695 million, EUR 185 million and EUR 10 million in 2011 prices adjusted to current prices by applying the GDP deflator for the EU expressed in Euro.</w:t>
      </w:r>
    </w:p>
    <w:p>
      <w:pPr>
        <w:spacing w:after="200"/>
        <w:jc w:val="both"/>
        <w:rPr>
          <w:rFonts w:eastAsiaTheme="minorHAnsi"/>
          <w:noProof/>
          <w:lang w:eastAsia="en-US"/>
        </w:rPr>
      </w:pPr>
      <w:r>
        <w:rPr>
          <w:rFonts w:eastAsiaTheme="minorHAnsi"/>
          <w:noProof/>
          <w:lang w:eastAsia="en-US"/>
        </w:rPr>
        <w:t>The following table provides an overview of the gross reductions and their financing:</w:t>
      </w:r>
    </w:p>
    <w:p>
      <w:pPr>
        <w:jc w:val="center"/>
        <w:rPr>
          <w:rFonts w:eastAsiaTheme="minorHAnsi"/>
          <w:noProof/>
          <w:sz w:val="18"/>
          <w:szCs w:val="18"/>
          <w:lang w:eastAsia="en-US"/>
        </w:rPr>
      </w:pPr>
      <w:r>
        <w:rPr>
          <w:rFonts w:eastAsiaTheme="minorHAnsi"/>
          <w:noProof/>
          <w:sz w:val="18"/>
          <w:szCs w:val="18"/>
          <w:lang w:eastAsia="en-US"/>
        </w:rPr>
        <w:t>Budgetary year 2016 (in EUR)</w:t>
      </w:r>
    </w:p>
    <w:tbl>
      <w:tblPr>
        <w:tblW w:w="9373" w:type="dxa"/>
        <w:jc w:val="center"/>
        <w:tblLook w:val="04A0" w:firstRow="1" w:lastRow="0" w:firstColumn="1" w:lastColumn="0" w:noHBand="0" w:noVBand="1"/>
      </w:tblPr>
      <w:tblGrid>
        <w:gridCol w:w="2076"/>
        <w:gridCol w:w="1736"/>
        <w:gridCol w:w="1588"/>
        <w:gridCol w:w="1750"/>
        <w:gridCol w:w="2223"/>
      </w:tblGrid>
      <w:tr>
        <w:trPr>
          <w:trHeight w:val="420"/>
          <w:jc w:val="center"/>
        </w:trPr>
        <w:tc>
          <w:tcPr>
            <w:tcW w:w="2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Gross reduction</w:t>
            </w:r>
          </w:p>
        </w:tc>
        <w:tc>
          <w:tcPr>
            <w:tcW w:w="1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Percentage share of GNI base</w:t>
            </w:r>
          </w:p>
          <w:p>
            <w:pPr>
              <w:jc w:val="center"/>
              <w:rPr>
                <w:noProof/>
                <w:sz w:val="18"/>
                <w:szCs w:val="18"/>
              </w:rPr>
            </w:pPr>
            <w:r>
              <w:rPr>
                <w:noProof/>
                <w:sz w:val="18"/>
                <w:szCs w:val="18"/>
              </w:rPr>
              <w:t>(ESA 2010)</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GNI key applied to the gross reduction</w:t>
            </w:r>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Financing of the reduction in favour of Denmark, Netherlands, Austria and Sweden</w:t>
            </w:r>
          </w:p>
        </w:tc>
      </w:tr>
      <w:tr>
        <w:trPr>
          <w:trHeight w:val="207"/>
          <w:jc w:val="center"/>
        </w:trPr>
        <w:tc>
          <w:tcPr>
            <w:tcW w:w="2076" w:type="dxa"/>
            <w:vMerge/>
            <w:tcBorders>
              <w:top w:val="nil"/>
              <w:left w:val="single" w:sz="4" w:space="0" w:color="auto"/>
              <w:bottom w:val="single" w:sz="4" w:space="0" w:color="auto"/>
              <w:right w:val="single" w:sz="4" w:space="0" w:color="auto"/>
            </w:tcBorders>
            <w:vAlign w:val="center"/>
            <w:hideMark/>
          </w:tcPr>
          <w:p>
            <w:pPr>
              <w:rPr>
                <w:noProof/>
                <w:sz w:val="18"/>
                <w:szCs w:val="18"/>
              </w:rPr>
            </w:pPr>
          </w:p>
        </w:tc>
        <w:tc>
          <w:tcPr>
            <w:tcW w:w="1736" w:type="dxa"/>
            <w:vMerge/>
            <w:tcBorders>
              <w:top w:val="nil"/>
              <w:left w:val="single" w:sz="4" w:space="0" w:color="auto"/>
              <w:bottom w:val="single" w:sz="4" w:space="0" w:color="000000"/>
              <w:right w:val="single" w:sz="4" w:space="0" w:color="auto"/>
            </w:tcBorders>
            <w:vAlign w:val="center"/>
            <w:hideMark/>
          </w:tcPr>
          <w:p>
            <w:pPr>
              <w:rPr>
                <w:noProof/>
                <w:sz w:val="18"/>
                <w:szCs w:val="18"/>
              </w:rPr>
            </w:pPr>
          </w:p>
        </w:tc>
        <w:tc>
          <w:tcPr>
            <w:tcW w:w="1588" w:type="dxa"/>
            <w:vMerge/>
            <w:tcBorders>
              <w:top w:val="nil"/>
              <w:left w:val="single" w:sz="4" w:space="0" w:color="auto"/>
              <w:bottom w:val="single" w:sz="4" w:space="0" w:color="000000"/>
              <w:right w:val="single" w:sz="4" w:space="0" w:color="auto"/>
            </w:tcBorders>
            <w:vAlign w:val="center"/>
            <w:hideMark/>
          </w:tcPr>
          <w:p>
            <w:pPr>
              <w:rPr>
                <w:noProof/>
                <w:sz w:val="18"/>
                <w:szCs w:val="18"/>
              </w:rPr>
            </w:pPr>
          </w:p>
        </w:tc>
        <w:tc>
          <w:tcPr>
            <w:tcW w:w="1750" w:type="dxa"/>
            <w:vMerge/>
            <w:tcBorders>
              <w:top w:val="nil"/>
              <w:left w:val="single" w:sz="4" w:space="0" w:color="auto"/>
              <w:bottom w:val="single" w:sz="4" w:space="0" w:color="auto"/>
              <w:right w:val="single" w:sz="4" w:space="0" w:color="auto"/>
            </w:tcBorders>
            <w:vAlign w:val="center"/>
            <w:hideMark/>
          </w:tcPr>
          <w:p>
            <w:pPr>
              <w:rPr>
                <w:noProof/>
                <w:sz w:val="18"/>
                <w:szCs w:val="18"/>
              </w:rPr>
            </w:pPr>
          </w:p>
        </w:tc>
        <w:tc>
          <w:tcPr>
            <w:tcW w:w="2223" w:type="dxa"/>
            <w:vMerge/>
            <w:tcBorders>
              <w:top w:val="nil"/>
              <w:left w:val="single" w:sz="4" w:space="0" w:color="auto"/>
              <w:bottom w:val="single" w:sz="4" w:space="0" w:color="auto"/>
              <w:right w:val="single" w:sz="4" w:space="0" w:color="auto"/>
            </w:tcBorders>
            <w:vAlign w:val="center"/>
            <w:hideMark/>
          </w:tcPr>
          <w:p>
            <w:pPr>
              <w:rPr>
                <w:noProof/>
                <w:sz w:val="18"/>
                <w:szCs w:val="18"/>
              </w:rPr>
            </w:pPr>
          </w:p>
        </w:tc>
      </w:tr>
      <w:tr>
        <w:trPr>
          <w:trHeight w:val="300"/>
          <w:jc w:val="center"/>
        </w:trPr>
        <w:tc>
          <w:tcPr>
            <w:tcW w:w="2076" w:type="dxa"/>
            <w:vMerge/>
            <w:tcBorders>
              <w:top w:val="nil"/>
              <w:left w:val="single" w:sz="4" w:space="0" w:color="auto"/>
              <w:bottom w:val="single" w:sz="4" w:space="0" w:color="auto"/>
              <w:right w:val="single" w:sz="4" w:space="0" w:color="auto"/>
            </w:tcBorders>
            <w:vAlign w:val="center"/>
            <w:hideMark/>
          </w:tcPr>
          <w:p>
            <w:pPr>
              <w:rPr>
                <w:noProof/>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588"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75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w:t>
            </w:r>
          </w:p>
        </w:tc>
        <w:tc>
          <w:tcPr>
            <w:tcW w:w="2223"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(4) = (1 + 3)</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2,81%</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31 449 227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31 449 227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3 236 817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3 236 817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1,05%</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11 740 767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11 740 767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- 142 439 555</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1,86%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20 806 983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- 121 632 572</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21,25%</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237 521 435</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237 521 435</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0,14%</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1 542 779</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1 542 779</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14 455 684</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14 455 684</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1,17%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13 059 986</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13 059 986</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7,43%</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83 058 391</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83 058 391</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15,08%</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168 537 432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168 537 432</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3 253 705</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3 253 705</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11,08%</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123 820 797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123 820 797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0,11%</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1 280 278</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1 280 278</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0,17%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1 920 262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1 920 262</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0,25%</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2 791 366</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2 791 366</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0,23%</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2 598 162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2 598 162</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0,71%</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7 966 765</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7 966 765</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0,06%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677 499</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677 499</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- 761 503 777</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4,67%</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52 169 910</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- 709 333 867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- 10 956 889</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2,30%</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25 686 929</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14 730 040</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2,81%</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31 438 669</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31 438 669</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1,21%</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13 485 062</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13 485 062</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1,09%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12 191 397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12 191 397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0,26%</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2 906 563</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2 906 563</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0,52%</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5 758 900</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5 758 900</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1,41%</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15 788 289</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15 788 289</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- 202 702 444</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3,25%</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36 361 807</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- 166 340 637</w:t>
            </w:r>
          </w:p>
        </w:tc>
      </w:tr>
      <w:tr>
        <w:trPr>
          <w:trHeight w:val="255"/>
          <w:jc w:val="center"/>
        </w:trPr>
        <w:tc>
          <w:tcPr>
            <w:tcW w:w="2076"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88"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17,19%</w:t>
            </w:r>
          </w:p>
        </w:tc>
        <w:tc>
          <w:tcPr>
            <w:tcW w:w="1750"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192 096 804</w:t>
            </w:r>
          </w:p>
        </w:tc>
        <w:tc>
          <w:tcPr>
            <w:tcW w:w="2223"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192 096 804</w:t>
            </w:r>
          </w:p>
        </w:tc>
      </w:tr>
      <w:tr>
        <w:trPr>
          <w:trHeight w:val="213"/>
          <w:jc w:val="center"/>
        </w:trPr>
        <w:tc>
          <w:tcPr>
            <w:tcW w:w="2076"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736"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-1 117 602 665</w:t>
            </w:r>
          </w:p>
        </w:tc>
        <w:tc>
          <w:tcPr>
            <w:tcW w:w="1588"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100,00%</w:t>
            </w:r>
          </w:p>
        </w:tc>
        <w:tc>
          <w:tcPr>
            <w:tcW w:w="1750"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1 117 602 665</w:t>
            </w:r>
          </w:p>
        </w:tc>
        <w:tc>
          <w:tcPr>
            <w:tcW w:w="2223"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r>
      <w:tr>
        <w:trPr>
          <w:trHeight w:val="83"/>
          <w:jc w:val="center"/>
        </w:trPr>
        <w:tc>
          <w:tcPr>
            <w:tcW w:w="2076" w:type="dxa"/>
            <w:tcBorders>
              <w:top w:val="nil"/>
              <w:left w:val="nil"/>
              <w:bottom w:val="nil"/>
              <w:right w:val="nil"/>
            </w:tcBorders>
            <w:shd w:val="clear" w:color="auto" w:fill="auto"/>
            <w:noWrap/>
            <w:vAlign w:val="center"/>
            <w:hideMark/>
          </w:tcPr>
          <w:p>
            <w:pPr>
              <w:jc w:val="right"/>
              <w:rPr>
                <w:noProof/>
                <w:sz w:val="18"/>
                <w:szCs w:val="18"/>
              </w:rPr>
            </w:pPr>
          </w:p>
        </w:tc>
        <w:tc>
          <w:tcPr>
            <w:tcW w:w="1736" w:type="dxa"/>
            <w:tcBorders>
              <w:top w:val="nil"/>
              <w:left w:val="nil"/>
              <w:bottom w:val="nil"/>
              <w:right w:val="nil"/>
            </w:tcBorders>
            <w:shd w:val="clear" w:color="auto" w:fill="auto"/>
            <w:noWrap/>
            <w:vAlign w:val="bottom"/>
            <w:hideMark/>
          </w:tcPr>
          <w:p>
            <w:pPr>
              <w:rPr>
                <w:noProof/>
                <w:sz w:val="20"/>
                <w:szCs w:val="20"/>
              </w:rPr>
            </w:pPr>
          </w:p>
        </w:tc>
        <w:tc>
          <w:tcPr>
            <w:tcW w:w="1588" w:type="dxa"/>
            <w:tcBorders>
              <w:top w:val="nil"/>
              <w:left w:val="nil"/>
              <w:bottom w:val="nil"/>
              <w:right w:val="nil"/>
            </w:tcBorders>
            <w:shd w:val="clear" w:color="auto" w:fill="auto"/>
            <w:noWrap/>
            <w:vAlign w:val="bottom"/>
            <w:hideMark/>
          </w:tcPr>
          <w:p>
            <w:pPr>
              <w:rPr>
                <w:noProof/>
                <w:sz w:val="20"/>
                <w:szCs w:val="20"/>
              </w:rPr>
            </w:pPr>
          </w:p>
        </w:tc>
        <w:tc>
          <w:tcPr>
            <w:tcW w:w="1750" w:type="dxa"/>
            <w:tcBorders>
              <w:top w:val="nil"/>
              <w:left w:val="nil"/>
              <w:bottom w:val="nil"/>
              <w:right w:val="nil"/>
            </w:tcBorders>
            <w:shd w:val="clear" w:color="auto" w:fill="auto"/>
            <w:noWrap/>
            <w:vAlign w:val="bottom"/>
            <w:hideMark/>
          </w:tcPr>
          <w:p>
            <w:pPr>
              <w:rPr>
                <w:noProof/>
                <w:sz w:val="20"/>
                <w:szCs w:val="20"/>
              </w:rPr>
            </w:pPr>
          </w:p>
        </w:tc>
        <w:tc>
          <w:tcPr>
            <w:tcW w:w="2223" w:type="dxa"/>
            <w:tcBorders>
              <w:top w:val="nil"/>
              <w:left w:val="nil"/>
              <w:bottom w:val="nil"/>
              <w:right w:val="nil"/>
            </w:tcBorders>
            <w:shd w:val="clear" w:color="auto" w:fill="auto"/>
            <w:noWrap/>
            <w:vAlign w:val="bottom"/>
            <w:hideMark/>
          </w:tcPr>
          <w:p>
            <w:pPr>
              <w:rPr>
                <w:noProof/>
                <w:sz w:val="20"/>
                <w:szCs w:val="20"/>
              </w:rPr>
            </w:pPr>
          </w:p>
        </w:tc>
      </w:tr>
      <w:tr>
        <w:trPr>
          <w:trHeight w:val="493"/>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EU GDP price deflator, in EUR, (spring 2015 economic forecast) :</w:t>
            </w:r>
          </w:p>
          <w:p>
            <w:pPr>
              <w:jc w:val="center"/>
              <w:rPr>
                <w:noProof/>
                <w:sz w:val="18"/>
                <w:szCs w:val="18"/>
                <w:lang w:val="pt-PT"/>
              </w:rPr>
            </w:pPr>
            <w:r>
              <w:rPr>
                <w:noProof/>
                <w:sz w:val="18"/>
                <w:szCs w:val="18"/>
                <w:lang w:val="pt-PT"/>
              </w:rPr>
              <w:t>(a) 2011 EU27 = 101,2490 / (b) 2013 EU27 = 104,3831</w:t>
            </w:r>
            <w:r>
              <w:rPr>
                <w:noProof/>
                <w:sz w:val="18"/>
                <w:szCs w:val="18"/>
                <w:lang w:val="pt-PT"/>
              </w:rPr>
              <w:br/>
              <w:t>(c) 2013 EU28 = 104,3687 / (d) 2016 EU28 = 110,9221</w:t>
            </w:r>
          </w:p>
        </w:tc>
      </w:tr>
      <w:tr>
        <w:trPr>
          <w:trHeight w:val="269"/>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Netherlands: in 2016 prices:                </w:t>
            </w:r>
            <w:r>
              <w:rPr>
                <w:noProof/>
                <w:sz w:val="18"/>
                <w:szCs w:val="18"/>
              </w:rPr>
              <w:br/>
              <w:t>695 000 000 EUR x [ (b/a) x (d/c) ] = 761 503 777 EUR</w:t>
            </w:r>
          </w:p>
        </w:tc>
      </w:tr>
      <w:tr>
        <w:trPr>
          <w:trHeight w:val="171"/>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Sweden: in 2016 prices:                </w:t>
            </w:r>
            <w:r>
              <w:rPr>
                <w:noProof/>
                <w:sz w:val="18"/>
                <w:szCs w:val="18"/>
              </w:rPr>
              <w:br/>
              <w:t>185 000 000 EUR x [ (b/a) x (d/c) ] = 202 702 444 EUR</w:t>
            </w:r>
          </w:p>
        </w:tc>
      </w:tr>
      <w:tr>
        <w:trPr>
          <w:trHeight w:val="130"/>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Denmark: in 2016 prices:                </w:t>
            </w:r>
            <w:r>
              <w:rPr>
                <w:noProof/>
                <w:sz w:val="18"/>
                <w:szCs w:val="18"/>
              </w:rPr>
              <w:br/>
              <w:t>130 000 000 EUR x [ (b/a) x (d/c) ] = 142 439 555 EUR</w:t>
            </w:r>
          </w:p>
        </w:tc>
      </w:tr>
      <w:tr>
        <w:trPr>
          <w:trHeight w:val="284"/>
          <w:jc w:val="center"/>
        </w:trPr>
        <w:tc>
          <w:tcPr>
            <w:tcW w:w="93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pPr>
              <w:jc w:val="center"/>
              <w:rPr>
                <w:noProof/>
                <w:sz w:val="18"/>
                <w:szCs w:val="18"/>
              </w:rPr>
            </w:pPr>
            <w:r>
              <w:rPr>
                <w:noProof/>
                <w:sz w:val="18"/>
                <w:szCs w:val="18"/>
              </w:rPr>
              <w:t xml:space="preserve">Lump-sum for Austria: in 2016 prices:                </w:t>
            </w:r>
            <w:r>
              <w:rPr>
                <w:noProof/>
                <w:sz w:val="18"/>
                <w:szCs w:val="18"/>
              </w:rPr>
              <w:br/>
              <w:t>10 000 000 EUR x [ (b/a) x (d/c) ] = 10 956 889 EUR</w:t>
            </w:r>
          </w:p>
        </w:tc>
      </w:tr>
    </w:tbl>
    <w:p>
      <w:pPr>
        <w:pStyle w:val="ManualHeading2"/>
        <w:spacing w:before="360"/>
        <w:rPr>
          <w:rFonts w:eastAsia="Calibri"/>
          <w:noProof/>
        </w:rPr>
      </w:pPr>
      <w:bookmarkStart w:id="38" w:name="_Toc463466463"/>
      <w:r>
        <w:rPr>
          <w:rFonts w:eastAsia="Calibri"/>
          <w:noProof/>
        </w:rPr>
        <w:t xml:space="preserve">4.4 </w:t>
      </w:r>
      <w:r>
        <w:rPr>
          <w:rFonts w:eastAsia="Calibri"/>
          <w:noProof/>
        </w:rPr>
        <w:tab/>
        <w:t>Calculation of the correction mechanism in favour of the United Kingdom (UK correction)</w:t>
      </w:r>
      <w:bookmarkEnd w:id="38"/>
    </w:p>
    <w:p>
      <w:pPr>
        <w:spacing w:after="200"/>
        <w:jc w:val="both"/>
        <w:rPr>
          <w:rFonts w:eastAsiaTheme="minorHAnsi"/>
          <w:b/>
          <w:noProof/>
          <w:lang w:eastAsia="en-US"/>
        </w:rPr>
      </w:pPr>
      <w:r>
        <w:rPr>
          <w:rFonts w:eastAsiaTheme="minorHAnsi"/>
          <w:noProof/>
          <w:lang w:eastAsia="en-US"/>
        </w:rPr>
        <w:t>The DAB 4/2016 includes a first update of the 2015 UK correction, the difference between the 1</w:t>
      </w:r>
      <w:r>
        <w:rPr>
          <w:rFonts w:eastAsiaTheme="minorHAnsi"/>
          <w:noProof/>
          <w:vertAlign w:val="superscript"/>
          <w:lang w:eastAsia="en-US"/>
        </w:rPr>
        <w:t>st</w:t>
      </w:r>
      <w:r>
        <w:rPr>
          <w:rFonts w:eastAsiaTheme="minorHAnsi"/>
          <w:noProof/>
          <w:lang w:eastAsia="en-US"/>
        </w:rPr>
        <w:t xml:space="preserve"> and 2</w:t>
      </w:r>
      <w:r>
        <w:rPr>
          <w:rFonts w:eastAsiaTheme="minorHAnsi"/>
          <w:noProof/>
          <w:vertAlign w:val="superscript"/>
          <w:lang w:eastAsia="en-US"/>
        </w:rPr>
        <w:t>nd</w:t>
      </w:r>
      <w:r>
        <w:rPr>
          <w:rFonts w:eastAsiaTheme="minorHAnsi"/>
          <w:noProof/>
          <w:lang w:eastAsia="en-US"/>
        </w:rPr>
        <w:t xml:space="preserve"> update of the 2014 correction and a difference between the definitive amount of the 2012 correction and the amount previously budgeted. While the ORD 2014 has no impact on the calculation and budgeting of the 2012 correction, both 2014 and 2015 correction calculations need to be updated following the entry into force of the ORD 2014.</w:t>
      </w:r>
    </w:p>
    <w:p>
      <w:pPr>
        <w:tabs>
          <w:tab w:val="left" w:pos="851"/>
        </w:tabs>
        <w:spacing w:before="240" w:after="120"/>
        <w:rPr>
          <w:rStyle w:val="Strong"/>
          <w:b w:val="0"/>
          <w:i/>
          <w:noProof/>
          <w:lang w:eastAsia="de-DE"/>
        </w:rPr>
      </w:pPr>
      <w:r>
        <w:rPr>
          <w:rStyle w:val="Strong"/>
          <w:b w:val="0"/>
          <w:i/>
          <w:noProof/>
          <w:lang w:eastAsia="de-DE"/>
        </w:rPr>
        <w:t xml:space="preserve">4.4.1 </w:t>
      </w:r>
      <w:r>
        <w:rPr>
          <w:rStyle w:val="Strong"/>
          <w:b w:val="0"/>
          <w:i/>
          <w:noProof/>
          <w:lang w:eastAsia="de-DE"/>
        </w:rPr>
        <w:tab/>
        <w:t>Update of the amount and financing of the 2014 correction</w:t>
      </w:r>
    </w:p>
    <w:p>
      <w:pPr>
        <w:spacing w:after="200"/>
        <w:jc w:val="both"/>
        <w:rPr>
          <w:rFonts w:eastAsiaTheme="minorHAnsi"/>
          <w:noProof/>
          <w:lang w:eastAsia="en-US"/>
        </w:rPr>
      </w:pPr>
      <w:r>
        <w:rPr>
          <w:rFonts w:eastAsiaTheme="minorHAnsi"/>
          <w:noProof/>
          <w:lang w:eastAsia="en-US"/>
        </w:rPr>
        <w:t>The table below presents the calculation of the 1</w:t>
      </w:r>
      <w:r>
        <w:rPr>
          <w:rFonts w:eastAsiaTheme="minorHAnsi"/>
          <w:noProof/>
          <w:vertAlign w:val="superscript"/>
          <w:lang w:eastAsia="en-US"/>
        </w:rPr>
        <w:t>st</w:t>
      </w:r>
      <w:r>
        <w:rPr>
          <w:rFonts w:eastAsiaTheme="minorHAnsi"/>
          <w:noProof/>
          <w:lang w:eastAsia="en-US"/>
        </w:rPr>
        <w:t xml:space="preserve"> update of the 2014 correction as presented in section 3.4.2 and its 2</w:t>
      </w:r>
      <w:r>
        <w:rPr>
          <w:rFonts w:eastAsiaTheme="minorHAnsi"/>
          <w:noProof/>
          <w:vertAlign w:val="superscript"/>
          <w:lang w:eastAsia="en-US"/>
        </w:rPr>
        <w:t>nd</w:t>
      </w:r>
      <w:r>
        <w:rPr>
          <w:rFonts w:eastAsiaTheme="minorHAnsi"/>
          <w:noProof/>
          <w:lang w:eastAsia="en-US"/>
        </w:rPr>
        <w:t xml:space="preserve"> update based on the 2014 ORD rules. The difference between the first and second update of the 2014 UK correction (EUR </w:t>
      </w:r>
      <w:r>
        <w:rPr>
          <w:noProof/>
        </w:rPr>
        <w:t>315 819 810</w:t>
      </w:r>
      <w:r>
        <w:rPr>
          <w:rFonts w:eastAsiaTheme="minorHAnsi"/>
          <w:noProof/>
          <w:lang w:eastAsia="en-US"/>
        </w:rPr>
        <w:t>) shall be budgeted in chapter 36.</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jc w:val="center"/>
        </w:trPr>
        <w:tc>
          <w:tcPr>
            <w:tcW w:w="550" w:type="dxa"/>
            <w:tcBorders>
              <w:top w:val="nil"/>
              <w:left w:val="nil"/>
              <w:bottom w:val="nil"/>
              <w:right w:val="nil"/>
            </w:tcBorders>
            <w:shd w:val="clear" w:color="auto" w:fill="auto"/>
            <w:noWrap/>
            <w:vAlign w:val="bottom"/>
          </w:tcPr>
          <w:p>
            <w:pPr>
              <w:rPr>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2014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noProof/>
                <w:color w:val="000000"/>
                <w:sz w:val="20"/>
                <w:szCs w:val="20"/>
              </w:rPr>
            </w:pPr>
            <w:r>
              <w:rPr>
                <w:b/>
                <w:noProof/>
                <w:color w:val="000000"/>
                <w:sz w:val="20"/>
                <w:szCs w:val="20"/>
              </w:rPr>
              <w:t>2014 UK correction</w:t>
            </w:r>
          </w:p>
          <w:p>
            <w:pPr>
              <w:autoSpaceDE w:val="0"/>
              <w:autoSpaceDN w:val="0"/>
              <w:adjustRightInd w:val="0"/>
              <w:jc w:val="center"/>
              <w:rPr>
                <w:b/>
                <w:noProof/>
                <w:color w:val="000000"/>
                <w:sz w:val="20"/>
                <w:szCs w:val="20"/>
              </w:rPr>
            </w:pPr>
            <w:r>
              <w:rPr>
                <w:b/>
                <w:noProof/>
                <w:color w:val="000000"/>
                <w:sz w:val="20"/>
                <w:szCs w:val="20"/>
              </w:rPr>
              <w:t>1</w:t>
            </w:r>
            <w:r>
              <w:rPr>
                <w:b/>
                <w:noProof/>
                <w:color w:val="000000"/>
                <w:sz w:val="20"/>
                <w:szCs w:val="20"/>
                <w:vertAlign w:val="superscript"/>
              </w:rPr>
              <w:t>st</w:t>
            </w:r>
            <w:r>
              <w:rPr>
                <w:b/>
                <w:noProof/>
                <w:color w:val="000000"/>
                <w:sz w:val="20"/>
                <w:szCs w:val="20"/>
              </w:rPr>
              <w:t xml:space="preserve">  update</w:t>
            </w:r>
          </w:p>
          <w:p>
            <w:pPr>
              <w:autoSpaceDE w:val="0"/>
              <w:autoSpaceDN w:val="0"/>
              <w:adjustRightInd w:val="0"/>
              <w:jc w:val="center"/>
              <w:rPr>
                <w:noProof/>
                <w:color w:val="000000"/>
                <w:sz w:val="20"/>
                <w:szCs w:val="20"/>
              </w:rPr>
            </w:pPr>
            <w:r>
              <w:rPr>
                <w:b/>
                <w:noProof/>
                <w:color w:val="000000"/>
                <w:sz w:val="20"/>
                <w:szCs w:val="20"/>
              </w:rPr>
              <w:t>2014 ORD</w:t>
            </w:r>
          </w:p>
          <w:p>
            <w:pPr>
              <w:autoSpaceDE w:val="0"/>
              <w:autoSpaceDN w:val="0"/>
              <w:adjustRightInd w:val="0"/>
              <w:jc w:val="center"/>
              <w:rPr>
                <w:noProof/>
                <w:color w:val="000000"/>
                <w:sz w:val="20"/>
                <w:szCs w:val="20"/>
              </w:rPr>
            </w:pP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szCs w:val="20"/>
              </w:rPr>
              <w:t>2014 UK correction</w:t>
            </w:r>
          </w:p>
          <w:p>
            <w:pPr>
              <w:autoSpaceDE w:val="0"/>
              <w:autoSpaceDN w:val="0"/>
              <w:adjustRightInd w:val="0"/>
              <w:jc w:val="center"/>
              <w:rPr>
                <w:b/>
                <w:noProof/>
                <w:color w:val="000000"/>
                <w:sz w:val="20"/>
                <w:szCs w:val="20"/>
              </w:rPr>
            </w:pPr>
            <w:r>
              <w:rPr>
                <w:b/>
                <w:noProof/>
                <w:color w:val="000000"/>
                <w:sz w:val="20"/>
                <w:szCs w:val="20"/>
              </w:rPr>
              <w:t>2</w:t>
            </w:r>
            <w:r>
              <w:rPr>
                <w:b/>
                <w:noProof/>
                <w:color w:val="000000"/>
                <w:sz w:val="20"/>
                <w:szCs w:val="20"/>
                <w:vertAlign w:val="superscript"/>
              </w:rPr>
              <w:t>nd</w:t>
            </w:r>
            <w:r>
              <w:rPr>
                <w:b/>
                <w:noProof/>
                <w:color w:val="000000"/>
                <w:sz w:val="20"/>
                <w:szCs w:val="20"/>
              </w:rPr>
              <w:t xml:space="preserve"> update</w:t>
            </w:r>
          </w:p>
          <w:p>
            <w:pPr>
              <w:autoSpaceDE w:val="0"/>
              <w:autoSpaceDN w:val="0"/>
              <w:adjustRightInd w:val="0"/>
              <w:jc w:val="center"/>
              <w:rPr>
                <w:b/>
                <w:bCs/>
                <w:noProof/>
                <w:color w:val="000000"/>
                <w:sz w:val="20"/>
                <w:szCs w:val="20"/>
              </w:rPr>
            </w:pPr>
            <w:r>
              <w:rPr>
                <w:b/>
                <w:noProof/>
                <w:color w:val="000000"/>
                <w:sz w:val="20"/>
                <w:szCs w:val="20"/>
              </w:rPr>
              <w:t>2014 ORD</w:t>
            </w:r>
          </w:p>
          <w:p>
            <w:pPr>
              <w:autoSpaceDE w:val="0"/>
              <w:autoSpaceDN w:val="0"/>
              <w:adjustRightInd w:val="0"/>
              <w:jc w:val="center"/>
              <w:rPr>
                <w:noProof/>
                <w:color w:val="000000"/>
                <w:sz w:val="20"/>
                <w:szCs w:val="20"/>
              </w:rPr>
            </w:pP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szCs w:val="20"/>
              </w:rPr>
            </w:pPr>
            <w:r>
              <w:rPr>
                <w:b/>
                <w:i/>
                <w:noProof/>
                <w:color w:val="000000"/>
                <w:sz w:val="20"/>
                <w:szCs w:val="20"/>
              </w:rPr>
              <w:t>Difference</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szCs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share of uncapped VAT base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bCs/>
                <w:noProof/>
                <w:sz w:val="20"/>
                <w:szCs w:val="20"/>
              </w:rPr>
              <w:t>17.7333%</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17.4319%</w:t>
            </w:r>
          </w:p>
        </w:tc>
        <w:tc>
          <w:tcPr>
            <w:tcW w:w="1800" w:type="dxa"/>
            <w:tcBorders>
              <w:top w:val="nil"/>
              <w:left w:val="nil"/>
              <w:bottom w:val="nil"/>
              <w:right w:val="double" w:sz="6" w:space="0" w:color="auto"/>
            </w:tcBorders>
            <w:shd w:val="clear" w:color="auto" w:fill="auto"/>
            <w:noWrap/>
            <w:vAlign w:val="bottom"/>
          </w:tcPr>
          <w:p>
            <w:pPr>
              <w:jc w:val="right"/>
              <w:rPr>
                <w:i/>
                <w:noProof/>
                <w:sz w:val="20"/>
                <w:szCs w:val="20"/>
              </w:rPr>
            </w:pPr>
            <w:r>
              <w:rPr>
                <w:bCs/>
                <w:noProof/>
                <w:sz w:val="20"/>
                <w:szCs w:val="20"/>
              </w:rPr>
              <w:t>-0.3014%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bCs/>
                <w:noProof/>
                <w:sz w:val="20"/>
                <w:szCs w:val="20"/>
              </w:rPr>
              <w:t>7.3956%</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7.4180%</w:t>
            </w:r>
          </w:p>
        </w:tc>
        <w:tc>
          <w:tcPr>
            <w:tcW w:w="1800" w:type="dxa"/>
            <w:tcBorders>
              <w:top w:val="nil"/>
              <w:left w:val="nil"/>
              <w:bottom w:val="nil"/>
              <w:right w:val="double" w:sz="6" w:space="0" w:color="auto"/>
            </w:tcBorders>
            <w:shd w:val="clear" w:color="auto" w:fill="auto"/>
            <w:noWrap/>
            <w:vAlign w:val="bottom"/>
          </w:tcPr>
          <w:p>
            <w:pPr>
              <w:jc w:val="right"/>
              <w:rPr>
                <w:i/>
                <w:noProof/>
                <w:sz w:val="20"/>
                <w:szCs w:val="20"/>
              </w:rPr>
            </w:pPr>
            <w:r>
              <w:rPr>
                <w:bCs/>
                <w:noProof/>
                <w:sz w:val="20"/>
                <w:szCs w:val="20"/>
              </w:rPr>
              <w:t>0.0224%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10.3377%</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10.0139%</w:t>
            </w:r>
          </w:p>
        </w:tc>
        <w:tc>
          <w:tcPr>
            <w:tcW w:w="1800" w:type="dxa"/>
            <w:tcBorders>
              <w:top w:val="nil"/>
              <w:left w:val="nil"/>
              <w:bottom w:val="nil"/>
              <w:right w:val="double" w:sz="6" w:space="0" w:color="auto"/>
            </w:tcBorders>
            <w:shd w:val="clear" w:color="auto" w:fill="auto"/>
            <w:noWrap/>
            <w:vAlign w:val="bottom"/>
          </w:tcPr>
          <w:p>
            <w:pPr>
              <w:jc w:val="right"/>
              <w:rPr>
                <w:i/>
                <w:noProof/>
                <w:sz w:val="20"/>
                <w:szCs w:val="20"/>
              </w:rPr>
            </w:pPr>
            <w:r>
              <w:rPr>
                <w:bCs/>
                <w:noProof/>
                <w:sz w:val="20"/>
                <w:szCs w:val="20"/>
              </w:rPr>
              <w:t>-0.3238%</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bCs/>
                <w:noProof/>
                <w:sz w:val="20"/>
                <w:szCs w:val="20"/>
              </w:rPr>
              <w:t>128 742 225 549</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128 669 838 650</w:t>
            </w:r>
          </w:p>
        </w:tc>
        <w:tc>
          <w:tcPr>
            <w:tcW w:w="1800" w:type="dxa"/>
            <w:tcBorders>
              <w:top w:val="nil"/>
              <w:left w:val="nil"/>
              <w:bottom w:val="nil"/>
              <w:right w:val="double" w:sz="6" w:space="0" w:color="auto"/>
            </w:tcBorders>
            <w:shd w:val="clear" w:color="auto" w:fill="auto"/>
            <w:noWrap/>
            <w:vAlign w:val="bottom"/>
          </w:tcPr>
          <w:p>
            <w:pPr>
              <w:jc w:val="right"/>
              <w:rPr>
                <w:i/>
                <w:noProof/>
                <w:sz w:val="20"/>
                <w:szCs w:val="20"/>
              </w:rPr>
            </w:pPr>
            <w:r>
              <w:rPr>
                <w:bCs/>
                <w:noProof/>
                <w:sz w:val="20"/>
                <w:szCs w:val="20"/>
              </w:rPr>
              <w:t>-72 386 900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Enlargement-related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bCs/>
                <w:noProof/>
                <w:sz w:val="20"/>
                <w:szCs w:val="20"/>
              </w:rPr>
              <w:t>33 471 514 270</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33 342 488 843</w:t>
            </w:r>
          </w:p>
        </w:tc>
        <w:tc>
          <w:tcPr>
            <w:tcW w:w="1800" w:type="dxa"/>
            <w:tcBorders>
              <w:top w:val="nil"/>
              <w:left w:val="nil"/>
              <w:bottom w:val="nil"/>
              <w:right w:val="double" w:sz="6" w:space="0" w:color="auto"/>
            </w:tcBorders>
            <w:shd w:val="clear" w:color="auto" w:fill="auto"/>
            <w:noWrap/>
            <w:vAlign w:val="bottom"/>
          </w:tcPr>
          <w:p>
            <w:pPr>
              <w:jc w:val="right"/>
              <w:rPr>
                <w:i/>
                <w:noProof/>
                <w:sz w:val="20"/>
                <w:szCs w:val="20"/>
              </w:rPr>
            </w:pPr>
            <w:r>
              <w:rPr>
                <w:bCs/>
                <w:noProof/>
                <w:sz w:val="20"/>
                <w:szCs w:val="20"/>
              </w:rPr>
              <w:t>-129 025 427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95 270 711 279</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95 327 349 807</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bCs/>
                <w:noProof/>
                <w:sz w:val="20"/>
                <w:szCs w:val="20"/>
              </w:rPr>
              <w:t>56 638 527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6 500 187 311</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6 300 352 079</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bCs/>
                <w:noProof/>
                <w:sz w:val="20"/>
                <w:szCs w:val="20"/>
              </w:rPr>
              <w:t>-199 835 232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advantage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1 674 669 519</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1 162 878 038</w:t>
            </w:r>
          </w:p>
        </w:tc>
        <w:tc>
          <w:tcPr>
            <w:tcW w:w="1800" w:type="dxa"/>
            <w:tcBorders>
              <w:top w:val="nil"/>
              <w:left w:val="nil"/>
              <w:bottom w:val="nil"/>
              <w:right w:val="double" w:sz="6" w:space="0" w:color="auto"/>
            </w:tcBorders>
            <w:shd w:val="clear" w:color="auto" w:fill="auto"/>
            <w:noWrap/>
            <w:vAlign w:val="bottom"/>
          </w:tcPr>
          <w:p>
            <w:pPr>
              <w:jc w:val="right"/>
              <w:rPr>
                <w:i/>
                <w:noProof/>
                <w:sz w:val="20"/>
                <w:szCs w:val="20"/>
              </w:rPr>
            </w:pPr>
            <w:r>
              <w:rPr>
                <w:bCs/>
                <w:noProof/>
                <w:sz w:val="20"/>
                <w:szCs w:val="20"/>
              </w:rPr>
              <w:t>-511 791 481</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Core UK correction = (7) - (8)</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4 825 517 792</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5 137 474 040</w:t>
            </w:r>
          </w:p>
        </w:tc>
        <w:tc>
          <w:tcPr>
            <w:tcW w:w="1800" w:type="dxa"/>
            <w:tcBorders>
              <w:top w:val="nil"/>
              <w:left w:val="nil"/>
              <w:bottom w:val="nil"/>
              <w:right w:val="double" w:sz="6" w:space="0" w:color="auto"/>
            </w:tcBorders>
            <w:shd w:val="clear" w:color="auto" w:fill="auto"/>
            <w:noWrap/>
            <w:vAlign w:val="bottom"/>
          </w:tcPr>
          <w:p>
            <w:pPr>
              <w:jc w:val="right"/>
              <w:rPr>
                <w:i/>
                <w:noProof/>
                <w:sz w:val="20"/>
                <w:szCs w:val="20"/>
              </w:rPr>
            </w:pPr>
            <w:r>
              <w:rPr>
                <w:bCs/>
                <w:noProof/>
                <w:sz w:val="20"/>
                <w:szCs w:val="20"/>
              </w:rPr>
              <w:t>311 956 248</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TOR windfall gains</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- 24 325 473</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bCs/>
                <w:noProof/>
                <w:sz w:val="20"/>
                <w:szCs w:val="20"/>
              </w:rPr>
              <w:t>- 28 189 034</w:t>
            </w:r>
          </w:p>
        </w:tc>
        <w:tc>
          <w:tcPr>
            <w:tcW w:w="1800" w:type="dxa"/>
            <w:tcBorders>
              <w:top w:val="nil"/>
              <w:left w:val="nil"/>
              <w:bottom w:val="nil"/>
              <w:right w:val="double" w:sz="6" w:space="0" w:color="auto"/>
            </w:tcBorders>
            <w:shd w:val="clear" w:color="auto" w:fill="auto"/>
            <w:noWrap/>
            <w:vAlign w:val="bottom"/>
          </w:tcPr>
          <w:p>
            <w:pPr>
              <w:jc w:val="right"/>
              <w:rPr>
                <w:i/>
                <w:noProof/>
                <w:sz w:val="20"/>
                <w:szCs w:val="20"/>
              </w:rPr>
            </w:pPr>
            <w:r>
              <w:rPr>
                <w:bCs/>
                <w:noProof/>
                <w:sz w:val="20"/>
                <w:szCs w:val="20"/>
              </w:rPr>
              <w:t>-3 863 562</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szCs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b/>
                <w:bCs/>
                <w:noProof/>
                <w:sz w:val="20"/>
                <w:szCs w:val="20"/>
              </w:rPr>
              <w:t>4 849 843 265</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b/>
                <w:bCs/>
                <w:noProof/>
                <w:sz w:val="20"/>
                <w:szCs w:val="20"/>
              </w:rPr>
              <w:t>5 165 663 075</w:t>
            </w:r>
          </w:p>
        </w:tc>
        <w:tc>
          <w:tcPr>
            <w:tcW w:w="1800" w:type="dxa"/>
            <w:tcBorders>
              <w:top w:val="nil"/>
              <w:left w:val="nil"/>
              <w:bottom w:val="double" w:sz="6" w:space="0" w:color="auto"/>
              <w:right w:val="double" w:sz="6" w:space="0" w:color="auto"/>
            </w:tcBorders>
            <w:shd w:val="clear" w:color="auto" w:fill="auto"/>
            <w:noWrap/>
            <w:vAlign w:val="bottom"/>
          </w:tcPr>
          <w:p>
            <w:pPr>
              <w:jc w:val="right"/>
              <w:rPr>
                <w:i/>
                <w:noProof/>
                <w:sz w:val="20"/>
                <w:szCs w:val="20"/>
              </w:rPr>
            </w:pPr>
            <w:r>
              <w:rPr>
                <w:b/>
                <w:bCs/>
                <w:noProof/>
                <w:sz w:val="20"/>
                <w:szCs w:val="20"/>
              </w:rPr>
              <w:t>315 819 810</w:t>
            </w:r>
          </w:p>
        </w:tc>
      </w:tr>
    </w:tbl>
    <w:p>
      <w:pPr>
        <w:spacing w:after="200"/>
        <w:jc w:val="both"/>
        <w:rPr>
          <w:rFonts w:eastAsiaTheme="minorHAnsi"/>
          <w:noProof/>
          <w:lang w:eastAsia="en-US"/>
        </w:rPr>
      </w:pPr>
    </w:p>
    <w:p>
      <w:pPr>
        <w:spacing w:after="200"/>
        <w:jc w:val="both"/>
        <w:rPr>
          <w:rFonts w:eastAsiaTheme="minorHAnsi"/>
          <w:noProof/>
          <w:lang w:eastAsia="en-US"/>
        </w:rPr>
      </w:pPr>
      <w:r>
        <w:rPr>
          <w:rFonts w:eastAsiaTheme="minorHAnsi"/>
          <w:noProof/>
          <w:lang w:eastAsia="en-US"/>
        </w:rPr>
        <w:t>The updated amount of the 2014 correction shall be financed using the 2015 GNI based on ESA 2010 used for the financing of the 2015 budget. The table below sets out the difference between the financing of the 1</w:t>
      </w:r>
      <w:r>
        <w:rPr>
          <w:rFonts w:eastAsiaTheme="minorHAnsi"/>
          <w:noProof/>
          <w:vertAlign w:val="superscript"/>
          <w:lang w:eastAsia="en-US"/>
        </w:rPr>
        <w:t>st</w:t>
      </w:r>
      <w:r>
        <w:rPr>
          <w:rFonts w:eastAsiaTheme="minorHAnsi"/>
          <w:noProof/>
          <w:lang w:eastAsia="en-US"/>
        </w:rPr>
        <w:t xml:space="preserve"> update of the 2014 UK correction as presented in section 3.4.2 of this explanatory memorandum and its revision based on the 2014 ORD rules and 2015 GNI based on ESA 2010:</w:t>
      </w:r>
    </w:p>
    <w:tbl>
      <w:tblPr>
        <w:tblW w:w="10580" w:type="dxa"/>
        <w:jc w:val="center"/>
        <w:tblLook w:val="04A0" w:firstRow="1" w:lastRow="0" w:firstColumn="1" w:lastColumn="0" w:noHBand="0" w:noVBand="1"/>
      </w:tblPr>
      <w:tblGrid>
        <w:gridCol w:w="1800"/>
        <w:gridCol w:w="1700"/>
        <w:gridCol w:w="1880"/>
        <w:gridCol w:w="1880"/>
        <w:gridCol w:w="1660"/>
        <w:gridCol w:w="1660"/>
      </w:tblGrid>
      <w:tr>
        <w:trPr>
          <w:trHeight w:val="618"/>
          <w:tblHeader/>
          <w:jc w:val="center"/>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2014 UK correction</w:t>
            </w:r>
          </w:p>
          <w:p>
            <w:pPr>
              <w:jc w:val="center"/>
              <w:rPr>
                <w:noProof/>
                <w:sz w:val="18"/>
                <w:szCs w:val="18"/>
              </w:rPr>
            </w:pPr>
            <w:r>
              <w:rPr>
                <w:noProof/>
                <w:sz w:val="18"/>
                <w:szCs w:val="18"/>
              </w:rPr>
              <w:t>(1</w:t>
            </w:r>
            <w:r>
              <w:rPr>
                <w:noProof/>
                <w:sz w:val="18"/>
                <w:szCs w:val="18"/>
                <w:vertAlign w:val="superscript"/>
              </w:rPr>
              <w:t>st</w:t>
            </w:r>
            <w:r>
              <w:rPr>
                <w:noProof/>
                <w:sz w:val="18"/>
                <w:szCs w:val="18"/>
              </w:rPr>
              <w:t xml:space="preserve"> update) ORD 2014</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2014 UK correction(2nd update) ORD2014</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Difference in the financing of the 1</w:t>
            </w:r>
            <w:r>
              <w:rPr>
                <w:noProof/>
                <w:sz w:val="18"/>
                <w:szCs w:val="18"/>
                <w:vertAlign w:val="superscript"/>
              </w:rPr>
              <w:t>st</w:t>
            </w:r>
            <w:r>
              <w:rPr>
                <w:noProof/>
                <w:sz w:val="18"/>
                <w:szCs w:val="18"/>
              </w:rPr>
              <w:t xml:space="preserve"> update of the 2014 correction</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Amounts entered in DAB 4/2016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Amounts entered in DAB 5/2016</w:t>
            </w:r>
          </w:p>
        </w:tc>
      </w:tr>
      <w:tr>
        <w:trPr>
          <w:trHeight w:val="264"/>
          <w:tblHeader/>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700" w:type="dxa"/>
            <w:tcBorders>
              <w:top w:val="single" w:sz="4" w:space="0" w:color="auto"/>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88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 = (2) - (1)</w:t>
            </w:r>
          </w:p>
        </w:tc>
        <w:tc>
          <w:tcPr>
            <w:tcW w:w="166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(4)</w:t>
            </w:r>
          </w:p>
        </w:tc>
        <w:tc>
          <w:tcPr>
            <w:tcW w:w="1660" w:type="dxa"/>
            <w:tcBorders>
              <w:top w:val="nil"/>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(5) = (3) - (4)</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Belgium</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242 980 185</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256 277 796</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13 297 611</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9 808 723</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3 488 888</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Bulgaria</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24 263 655</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26 586 457</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2 322 802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1 857 845</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464 957</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Czech Republic</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87 573 185</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93 996 287</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6 423 102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5 618 512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804 590</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Denmark</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159 318 284</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169 572 990</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10 254 706</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5 183 926</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5 070 780</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Germany</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310 272 693</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330 162 489</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19 889 796</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15 098 382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4 791 414</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Estonia</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11 574 147</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12 444 887</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870 740</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615 754</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254 986</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Ireland</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99 214 579</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113 212 811</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13 998 232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6 055 723</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7 942 509</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Greece</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104 548 918</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109 647 882</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5 098 964</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3 882 091</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1 216 873</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Spain</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637 025 341</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671 051 539</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34 026 198</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23 452 091</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10 574 107</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France</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1 301 029 618</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1 378 398 984</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77 369 366</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62 183 471</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15 185 895</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Croatia</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24 501 813</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27 244 942</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2 743 129</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2 392 016</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351 113</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Italy</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955 962 457</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1 015 193 526</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59 231 069</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60 923 232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- 1 692 163</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Cyprus</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9 824 552</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10 675 840</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851 288</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1 058 836</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207 548</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Latvia</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14 465 432</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15 498 978</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1 033 546</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517 980</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515 566</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Lithuania</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21 313 802</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22 183 281</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869 479</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493 224</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376 255</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Luxembourg</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17 746 939</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21 322 734</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3 575 795</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3 153 754</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422 041</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Hungary</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61 151 210</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65 065 159</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3 913 949</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2 775 751</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1 138 198</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Malta</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4 678 057</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5 321 739</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643 682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557 582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86 100</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Netherlands</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67 615 551</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72 438 601</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4 823 050</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3 797 278</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1 025 772</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Austria</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33 672 876</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35 800 731</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2 127 855</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1 572 870</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554 985</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Poland</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237 585 414</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257 522 962</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19 937 548</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16 987 381</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2 950 167</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Portugal</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102 328 723</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109 041 201</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6 712 478</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5 315 559</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1 396 919</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Romania</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89 249 513</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97 713 522</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8 464 009</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6 012 749</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2 451 260</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Slovenia</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21 977 979</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23 748 651</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1 770 672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1 449 464</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321 208</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Slovak Republic</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43 839 382</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46 865 527</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3 026 145</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2 207 088</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819 057</w:t>
            </w:r>
          </w:p>
        </w:tc>
      </w:tr>
      <w:tr>
        <w:trPr>
          <w:trHeight w:val="288"/>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Finland</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120 973 003</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130 075 905</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9 102 902</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5 796 891</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3 306 011</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Sweden</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45 155 957</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48 597 654</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3 441 697</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2 634 984</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xml:space="preserve">  806 713</w:t>
            </w:r>
          </w:p>
        </w:tc>
      </w:tr>
      <w:tr>
        <w:trPr>
          <w:trHeight w:val="26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both"/>
              <w:rPr>
                <w:noProof/>
                <w:sz w:val="18"/>
                <w:szCs w:val="18"/>
              </w:rPr>
            </w:pPr>
            <w:r>
              <w:rPr>
                <w:noProof/>
                <w:sz w:val="18"/>
                <w:szCs w:val="18"/>
              </w:rPr>
              <w:t>United Kingdom</w:t>
            </w:r>
          </w:p>
        </w:tc>
        <w:tc>
          <w:tcPr>
            <w:tcW w:w="170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-4 849 843 265</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-5 165 663 075</w:t>
            </w:r>
          </w:p>
        </w:tc>
        <w:tc>
          <w:tcPr>
            <w:tcW w:w="188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- 315 819 810</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- 251 403 157</w:t>
            </w:r>
          </w:p>
        </w:tc>
        <w:tc>
          <w:tcPr>
            <w:tcW w:w="1660" w:type="dxa"/>
            <w:tcBorders>
              <w:top w:val="nil"/>
              <w:left w:val="nil"/>
              <w:bottom w:val="single" w:sz="4" w:space="0" w:color="auto"/>
              <w:right w:val="single" w:sz="4" w:space="0" w:color="auto"/>
            </w:tcBorders>
            <w:shd w:val="clear" w:color="auto" w:fill="auto"/>
            <w:vAlign w:val="center"/>
            <w:hideMark/>
          </w:tcPr>
          <w:p>
            <w:pPr>
              <w:jc w:val="right"/>
              <w:rPr>
                <w:noProof/>
                <w:sz w:val="18"/>
                <w:szCs w:val="18"/>
              </w:rPr>
            </w:pPr>
            <w:r>
              <w:rPr>
                <w:noProof/>
                <w:sz w:val="18"/>
                <w:szCs w:val="18"/>
              </w:rPr>
              <w:t>- 64 416 653</w:t>
            </w:r>
          </w:p>
        </w:tc>
      </w:tr>
      <w:tr>
        <w:trPr>
          <w:trHeight w:val="268"/>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pPr>
              <w:jc w:val="center"/>
              <w:rPr>
                <w:b/>
                <w:noProof/>
                <w:sz w:val="18"/>
                <w:szCs w:val="18"/>
              </w:rPr>
            </w:pPr>
            <w:r>
              <w:rPr>
                <w:b/>
                <w:noProof/>
                <w:sz w:val="18"/>
                <w:szCs w:val="18"/>
              </w:rPr>
              <w:t>Total</w:t>
            </w:r>
          </w:p>
        </w:tc>
        <w:tc>
          <w:tcPr>
            <w:tcW w:w="1700" w:type="dxa"/>
            <w:tcBorders>
              <w:top w:val="nil"/>
              <w:left w:val="nil"/>
              <w:bottom w:val="single" w:sz="4" w:space="0" w:color="auto"/>
              <w:right w:val="single" w:sz="4" w:space="0" w:color="auto"/>
            </w:tcBorders>
            <w:shd w:val="clear" w:color="auto" w:fill="auto"/>
            <w:vAlign w:val="center"/>
            <w:hideMark/>
          </w:tcPr>
          <w:p>
            <w:pPr>
              <w:jc w:val="right"/>
              <w:rPr>
                <w:b/>
                <w:noProof/>
                <w:sz w:val="18"/>
                <w:szCs w:val="18"/>
              </w:rPr>
            </w:pPr>
            <w:r>
              <w:rPr>
                <w:b/>
                <w:noProof/>
                <w:sz w:val="18"/>
                <w:szCs w:val="18"/>
              </w:rPr>
              <w:t>0</w:t>
            </w:r>
          </w:p>
        </w:tc>
        <w:tc>
          <w:tcPr>
            <w:tcW w:w="1880" w:type="dxa"/>
            <w:tcBorders>
              <w:top w:val="nil"/>
              <w:left w:val="nil"/>
              <w:bottom w:val="single" w:sz="4" w:space="0" w:color="auto"/>
              <w:right w:val="single" w:sz="4" w:space="0" w:color="auto"/>
            </w:tcBorders>
            <w:shd w:val="clear" w:color="auto" w:fill="auto"/>
            <w:vAlign w:val="center"/>
            <w:hideMark/>
          </w:tcPr>
          <w:p>
            <w:pPr>
              <w:jc w:val="right"/>
              <w:rPr>
                <w:b/>
                <w:noProof/>
                <w:sz w:val="18"/>
                <w:szCs w:val="18"/>
              </w:rPr>
            </w:pPr>
            <w:r>
              <w:rPr>
                <w:b/>
                <w:noProof/>
                <w:sz w:val="18"/>
                <w:szCs w:val="18"/>
              </w:rPr>
              <w:t>0</w:t>
            </w:r>
          </w:p>
        </w:tc>
        <w:tc>
          <w:tcPr>
            <w:tcW w:w="1880" w:type="dxa"/>
            <w:tcBorders>
              <w:top w:val="nil"/>
              <w:left w:val="nil"/>
              <w:bottom w:val="single" w:sz="4" w:space="0" w:color="auto"/>
              <w:right w:val="single" w:sz="4" w:space="0" w:color="auto"/>
            </w:tcBorders>
            <w:shd w:val="clear" w:color="auto" w:fill="auto"/>
            <w:vAlign w:val="center"/>
            <w:hideMark/>
          </w:tcPr>
          <w:p>
            <w:pPr>
              <w:jc w:val="right"/>
              <w:rPr>
                <w:b/>
                <w:noProof/>
                <w:sz w:val="18"/>
                <w:szCs w:val="18"/>
              </w:rPr>
            </w:pPr>
            <w:r>
              <w:rPr>
                <w:b/>
                <w:noProof/>
                <w:sz w:val="18"/>
                <w:szCs w:val="18"/>
              </w:rPr>
              <w:t>0</w:t>
            </w:r>
          </w:p>
        </w:tc>
        <w:tc>
          <w:tcPr>
            <w:tcW w:w="1660" w:type="dxa"/>
            <w:tcBorders>
              <w:top w:val="nil"/>
              <w:left w:val="nil"/>
              <w:bottom w:val="single" w:sz="4" w:space="0" w:color="auto"/>
              <w:right w:val="single" w:sz="4" w:space="0" w:color="auto"/>
            </w:tcBorders>
            <w:shd w:val="clear" w:color="auto" w:fill="auto"/>
            <w:vAlign w:val="center"/>
            <w:hideMark/>
          </w:tcPr>
          <w:p>
            <w:pPr>
              <w:jc w:val="right"/>
              <w:rPr>
                <w:b/>
                <w:noProof/>
                <w:sz w:val="18"/>
                <w:szCs w:val="18"/>
              </w:rPr>
            </w:pPr>
            <w:r>
              <w:rPr>
                <w:b/>
                <w:noProof/>
                <w:sz w:val="18"/>
                <w:szCs w:val="18"/>
              </w:rPr>
              <w:t>0</w:t>
            </w:r>
          </w:p>
        </w:tc>
        <w:tc>
          <w:tcPr>
            <w:tcW w:w="1660" w:type="dxa"/>
            <w:tcBorders>
              <w:top w:val="nil"/>
              <w:left w:val="nil"/>
              <w:bottom w:val="single" w:sz="4" w:space="0" w:color="auto"/>
              <w:right w:val="single" w:sz="4" w:space="0" w:color="auto"/>
            </w:tcBorders>
            <w:shd w:val="clear" w:color="auto" w:fill="auto"/>
            <w:vAlign w:val="center"/>
            <w:hideMark/>
          </w:tcPr>
          <w:p>
            <w:pPr>
              <w:jc w:val="right"/>
              <w:rPr>
                <w:b/>
                <w:noProof/>
                <w:sz w:val="18"/>
                <w:szCs w:val="18"/>
              </w:rPr>
            </w:pPr>
            <w:r>
              <w:rPr>
                <w:b/>
                <w:noProof/>
                <w:sz w:val="18"/>
                <w:szCs w:val="18"/>
              </w:rPr>
              <w:t>0</w:t>
            </w:r>
          </w:p>
        </w:tc>
      </w:tr>
    </w:tbl>
    <w:p>
      <w:pPr>
        <w:tabs>
          <w:tab w:val="left" w:pos="851"/>
        </w:tabs>
        <w:spacing w:before="240" w:after="120"/>
        <w:rPr>
          <w:rStyle w:val="Strong"/>
          <w:b w:val="0"/>
          <w:i/>
          <w:noProof/>
          <w:lang w:eastAsia="de-DE"/>
        </w:rPr>
      </w:pPr>
      <w:r>
        <w:rPr>
          <w:rStyle w:val="Strong"/>
          <w:b w:val="0"/>
          <w:i/>
          <w:noProof/>
          <w:lang w:eastAsia="de-DE"/>
        </w:rPr>
        <w:t xml:space="preserve">4.4.2 </w:t>
      </w:r>
      <w:r>
        <w:rPr>
          <w:rStyle w:val="Strong"/>
          <w:b w:val="0"/>
          <w:i/>
          <w:noProof/>
          <w:lang w:eastAsia="de-DE"/>
        </w:rPr>
        <w:tab/>
        <w:t>Update of the amount and financing of the 2015 correction</w:t>
      </w:r>
    </w:p>
    <w:p>
      <w:pPr>
        <w:spacing w:after="200"/>
        <w:jc w:val="both"/>
        <w:rPr>
          <w:rFonts w:eastAsiaTheme="minorHAnsi"/>
          <w:noProof/>
          <w:lang w:eastAsia="en-US"/>
        </w:rPr>
      </w:pPr>
      <w:r>
        <w:rPr>
          <w:rFonts w:eastAsiaTheme="minorHAnsi"/>
          <w:noProof/>
          <w:lang w:eastAsia="en-US"/>
        </w:rPr>
        <w:t>The calculation of the 2015 UK correction (1</w:t>
      </w:r>
      <w:r>
        <w:rPr>
          <w:rFonts w:eastAsiaTheme="minorHAnsi"/>
          <w:noProof/>
          <w:vertAlign w:val="superscript"/>
          <w:lang w:eastAsia="en-US"/>
        </w:rPr>
        <w:t>st</w:t>
      </w:r>
      <w:r>
        <w:rPr>
          <w:rFonts w:eastAsiaTheme="minorHAnsi"/>
          <w:noProof/>
          <w:lang w:eastAsia="en-US"/>
        </w:rPr>
        <w:t xml:space="preserve"> update) as included in DAB 4/2016 needs to be updated to take into account the entry into force of the ORD 2014. The table below presents the calculation of the 1</w:t>
      </w:r>
      <w:r>
        <w:rPr>
          <w:rFonts w:eastAsiaTheme="minorHAnsi"/>
          <w:noProof/>
          <w:vertAlign w:val="superscript"/>
          <w:lang w:eastAsia="en-US"/>
        </w:rPr>
        <w:t>st</w:t>
      </w:r>
      <w:r>
        <w:rPr>
          <w:rFonts w:eastAsiaTheme="minorHAnsi"/>
          <w:noProof/>
          <w:lang w:eastAsia="en-US"/>
        </w:rPr>
        <w:t xml:space="preserve"> update of the 2015 correction as included in the DAB 4/2016 and its update based on the 2014 ORD rules:</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jc w:val="center"/>
        </w:trPr>
        <w:tc>
          <w:tcPr>
            <w:tcW w:w="550" w:type="dxa"/>
            <w:tcBorders>
              <w:top w:val="nil"/>
              <w:left w:val="nil"/>
              <w:bottom w:val="nil"/>
              <w:right w:val="nil"/>
            </w:tcBorders>
            <w:shd w:val="clear" w:color="auto" w:fill="auto"/>
            <w:noWrap/>
            <w:vAlign w:val="bottom"/>
          </w:tcPr>
          <w:p>
            <w:pPr>
              <w:rPr>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2015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noProof/>
                <w:color w:val="000000"/>
                <w:sz w:val="20"/>
                <w:szCs w:val="20"/>
              </w:rPr>
            </w:pPr>
            <w:r>
              <w:rPr>
                <w:b/>
                <w:noProof/>
                <w:color w:val="000000"/>
                <w:sz w:val="20"/>
                <w:szCs w:val="20"/>
              </w:rPr>
              <w:t>2015 UK correction</w:t>
            </w:r>
          </w:p>
          <w:p>
            <w:pPr>
              <w:autoSpaceDE w:val="0"/>
              <w:autoSpaceDN w:val="0"/>
              <w:adjustRightInd w:val="0"/>
              <w:jc w:val="center"/>
              <w:rPr>
                <w:b/>
                <w:noProof/>
                <w:color w:val="000000"/>
                <w:sz w:val="20"/>
                <w:szCs w:val="20"/>
              </w:rPr>
            </w:pPr>
            <w:r>
              <w:rPr>
                <w:b/>
                <w:noProof/>
                <w:color w:val="000000"/>
                <w:sz w:val="20"/>
                <w:szCs w:val="20"/>
              </w:rPr>
              <w:t>1</w:t>
            </w:r>
            <w:r>
              <w:rPr>
                <w:b/>
                <w:noProof/>
                <w:color w:val="000000"/>
                <w:sz w:val="20"/>
                <w:szCs w:val="20"/>
                <w:vertAlign w:val="superscript"/>
              </w:rPr>
              <w:t>st</w:t>
            </w:r>
            <w:r>
              <w:rPr>
                <w:b/>
                <w:noProof/>
                <w:color w:val="000000"/>
                <w:sz w:val="20"/>
                <w:szCs w:val="20"/>
              </w:rPr>
              <w:t xml:space="preserve"> update</w:t>
            </w:r>
          </w:p>
          <w:p>
            <w:pPr>
              <w:autoSpaceDE w:val="0"/>
              <w:autoSpaceDN w:val="0"/>
              <w:adjustRightInd w:val="0"/>
              <w:jc w:val="center"/>
              <w:rPr>
                <w:noProof/>
                <w:color w:val="000000"/>
                <w:sz w:val="20"/>
                <w:szCs w:val="20"/>
              </w:rPr>
            </w:pPr>
            <w:r>
              <w:rPr>
                <w:b/>
                <w:noProof/>
                <w:color w:val="000000"/>
                <w:sz w:val="20"/>
                <w:szCs w:val="20"/>
              </w:rPr>
              <w:t>2007 ORD</w:t>
            </w:r>
          </w:p>
          <w:p>
            <w:pPr>
              <w:autoSpaceDE w:val="0"/>
              <w:autoSpaceDN w:val="0"/>
              <w:adjustRightInd w:val="0"/>
              <w:jc w:val="center"/>
              <w:rPr>
                <w:noProof/>
                <w:color w:val="000000"/>
                <w:sz w:val="20"/>
                <w:szCs w:val="20"/>
              </w:rPr>
            </w:pPr>
            <w:r>
              <w:rPr>
                <w:noProof/>
                <w:color w:val="000000"/>
                <w:sz w:val="20"/>
                <w:szCs w:val="20"/>
              </w:rPr>
              <w:t>DAB 4/2016</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szCs w:val="20"/>
              </w:rPr>
              <w:t>2015 UK correction</w:t>
            </w:r>
          </w:p>
          <w:p>
            <w:pPr>
              <w:autoSpaceDE w:val="0"/>
              <w:autoSpaceDN w:val="0"/>
              <w:adjustRightInd w:val="0"/>
              <w:jc w:val="center"/>
              <w:rPr>
                <w:b/>
                <w:noProof/>
                <w:color w:val="000000"/>
                <w:sz w:val="20"/>
                <w:szCs w:val="20"/>
              </w:rPr>
            </w:pPr>
            <w:r>
              <w:rPr>
                <w:b/>
                <w:noProof/>
                <w:color w:val="000000"/>
                <w:sz w:val="20"/>
                <w:szCs w:val="20"/>
              </w:rPr>
              <w:t>1</w:t>
            </w:r>
            <w:r>
              <w:rPr>
                <w:b/>
                <w:noProof/>
                <w:color w:val="000000"/>
                <w:sz w:val="20"/>
                <w:szCs w:val="20"/>
                <w:vertAlign w:val="superscript"/>
              </w:rPr>
              <w:t>st</w:t>
            </w:r>
            <w:r>
              <w:rPr>
                <w:b/>
                <w:noProof/>
                <w:color w:val="000000"/>
                <w:sz w:val="20"/>
                <w:szCs w:val="20"/>
              </w:rPr>
              <w:t xml:space="preserve"> update</w:t>
            </w:r>
          </w:p>
          <w:p>
            <w:pPr>
              <w:autoSpaceDE w:val="0"/>
              <w:autoSpaceDN w:val="0"/>
              <w:adjustRightInd w:val="0"/>
              <w:jc w:val="center"/>
              <w:rPr>
                <w:b/>
                <w:bCs/>
                <w:noProof/>
                <w:color w:val="000000"/>
                <w:sz w:val="20"/>
                <w:szCs w:val="20"/>
              </w:rPr>
            </w:pPr>
            <w:r>
              <w:rPr>
                <w:b/>
                <w:noProof/>
                <w:color w:val="000000"/>
                <w:sz w:val="20"/>
                <w:szCs w:val="20"/>
              </w:rPr>
              <w:t>2014 ORD</w:t>
            </w:r>
          </w:p>
          <w:p>
            <w:pPr>
              <w:autoSpaceDE w:val="0"/>
              <w:autoSpaceDN w:val="0"/>
              <w:adjustRightInd w:val="0"/>
              <w:jc w:val="center"/>
              <w:rPr>
                <w:noProof/>
                <w:color w:val="000000"/>
                <w:sz w:val="20"/>
                <w:szCs w:val="20"/>
              </w:rPr>
            </w:pPr>
            <w:r>
              <w:rPr>
                <w:noProof/>
                <w:color w:val="000000"/>
                <w:sz w:val="20"/>
                <w:szCs w:val="20"/>
              </w:rPr>
              <w:t>DAB 5/2016</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szCs w:val="20"/>
              </w:rPr>
            </w:pPr>
            <w:r>
              <w:rPr>
                <w:b/>
                <w:i/>
                <w:noProof/>
                <w:color w:val="000000"/>
                <w:sz w:val="20"/>
                <w:szCs w:val="20"/>
              </w:rPr>
              <w:t>Difference</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szCs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share of uncapped VAT base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19,2145%</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19.2145%</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7,5910%</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7.5910%</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11,6235%</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11.6235%</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129 194 773 448</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129 194 773 448</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Enlargement-related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31 733 179 803</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31 733 179 803</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97 461 593 645</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97 461 593 645</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7 476 753 663</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7 476 753 663</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advantage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1 912 680 343</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1 496 521 393</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-416 158 950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Core UK correction = (7) - (8)</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5 564 073 321</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5 980 232 270</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416 158 950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szCs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TOR windfall gains</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szCs w:val="20"/>
              </w:rPr>
              <w:t>-79 812 056</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- 76 109 576</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noProof/>
                <w:sz w:val="20"/>
                <w:szCs w:val="20"/>
              </w:rPr>
              <w:t>3 702 480</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szCs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szCs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b/>
                <w:noProof/>
                <w:sz w:val="20"/>
                <w:szCs w:val="20"/>
              </w:rPr>
              <w:t>5 643 885 377</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b/>
                <w:bCs/>
                <w:noProof/>
                <w:sz w:val="20"/>
                <w:szCs w:val="20"/>
              </w:rPr>
              <w:t>6 056 341 847</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b/>
                <w:noProof/>
                <w:sz w:val="20"/>
                <w:szCs w:val="20"/>
              </w:rPr>
              <w:t>412 456 470</w:t>
            </w:r>
          </w:p>
        </w:tc>
      </w:tr>
    </w:tbl>
    <w:p>
      <w:pPr>
        <w:spacing w:after="200"/>
        <w:jc w:val="both"/>
        <w:rPr>
          <w:rFonts w:eastAsiaTheme="minorHAnsi"/>
          <w:noProof/>
          <w:lang w:eastAsia="en-US"/>
        </w:rPr>
      </w:pPr>
    </w:p>
    <w:p>
      <w:pPr>
        <w:spacing w:after="200"/>
        <w:jc w:val="both"/>
        <w:rPr>
          <w:rFonts w:eastAsiaTheme="minorHAnsi"/>
          <w:noProof/>
          <w:lang w:eastAsia="en-US"/>
        </w:rPr>
      </w:pPr>
      <w:r>
        <w:rPr>
          <w:rFonts w:eastAsiaTheme="minorHAnsi"/>
          <w:noProof/>
          <w:lang w:eastAsia="en-US"/>
        </w:rPr>
        <w:t xml:space="preserve">The first update of the 2015 UK correction based on ORD 2014 amounts to EUR </w:t>
      </w:r>
      <w:r>
        <w:rPr>
          <w:noProof/>
        </w:rPr>
        <w:t>6 056 341 847</w:t>
      </w:r>
      <w:r>
        <w:rPr>
          <w:rFonts w:eastAsiaTheme="minorHAnsi"/>
          <w:noProof/>
          <w:lang w:eastAsia="en-US"/>
        </w:rPr>
        <w:t xml:space="preserve"> and will be budgeted in chapter 15.</w:t>
      </w:r>
    </w:p>
    <w:p>
      <w:pPr>
        <w:spacing w:after="200"/>
        <w:jc w:val="both"/>
        <w:rPr>
          <w:rFonts w:eastAsiaTheme="minorHAnsi"/>
          <w:noProof/>
          <w:lang w:eastAsia="en-US"/>
        </w:rPr>
      </w:pPr>
      <w:r>
        <w:rPr>
          <w:rFonts w:eastAsiaTheme="minorHAnsi"/>
          <w:noProof/>
          <w:lang w:eastAsia="en-US"/>
        </w:rPr>
        <w:t>The updated amount of the 2015 correction shall be financed using the 2016 GNI based on ESA 2010 used for the financing of the 2016 budget. The table below sets out the difference between the financing of the 1</w:t>
      </w:r>
      <w:r>
        <w:rPr>
          <w:rFonts w:eastAsiaTheme="minorHAnsi"/>
          <w:noProof/>
          <w:vertAlign w:val="superscript"/>
          <w:lang w:eastAsia="en-US"/>
        </w:rPr>
        <w:t>st</w:t>
      </w:r>
      <w:r>
        <w:rPr>
          <w:rFonts w:eastAsiaTheme="minorHAnsi"/>
          <w:noProof/>
          <w:lang w:eastAsia="en-US"/>
        </w:rPr>
        <w:t xml:space="preserve"> update of the 2015 UK correction as included in chapter 15 of DAB 4/2016 and its revision based on the 2014 ORD rules and 2016 GNI based on ESA 2010:</w:t>
      </w:r>
      <w:r>
        <w:rPr>
          <w:rFonts w:eastAsiaTheme="minorHAnsi"/>
          <w:noProof/>
          <w:lang w:eastAsia="en-US"/>
        </w:rPr>
        <w:br w:type="page"/>
      </w:r>
    </w:p>
    <w:tbl>
      <w:tblPr>
        <w:tblW w:w="6563" w:type="dxa"/>
        <w:jc w:val="center"/>
        <w:tblLook w:val="04A0" w:firstRow="1" w:lastRow="0" w:firstColumn="1" w:lastColumn="0" w:noHBand="0" w:noVBand="1"/>
      </w:tblPr>
      <w:tblGrid>
        <w:gridCol w:w="1601"/>
        <w:gridCol w:w="1518"/>
        <w:gridCol w:w="1559"/>
        <w:gridCol w:w="1885"/>
      </w:tblGrid>
      <w:tr>
        <w:trPr>
          <w:trHeight w:val="263"/>
          <w:tblHeader/>
          <w:jc w:val="center"/>
        </w:trPr>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2015 UK correction </w:t>
            </w:r>
          </w:p>
          <w:p>
            <w:pPr>
              <w:jc w:val="center"/>
              <w:rPr>
                <w:noProof/>
                <w:sz w:val="18"/>
                <w:szCs w:val="18"/>
              </w:rPr>
            </w:pPr>
            <w:r>
              <w:rPr>
                <w:noProof/>
                <w:sz w:val="18"/>
                <w:szCs w:val="18"/>
              </w:rPr>
              <w:t>(1</w:t>
            </w:r>
            <w:r>
              <w:rPr>
                <w:noProof/>
                <w:sz w:val="18"/>
                <w:szCs w:val="18"/>
                <w:vertAlign w:val="superscript"/>
              </w:rPr>
              <w:t>st</w:t>
            </w:r>
            <w:r>
              <w:rPr>
                <w:noProof/>
                <w:sz w:val="18"/>
              </w:rPr>
              <w:t xml:space="preserve"> </w:t>
            </w:r>
            <w:r>
              <w:rPr>
                <w:noProof/>
                <w:sz w:val="18"/>
                <w:szCs w:val="18"/>
              </w:rPr>
              <w:t xml:space="preserve"> update) </w:t>
            </w:r>
          </w:p>
          <w:p>
            <w:pPr>
              <w:jc w:val="center"/>
              <w:rPr>
                <w:noProof/>
                <w:sz w:val="18"/>
                <w:szCs w:val="18"/>
              </w:rPr>
            </w:pPr>
            <w:r>
              <w:rPr>
                <w:noProof/>
                <w:sz w:val="18"/>
                <w:szCs w:val="18"/>
              </w:rPr>
              <w:t xml:space="preserve"> ORD 2007 ORD</w:t>
            </w:r>
          </w:p>
          <w:p>
            <w:pPr>
              <w:jc w:val="center"/>
              <w:rPr>
                <w:noProof/>
                <w:sz w:val="18"/>
                <w:szCs w:val="18"/>
              </w:rPr>
            </w:pPr>
            <w:r>
              <w:rPr>
                <w:noProof/>
                <w:sz w:val="18"/>
                <w:szCs w:val="18"/>
              </w:rPr>
              <w:t>DAB 4/2016</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 xml:space="preserve">2015 UK correction </w:t>
            </w:r>
          </w:p>
          <w:p>
            <w:pPr>
              <w:jc w:val="center"/>
              <w:rPr>
                <w:noProof/>
                <w:sz w:val="18"/>
                <w:szCs w:val="18"/>
              </w:rPr>
            </w:pPr>
            <w:r>
              <w:rPr>
                <w:noProof/>
                <w:sz w:val="18"/>
                <w:szCs w:val="18"/>
              </w:rPr>
              <w:t>(1</w:t>
            </w:r>
            <w:r>
              <w:rPr>
                <w:noProof/>
                <w:sz w:val="18"/>
              </w:rPr>
              <w:t>st</w:t>
            </w:r>
            <w:r>
              <w:rPr>
                <w:noProof/>
                <w:sz w:val="18"/>
                <w:szCs w:val="18"/>
              </w:rPr>
              <w:t xml:space="preserve"> update) </w:t>
            </w:r>
          </w:p>
          <w:p>
            <w:pPr>
              <w:jc w:val="center"/>
              <w:rPr>
                <w:noProof/>
                <w:sz w:val="18"/>
                <w:szCs w:val="18"/>
              </w:rPr>
            </w:pPr>
            <w:r>
              <w:rPr>
                <w:noProof/>
                <w:sz w:val="18"/>
                <w:szCs w:val="18"/>
              </w:rPr>
              <w:t>2014 ORDORD2014 DAB 5/2016</w:t>
            </w:r>
          </w:p>
        </w:tc>
        <w:tc>
          <w:tcPr>
            <w:tcW w:w="1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Difference in the financing of the 1</w:t>
            </w:r>
            <w:r>
              <w:rPr>
                <w:noProof/>
                <w:sz w:val="18"/>
                <w:szCs w:val="18"/>
                <w:vertAlign w:val="superscript"/>
              </w:rPr>
              <w:t>st</w:t>
            </w:r>
            <w:r>
              <w:rPr>
                <w:noProof/>
                <w:sz w:val="18"/>
                <w:szCs w:val="18"/>
              </w:rPr>
              <w:t xml:space="preserve">  update of the 2015 correction</w:t>
            </w:r>
          </w:p>
        </w:tc>
      </w:tr>
      <w:tr>
        <w:trPr>
          <w:trHeight w:val="263"/>
          <w:tblHeader/>
          <w:jc w:val="center"/>
        </w:trPr>
        <w:tc>
          <w:tcPr>
            <w:tcW w:w="1601"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sz w:val="18"/>
                <w:szCs w:val="18"/>
              </w:rPr>
            </w:pPr>
          </w:p>
        </w:tc>
        <w:tc>
          <w:tcPr>
            <w:tcW w:w="1518"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c>
          <w:tcPr>
            <w:tcW w:w="1885" w:type="dxa"/>
            <w:vMerge/>
            <w:tcBorders>
              <w:top w:val="single" w:sz="4" w:space="0" w:color="auto"/>
              <w:left w:val="single" w:sz="4" w:space="0" w:color="auto"/>
              <w:bottom w:val="single" w:sz="4" w:space="0" w:color="000000"/>
              <w:right w:val="single" w:sz="4" w:space="0" w:color="auto"/>
            </w:tcBorders>
            <w:shd w:val="clear" w:color="auto" w:fill="auto"/>
            <w:vAlign w:val="center"/>
          </w:tcPr>
          <w:p>
            <w:pPr>
              <w:jc w:val="center"/>
              <w:rPr>
                <w:noProof/>
                <w:sz w:val="18"/>
                <w:szCs w:val="18"/>
              </w:rPr>
            </w:pPr>
          </w:p>
        </w:tc>
      </w:tr>
      <w:tr>
        <w:trPr>
          <w:trHeight w:val="207"/>
          <w:tblHeader/>
          <w:jc w:val="center"/>
        </w:trPr>
        <w:tc>
          <w:tcPr>
            <w:tcW w:w="160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r>
      <w:tr>
        <w:trPr>
          <w:trHeight w:val="255"/>
          <w:tblHeader/>
          <w:jc w:val="center"/>
        </w:trPr>
        <w:tc>
          <w:tcPr>
            <w:tcW w:w="1601"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(2)</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(3) = (2) - (1)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279 071 850</w:t>
            </w:r>
          </w:p>
        </w:tc>
        <w:tc>
          <w:tcPr>
            <w:tcW w:w="1559"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300 419 482</w:t>
            </w:r>
          </w:p>
        </w:tc>
        <w:tc>
          <w:tcPr>
            <w:tcW w:w="1885" w:type="dxa"/>
            <w:tcBorders>
              <w:top w:val="single" w:sz="4" w:space="0" w:color="auto"/>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21 347 632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29 228 885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30 919 770</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1 690 885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102 997 723</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112 153 956</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9 156 233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184 098 416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198 759 194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14 660 778</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361 006 829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388 574 256</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27 567 427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13 823 881</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14 737 434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913 553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117 902 629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138 088 264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20 185 635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117 240 809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124 755 826</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7 515 017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743 206 698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793 417 224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50 210 526</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1 502 691 749</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1 609 957 772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107 266 023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29 432 034</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31 081 094</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1 649 060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1 108 726 582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1 182 801 065</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74 074 483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11 750 228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12 229 889</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479 661</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17 038 165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18 343 345</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1 305 180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25 499 905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26 664 592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1 164 687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23 568 848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24 819 001</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1 250 153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71 152 375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76 102 711</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4 950 336</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6 134 996</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6 471 829</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336 833</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79 949 224</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85 347 594</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5 398 370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38 188 137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42 022 646</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3 834 509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282 899 431</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300 318 619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17 419 188</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120 208 152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128 816 366</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8 608 214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109 239 295</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116 458 609</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7 219 314</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25 904 242</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27 765 014</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1 860 772</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51 429 963</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55 012 032</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3 582 069</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137 075 608</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150 818 003</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xml:space="preserve"> 13 742 395</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54 418 723</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59 486 260</w:t>
            </w:r>
          </w:p>
        </w:tc>
        <w:tc>
          <w:tcPr>
            <w:tcW w:w="188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5 067 537</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-5 643 885 377</w:t>
            </w:r>
          </w:p>
        </w:tc>
        <w:tc>
          <w:tcPr>
            <w:tcW w:w="1559"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-6 056 341 847</w:t>
            </w:r>
          </w:p>
        </w:tc>
        <w:tc>
          <w:tcPr>
            <w:tcW w:w="1885" w:type="dxa"/>
            <w:tcBorders>
              <w:top w:val="nil"/>
              <w:left w:val="nil"/>
              <w:bottom w:val="single" w:sz="4" w:space="0" w:color="auto"/>
              <w:right w:val="single" w:sz="4" w:space="0" w:color="auto"/>
            </w:tcBorders>
            <w:shd w:val="clear" w:color="auto" w:fill="auto"/>
            <w:vAlign w:val="center"/>
          </w:tcPr>
          <w:p>
            <w:pPr>
              <w:jc w:val="right"/>
              <w:rPr>
                <w:noProof/>
                <w:color w:val="000000"/>
                <w:sz w:val="18"/>
                <w:szCs w:val="18"/>
              </w:rPr>
            </w:pPr>
            <w:r>
              <w:rPr>
                <w:noProof/>
                <w:sz w:val="18"/>
                <w:szCs w:val="18"/>
              </w:rPr>
              <w:t>- 412 456 470</w:t>
            </w:r>
          </w:p>
        </w:tc>
      </w:tr>
      <w:tr>
        <w:trPr>
          <w:trHeight w:val="285"/>
          <w:jc w:val="center"/>
        </w:trPr>
        <w:tc>
          <w:tcPr>
            <w:tcW w:w="1601"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518"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c>
          <w:tcPr>
            <w:tcW w:w="1559"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c>
          <w:tcPr>
            <w:tcW w:w="188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0</w:t>
            </w:r>
          </w:p>
        </w:tc>
      </w:tr>
    </w:tbl>
    <w:p>
      <w:pPr>
        <w:pStyle w:val="ManualHeading2"/>
        <w:spacing w:before="360"/>
        <w:rPr>
          <w:rFonts w:eastAsia="Calibri"/>
          <w:noProof/>
        </w:rPr>
      </w:pPr>
      <w:bookmarkStart w:id="39" w:name="_Toc463466464"/>
      <w:r>
        <w:rPr>
          <w:rFonts w:eastAsia="Calibri"/>
          <w:noProof/>
        </w:rPr>
        <w:t xml:space="preserve">4.5 </w:t>
      </w:r>
      <w:r>
        <w:rPr>
          <w:rFonts w:eastAsia="Calibri"/>
          <w:noProof/>
        </w:rPr>
        <w:tab/>
        <w:t>Impact on the GNI-based own resource contribution for 2016</w:t>
      </w:r>
      <w:bookmarkEnd w:id="39"/>
    </w:p>
    <w:p>
      <w:pPr>
        <w:spacing w:after="200"/>
        <w:jc w:val="both"/>
        <w:rPr>
          <w:rFonts w:eastAsiaTheme="minorHAnsi"/>
          <w:b/>
          <w:noProof/>
          <w:lang w:eastAsia="en-US"/>
        </w:rPr>
      </w:pPr>
      <w:r>
        <w:rPr>
          <w:rFonts w:eastAsiaTheme="minorHAnsi"/>
          <w:noProof/>
          <w:lang w:eastAsia="en-US"/>
        </w:rPr>
        <w:t>The impact of the new ORD will be calculated based on the forecasts included in DAB 4/2016, which corresponds to the 2016 ESA 95 amounts as adopted at the 166</w:t>
      </w:r>
      <w:r>
        <w:rPr>
          <w:rFonts w:eastAsiaTheme="minorHAnsi"/>
          <w:noProof/>
          <w:vertAlign w:val="superscript"/>
          <w:lang w:eastAsia="en-US"/>
        </w:rPr>
        <w:t>th</w:t>
      </w:r>
      <w:r>
        <w:rPr>
          <w:rFonts w:eastAsiaTheme="minorHAnsi"/>
          <w:noProof/>
          <w:lang w:eastAsia="en-US"/>
        </w:rPr>
        <w:t xml:space="preserve"> meeting of the Advisory Committee on Own Resources on 18 May 2016. These data are the latest available data for the GNI base for 2016.</w:t>
      </w:r>
    </w:p>
    <w:p>
      <w:pPr>
        <w:spacing w:after="200"/>
        <w:jc w:val="both"/>
        <w:rPr>
          <w:rFonts w:eastAsiaTheme="minorHAnsi"/>
          <w:b/>
          <w:noProof/>
          <w:lang w:eastAsia="en-US"/>
        </w:rPr>
      </w:pPr>
      <w:r>
        <w:rPr>
          <w:rFonts w:eastAsiaTheme="minorHAnsi"/>
          <w:noProof/>
          <w:lang w:eastAsia="en-US"/>
        </w:rPr>
        <w:t>As according to ORD 2014, the GNI contribution of the Member States should be calculated from 1 January 2014 onwards on the basis of ESA 2010 data instead of the ESA 95, the amounts were updated to incorporate this effect.</w:t>
      </w:r>
    </w:p>
    <w:p>
      <w:pPr>
        <w:spacing w:after="200"/>
        <w:jc w:val="both"/>
        <w:rPr>
          <w:rFonts w:eastAsiaTheme="minorHAnsi"/>
          <w:b/>
          <w:noProof/>
          <w:lang w:eastAsia="en-US"/>
        </w:rPr>
      </w:pPr>
      <w:r>
        <w:rPr>
          <w:rFonts w:eastAsiaTheme="minorHAnsi"/>
          <w:noProof/>
          <w:lang w:eastAsia="en-US"/>
        </w:rPr>
        <w:t xml:space="preserve">By implementing the new rules regarding the new rate of the collection costs, the VAT reduced call rate for some Member States and the use of ESA 2010 instead of ESA 95 for GNI own resource base, the amount of own resources other than GNI decreased by EUR </w:t>
      </w:r>
      <w:r>
        <w:rPr>
          <w:noProof/>
        </w:rPr>
        <w:t>1 404 447 650</w:t>
      </w:r>
      <w:r>
        <w:rPr>
          <w:rFonts w:eastAsiaTheme="minorHAnsi"/>
          <w:noProof/>
          <w:lang w:eastAsia="en-US"/>
        </w:rPr>
        <w:t>.</w:t>
      </w:r>
    </w:p>
    <w:p>
      <w:pPr>
        <w:spacing w:after="200"/>
        <w:jc w:val="both"/>
        <w:rPr>
          <w:rFonts w:eastAsiaTheme="minorHAnsi"/>
          <w:b/>
          <w:noProof/>
          <w:lang w:eastAsia="en-US"/>
        </w:rPr>
      </w:pPr>
      <w:r>
        <w:rPr>
          <w:rFonts w:eastAsiaTheme="minorHAnsi"/>
          <w:noProof/>
          <w:lang w:eastAsia="en-US"/>
        </w:rPr>
        <w:t>In order to respect the principle of equilibrium applicable to the budget of the European Union, the uniform rate to be applied to the sum of all Member States ' GNI has to be recalculated taken into account all other revenue.</w:t>
      </w:r>
    </w:p>
    <w:p>
      <w:pPr>
        <w:spacing w:after="200"/>
        <w:jc w:val="both"/>
        <w:rPr>
          <w:rFonts w:eastAsiaTheme="minorHAnsi"/>
          <w:b/>
          <w:noProof/>
          <w:lang w:eastAsia="en-US"/>
        </w:rPr>
      </w:pPr>
      <w:r>
        <w:rPr>
          <w:rFonts w:eastAsiaTheme="minorHAnsi"/>
          <w:noProof/>
          <w:lang w:eastAsia="en-US"/>
        </w:rPr>
        <w:t>The recalculated uniform rate for the GNI-based own resource is fixed as follows:</w:t>
      </w:r>
    </w:p>
    <w:p>
      <w:pPr>
        <w:spacing w:after="200"/>
        <w:jc w:val="both"/>
        <w:rPr>
          <w:rFonts w:eastAsiaTheme="minorHAnsi"/>
          <w:b/>
          <w:noProof/>
          <w:lang w:eastAsia="en-US"/>
        </w:rPr>
      </w:pPr>
      <w:r>
        <w:rPr>
          <w:rFonts w:eastAsiaTheme="minorHAnsi"/>
          <w:noProof/>
          <w:lang w:eastAsia="en-US"/>
        </w:rPr>
        <w:t>Uniform rate to be applied on 1 % of GNI = (total expenditure – other revenue – total amount net amount of TOR – VAT-based own resource contributions) / 1 % of GNI</w:t>
      </w:r>
    </w:p>
    <w:p>
      <w:pPr>
        <w:jc w:val="both"/>
        <w:rPr>
          <w:rFonts w:eastAsiaTheme="minorHAnsi"/>
          <w:noProof/>
          <w:lang w:eastAsia="en-US"/>
        </w:rPr>
      </w:pPr>
      <w:r>
        <w:rPr>
          <w:rFonts w:eastAsiaTheme="minorHAnsi"/>
          <w:noProof/>
          <w:lang w:eastAsia="en-US"/>
        </w:rPr>
        <w:t>Uniform rate :</w:t>
      </w:r>
    </w:p>
    <w:p>
      <w:pPr>
        <w:jc w:val="both"/>
        <w:rPr>
          <w:noProof/>
        </w:rPr>
      </w:pPr>
      <w:r>
        <w:rPr>
          <w:noProof/>
        </w:rPr>
        <w:t>= (136 610 995 484 – 2 965 818 187 – 20 247 900 000 – 16 279 317 150) /150 618 338 000</w:t>
      </w:r>
    </w:p>
    <w:p>
      <w:pPr>
        <w:spacing w:after="200"/>
        <w:jc w:val="both"/>
        <w:rPr>
          <w:rFonts w:eastAsiaTheme="minorHAnsi"/>
          <w:noProof/>
          <w:lang w:eastAsia="en-US"/>
        </w:rPr>
      </w:pPr>
      <w:r>
        <w:rPr>
          <w:noProof/>
        </w:rPr>
        <w:t>= 0,644795059065119 %</w:t>
      </w:r>
    </w:p>
    <w:p>
      <w:pPr>
        <w:spacing w:after="200" w:line="276" w:lineRule="auto"/>
        <w:jc w:val="both"/>
        <w:rPr>
          <w:rFonts w:eastAsiaTheme="minorHAnsi"/>
          <w:noProof/>
          <w:lang w:eastAsia="en-US"/>
        </w:rPr>
      </w:pPr>
      <w:r>
        <w:rPr>
          <w:rFonts w:eastAsiaTheme="minorHAnsi"/>
          <w:noProof/>
          <w:lang w:eastAsia="en-US"/>
        </w:rPr>
        <w:t>The revised GNI-based own resources contributions considering the new uniform rate are set out in the following table:</w:t>
      </w:r>
    </w:p>
    <w:p>
      <w:pPr>
        <w:jc w:val="center"/>
        <w:rPr>
          <w:rFonts w:eastAsiaTheme="minorHAnsi"/>
          <w:noProof/>
          <w:sz w:val="18"/>
          <w:szCs w:val="18"/>
          <w:lang w:eastAsia="en-US"/>
        </w:rPr>
      </w:pPr>
      <w:r>
        <w:rPr>
          <w:rFonts w:eastAsiaTheme="minorHAnsi"/>
          <w:noProof/>
          <w:sz w:val="18"/>
          <w:szCs w:val="18"/>
          <w:lang w:eastAsia="en-US"/>
        </w:rPr>
        <w:t>Budgetary year 2016 (in EUR)</w:t>
      </w:r>
    </w:p>
    <w:tbl>
      <w:tblPr>
        <w:tblW w:w="10348" w:type="dxa"/>
        <w:jc w:val="center"/>
        <w:tblLook w:val="04A0" w:firstRow="1" w:lastRow="0" w:firstColumn="1" w:lastColumn="0" w:noHBand="0" w:noVBand="1"/>
      </w:tblPr>
      <w:tblGrid>
        <w:gridCol w:w="1570"/>
        <w:gridCol w:w="1549"/>
        <w:gridCol w:w="1909"/>
        <w:gridCol w:w="1635"/>
        <w:gridCol w:w="1910"/>
        <w:gridCol w:w="1775"/>
      </w:tblGrid>
      <w:tr>
        <w:trPr>
          <w:trHeight w:val="263"/>
          <w:jc w:val="center"/>
        </w:trPr>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1% of GNI base</w:t>
            </w:r>
            <w:r>
              <w:rPr>
                <w:noProof/>
                <w:sz w:val="18"/>
                <w:szCs w:val="18"/>
              </w:rPr>
              <w:br/>
              <w:t>(As in ACOR May 2016 GNI ESA 95)</w:t>
            </w:r>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 xml:space="preserve">Uniform rate of GNI-based own resource (in %) according to ORD 2007 </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1% of GNI base                 (As in ACOR May 2016 GNI ESA 2010)</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 xml:space="preserve">Uniform rate of GNI-based own resource (in %) according to ORD 2014 </w:t>
            </w:r>
          </w:p>
        </w:tc>
        <w:tc>
          <w:tcPr>
            <w:tcW w:w="1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Difference in the GNI</w:t>
            </w:r>
          </w:p>
        </w:tc>
      </w:tr>
      <w:tr>
        <w:trPr>
          <w:trHeight w:val="352"/>
          <w:jc w:val="center"/>
        </w:trPr>
        <w:tc>
          <w:tcPr>
            <w:tcW w:w="1570"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77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55"/>
          <w:jc w:val="center"/>
        </w:trPr>
        <w:tc>
          <w:tcPr>
            <w:tcW w:w="1570"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49"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(1)</w:t>
            </w:r>
          </w:p>
        </w:tc>
        <w:tc>
          <w:tcPr>
            <w:tcW w:w="1909"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(2)</w:t>
            </w:r>
          </w:p>
        </w:tc>
        <w:tc>
          <w:tcPr>
            <w:tcW w:w="1635"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(3)</w:t>
            </w:r>
          </w:p>
        </w:tc>
        <w:tc>
          <w:tcPr>
            <w:tcW w:w="1910"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(4)</w:t>
            </w:r>
          </w:p>
        </w:tc>
        <w:tc>
          <w:tcPr>
            <w:tcW w:w="1775"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(5) = (3 x 4) - (1 x 2)</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4 129 447 000</w:t>
            </w:r>
          </w:p>
        </w:tc>
        <w:tc>
          <w:tcPr>
            <w:tcW w:w="1909" w:type="dxa"/>
            <w:vMerge w:val="restart"/>
            <w:tcBorders>
              <w:top w:val="single" w:sz="4" w:space="0" w:color="auto"/>
              <w:left w:val="single" w:sz="4" w:space="0" w:color="auto"/>
              <w:bottom w:val="nil"/>
              <w:right w:val="single" w:sz="4" w:space="0" w:color="auto"/>
            </w:tcBorders>
            <w:shd w:val="clear" w:color="auto" w:fill="auto"/>
            <w:vAlign w:val="center"/>
          </w:tcPr>
          <w:p>
            <w:pPr>
              <w:jc w:val="center"/>
              <w:rPr>
                <w:noProof/>
                <w:sz w:val="18"/>
                <w:szCs w:val="18"/>
              </w:rPr>
            </w:pPr>
            <w:r>
              <w:rPr>
                <w:noProof/>
                <w:sz w:val="18"/>
                <w:szCs w:val="18"/>
              </w:rPr>
              <w:t>0,651425709992745</w:t>
            </w:r>
          </w:p>
        </w:tc>
        <w:tc>
          <w:tcPr>
            <w:tcW w:w="163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4 238 385 000</w:t>
            </w:r>
          </w:p>
        </w:tc>
        <w:tc>
          <w:tcPr>
            <w:tcW w:w="1910" w:type="dxa"/>
            <w:vMerge w:val="restart"/>
            <w:tcBorders>
              <w:top w:val="single" w:sz="4" w:space="0" w:color="auto"/>
              <w:left w:val="single" w:sz="4" w:space="0" w:color="auto"/>
              <w:bottom w:val="nil"/>
              <w:right w:val="single" w:sz="4" w:space="0" w:color="auto"/>
            </w:tcBorders>
            <w:shd w:val="clear" w:color="auto" w:fill="auto"/>
            <w:vAlign w:val="center"/>
          </w:tcPr>
          <w:p>
            <w:pPr>
              <w:jc w:val="center"/>
              <w:rPr>
                <w:noProof/>
                <w:sz w:val="18"/>
                <w:szCs w:val="18"/>
              </w:rPr>
            </w:pPr>
            <w:r>
              <w:rPr>
                <w:noProof/>
                <w:sz w:val="18"/>
                <w:szCs w:val="18"/>
              </w:rPr>
              <w:t>0,644795059065119</w:t>
            </w:r>
          </w:p>
        </w:tc>
        <w:tc>
          <w:tcPr>
            <w:tcW w:w="177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42 861 762</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432 502 000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436 223 000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468 487</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1 524 065 000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1 582 293 000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27 439 583</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2 724 118 000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2 804 139 000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33 534 470</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31 112 706 000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32 010 557 000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372 632 398</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204 553 000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207 919 000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814 061</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1 744 614 000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1 948 180 000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119 690 424</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1 734 821 000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1 760 083 000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4 785 820</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10 997 285 000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11 193 707 000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53 732 777</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22 235 442 000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22 713 643 000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160 906 188</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435 508 000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438 499 000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959 119</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16 405 910 000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16 687 221 000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72 606 080</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173 869 000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172 542 000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- 2 008 508</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252 115 000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258 792 000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2 633 610</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377 324 000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376 190 000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- 3 233 102</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348 750 000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350 152 000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- 1 408 436</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1 052 847 000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1 073 674 000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6 448 086</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90 780 000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91 306 000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262 768</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6 890 276 000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7 030 893 000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44 982 132</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3 291 174 000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3 461 805 000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88 199 399</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4 186 084 000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4 236 962 000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5 049 421</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1 778 729 000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1 817 370 000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13 121 394</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1 616 422 000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1 643 024 000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6 434 908</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383 307 000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391 715 000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2 879 862</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761 013 000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776 122 000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4 696 197</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2 028 318 000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2 127 774 000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50 679 669</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4 689 977 000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4 900 449 000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104 613 705</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25 327 327 000</w:t>
            </w:r>
          </w:p>
        </w:tc>
        <w:tc>
          <w:tcPr>
            <w:tcW w:w="1909"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63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25 888 719 000</w:t>
            </w:r>
          </w:p>
        </w:tc>
        <w:tc>
          <w:tcPr>
            <w:tcW w:w="1910" w:type="dxa"/>
            <w:vMerge/>
            <w:tcBorders>
              <w:top w:val="single" w:sz="4" w:space="0" w:color="auto"/>
              <w:left w:val="single" w:sz="4" w:space="0" w:color="auto"/>
              <w:bottom w:val="nil"/>
              <w:right w:val="single" w:sz="4" w:space="0" w:color="auto"/>
            </w:tcBorders>
            <w:vAlign w:val="center"/>
          </w:tcPr>
          <w:p>
            <w:pPr>
              <w:rPr>
                <w:noProof/>
                <w:sz w:val="18"/>
                <w:szCs w:val="18"/>
              </w:rPr>
            </w:pPr>
          </w:p>
        </w:tc>
        <w:tc>
          <w:tcPr>
            <w:tcW w:w="1775"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194 046 124</w:t>
            </w:r>
          </w:p>
        </w:tc>
      </w:tr>
      <w:tr>
        <w:trPr>
          <w:trHeight w:val="285"/>
          <w:jc w:val="center"/>
        </w:trPr>
        <w:tc>
          <w:tcPr>
            <w:tcW w:w="1570" w:type="dxa"/>
            <w:tcBorders>
              <w:top w:val="nil"/>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549" w:type="dxa"/>
            <w:tcBorders>
              <w:top w:val="nil"/>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146 929 283 000</w:t>
            </w:r>
          </w:p>
        </w:tc>
        <w:tc>
          <w:tcPr>
            <w:tcW w:w="1909" w:type="dxa"/>
            <w:tcBorders>
              <w:top w:val="single" w:sz="4" w:space="0" w:color="auto"/>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w:t>
            </w:r>
          </w:p>
        </w:tc>
        <w:tc>
          <w:tcPr>
            <w:tcW w:w="163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150 618 338 000</w:t>
            </w:r>
          </w:p>
        </w:tc>
        <w:tc>
          <w:tcPr>
            <w:tcW w:w="1910" w:type="dxa"/>
            <w:tcBorders>
              <w:top w:val="single" w:sz="4" w:space="0" w:color="auto"/>
              <w:left w:val="nil"/>
              <w:bottom w:val="single" w:sz="4" w:space="0" w:color="auto"/>
              <w:right w:val="single" w:sz="4" w:space="0" w:color="auto"/>
            </w:tcBorders>
            <w:shd w:val="clear" w:color="auto" w:fill="auto"/>
            <w:vAlign w:val="center"/>
          </w:tcPr>
          <w:p>
            <w:pPr>
              <w:jc w:val="center"/>
              <w:rPr>
                <w:b/>
                <w:noProof/>
                <w:sz w:val="18"/>
                <w:szCs w:val="18"/>
              </w:rPr>
            </w:pPr>
            <w:r>
              <w:rPr>
                <w:b/>
                <w:noProof/>
                <w:sz w:val="18"/>
                <w:szCs w:val="18"/>
              </w:rPr>
              <w:t> </w:t>
            </w:r>
          </w:p>
        </w:tc>
        <w:tc>
          <w:tcPr>
            <w:tcW w:w="1775" w:type="dxa"/>
            <w:tcBorders>
              <w:top w:val="nil"/>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1 404 447 650</w:t>
            </w:r>
          </w:p>
        </w:tc>
      </w:tr>
    </w:tbl>
    <w:p>
      <w:pPr>
        <w:pStyle w:val="ManualHeading2"/>
        <w:spacing w:before="360"/>
        <w:rPr>
          <w:rFonts w:eastAsia="Calibri"/>
          <w:noProof/>
        </w:rPr>
      </w:pPr>
      <w:bookmarkStart w:id="40" w:name="_Toc463466465"/>
      <w:r>
        <w:rPr>
          <w:rFonts w:eastAsia="Calibri"/>
          <w:noProof/>
        </w:rPr>
        <w:t xml:space="preserve">4.6 </w:t>
      </w:r>
      <w:r>
        <w:rPr>
          <w:rFonts w:eastAsia="Calibri"/>
          <w:noProof/>
        </w:rPr>
        <w:tab/>
        <w:t>Summary of the financial impact from the implementation of the ORD 2014 for the year 2016</w:t>
      </w:r>
      <w:bookmarkEnd w:id="40"/>
    </w:p>
    <w:p>
      <w:pPr>
        <w:spacing w:after="200"/>
        <w:jc w:val="both"/>
        <w:rPr>
          <w:rFonts w:eastAsiaTheme="minorHAnsi"/>
          <w:noProof/>
          <w:lang w:eastAsia="en-US"/>
        </w:rPr>
      </w:pPr>
      <w:r>
        <w:rPr>
          <w:rFonts w:eastAsiaTheme="minorHAnsi"/>
          <w:noProof/>
          <w:lang w:eastAsia="en-US"/>
        </w:rPr>
        <w:t>The following summary table shows for 2016 the global impact of the implementation of ORD 2014.  This global impact is the result of the sum of the amendments related to the new rate of collection costs, the reduced VAT call rate for some Member States, the use of ESA 2010 data for GNI, the gross reduction in the annual GNI-based contribution for Denmark, the Netherlands, Austria and Sweden and the revised financing of the 2014 and 2015 UK corrections.</w:t>
      </w:r>
    </w:p>
    <w:p>
      <w:pPr>
        <w:spacing w:after="200"/>
        <w:jc w:val="both"/>
        <w:rPr>
          <w:rFonts w:eastAsiaTheme="minorHAnsi"/>
          <w:noProof/>
          <w:lang w:eastAsia="en-US"/>
        </w:rPr>
        <w:sectPr>
          <w:headerReference w:type="even" r:id="rId53"/>
          <w:headerReference w:type="default" r:id="rId54"/>
          <w:footerReference w:type="even" r:id="rId55"/>
          <w:footerReference w:type="default" r:id="rId56"/>
          <w:headerReference w:type="first" r:id="rId57"/>
          <w:footerReference w:type="first" r:id="rId58"/>
          <w:pgSz w:w="11907" w:h="16839"/>
          <w:pgMar w:top="1021" w:right="1021" w:bottom="1021" w:left="1021" w:header="709" w:footer="709" w:gutter="0"/>
          <w:cols w:space="708"/>
          <w:docGrid w:linePitch="360"/>
        </w:sectPr>
      </w:pPr>
    </w:p>
    <w:tbl>
      <w:tblPr>
        <w:tblW w:w="12936" w:type="dxa"/>
        <w:jc w:val="center"/>
        <w:tblLook w:val="04A0" w:firstRow="1" w:lastRow="0" w:firstColumn="1" w:lastColumn="0" w:noHBand="0" w:noVBand="1"/>
      </w:tblPr>
      <w:tblGrid>
        <w:gridCol w:w="1999"/>
        <w:gridCol w:w="1761"/>
        <w:gridCol w:w="1733"/>
        <w:gridCol w:w="2012"/>
        <w:gridCol w:w="1903"/>
        <w:gridCol w:w="1754"/>
        <w:gridCol w:w="1774"/>
      </w:tblGrid>
      <w:tr>
        <w:trPr>
          <w:trHeight w:val="375"/>
          <w:jc w:val="center"/>
        </w:trPr>
        <w:tc>
          <w:tcPr>
            <w:tcW w:w="12936" w:type="dxa"/>
            <w:gridSpan w:val="7"/>
            <w:tcBorders>
              <w:top w:val="nil"/>
              <w:left w:val="nil"/>
              <w:bottom w:val="nil"/>
              <w:right w:val="nil"/>
            </w:tcBorders>
            <w:shd w:val="clear" w:color="000000" w:fill="FFFFFF"/>
            <w:noWrap/>
            <w:vAlign w:val="bottom"/>
            <w:hideMark/>
          </w:tcPr>
          <w:p>
            <w:pPr>
              <w:jc w:val="center"/>
              <w:rPr>
                <w:b/>
                <w:bCs/>
                <w:noProof/>
                <w:sz w:val="20"/>
                <w:szCs w:val="20"/>
              </w:rPr>
            </w:pPr>
            <w:r>
              <w:rPr>
                <w:b/>
                <w:bCs/>
                <w:noProof/>
                <w:sz w:val="20"/>
                <w:szCs w:val="20"/>
              </w:rPr>
              <w:t>Retroactive impact of the new ORD for the 2016 budget</w:t>
            </w:r>
          </w:p>
        </w:tc>
      </w:tr>
      <w:tr>
        <w:trPr>
          <w:trHeight w:val="270"/>
          <w:jc w:val="center"/>
        </w:trPr>
        <w:tc>
          <w:tcPr>
            <w:tcW w:w="1999"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1761"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1733"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2012"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1903"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1754"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c>
          <w:tcPr>
            <w:tcW w:w="1774" w:type="dxa"/>
            <w:tcBorders>
              <w:top w:val="nil"/>
              <w:left w:val="nil"/>
              <w:bottom w:val="nil"/>
              <w:right w:val="nil"/>
            </w:tcBorders>
            <w:shd w:val="clear" w:color="000000" w:fill="FFFFFF"/>
            <w:noWrap/>
            <w:vAlign w:val="bottom"/>
            <w:hideMark/>
          </w:tcPr>
          <w:p>
            <w:pPr>
              <w:rPr>
                <w:noProof/>
                <w:sz w:val="20"/>
                <w:szCs w:val="20"/>
              </w:rPr>
            </w:pPr>
            <w:r>
              <w:rPr>
                <w:noProof/>
                <w:sz w:val="20"/>
                <w:szCs w:val="20"/>
              </w:rPr>
              <w:t> </w:t>
            </w:r>
          </w:p>
        </w:tc>
      </w:tr>
      <w:tr>
        <w:trPr>
          <w:trHeight w:val="1034"/>
          <w:jc w:val="center"/>
        </w:trPr>
        <w:tc>
          <w:tcPr>
            <w:tcW w:w="1999"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jc w:val="center"/>
              <w:rPr>
                <w:b/>
                <w:bCs/>
                <w:noProof/>
                <w:sz w:val="18"/>
                <w:szCs w:val="18"/>
              </w:rPr>
            </w:pPr>
            <w:r>
              <w:rPr>
                <w:b/>
                <w:bCs/>
                <w:noProof/>
                <w:sz w:val="18"/>
                <w:szCs w:val="18"/>
              </w:rPr>
              <w:t>Member States</w:t>
            </w:r>
            <w:r>
              <w:rPr>
                <w:b/>
                <w:bCs/>
                <w:noProof/>
                <w:sz w:val="18"/>
                <w:szCs w:val="18"/>
              </w:rPr>
              <w:br/>
            </w:r>
            <w:r>
              <w:rPr>
                <w:b/>
                <w:bCs/>
                <w:noProof/>
                <w:sz w:val="18"/>
                <w:szCs w:val="18"/>
              </w:rPr>
              <w:br/>
            </w:r>
            <w:r>
              <w:rPr>
                <w:noProof/>
                <w:sz w:val="18"/>
                <w:szCs w:val="18"/>
              </w:rPr>
              <w:t>(amounts in EUR)</w:t>
            </w:r>
          </w:p>
        </w:tc>
        <w:tc>
          <w:tcPr>
            <w:tcW w:w="1761" w:type="dxa"/>
            <w:tcBorders>
              <w:top w:val="single" w:sz="8" w:space="0" w:color="auto"/>
              <w:left w:val="nil"/>
              <w:bottom w:val="single" w:sz="8" w:space="0" w:color="auto"/>
              <w:right w:val="nil"/>
            </w:tcBorders>
            <w:shd w:val="clear" w:color="000000" w:fill="FFFFFF"/>
            <w:vAlign w:val="center"/>
            <w:hideMark/>
          </w:tcPr>
          <w:p>
            <w:pPr>
              <w:jc w:val="center"/>
              <w:rPr>
                <w:noProof/>
                <w:sz w:val="18"/>
                <w:szCs w:val="18"/>
              </w:rPr>
            </w:pPr>
            <w:r>
              <w:rPr>
                <w:noProof/>
                <w:sz w:val="18"/>
                <w:szCs w:val="18"/>
              </w:rPr>
              <w:t xml:space="preserve">Gross impact of decrease of TOR collection costs from 25% to 20% </w:t>
            </w:r>
          </w:p>
        </w:tc>
        <w:tc>
          <w:tcPr>
            <w:tcW w:w="1733"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 xml:space="preserve">Gross impact of reduced VAT-based call rates for DE, NL and SE </w:t>
            </w:r>
          </w:p>
        </w:tc>
        <w:tc>
          <w:tcPr>
            <w:tcW w:w="2012" w:type="dxa"/>
            <w:tcBorders>
              <w:top w:val="single" w:sz="8" w:space="0" w:color="auto"/>
              <w:left w:val="nil"/>
              <w:bottom w:val="single" w:sz="8" w:space="0" w:color="auto"/>
              <w:right w:val="nil"/>
            </w:tcBorders>
            <w:shd w:val="clear" w:color="000000" w:fill="FFFFFF"/>
            <w:vAlign w:val="center"/>
            <w:hideMark/>
          </w:tcPr>
          <w:p>
            <w:pPr>
              <w:jc w:val="center"/>
              <w:rPr>
                <w:noProof/>
                <w:sz w:val="18"/>
                <w:szCs w:val="18"/>
              </w:rPr>
            </w:pPr>
            <w:r>
              <w:rPr>
                <w:noProof/>
                <w:sz w:val="18"/>
                <w:szCs w:val="18"/>
              </w:rPr>
              <w:t>GNI reduction in favour of Netherlands, Sweden, Denmark and Austria (net impact)</w:t>
            </w:r>
          </w:p>
        </w:tc>
        <w:tc>
          <w:tcPr>
            <w:tcW w:w="1903"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Impact of changes in GNI for the financing of the 2014&amp;2015 United Kingdom corrections</w:t>
            </w:r>
          </w:p>
        </w:tc>
        <w:tc>
          <w:tcPr>
            <w:tcW w:w="1754" w:type="dxa"/>
            <w:tcBorders>
              <w:top w:val="single" w:sz="8" w:space="0" w:color="auto"/>
              <w:left w:val="nil"/>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Net impact of all changes for GNI resource (lower TOR collection costs, reduced VAT call rates, ESA 2010)</w:t>
            </w:r>
          </w:p>
        </w:tc>
        <w:tc>
          <w:tcPr>
            <w:tcW w:w="1774" w:type="dxa"/>
            <w:tcBorders>
              <w:top w:val="single" w:sz="8" w:space="0" w:color="auto"/>
              <w:left w:val="nil"/>
              <w:bottom w:val="single" w:sz="8" w:space="0" w:color="auto"/>
              <w:right w:val="single" w:sz="8" w:space="0" w:color="auto"/>
            </w:tcBorders>
            <w:shd w:val="clear" w:color="000000" w:fill="FFFFFF"/>
            <w:vAlign w:val="center"/>
            <w:hideMark/>
          </w:tcPr>
          <w:p>
            <w:pPr>
              <w:jc w:val="center"/>
              <w:rPr>
                <w:noProof/>
                <w:sz w:val="18"/>
                <w:szCs w:val="18"/>
              </w:rPr>
            </w:pPr>
            <w:r>
              <w:rPr>
                <w:noProof/>
                <w:sz w:val="18"/>
                <w:szCs w:val="18"/>
              </w:rPr>
              <w:t>Impact of the introduction of the new ORD on total own resources for 2016</w:t>
            </w:r>
          </w:p>
        </w:tc>
      </w:tr>
      <w:tr>
        <w:trPr>
          <w:trHeight w:val="289"/>
          <w:jc w:val="center"/>
        </w:trPr>
        <w:tc>
          <w:tcPr>
            <w:tcW w:w="1999" w:type="dxa"/>
            <w:tcBorders>
              <w:top w:val="nil"/>
              <w:left w:val="single" w:sz="8" w:space="0" w:color="auto"/>
              <w:bottom w:val="nil"/>
              <w:right w:val="single" w:sz="8" w:space="0" w:color="auto"/>
            </w:tcBorders>
            <w:shd w:val="clear" w:color="000000" w:fill="FFFFFF"/>
            <w:vAlign w:val="center"/>
            <w:hideMark/>
          </w:tcPr>
          <w:p>
            <w:pPr>
              <w:rPr>
                <w:noProof/>
                <w:sz w:val="18"/>
                <w:szCs w:val="18"/>
              </w:rPr>
            </w:pPr>
            <w:r>
              <w:rPr>
                <w:noProof/>
                <w:sz w:val="18"/>
                <w:szCs w:val="18"/>
              </w:rPr>
              <w:t> </w:t>
            </w:r>
          </w:p>
        </w:tc>
        <w:tc>
          <w:tcPr>
            <w:tcW w:w="1761" w:type="dxa"/>
            <w:tcBorders>
              <w:top w:val="nil"/>
              <w:left w:val="nil"/>
              <w:bottom w:val="nil"/>
              <w:right w:val="nil"/>
            </w:tcBorders>
            <w:shd w:val="clear" w:color="000000" w:fill="FFFFFF"/>
            <w:vAlign w:val="center"/>
            <w:hideMark/>
          </w:tcPr>
          <w:p>
            <w:pPr>
              <w:jc w:val="center"/>
              <w:rPr>
                <w:noProof/>
                <w:sz w:val="18"/>
                <w:szCs w:val="18"/>
              </w:rPr>
            </w:pPr>
            <w:r>
              <w:rPr>
                <w:noProof/>
                <w:sz w:val="18"/>
                <w:szCs w:val="18"/>
              </w:rPr>
              <w:t>(1)</w:t>
            </w:r>
          </w:p>
        </w:tc>
        <w:tc>
          <w:tcPr>
            <w:tcW w:w="1733" w:type="dxa"/>
            <w:tcBorders>
              <w:top w:val="nil"/>
              <w:left w:val="single" w:sz="8" w:space="0" w:color="auto"/>
              <w:bottom w:val="nil"/>
              <w:right w:val="single" w:sz="8" w:space="0" w:color="auto"/>
            </w:tcBorders>
            <w:shd w:val="clear" w:color="000000" w:fill="FFFFFF"/>
            <w:vAlign w:val="center"/>
            <w:hideMark/>
          </w:tcPr>
          <w:p>
            <w:pPr>
              <w:jc w:val="center"/>
              <w:rPr>
                <w:noProof/>
                <w:sz w:val="18"/>
                <w:szCs w:val="18"/>
              </w:rPr>
            </w:pPr>
            <w:r>
              <w:rPr>
                <w:noProof/>
                <w:sz w:val="18"/>
                <w:szCs w:val="18"/>
              </w:rPr>
              <w:t>(2)</w:t>
            </w:r>
          </w:p>
        </w:tc>
        <w:tc>
          <w:tcPr>
            <w:tcW w:w="2012" w:type="dxa"/>
            <w:tcBorders>
              <w:top w:val="nil"/>
              <w:left w:val="nil"/>
              <w:bottom w:val="nil"/>
              <w:right w:val="nil"/>
            </w:tcBorders>
            <w:shd w:val="clear" w:color="000000" w:fill="FFFFFF"/>
            <w:vAlign w:val="center"/>
            <w:hideMark/>
          </w:tcPr>
          <w:p>
            <w:pPr>
              <w:jc w:val="center"/>
              <w:rPr>
                <w:noProof/>
                <w:sz w:val="18"/>
                <w:szCs w:val="18"/>
              </w:rPr>
            </w:pPr>
            <w:r>
              <w:rPr>
                <w:noProof/>
                <w:sz w:val="18"/>
                <w:szCs w:val="18"/>
              </w:rPr>
              <w:t>(3)</w:t>
            </w:r>
          </w:p>
        </w:tc>
        <w:tc>
          <w:tcPr>
            <w:tcW w:w="1903" w:type="dxa"/>
            <w:tcBorders>
              <w:top w:val="nil"/>
              <w:left w:val="single" w:sz="8" w:space="0" w:color="auto"/>
              <w:bottom w:val="nil"/>
              <w:right w:val="single" w:sz="8" w:space="0" w:color="auto"/>
            </w:tcBorders>
            <w:shd w:val="clear" w:color="000000" w:fill="FFFFFF"/>
            <w:vAlign w:val="center"/>
            <w:hideMark/>
          </w:tcPr>
          <w:p>
            <w:pPr>
              <w:jc w:val="center"/>
              <w:rPr>
                <w:noProof/>
                <w:sz w:val="18"/>
                <w:szCs w:val="18"/>
              </w:rPr>
            </w:pPr>
            <w:r>
              <w:rPr>
                <w:noProof/>
                <w:sz w:val="18"/>
                <w:szCs w:val="18"/>
              </w:rPr>
              <w:t>(4)</w:t>
            </w:r>
          </w:p>
        </w:tc>
        <w:tc>
          <w:tcPr>
            <w:tcW w:w="1754" w:type="dxa"/>
            <w:tcBorders>
              <w:top w:val="nil"/>
              <w:left w:val="nil"/>
              <w:bottom w:val="nil"/>
              <w:right w:val="single" w:sz="8" w:space="0" w:color="auto"/>
            </w:tcBorders>
            <w:shd w:val="clear" w:color="000000" w:fill="FFFFFF"/>
            <w:vAlign w:val="center"/>
            <w:hideMark/>
          </w:tcPr>
          <w:p>
            <w:pPr>
              <w:jc w:val="center"/>
              <w:rPr>
                <w:noProof/>
                <w:sz w:val="18"/>
                <w:szCs w:val="18"/>
              </w:rPr>
            </w:pPr>
            <w:r>
              <w:rPr>
                <w:noProof/>
                <w:sz w:val="18"/>
                <w:szCs w:val="18"/>
              </w:rPr>
              <w:t>(5)</w:t>
            </w:r>
          </w:p>
        </w:tc>
        <w:tc>
          <w:tcPr>
            <w:tcW w:w="1774" w:type="dxa"/>
            <w:tcBorders>
              <w:top w:val="nil"/>
              <w:left w:val="nil"/>
              <w:bottom w:val="nil"/>
              <w:right w:val="single" w:sz="8" w:space="0" w:color="auto"/>
            </w:tcBorders>
            <w:shd w:val="clear" w:color="000000" w:fill="FFFFFF"/>
            <w:vAlign w:val="center"/>
            <w:hideMark/>
          </w:tcPr>
          <w:p>
            <w:pPr>
              <w:jc w:val="center"/>
              <w:rPr>
                <w:noProof/>
                <w:sz w:val="18"/>
                <w:szCs w:val="18"/>
              </w:rPr>
            </w:pPr>
            <w:r>
              <w:rPr>
                <w:noProof/>
                <w:sz w:val="18"/>
                <w:szCs w:val="18"/>
              </w:rPr>
              <w:t>(6) = (1 to 5)</w:t>
            </w:r>
          </w:p>
        </w:tc>
      </w:tr>
      <w:tr>
        <w:trPr>
          <w:trHeight w:val="255"/>
          <w:jc w:val="center"/>
        </w:trPr>
        <w:tc>
          <w:tcPr>
            <w:tcW w:w="1999" w:type="dxa"/>
            <w:tcBorders>
              <w:top w:val="single" w:sz="4" w:space="0" w:color="auto"/>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Belgium</w:t>
            </w:r>
          </w:p>
        </w:tc>
        <w:tc>
          <w:tcPr>
            <w:tcW w:w="1761" w:type="dxa"/>
            <w:tcBorders>
              <w:top w:val="single" w:sz="4" w:space="0" w:color="auto"/>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124 400 000</w:t>
            </w:r>
          </w:p>
        </w:tc>
        <w:tc>
          <w:tcPr>
            <w:tcW w:w="1733" w:type="dxa"/>
            <w:tcBorders>
              <w:top w:val="single" w:sz="4" w:space="0" w:color="auto"/>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single" w:sz="4" w:space="0" w:color="auto"/>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31 449 227</w:t>
            </w:r>
          </w:p>
        </w:tc>
        <w:tc>
          <w:tcPr>
            <w:tcW w:w="1903" w:type="dxa"/>
            <w:tcBorders>
              <w:top w:val="single" w:sz="4" w:space="0" w:color="auto"/>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24 836 520</w:t>
            </w:r>
          </w:p>
        </w:tc>
        <w:tc>
          <w:tcPr>
            <w:tcW w:w="1754" w:type="dxa"/>
            <w:tcBorders>
              <w:top w:val="single" w:sz="4" w:space="0" w:color="auto"/>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42 861 762</w:t>
            </w:r>
          </w:p>
        </w:tc>
        <w:tc>
          <w:tcPr>
            <w:tcW w:w="1774" w:type="dxa"/>
            <w:tcBorders>
              <w:top w:val="single" w:sz="4" w:space="0" w:color="auto"/>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223 547 509</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Bulgaria</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4 100 000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3 236 817</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2 155 842</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468 487</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9 024 172</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Czech Republic</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15 800 000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11 740 767</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9 960 823</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27 439 583</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64 941 173</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Denmark</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24 000 000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- 121 632 572</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19 731 558</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33 534 470</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- 44 366 544</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Germany</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259 600 000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-1 947 663 300</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237 521 435</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32 358 841</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372 632 398</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-1 045 550 626</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Estonia</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1 700 000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159 450</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1 542 779</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1 168 539</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814 061</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5 384 829</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Ireland</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19 600 000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14 455 684</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28 128 144</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119 690 424</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181 874 252</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Greece</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9 500 000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13 059 986</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8 731 890</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4 785 820</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36 077 696</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Spain</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89 700 000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83 058 391</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60 784 633</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53 732 777</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287 275 801</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France</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106 900 000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168 537 432</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122 451 918</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160 906 188</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558 795 538</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Croatia</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3 000 000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448 650</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3 253 705</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2 000 173</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959 119</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7 743 409</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Italy</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114 600 000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123 820 797</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72 382 320</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72 606 080</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383 409 197</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Cyprus</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1 300 000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199 050</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1 280 278</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272 113</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- 2 008 508</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644 833</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Latvia</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2 000 000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1 920 262</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1 820 746</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2 633 610</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8 374 618</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Lithuania</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5 200 000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2 791 366</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1 540 942</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- 3 233 102</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6 299 206</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Luxembourg</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1 200 000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210 300</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2 598 162</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1 672 194</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- 1 408 436</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4 272 220</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Hungary</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9 000 000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7 966 765</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6 088 534</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6 448 086</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29 503 385</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Malta</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78 900</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677 499</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422 933</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262 768</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1 716 564</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Netherlands</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151 200 000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- 418 055 850</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- 709 333 867</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6 424 142</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44 982 132</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- 924 783 443</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Austria</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13 600 000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14 730 040</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4 389 494</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88 199 399</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120 918 933</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Poland</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35 300 000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31 438 669</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20 369 355</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5 049 421</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92 157 445</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Portugal</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8 600 000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13 485 062</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10 005 133</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13 121 394</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45 211 589</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Romania</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8 700 000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12 191 397</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9 670 574</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6 434 908</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36 996 879</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Slovenia</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4 400 000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2 906 563</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2 181 980</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2 879 862</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12 368 405</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Slovak Republic</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6 100 000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5 758 900</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4 401 126</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4 696 197</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20 956 223</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Finland</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8 000 000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15 788 289</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17 048 406</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50 679 669</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91 516 364</w:t>
            </w:r>
          </w:p>
        </w:tc>
      </w:tr>
      <w:tr>
        <w:trPr>
          <w:trHeight w:val="255"/>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Sweden</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34 600 000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- 305 226 750</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- 166 340 637</w:t>
            </w:r>
          </w:p>
        </w:tc>
        <w:tc>
          <w:tcPr>
            <w:tcW w:w="190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5 874 250</w:t>
            </w:r>
          </w:p>
        </w:tc>
        <w:tc>
          <w:tcPr>
            <w:tcW w:w="175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104 613 705</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- 326 479 432</w:t>
            </w:r>
          </w:p>
        </w:tc>
      </w:tr>
      <w:tr>
        <w:trPr>
          <w:trHeight w:val="289"/>
          <w:jc w:val="center"/>
        </w:trPr>
        <w:tc>
          <w:tcPr>
            <w:tcW w:w="1999" w:type="dxa"/>
            <w:tcBorders>
              <w:top w:val="nil"/>
              <w:left w:val="single" w:sz="8" w:space="0" w:color="auto"/>
              <w:bottom w:val="single" w:sz="4" w:space="0" w:color="auto"/>
              <w:right w:val="single" w:sz="8" w:space="0" w:color="auto"/>
            </w:tcBorders>
            <w:shd w:val="clear" w:color="auto" w:fill="auto"/>
            <w:vAlign w:val="center"/>
            <w:hideMark/>
          </w:tcPr>
          <w:p>
            <w:pPr>
              <w:rPr>
                <w:noProof/>
                <w:sz w:val="18"/>
                <w:szCs w:val="18"/>
              </w:rPr>
            </w:pPr>
            <w:r>
              <w:rPr>
                <w:noProof/>
                <w:sz w:val="18"/>
                <w:szCs w:val="18"/>
              </w:rPr>
              <w:t>United Kingdom</w:t>
            </w:r>
          </w:p>
        </w:tc>
        <w:tc>
          <w:tcPr>
            <w:tcW w:w="1761"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202 900 000</w:t>
            </w:r>
          </w:p>
        </w:tc>
        <w:tc>
          <w:tcPr>
            <w:tcW w:w="1733"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w:t>
            </w:r>
          </w:p>
        </w:tc>
        <w:tc>
          <w:tcPr>
            <w:tcW w:w="2012"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xml:space="preserve"> 192 096 804</w:t>
            </w:r>
          </w:p>
        </w:tc>
        <w:tc>
          <w:tcPr>
            <w:tcW w:w="1903" w:type="dxa"/>
            <w:tcBorders>
              <w:top w:val="nil"/>
              <w:left w:val="nil"/>
              <w:bottom w:val="single" w:sz="4" w:space="0" w:color="auto"/>
              <w:right w:val="nil"/>
            </w:tcBorders>
            <w:shd w:val="clear" w:color="auto" w:fill="auto"/>
            <w:vAlign w:val="center"/>
          </w:tcPr>
          <w:p>
            <w:pPr>
              <w:jc w:val="right"/>
              <w:rPr>
                <w:noProof/>
                <w:sz w:val="18"/>
                <w:szCs w:val="18"/>
              </w:rPr>
            </w:pPr>
            <w:r>
              <w:rPr>
                <w:noProof/>
                <w:sz w:val="18"/>
                <w:szCs w:val="18"/>
              </w:rPr>
              <w:t>- 476 873 123</w:t>
            </w:r>
          </w:p>
        </w:tc>
        <w:tc>
          <w:tcPr>
            <w:tcW w:w="1754" w:type="dxa"/>
            <w:tcBorders>
              <w:top w:val="nil"/>
              <w:left w:val="single" w:sz="8" w:space="0" w:color="auto"/>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194 046 124</w:t>
            </w:r>
          </w:p>
        </w:tc>
        <w:tc>
          <w:tcPr>
            <w:tcW w:w="1774" w:type="dxa"/>
            <w:tcBorders>
              <w:top w:val="nil"/>
              <w:left w:val="nil"/>
              <w:bottom w:val="single" w:sz="4" w:space="0" w:color="auto"/>
              <w:right w:val="single" w:sz="8" w:space="0" w:color="auto"/>
            </w:tcBorders>
            <w:shd w:val="clear" w:color="auto" w:fill="auto"/>
            <w:vAlign w:val="center"/>
          </w:tcPr>
          <w:p>
            <w:pPr>
              <w:jc w:val="right"/>
              <w:rPr>
                <w:noProof/>
                <w:sz w:val="18"/>
                <w:szCs w:val="18"/>
              </w:rPr>
            </w:pPr>
            <w:r>
              <w:rPr>
                <w:noProof/>
                <w:sz w:val="18"/>
                <w:szCs w:val="18"/>
              </w:rPr>
              <w:t xml:space="preserve"> 112 169 805</w:t>
            </w:r>
          </w:p>
        </w:tc>
      </w:tr>
      <w:tr>
        <w:trPr>
          <w:trHeight w:val="270"/>
          <w:jc w:val="center"/>
        </w:trPr>
        <w:tc>
          <w:tcPr>
            <w:tcW w:w="1999" w:type="dxa"/>
            <w:tcBorders>
              <w:top w:val="nil"/>
              <w:left w:val="single" w:sz="8" w:space="0" w:color="auto"/>
              <w:bottom w:val="single" w:sz="8" w:space="0" w:color="auto"/>
              <w:right w:val="single" w:sz="8" w:space="0" w:color="auto"/>
            </w:tcBorders>
            <w:shd w:val="clear" w:color="auto" w:fill="auto"/>
            <w:vAlign w:val="center"/>
            <w:hideMark/>
          </w:tcPr>
          <w:p>
            <w:pPr>
              <w:jc w:val="center"/>
              <w:rPr>
                <w:b/>
                <w:noProof/>
                <w:sz w:val="18"/>
                <w:szCs w:val="18"/>
              </w:rPr>
            </w:pPr>
            <w:r>
              <w:rPr>
                <w:b/>
                <w:noProof/>
                <w:sz w:val="18"/>
                <w:szCs w:val="18"/>
              </w:rPr>
              <w:t xml:space="preserve">Total  </w:t>
            </w:r>
          </w:p>
        </w:tc>
        <w:tc>
          <w:tcPr>
            <w:tcW w:w="1761" w:type="dxa"/>
            <w:tcBorders>
              <w:top w:val="nil"/>
              <w:left w:val="nil"/>
              <w:bottom w:val="single" w:sz="8" w:space="0" w:color="auto"/>
              <w:right w:val="nil"/>
            </w:tcBorders>
            <w:shd w:val="clear" w:color="auto" w:fill="auto"/>
            <w:vAlign w:val="center"/>
          </w:tcPr>
          <w:p>
            <w:pPr>
              <w:jc w:val="right"/>
              <w:rPr>
                <w:b/>
                <w:noProof/>
                <w:sz w:val="18"/>
                <w:szCs w:val="18"/>
              </w:rPr>
            </w:pPr>
            <w:r>
              <w:rPr>
                <w:b/>
                <w:noProof/>
                <w:sz w:val="18"/>
                <w:szCs w:val="18"/>
              </w:rPr>
              <w:t>1 265 800 000</w:t>
            </w:r>
          </w:p>
        </w:tc>
        <w:tc>
          <w:tcPr>
            <w:tcW w:w="1733" w:type="dxa"/>
            <w:tcBorders>
              <w:top w:val="nil"/>
              <w:left w:val="single" w:sz="8" w:space="0" w:color="auto"/>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-2 670 247 650</w:t>
            </w:r>
          </w:p>
        </w:tc>
        <w:tc>
          <w:tcPr>
            <w:tcW w:w="2012" w:type="dxa"/>
            <w:tcBorders>
              <w:top w:val="nil"/>
              <w:left w:val="nil"/>
              <w:bottom w:val="single" w:sz="8" w:space="0" w:color="auto"/>
              <w:right w:val="nil"/>
            </w:tcBorders>
            <w:shd w:val="clear" w:color="auto" w:fill="auto"/>
            <w:vAlign w:val="center"/>
          </w:tcPr>
          <w:p>
            <w:pPr>
              <w:jc w:val="right"/>
              <w:rPr>
                <w:b/>
                <w:noProof/>
                <w:sz w:val="18"/>
                <w:szCs w:val="18"/>
              </w:rPr>
            </w:pPr>
            <w:r>
              <w:rPr>
                <w:b/>
                <w:noProof/>
                <w:sz w:val="18"/>
                <w:szCs w:val="18"/>
              </w:rPr>
              <w:t>0</w:t>
            </w:r>
          </w:p>
        </w:tc>
        <w:tc>
          <w:tcPr>
            <w:tcW w:w="1903" w:type="dxa"/>
            <w:tcBorders>
              <w:top w:val="nil"/>
              <w:left w:val="single" w:sz="8" w:space="0" w:color="auto"/>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0</w:t>
            </w:r>
          </w:p>
        </w:tc>
        <w:tc>
          <w:tcPr>
            <w:tcW w:w="1754" w:type="dxa"/>
            <w:tcBorders>
              <w:top w:val="nil"/>
              <w:left w:val="nil"/>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1 404 447 650</w:t>
            </w:r>
          </w:p>
        </w:tc>
        <w:tc>
          <w:tcPr>
            <w:tcW w:w="1774" w:type="dxa"/>
            <w:tcBorders>
              <w:top w:val="nil"/>
              <w:left w:val="nil"/>
              <w:bottom w:val="single" w:sz="8" w:space="0" w:color="auto"/>
              <w:right w:val="single" w:sz="8" w:space="0" w:color="auto"/>
            </w:tcBorders>
            <w:shd w:val="clear" w:color="auto" w:fill="auto"/>
            <w:vAlign w:val="center"/>
          </w:tcPr>
          <w:p>
            <w:pPr>
              <w:jc w:val="right"/>
              <w:rPr>
                <w:b/>
                <w:noProof/>
                <w:sz w:val="18"/>
                <w:szCs w:val="18"/>
              </w:rPr>
            </w:pPr>
            <w:r>
              <w:rPr>
                <w:b/>
                <w:noProof/>
                <w:sz w:val="18"/>
                <w:szCs w:val="18"/>
              </w:rPr>
              <w:t>0</w:t>
            </w:r>
          </w:p>
        </w:tc>
      </w:tr>
    </w:tbl>
    <w:p>
      <w:pPr>
        <w:spacing w:after="200"/>
        <w:jc w:val="both"/>
        <w:rPr>
          <w:rFonts w:eastAsiaTheme="minorHAnsi"/>
          <w:noProof/>
          <w:lang w:eastAsia="en-US"/>
        </w:rPr>
        <w:sectPr>
          <w:headerReference w:type="even" r:id="rId59"/>
          <w:headerReference w:type="default" r:id="rId60"/>
          <w:footerReference w:type="even" r:id="rId61"/>
          <w:footerReference w:type="default" r:id="rId62"/>
          <w:headerReference w:type="first" r:id="rId63"/>
          <w:footerReference w:type="first" r:id="rId64"/>
          <w:pgSz w:w="16839" w:h="11907" w:orient="landscape"/>
          <w:pgMar w:top="567" w:right="1021" w:bottom="709" w:left="1021" w:header="709" w:footer="291" w:gutter="0"/>
          <w:cols w:space="708"/>
          <w:docGrid w:linePitch="360"/>
        </w:sectPr>
      </w:pPr>
    </w:p>
    <w:p>
      <w:pPr>
        <w:pStyle w:val="ManualHeading1"/>
      </w:pPr>
      <w:bookmarkStart w:id="41" w:name="_Toc463466466"/>
      <w:r>
        <w:t xml:space="preserve">5. </w:t>
      </w:r>
      <w:r>
        <w:tab/>
        <w:t>Other amendments related to the implementation of ORD 2014</w:t>
      </w:r>
      <w:bookmarkEnd w:id="41"/>
    </w:p>
    <w:p>
      <w:pPr>
        <w:pStyle w:val="ManualHeading2"/>
        <w:spacing w:before="360"/>
        <w:rPr>
          <w:rFonts w:eastAsia="Calibri"/>
          <w:noProof/>
        </w:rPr>
      </w:pPr>
      <w:bookmarkStart w:id="42" w:name="_Toc463466467"/>
      <w:r>
        <w:rPr>
          <w:rFonts w:eastAsia="Calibri"/>
          <w:noProof/>
        </w:rPr>
        <w:t xml:space="preserve">5.1 </w:t>
      </w:r>
      <w:r>
        <w:rPr>
          <w:rFonts w:eastAsia="Calibri"/>
          <w:noProof/>
        </w:rPr>
        <w:tab/>
        <w:t>Adjustement of the collection costs for Traditional Own Resources for the year 2016</w:t>
      </w:r>
      <w:bookmarkEnd w:id="42"/>
    </w:p>
    <w:p>
      <w:pPr>
        <w:spacing w:after="200"/>
        <w:jc w:val="both"/>
        <w:rPr>
          <w:rFonts w:eastAsiaTheme="minorHAnsi"/>
          <w:noProof/>
          <w:lang w:eastAsia="en-US"/>
        </w:rPr>
      </w:pPr>
      <w:r>
        <w:rPr>
          <w:rFonts w:eastAsiaTheme="minorHAnsi"/>
          <w:noProof/>
          <w:lang w:eastAsia="en-US"/>
        </w:rPr>
        <w:t>For the calculation of the financing of the 2016 budget, the Traditional Own Resources (sugar levies and custom duties) correspond to the amounts as adopted at the 166</w:t>
      </w:r>
      <w:r>
        <w:rPr>
          <w:rFonts w:eastAsiaTheme="minorHAnsi"/>
          <w:noProof/>
          <w:vertAlign w:val="superscript"/>
          <w:lang w:eastAsia="en-US"/>
        </w:rPr>
        <w:t>th</w:t>
      </w:r>
      <w:r>
        <w:rPr>
          <w:rFonts w:eastAsiaTheme="minorHAnsi"/>
          <w:noProof/>
          <w:lang w:eastAsia="en-US"/>
        </w:rPr>
        <w:t xml:space="preserve"> meeting of the Advisory Committee on Own Resources on 18 May 2016, so forecasted amounts.</w:t>
      </w:r>
    </w:p>
    <w:p>
      <w:pPr>
        <w:spacing w:after="200"/>
        <w:jc w:val="both"/>
        <w:rPr>
          <w:rFonts w:eastAsiaTheme="minorHAnsi"/>
          <w:noProof/>
          <w:lang w:eastAsia="en-US"/>
        </w:rPr>
      </w:pPr>
      <w:r>
        <w:rPr>
          <w:rFonts w:eastAsiaTheme="minorHAnsi"/>
          <w:noProof/>
          <w:lang w:eastAsia="en-US"/>
        </w:rPr>
        <w:t xml:space="preserve">From 1 October 2016 onwards, the date of the entry into force of ORD 2014, Member States had to make available the Traditional Own Resources taking into account the new 20 % collection costs.  </w:t>
      </w:r>
    </w:p>
    <w:p>
      <w:pPr>
        <w:spacing w:after="200"/>
        <w:jc w:val="both"/>
        <w:rPr>
          <w:rFonts w:eastAsiaTheme="minorHAnsi"/>
          <w:noProof/>
          <w:lang w:eastAsia="en-US"/>
        </w:rPr>
      </w:pPr>
      <w:r>
        <w:rPr>
          <w:rFonts w:eastAsiaTheme="minorHAnsi"/>
          <w:noProof/>
          <w:lang w:eastAsia="en-US"/>
        </w:rPr>
        <w:t>An adjustment for the difference in the collection costs for the Traditional Own Resources made available to the Commission between 1 January 2016 and 30 September 2016 needs to be implemented. The amounts concerned are indicated in the table below and have to be made available to the Commission at the same date as the implementation of this DAB, once adopted by the European Parliament and the Council.</w:t>
      </w:r>
    </w:p>
    <w:p>
      <w:pPr>
        <w:jc w:val="center"/>
        <w:rPr>
          <w:rFonts w:eastAsiaTheme="minorHAnsi"/>
          <w:noProof/>
          <w:sz w:val="18"/>
          <w:szCs w:val="18"/>
          <w:lang w:eastAsia="en-US"/>
        </w:rPr>
      </w:pPr>
      <w:r>
        <w:rPr>
          <w:rFonts w:eastAsiaTheme="minorHAnsi"/>
          <w:noProof/>
          <w:sz w:val="18"/>
          <w:szCs w:val="18"/>
          <w:lang w:eastAsia="en-US"/>
        </w:rPr>
        <w:t>Budgetary year 2016 (in EUR)</w:t>
      </w:r>
    </w:p>
    <w:tbl>
      <w:tblPr>
        <w:tblW w:w="6191" w:type="dxa"/>
        <w:jc w:val="center"/>
        <w:tblLook w:val="04A0" w:firstRow="1" w:lastRow="0" w:firstColumn="1" w:lastColumn="0" w:noHBand="0" w:noVBand="1"/>
      </w:tblPr>
      <w:tblGrid>
        <w:gridCol w:w="1632"/>
        <w:gridCol w:w="1517"/>
        <w:gridCol w:w="1517"/>
        <w:gridCol w:w="1525"/>
      </w:tblGrid>
      <w:tr>
        <w:trPr>
          <w:trHeight w:val="264"/>
          <w:jc w:val="center"/>
        </w:trPr>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18"/>
                <w:szCs w:val="18"/>
              </w:rPr>
            </w:pPr>
            <w:r>
              <w:rPr>
                <w:noProof/>
                <w:sz w:val="18"/>
                <w:szCs w:val="18"/>
              </w:rPr>
              <w:t>Member State</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5% of sugar levies collected from January to September 2016</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5% of custom duties collected from January to September 20172016</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noProof/>
                <w:sz w:val="18"/>
                <w:szCs w:val="18"/>
              </w:rPr>
            </w:pPr>
            <w:r>
              <w:rPr>
                <w:noProof/>
                <w:sz w:val="18"/>
                <w:szCs w:val="18"/>
              </w:rPr>
              <w:t>TotalACOR May 2016 forecast amount of sugar collected at 20%</w:t>
            </w:r>
          </w:p>
        </w:tc>
      </w:tr>
      <w:tr>
        <w:trPr>
          <w:trHeight w:val="47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pPr>
              <w:rPr>
                <w:noProof/>
                <w:sz w:val="18"/>
                <w:szCs w:val="18"/>
              </w:rPr>
            </w:pPr>
          </w:p>
        </w:tc>
      </w:tr>
      <w:tr>
        <w:trPr>
          <w:trHeight w:val="264"/>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pPr>
              <w:rPr>
                <w:noProof/>
                <w:sz w:val="18"/>
                <w:szCs w:val="18"/>
              </w:rPr>
            </w:pPr>
          </w:p>
        </w:tc>
        <w:tc>
          <w:tcPr>
            <w:tcW w:w="1517"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(1)</w:t>
            </w:r>
          </w:p>
        </w:tc>
        <w:tc>
          <w:tcPr>
            <w:tcW w:w="1517"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(2)</w:t>
            </w:r>
          </w:p>
        </w:tc>
        <w:tc>
          <w:tcPr>
            <w:tcW w:w="1525" w:type="dxa"/>
            <w:tcBorders>
              <w:top w:val="nil"/>
              <w:left w:val="nil"/>
              <w:bottom w:val="nil"/>
              <w:right w:val="single" w:sz="4" w:space="0" w:color="auto"/>
            </w:tcBorders>
            <w:shd w:val="clear" w:color="auto" w:fill="auto"/>
            <w:vAlign w:val="center"/>
            <w:hideMark/>
          </w:tcPr>
          <w:p>
            <w:pPr>
              <w:jc w:val="center"/>
              <w:rPr>
                <w:noProof/>
                <w:sz w:val="18"/>
                <w:szCs w:val="18"/>
              </w:rPr>
            </w:pPr>
            <w:r>
              <w:rPr>
                <w:noProof/>
                <w:sz w:val="18"/>
                <w:szCs w:val="18"/>
              </w:rPr>
              <w:t>(3) = (1 +2)</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Belgium</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441 131</w:t>
            </w:r>
          </w:p>
        </w:tc>
        <w:tc>
          <w:tcPr>
            <w:tcW w:w="1517"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94 581 878</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95 023 009</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Bulgaria</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26 759</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3 322 613</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3 349 372</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Czech Republic</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224 832</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11 460 871</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11 685 703</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Denmark</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223 346</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14 869 698</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15 093 044</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Germany</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1 755 945</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189 585 685</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191 341 630</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Estonia</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1 299 558</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1 299 558</w:t>
            </w:r>
          </w:p>
        </w:tc>
      </w:tr>
      <w:tr>
        <w:trPr>
          <w:trHeight w:val="339"/>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Ireland</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12 545 380</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12 545 380</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Greece</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95 221</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7 172 058</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7 267 279</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Spain</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315 231</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68 627 840</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68 943 071</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France</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2 071 499</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74 905 027</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76 976 526</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Croatia</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115 825</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1 966 693</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2 082 518</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Italy</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264 180</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82 919 165</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83 183 345</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Cyprus</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1 006 923</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1 006 923</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Latvia</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1 417 852</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1 417 852</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Lithuania</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54 151</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3 591 688</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3 645 839</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Luxembourg</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915 461</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915 461</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Hungary</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137 355</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6 546 441</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6 683 796</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Malta</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565 641</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565 641</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Netherlands</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482 933</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109 938 237</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110 421 170</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Austria</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210 616</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9 597 699</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9 808 315</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Poland</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852 388</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26 730 177</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27 582 565</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Portugal</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3 750</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6 335 592</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6 339 342</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Romania</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66 733</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7 635 514</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7 702 247</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Slovenia</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3 132 579</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3 132 579</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Slovak Republic</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87 820</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4 419 228</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4 507 048</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Finland</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56 300</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5 999 712</w:t>
            </w:r>
          </w:p>
        </w:tc>
        <w:tc>
          <w:tcPr>
            <w:tcW w:w="1525" w:type="dxa"/>
            <w:tcBorders>
              <w:top w:val="single" w:sz="4" w:space="0" w:color="auto"/>
              <w:left w:val="nil"/>
              <w:bottom w:val="nil"/>
              <w:right w:val="single" w:sz="4" w:space="0" w:color="auto"/>
            </w:tcBorders>
            <w:shd w:val="clear" w:color="auto" w:fill="auto"/>
            <w:vAlign w:val="center"/>
          </w:tcPr>
          <w:p>
            <w:pPr>
              <w:jc w:val="right"/>
              <w:rPr>
                <w:noProof/>
                <w:sz w:val="18"/>
                <w:szCs w:val="18"/>
              </w:rPr>
            </w:pPr>
            <w:r>
              <w:rPr>
                <w:noProof/>
                <w:sz w:val="18"/>
                <w:szCs w:val="18"/>
              </w:rPr>
              <w:t xml:space="preserve"> 6 056 012</w:t>
            </w:r>
          </w:p>
        </w:tc>
      </w:tr>
      <w:tr>
        <w:trPr>
          <w:trHeight w:val="285"/>
          <w:jc w:val="center"/>
        </w:trPr>
        <w:tc>
          <w:tcPr>
            <w:tcW w:w="1632" w:type="dxa"/>
            <w:tcBorders>
              <w:top w:val="nil"/>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Sweden</w:t>
            </w:r>
          </w:p>
        </w:tc>
        <w:tc>
          <w:tcPr>
            <w:tcW w:w="1517" w:type="dxa"/>
            <w:tcBorders>
              <w:top w:val="nil"/>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180 100</w:t>
            </w:r>
          </w:p>
        </w:tc>
        <w:tc>
          <w:tcPr>
            <w:tcW w:w="1517" w:type="dxa"/>
            <w:tcBorders>
              <w:top w:val="nil"/>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23 721 895</w:t>
            </w:r>
          </w:p>
        </w:tc>
        <w:tc>
          <w:tcPr>
            <w:tcW w:w="152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23 901 995</w:t>
            </w:r>
          </w:p>
        </w:tc>
      </w:tr>
      <w:tr>
        <w:trPr>
          <w:trHeight w:val="285"/>
          <w:jc w:val="center"/>
        </w:trPr>
        <w:tc>
          <w:tcPr>
            <w:tcW w:w="1632" w:type="dxa"/>
            <w:tcBorders>
              <w:top w:val="single" w:sz="4" w:space="0" w:color="auto"/>
              <w:left w:val="single" w:sz="4" w:space="0" w:color="auto"/>
              <w:bottom w:val="single" w:sz="4" w:space="0" w:color="auto"/>
              <w:right w:val="nil"/>
            </w:tcBorders>
            <w:shd w:val="clear" w:color="auto" w:fill="auto"/>
            <w:vAlign w:val="center"/>
            <w:hideMark/>
          </w:tcPr>
          <w:p>
            <w:pPr>
              <w:jc w:val="both"/>
              <w:rPr>
                <w:noProof/>
                <w:sz w:val="18"/>
                <w:szCs w:val="18"/>
              </w:rPr>
            </w:pPr>
            <w:r>
              <w:rPr>
                <w:noProof/>
                <w:sz w:val="18"/>
                <w:szCs w:val="18"/>
              </w:rPr>
              <w:t>United Kingdom</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640 288</w:t>
            </w:r>
          </w:p>
        </w:tc>
        <w:tc>
          <w:tcPr>
            <w:tcW w:w="1517"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154 944 878</w:t>
            </w:r>
          </w:p>
        </w:tc>
        <w:tc>
          <w:tcPr>
            <w:tcW w:w="1525" w:type="dxa"/>
            <w:tcBorders>
              <w:top w:val="single" w:sz="4" w:space="0" w:color="auto"/>
              <w:left w:val="nil"/>
              <w:bottom w:val="single" w:sz="4" w:space="0" w:color="auto"/>
              <w:right w:val="single" w:sz="4" w:space="0" w:color="auto"/>
            </w:tcBorders>
            <w:shd w:val="clear" w:color="auto" w:fill="auto"/>
            <w:vAlign w:val="center"/>
          </w:tcPr>
          <w:p>
            <w:pPr>
              <w:jc w:val="right"/>
              <w:rPr>
                <w:noProof/>
                <w:sz w:val="18"/>
                <w:szCs w:val="18"/>
              </w:rPr>
            </w:pPr>
            <w:r>
              <w:rPr>
                <w:noProof/>
                <w:sz w:val="18"/>
                <w:szCs w:val="18"/>
              </w:rPr>
              <w:t xml:space="preserve"> 155 585 166</w:t>
            </w:r>
          </w:p>
        </w:tc>
      </w:tr>
      <w:tr>
        <w:trPr>
          <w:trHeight w:val="285"/>
          <w:jc w:val="center"/>
        </w:trPr>
        <w:tc>
          <w:tcPr>
            <w:tcW w:w="1632" w:type="dxa"/>
            <w:tcBorders>
              <w:top w:val="single" w:sz="4" w:space="0" w:color="auto"/>
              <w:left w:val="single" w:sz="4" w:space="0" w:color="auto"/>
              <w:bottom w:val="single" w:sz="4" w:space="0" w:color="auto"/>
              <w:right w:val="nil"/>
            </w:tcBorders>
            <w:shd w:val="clear" w:color="auto" w:fill="auto"/>
            <w:vAlign w:val="center"/>
            <w:hideMark/>
          </w:tcPr>
          <w:p>
            <w:pPr>
              <w:jc w:val="center"/>
              <w:rPr>
                <w:b/>
                <w:noProof/>
                <w:sz w:val="18"/>
                <w:szCs w:val="18"/>
              </w:rPr>
            </w:pPr>
            <w:r>
              <w:rPr>
                <w:b/>
                <w:noProof/>
                <w:sz w:val="18"/>
                <w:szCs w:val="18"/>
              </w:rPr>
              <w:t>Total</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xml:space="preserve"> 8 306 403</w:t>
            </w:r>
          </w:p>
        </w:tc>
        <w:tc>
          <w:tcPr>
            <w:tcW w:w="1517" w:type="dxa"/>
            <w:tcBorders>
              <w:top w:val="single" w:sz="4" w:space="0" w:color="auto"/>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xml:space="preserve"> 929 755 983</w:t>
            </w:r>
          </w:p>
        </w:tc>
        <w:tc>
          <w:tcPr>
            <w:tcW w:w="1525" w:type="dxa"/>
            <w:tcBorders>
              <w:top w:val="single" w:sz="4" w:space="0" w:color="auto"/>
              <w:left w:val="nil"/>
              <w:bottom w:val="single" w:sz="4" w:space="0" w:color="auto"/>
              <w:right w:val="single" w:sz="4" w:space="0" w:color="auto"/>
            </w:tcBorders>
            <w:shd w:val="clear" w:color="auto" w:fill="auto"/>
            <w:vAlign w:val="center"/>
          </w:tcPr>
          <w:p>
            <w:pPr>
              <w:jc w:val="right"/>
              <w:rPr>
                <w:b/>
                <w:noProof/>
                <w:sz w:val="18"/>
                <w:szCs w:val="18"/>
              </w:rPr>
            </w:pPr>
            <w:r>
              <w:rPr>
                <w:b/>
                <w:noProof/>
                <w:sz w:val="18"/>
                <w:szCs w:val="18"/>
              </w:rPr>
              <w:t xml:space="preserve"> 938 062 386</w:t>
            </w:r>
          </w:p>
        </w:tc>
      </w:tr>
    </w:tbl>
    <w:p>
      <w:pPr>
        <w:pStyle w:val="ManualHeading2"/>
        <w:spacing w:before="360"/>
        <w:rPr>
          <w:rFonts w:eastAsia="Calibri"/>
          <w:noProof/>
        </w:rPr>
      </w:pPr>
      <w:bookmarkStart w:id="43" w:name="_Toc463466468"/>
      <w:r>
        <w:rPr>
          <w:rFonts w:eastAsia="Calibri"/>
          <w:noProof/>
        </w:rPr>
        <w:t xml:space="preserve">5.2 </w:t>
      </w:r>
      <w:r>
        <w:rPr>
          <w:rFonts w:eastAsia="Calibri"/>
          <w:noProof/>
        </w:rPr>
        <w:tab/>
        <w:t>Technical amendments related to the implementation of ORD 2014</w:t>
      </w:r>
      <w:bookmarkEnd w:id="43"/>
    </w:p>
    <w:p>
      <w:pPr>
        <w:spacing w:after="200"/>
        <w:jc w:val="both"/>
        <w:rPr>
          <w:rFonts w:eastAsiaTheme="minorHAnsi"/>
          <w:noProof/>
          <w:lang w:eastAsia="en-US"/>
        </w:rPr>
      </w:pPr>
      <w:r>
        <w:rPr>
          <w:rFonts w:eastAsiaTheme="minorHAnsi"/>
          <w:noProof/>
          <w:lang w:eastAsia="en-US"/>
        </w:rPr>
        <w:t>In addition, this DAB incorporates some technical amendments related to the adoption of ORD 2014 to reflect the adjustments proposed in the 2016 budget structure.</w:t>
      </w:r>
    </w:p>
    <w:p>
      <w:pPr>
        <w:spacing w:after="200"/>
        <w:jc w:val="both"/>
        <w:rPr>
          <w:rFonts w:eastAsiaTheme="minorHAnsi"/>
          <w:noProof/>
          <w:lang w:eastAsia="en-US"/>
        </w:rPr>
      </w:pPr>
      <w:r>
        <w:rPr>
          <w:rFonts w:eastAsiaTheme="minorHAnsi"/>
          <w:noProof/>
          <w:lang w:eastAsia="en-US"/>
        </w:rPr>
        <w:t>A new Chapter in the budgetary nomenclature has to be foreseen for the adjustments relating to the implementation of ORD 2014 for the years 2014 and 2015, as Article 11 of ORD 2014 stipulates that once the Decision enters into force, it shall take effect on 1 January 2014. As budgetary years 2014 and 2015 are closed, these adjustments have to be done in the budgetary year 2016. Therefore, these adjustments are integrated in Title 3 (surpluses, balances, and adjustments) of the budget, where a new Chapter 37 is created.</w:t>
      </w:r>
    </w:p>
    <w:p>
      <w:pPr>
        <w:spacing w:after="200"/>
        <w:jc w:val="both"/>
        <w:rPr>
          <w:rFonts w:eastAsiaTheme="minorHAnsi"/>
          <w:noProof/>
          <w:lang w:eastAsia="en-US"/>
        </w:rPr>
      </w:pPr>
      <w:r>
        <w:rPr>
          <w:rFonts w:eastAsiaTheme="minorHAnsi"/>
          <w:noProof/>
          <w:lang w:eastAsia="en-US"/>
        </w:rPr>
        <w:t xml:space="preserve">As the legal bases for the own resources system are now Council Decision 2014/335/EU, Euratom of 26 May 2014 on the system of own resources of the European Union, Council Regulation (EU, Euratom) No 608/2014 of 26 May 2014 laying down implementing measures for the system of own resources of the European Union and Council Regulation (EU, Euratom) No 609/2014 of 26 May 2014 on the methods and procedure for making available the traditional, VAT and GNI-based own resources and on the measures to meet cash requirements, all legal bases in the general statement of revenue of the budget are adapted.   </w:t>
      </w:r>
    </w:p>
    <w:p>
      <w:pPr>
        <w:spacing w:after="200"/>
        <w:jc w:val="both"/>
        <w:rPr>
          <w:rFonts w:eastAsiaTheme="minorHAnsi"/>
          <w:noProof/>
          <w:lang w:eastAsia="en-US"/>
        </w:rPr>
      </w:pPr>
      <w:r>
        <w:rPr>
          <w:rFonts w:eastAsiaTheme="minorHAnsi"/>
          <w:noProof/>
          <w:lang w:eastAsia="en-US"/>
        </w:rPr>
        <w:t xml:space="preserve">Article 10b (5) of Council Regulation (EU, Euratom) No 609/2014 foresees an immediate redistribution of the overall amount of VAT and GNI own resources adjustments among Member States according to their respective shares in the GNI-based own resource. The amounts involved for each Member State is integrated in Title 3 (surpluses, balances, and adjustments) of the budget, where a new Chapter 33 is created. </w:t>
      </w:r>
    </w:p>
    <w:p>
      <w:pPr>
        <w:spacing w:after="200"/>
        <w:jc w:val="both"/>
        <w:rPr>
          <w:rFonts w:eastAsiaTheme="minorHAnsi"/>
          <w:noProof/>
          <w:lang w:eastAsia="en-US"/>
        </w:rPr>
      </w:pPr>
      <w:r>
        <w:rPr>
          <w:rFonts w:eastAsiaTheme="minorHAnsi"/>
          <w:noProof/>
          <w:lang w:eastAsia="en-US"/>
        </w:rPr>
        <w:t xml:space="preserve">Article 12 of Council Regulation (EU, Euratom) No 609/2014 introduces a modified interest rate system for amounts made available belatedly. These amounts are budgeted under Item 7000 of Chapter 70. The legal basis and the remarks for this Item are also adapted accordingly. </w:t>
      </w:r>
    </w:p>
    <w:p>
      <w:pPr>
        <w:pStyle w:val="ManualHeading1"/>
      </w:pPr>
      <w:bookmarkStart w:id="44" w:name="_Toc463466469"/>
      <w:r>
        <w:t xml:space="preserve">6. </w:t>
      </w:r>
      <w:r>
        <w:tab/>
        <w:t>Summary of the financing of the general budget</w:t>
      </w:r>
      <w:bookmarkEnd w:id="44"/>
    </w:p>
    <w:p>
      <w:pPr>
        <w:spacing w:after="200" w:line="276" w:lineRule="auto"/>
        <w:jc w:val="both"/>
        <w:rPr>
          <w:rFonts w:eastAsiaTheme="minorHAnsi"/>
          <w:noProof/>
          <w:lang w:eastAsia="en-US"/>
        </w:rPr>
      </w:pPr>
      <w:r>
        <w:rPr>
          <w:rFonts w:eastAsiaTheme="minorHAnsi"/>
          <w:noProof/>
          <w:lang w:eastAsia="en-US"/>
        </w:rPr>
        <w:t>The following summary table shows per Member State and by type of own resource the contributions according to DAB 5/2016.</w:t>
      </w:r>
    </w:p>
    <w:p>
      <w:pPr>
        <w:spacing w:after="200" w:line="276" w:lineRule="auto"/>
        <w:jc w:val="both"/>
        <w:rPr>
          <w:rFonts w:eastAsiaTheme="minorHAnsi"/>
          <w:noProof/>
          <w:lang w:eastAsia="en-US"/>
        </w:rPr>
        <w:sectPr>
          <w:headerReference w:type="even" r:id="rId65"/>
          <w:headerReference w:type="default" r:id="rId66"/>
          <w:footerReference w:type="even" r:id="rId67"/>
          <w:footerReference w:type="default" r:id="rId68"/>
          <w:headerReference w:type="first" r:id="rId69"/>
          <w:footerReference w:type="first" r:id="rId70"/>
          <w:pgSz w:w="11907" w:h="16839"/>
          <w:pgMar w:top="1021" w:right="1021" w:bottom="1021" w:left="1021" w:header="709" w:footer="709" w:gutter="0"/>
          <w:cols w:space="708"/>
          <w:docGrid w:linePitch="360"/>
        </w:sectPr>
      </w:pPr>
    </w:p>
    <w:tbl>
      <w:tblPr>
        <w:tblW w:w="16153" w:type="dxa"/>
        <w:jc w:val="center"/>
        <w:tblLayout w:type="fixed"/>
        <w:tblLook w:val="04A0" w:firstRow="1" w:lastRow="0" w:firstColumn="1" w:lastColumn="0" w:noHBand="0" w:noVBand="1"/>
      </w:tblPr>
      <w:tblGrid>
        <w:gridCol w:w="1425"/>
        <w:gridCol w:w="1133"/>
        <w:gridCol w:w="1276"/>
        <w:gridCol w:w="1276"/>
        <w:gridCol w:w="1134"/>
        <w:gridCol w:w="1262"/>
        <w:gridCol w:w="1418"/>
        <w:gridCol w:w="1175"/>
        <w:gridCol w:w="1145"/>
        <w:gridCol w:w="1483"/>
        <w:gridCol w:w="851"/>
        <w:gridCol w:w="1175"/>
        <w:gridCol w:w="1400"/>
      </w:tblGrid>
      <w:tr>
        <w:trPr>
          <w:trHeight w:val="289"/>
          <w:jc w:val="center"/>
        </w:trPr>
        <w:tc>
          <w:tcPr>
            <w:tcW w:w="1425" w:type="dxa"/>
            <w:vMerge w:val="restart"/>
            <w:tcBorders>
              <w:top w:val="single" w:sz="4" w:space="0" w:color="auto"/>
              <w:left w:val="single" w:sz="4" w:space="0" w:color="auto"/>
              <w:bottom w:val="single" w:sz="4" w:space="0" w:color="000000"/>
              <w:right w:val="nil"/>
            </w:tcBorders>
            <w:shd w:val="clear" w:color="auto" w:fill="auto"/>
            <w:vAlign w:val="center"/>
          </w:tcPr>
          <w:p>
            <w:pPr>
              <w:jc w:val="center"/>
              <w:rPr>
                <w:noProof/>
                <w:sz w:val="15"/>
                <w:szCs w:val="15"/>
              </w:rPr>
            </w:pPr>
            <w:r>
              <w:rPr>
                <w:noProof/>
                <w:sz w:val="15"/>
                <w:szCs w:val="15"/>
              </w:rPr>
              <w:t>Member State</w:t>
            </w:r>
          </w:p>
        </w:tc>
        <w:tc>
          <w:tcPr>
            <w:tcW w:w="481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pPr>
              <w:jc w:val="center"/>
              <w:rPr>
                <w:noProof/>
                <w:sz w:val="15"/>
                <w:szCs w:val="15"/>
              </w:rPr>
            </w:pPr>
            <w:r>
              <w:rPr>
                <w:noProof/>
                <w:sz w:val="15"/>
                <w:szCs w:val="15"/>
              </w:rPr>
              <w:t>Member State Traditional own resources (TOR)</w:t>
            </w:r>
          </w:p>
        </w:tc>
        <w:tc>
          <w:tcPr>
            <w:tcW w:w="7334" w:type="dxa"/>
            <w:gridSpan w:val="6"/>
            <w:tcBorders>
              <w:top w:val="single" w:sz="4" w:space="0" w:color="auto"/>
              <w:left w:val="nil"/>
              <w:bottom w:val="single" w:sz="4" w:space="0" w:color="auto"/>
              <w:right w:val="single" w:sz="4" w:space="0" w:color="000000"/>
            </w:tcBorders>
            <w:shd w:val="clear" w:color="auto" w:fill="auto"/>
            <w:noWrap/>
            <w:vAlign w:val="center"/>
            <w:hideMark/>
          </w:tcPr>
          <w:p>
            <w:pPr>
              <w:jc w:val="center"/>
              <w:rPr>
                <w:noProof/>
                <w:sz w:val="15"/>
                <w:szCs w:val="15"/>
              </w:rPr>
            </w:pPr>
            <w:r>
              <w:rPr>
                <w:noProof/>
                <w:sz w:val="15"/>
                <w:szCs w:val="15"/>
              </w:rPr>
              <w:t>VAT- and GNI-based own resources</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pPr>
              <w:jc w:val="center"/>
              <w:rPr>
                <w:noProof/>
                <w:sz w:val="15"/>
                <w:szCs w:val="15"/>
              </w:rPr>
            </w:pPr>
            <w:r>
              <w:rPr>
                <w:noProof/>
                <w:sz w:val="15"/>
                <w:szCs w:val="15"/>
              </w:rPr>
              <w:t>ORD 2014</w:t>
            </w:r>
          </w:p>
        </w:tc>
        <w:tc>
          <w:tcPr>
            <w:tcW w:w="1400" w:type="dxa"/>
            <w:vMerge w:val="restart"/>
            <w:tcBorders>
              <w:top w:val="single" w:sz="4" w:space="0" w:color="auto"/>
              <w:left w:val="single" w:sz="4" w:space="0" w:color="auto"/>
              <w:right w:val="single" w:sz="4" w:space="0" w:color="auto"/>
            </w:tcBorders>
            <w:shd w:val="clear" w:color="auto" w:fill="auto"/>
            <w:vAlign w:val="center"/>
            <w:hideMark/>
          </w:tcPr>
          <w:p>
            <w:pPr>
              <w:jc w:val="center"/>
              <w:rPr>
                <w:noProof/>
                <w:sz w:val="15"/>
                <w:szCs w:val="15"/>
              </w:rPr>
            </w:pPr>
            <w:r>
              <w:rPr>
                <w:noProof/>
                <w:sz w:val="15"/>
                <w:szCs w:val="15"/>
              </w:rPr>
              <w:t>Total own resources</w:t>
            </w:r>
          </w:p>
        </w:tc>
      </w:tr>
      <w:tr>
        <w:trPr>
          <w:trHeight w:val="731"/>
          <w:jc w:val="center"/>
        </w:trPr>
        <w:tc>
          <w:tcPr>
            <w:tcW w:w="1425" w:type="dxa"/>
            <w:vMerge/>
            <w:tcBorders>
              <w:top w:val="single" w:sz="4" w:space="0" w:color="auto"/>
              <w:left w:val="single" w:sz="4" w:space="0" w:color="auto"/>
              <w:bottom w:val="single" w:sz="4" w:space="0" w:color="auto"/>
              <w:right w:val="nil"/>
            </w:tcBorders>
            <w:vAlign w:val="center"/>
          </w:tcPr>
          <w:p>
            <w:pPr>
              <w:rPr>
                <w:noProof/>
                <w:sz w:val="15"/>
                <w:szCs w:val="15"/>
              </w:rPr>
            </w:pPr>
          </w:p>
        </w:tc>
        <w:tc>
          <w:tcPr>
            <w:tcW w:w="1133" w:type="dxa"/>
            <w:tcBorders>
              <w:top w:val="nil"/>
              <w:left w:val="single" w:sz="4" w:space="0" w:color="auto"/>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Net sugar sector levies (80 %)</w:t>
            </w:r>
          </w:p>
        </w:tc>
        <w:tc>
          <w:tcPr>
            <w:tcW w:w="1276"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Net customs duties (80 %)</w:t>
            </w:r>
          </w:p>
        </w:tc>
        <w:tc>
          <w:tcPr>
            <w:tcW w:w="1276"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Total net traditional own resources (80 %)</w:t>
            </w:r>
          </w:p>
        </w:tc>
        <w:tc>
          <w:tcPr>
            <w:tcW w:w="1134"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p.m.   Collection costs (20% of gross TOR)</w:t>
            </w:r>
          </w:p>
        </w:tc>
        <w:tc>
          <w:tcPr>
            <w:tcW w:w="1262"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 xml:space="preserve">VAT-based own resources </w:t>
            </w:r>
          </w:p>
        </w:tc>
        <w:tc>
          <w:tcPr>
            <w:tcW w:w="1418"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 xml:space="preserve">GNI-based own resources </w:t>
            </w:r>
          </w:p>
        </w:tc>
        <w:tc>
          <w:tcPr>
            <w:tcW w:w="1175"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Reduction in favour of: Denmark, Netherlands, Austria and Sweden</w:t>
            </w:r>
          </w:p>
        </w:tc>
        <w:tc>
          <w:tcPr>
            <w:tcW w:w="1145" w:type="dxa"/>
            <w:tcBorders>
              <w:top w:val="nil"/>
              <w:left w:val="nil"/>
              <w:bottom w:val="single" w:sz="4" w:space="0" w:color="auto"/>
              <w:right w:val="single" w:sz="4" w:space="0" w:color="auto"/>
            </w:tcBorders>
            <w:shd w:val="clear" w:color="auto" w:fill="auto"/>
            <w:vAlign w:val="center"/>
          </w:tcPr>
          <w:p>
            <w:pPr>
              <w:jc w:val="center"/>
              <w:rPr>
                <w:noProof/>
                <w:sz w:val="15"/>
                <w:szCs w:val="15"/>
              </w:rPr>
            </w:pPr>
            <w:r>
              <w:rPr>
                <w:noProof/>
                <w:sz w:val="15"/>
                <w:szCs w:val="15"/>
              </w:rPr>
              <w:t>United Kingdom correction</w:t>
            </w:r>
          </w:p>
        </w:tc>
        <w:tc>
          <w:tcPr>
            <w:tcW w:w="1483"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Total 'national contributions'</w:t>
            </w:r>
          </w:p>
        </w:tc>
        <w:tc>
          <w:tcPr>
            <w:tcW w:w="851"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Share in total 'national contributions' (%)</w:t>
            </w:r>
          </w:p>
        </w:tc>
        <w:tc>
          <w:tcPr>
            <w:tcW w:w="1175"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Adjustment relating to years 2014 and 2015 (retroactivity)</w:t>
            </w:r>
          </w:p>
        </w:tc>
        <w:tc>
          <w:tcPr>
            <w:tcW w:w="1400" w:type="dxa"/>
            <w:vMerge/>
            <w:tcBorders>
              <w:left w:val="single" w:sz="4" w:space="0" w:color="auto"/>
              <w:bottom w:val="single" w:sz="4" w:space="0" w:color="000000"/>
              <w:right w:val="single" w:sz="4" w:space="0" w:color="auto"/>
            </w:tcBorders>
            <w:vAlign w:val="center"/>
            <w:hideMark/>
          </w:tcPr>
          <w:p>
            <w:pPr>
              <w:rPr>
                <w:noProof/>
                <w:sz w:val="15"/>
                <w:szCs w:val="15"/>
              </w:rPr>
            </w:pPr>
          </w:p>
        </w:tc>
      </w:tr>
      <w:tr>
        <w:trPr>
          <w:trHeight w:val="301"/>
          <w:jc w:val="center"/>
        </w:trPr>
        <w:tc>
          <w:tcPr>
            <w:tcW w:w="1425" w:type="dxa"/>
            <w:tcBorders>
              <w:top w:val="single" w:sz="4" w:space="0" w:color="auto"/>
              <w:left w:val="single" w:sz="4" w:space="0" w:color="auto"/>
              <w:bottom w:val="nil"/>
              <w:right w:val="nil"/>
            </w:tcBorders>
            <w:shd w:val="clear" w:color="auto" w:fill="auto"/>
            <w:vAlign w:val="bottom"/>
            <w:hideMark/>
          </w:tcPr>
          <w:p>
            <w:pPr>
              <w:jc w:val="center"/>
              <w:rPr>
                <w:noProof/>
                <w:sz w:val="15"/>
                <w:szCs w:val="15"/>
              </w:rPr>
            </w:pPr>
            <w:r>
              <w:rPr>
                <w:noProof/>
                <w:sz w:val="15"/>
                <w:szCs w:val="15"/>
              </w:rPr>
              <w:t> </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(1)</w:t>
            </w:r>
          </w:p>
        </w:tc>
        <w:tc>
          <w:tcPr>
            <w:tcW w:w="1276" w:type="dxa"/>
            <w:tcBorders>
              <w:top w:val="nil"/>
              <w:left w:val="nil"/>
              <w:bottom w:val="single" w:sz="4" w:space="0" w:color="auto"/>
              <w:right w:val="nil"/>
            </w:tcBorders>
            <w:shd w:val="clear" w:color="auto" w:fill="auto"/>
            <w:vAlign w:val="center"/>
            <w:hideMark/>
          </w:tcPr>
          <w:p>
            <w:pPr>
              <w:jc w:val="center"/>
              <w:rPr>
                <w:noProof/>
                <w:sz w:val="15"/>
                <w:szCs w:val="15"/>
              </w:rPr>
            </w:pPr>
            <w:r>
              <w:rPr>
                <w:noProof/>
                <w:sz w:val="15"/>
                <w:szCs w:val="15"/>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(3)=(1)+(2)</w:t>
            </w:r>
          </w:p>
        </w:tc>
        <w:tc>
          <w:tcPr>
            <w:tcW w:w="1134"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(4)</w:t>
            </w:r>
          </w:p>
        </w:tc>
        <w:tc>
          <w:tcPr>
            <w:tcW w:w="1262"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(5)</w:t>
            </w:r>
          </w:p>
        </w:tc>
        <w:tc>
          <w:tcPr>
            <w:tcW w:w="1418"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(6)</w:t>
            </w:r>
          </w:p>
        </w:tc>
        <w:tc>
          <w:tcPr>
            <w:tcW w:w="1175"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(7)</w:t>
            </w:r>
          </w:p>
        </w:tc>
        <w:tc>
          <w:tcPr>
            <w:tcW w:w="1145"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(8)</w:t>
            </w:r>
          </w:p>
        </w:tc>
        <w:tc>
          <w:tcPr>
            <w:tcW w:w="1483"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(9)=(5)+(6)+(7)+(8)</w:t>
            </w:r>
          </w:p>
        </w:tc>
        <w:tc>
          <w:tcPr>
            <w:tcW w:w="851"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(10)</w:t>
            </w:r>
          </w:p>
        </w:tc>
        <w:tc>
          <w:tcPr>
            <w:tcW w:w="1175"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(11)</w:t>
            </w:r>
          </w:p>
        </w:tc>
        <w:tc>
          <w:tcPr>
            <w:tcW w:w="1400" w:type="dxa"/>
            <w:tcBorders>
              <w:top w:val="nil"/>
              <w:left w:val="nil"/>
              <w:bottom w:val="single" w:sz="4" w:space="0" w:color="auto"/>
              <w:right w:val="single" w:sz="4" w:space="0" w:color="auto"/>
            </w:tcBorders>
            <w:shd w:val="clear" w:color="auto" w:fill="auto"/>
            <w:vAlign w:val="center"/>
            <w:hideMark/>
          </w:tcPr>
          <w:p>
            <w:pPr>
              <w:jc w:val="center"/>
              <w:rPr>
                <w:noProof/>
                <w:sz w:val="15"/>
                <w:szCs w:val="15"/>
              </w:rPr>
            </w:pPr>
            <w:r>
              <w:rPr>
                <w:noProof/>
                <w:sz w:val="15"/>
                <w:szCs w:val="15"/>
              </w:rPr>
              <w:t>(12)=(3)+(9)+(11)</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Belgium</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7 000 000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1 984 800 000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1 991 800 000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497 950 000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516 597 300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2 732 889 706</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31 449 227</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325 825 721</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3 606 761 954</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3,18%</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380 157 383</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5 978 719 337</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Bulgaria</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65 100 000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65 500 000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16 375 000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62 357 400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281 274 435</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3 236 817</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34 517 771</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381 386 423</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0,34%</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12 976 885</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459 863 308</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Czech Republic</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3 600 000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250 600 000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254 200 000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63 550 000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204 113 400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1 020 254 708</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11 740 767</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121 919 692</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1 358 028 567</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1,20%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120 908 594</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1 733 137 161</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Denmark</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3 600 000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381 200 000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384 800 000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96 200 000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306 711 900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1 808 094 972</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- 121 632 572</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213 700 327</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2 206 874 627</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1,95%</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- 147 742 832</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2 443 931 795</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Germany</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28 100 000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4 124 900 000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4 153 000 000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1 038 250 000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1 947 663 300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20 640 248 993</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237 521 435</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416 398 922</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23 241 832 650</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20,50%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-1 996 696 973</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25 398 135 677</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Estonia</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27 800 000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27 800 000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6 950 000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30 842 400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134 065 144</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1 542 779</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16 176 950</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182 627 273</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0,16%</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7 533 435</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217 960 708</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Ireland</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314 600 000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314 600 000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78 650 000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242 726 400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1 256 176 838</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14 455 684</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157 180 905</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1 670 539 827</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1,47%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170 564 976</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2 155 704 803</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Greece</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1 500 000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151 000 000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152 500 000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38 125 000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227 779 200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1 134 892 822</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13 059 986</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131 628 147</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1 507 360 155</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1,33%</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60 999 683</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1 720 859 838</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Spain</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5 000 000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1 429 900 000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1 434 900 000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358 725 000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1 416 915 600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7 217 646 966</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83 058 391</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834 980 473</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9 552 601 430</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8,42%</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444 555 900</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11 432 057 330</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France</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33 000 000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1 676 800 000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1 709 800 000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427 450 000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2 913 773 100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14 645 644 780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168 537 432</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1 725 329 800</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19 453 285 112</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17,15%</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1 063 986 397</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22 227 071 509</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Croatia</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1 900 000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44 000 000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45 900 000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11 475 000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65 774 850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282 741 989</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3 253 705</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34 206 540</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385 977 084</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0,34%</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13 236 646</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445 113 730</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Italy</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5 000 000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1 829 400 000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1 834 400 000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458 600 000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1 826 488 800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10 759 837 650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123 820 797</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1 261 862 349</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13 972 009 596</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12,32%</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887 769 484</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16 694 179 080</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Cyprus</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19 600 000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19 600 000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4 900 000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25 881 300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111 254 229</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1 280 278</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13 322 567</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151 738 374</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0,13%</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9 862 666</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181 201 040</w:t>
            </w:r>
          </w:p>
        </w:tc>
      </w:tr>
      <w:tr>
        <w:trPr>
          <w:trHeight w:val="335"/>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Latvia</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32 400 000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32 400 000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8 100 000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29 487 300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166 867 803</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1 920 262</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19 479 867</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217 755 232</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0,19%</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6 740 740</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256 895 972</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Lithuania</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900 000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80 300 000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81 200 000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20 300 000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45 314 700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242 565 453</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2 791 366</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28 180 435</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318 851 954</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0,28%</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12 047 755</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412 099 709</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Luxembourg</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18 300 000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18 300 000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4 575 000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52 522 800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225 776 280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2 598 162</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30 135 962</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311 033 204</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0,27%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4 601 725</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333 934 929</w:t>
            </w:r>
          </w:p>
        </w:tc>
      </w:tr>
      <w:tr>
        <w:trPr>
          <w:trHeight w:val="335"/>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Hungary</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2 200 000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141 600 000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143 800 000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35 950 000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130 172 400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692 299 690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7 966 765</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82 195 814</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912 634 669</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0,80%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45 076 397</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1 101 511 066</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Malta</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12 600 000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12 600 000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3 150 000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13 695 900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58 873 658</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677 499</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7 217 072</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80 464 129</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0,07%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2 539 423</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95 603 552</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Netherlands</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7 700 000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2 411 000 000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2 418 700 000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604 675 000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418 055 850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4 533 485 067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- 709 333 867</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94 272 544</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4 336 479 594</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3,82%</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-1 798 837 531</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4 956 342 063</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Austria</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3 400 000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214 500 000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217 900 000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54 475 000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467 034 600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2 232 154 759</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14 730 040</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45 218 785</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2 759 138 184</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2,43%</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180 218 679</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3 157 256 863</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Poland</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13 700 000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550 400 000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564 100 000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141 025 000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549 946 800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2 731 972 163</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31 438 669</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327 319 847</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3 640 677 479</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3,21%</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155 777 950</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4 360 555 429</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Portugal</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136 800 000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137 000 000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34 250 000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261 332 700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1 171 831 196</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13 485 062</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138 970 413</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1 585 619 371</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1,40%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77 069 484</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1 799 688 855</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Romania</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1 000 000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137 500 000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138 500 000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34 625 000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165 256 500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1 059 413 757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12 191 397</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127 273 898</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1 364 135 552</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1,20%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32 865 560</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1 535 501 112</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Slovenia</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69 500 000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69 500 000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17 375 000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53 565 000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252 575 897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2 906 563</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30 089 939</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339 137 399</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0,30%</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22 119 731</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430 757 130</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Slovak Republic</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1 400 000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96 900 000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98 300 000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24 575 000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79 902 900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500 439 631</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5 758 900</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59 540 306</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645 641 737</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0,57%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33 257 802</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777 199 539</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Finland</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126 300 000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127 100 000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31 775 000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274 607 100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1 371 978 162</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15 788 289</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164 119 472</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1 826 493 023</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1,61%</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132 868 521</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2 086 461 544</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Sweden</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2 800 000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549 400 000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552 200 000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138 050 000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305 226 750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3 159 785 302</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- 166 340 637</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63 935 050</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3 362 606 465</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2,97%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- 635 351 204</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3 279 455 261</w:t>
            </w:r>
          </w:p>
        </w:tc>
      </w:tr>
      <w:tr>
        <w:trPr>
          <w:trHeight w:val="261"/>
          <w:jc w:val="center"/>
        </w:trPr>
        <w:tc>
          <w:tcPr>
            <w:tcW w:w="1425" w:type="dxa"/>
            <w:tcBorders>
              <w:top w:val="nil"/>
              <w:left w:val="single" w:sz="4" w:space="0" w:color="auto"/>
              <w:bottom w:val="nil"/>
              <w:right w:val="nil"/>
            </w:tcBorders>
            <w:shd w:val="clear" w:color="auto" w:fill="auto"/>
            <w:noWrap/>
            <w:vAlign w:val="center"/>
            <w:hideMark/>
          </w:tcPr>
          <w:p>
            <w:pPr>
              <w:rPr>
                <w:noProof/>
                <w:sz w:val="15"/>
                <w:szCs w:val="15"/>
              </w:rPr>
            </w:pPr>
            <w:r>
              <w:rPr>
                <w:noProof/>
                <w:sz w:val="15"/>
                <w:szCs w:val="15"/>
              </w:rPr>
              <w:t>United Kingdom</w:t>
            </w:r>
          </w:p>
        </w:tc>
        <w:tc>
          <w:tcPr>
            <w:tcW w:w="1133" w:type="dxa"/>
            <w:tcBorders>
              <w:top w:val="nil"/>
              <w:left w:val="single" w:sz="4" w:space="0" w:color="auto"/>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10 100 000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3 237 400 000</w:t>
            </w:r>
          </w:p>
        </w:tc>
        <w:tc>
          <w:tcPr>
            <w:tcW w:w="1276"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3 247 500 000</w:t>
            </w:r>
          </w:p>
        </w:tc>
        <w:tc>
          <w:tcPr>
            <w:tcW w:w="1134"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811 875 000</w:t>
            </w:r>
          </w:p>
        </w:tc>
        <w:tc>
          <w:tcPr>
            <w:tcW w:w="1262"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3 645 570 900</w:t>
            </w:r>
          </w:p>
        </w:tc>
        <w:tc>
          <w:tcPr>
            <w:tcW w:w="1418"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16 692 918 097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192 096 804</w:t>
            </w:r>
          </w:p>
        </w:tc>
        <w:tc>
          <w:tcPr>
            <w:tcW w:w="114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-6 504 999 568</w:t>
            </w:r>
          </w:p>
        </w:tc>
        <w:tc>
          <w:tcPr>
            <w:tcW w:w="1483"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14 025 586 233</w:t>
            </w:r>
          </w:p>
        </w:tc>
        <w:tc>
          <w:tcPr>
            <w:tcW w:w="851"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12,37%</w:t>
            </w:r>
          </w:p>
        </w:tc>
        <w:tc>
          <w:tcPr>
            <w:tcW w:w="1175"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 xml:space="preserve"> 700 892 724</w:t>
            </w:r>
          </w:p>
        </w:tc>
        <w:tc>
          <w:tcPr>
            <w:tcW w:w="1400" w:type="dxa"/>
            <w:tcBorders>
              <w:top w:val="nil"/>
              <w:left w:val="nil"/>
              <w:bottom w:val="nil"/>
              <w:right w:val="single" w:sz="4" w:space="0" w:color="auto"/>
            </w:tcBorders>
            <w:shd w:val="clear" w:color="auto" w:fill="auto"/>
            <w:noWrap/>
            <w:vAlign w:val="center"/>
            <w:hideMark/>
          </w:tcPr>
          <w:p>
            <w:pPr>
              <w:jc w:val="right"/>
              <w:rPr>
                <w:noProof/>
                <w:sz w:val="15"/>
                <w:szCs w:val="15"/>
              </w:rPr>
            </w:pPr>
            <w:r>
              <w:rPr>
                <w:noProof/>
                <w:sz w:val="15"/>
                <w:szCs w:val="15"/>
              </w:rPr>
              <w:t>17 973 978 957</w:t>
            </w:r>
          </w:p>
        </w:tc>
      </w:tr>
      <w:tr>
        <w:trPr>
          <w:trHeight w:val="347"/>
          <w:jc w:val="center"/>
        </w:trPr>
        <w:tc>
          <w:tcPr>
            <w:tcW w:w="1425" w:type="dxa"/>
            <w:tcBorders>
              <w:top w:val="nil"/>
              <w:left w:val="single" w:sz="4" w:space="0" w:color="auto"/>
              <w:bottom w:val="single" w:sz="4" w:space="0" w:color="auto"/>
              <w:right w:val="nil"/>
            </w:tcBorders>
            <w:shd w:val="clear" w:color="auto" w:fill="auto"/>
            <w:noWrap/>
            <w:vAlign w:val="center"/>
            <w:hideMark/>
          </w:tcPr>
          <w:p>
            <w:pPr>
              <w:jc w:val="right"/>
              <w:rPr>
                <w:b/>
                <w:noProof/>
                <w:sz w:val="15"/>
                <w:szCs w:val="15"/>
              </w:rPr>
            </w:pPr>
            <w:r>
              <w:rPr>
                <w:b/>
                <w:noProof/>
                <w:sz w:val="15"/>
                <w:szCs w:val="15"/>
              </w:rPr>
              <w:t xml:space="preserve">Total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 xml:space="preserve"> 133 300 000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20 114 600 000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20 247 900 000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5 061 975 000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16 279 317 150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97 117 960 147</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0</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113 397 277 297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100,00%</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noProof/>
                <w:sz w:val="15"/>
                <w:szCs w:val="15"/>
              </w:rPr>
            </w:pPr>
            <w:r>
              <w:rPr>
                <w:b/>
                <w:noProof/>
                <w:sz w:val="15"/>
                <w:szCs w:val="15"/>
              </w:rPr>
              <w:t>133 645 177 297</w:t>
            </w:r>
          </w:p>
        </w:tc>
      </w:tr>
    </w:tbl>
    <w:p>
      <w:pPr>
        <w:spacing w:after="200"/>
        <w:jc w:val="both"/>
        <w:rPr>
          <w:rFonts w:eastAsiaTheme="minorHAnsi"/>
          <w:noProof/>
          <w:lang w:eastAsia="en-US"/>
        </w:rPr>
      </w:pPr>
    </w:p>
    <w:sectPr>
      <w:headerReference w:type="even" r:id="rId71"/>
      <w:headerReference w:type="default" r:id="rId72"/>
      <w:footerReference w:type="even" r:id="rId73"/>
      <w:footerReference w:type="default" r:id="rId74"/>
      <w:headerReference w:type="first" r:id="rId75"/>
      <w:footerReference w:type="first" r:id="rId76"/>
      <w:pgSz w:w="16839" w:h="11907"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jc w:val="center"/>
      <w:rPr>
        <w:rFonts w:ascii="Arial" w:hAnsi="Arial" w:cs="Arial"/>
        <w:b/>
        <w:sz w:val="48"/>
      </w:rPr>
    </w:pPr>
    <w:r>
      <w:fldChar w:fldCharType="begin"/>
    </w:r>
    <w:r>
      <w:instrText xml:space="preserve"> PAGE  \* MERGEFORMAT </w:instrText>
    </w:r>
    <w:r>
      <w:fldChar w:fldCharType="separate"/>
    </w:r>
    <w:r>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7371"/>
        <w:tab w:val="right" w:pos="14742"/>
      </w:tabs>
      <w:spacing w:before="0"/>
      <w:ind w:left="-851" w:right="-851"/>
      <w:jc w:val="center"/>
      <w:rPr>
        <w:rFonts w:ascii="Arial" w:hAnsi="Arial" w:cs="Arial"/>
        <w:b/>
        <w:sz w:val="48"/>
      </w:rPr>
    </w:pPr>
    <w:r>
      <w:fldChar w:fldCharType="begin"/>
    </w:r>
    <w:r>
      <w:instrText xml:space="preserve"> PAGE  \* MERGEFORMAT </w:instrText>
    </w:r>
    <w:r>
      <w:fldChar w:fldCharType="separate"/>
    </w:r>
    <w:r>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jc w:val="center"/>
      <w:rPr>
        <w:rFonts w:ascii="Arial" w:hAnsi="Arial" w:cs="Arial"/>
        <w:b/>
        <w:sz w:val="48"/>
      </w:rPr>
    </w:pPr>
    <w:r>
      <w:fldChar w:fldCharType="begin"/>
    </w:r>
    <w:r>
      <w:instrText xml:space="preserve"> PAGE  \* MERGEFORMAT </w:instrText>
    </w:r>
    <w:r>
      <w:fldChar w:fldCharType="separate"/>
    </w:r>
    <w:r>
      <w:rPr>
        <w:noProof/>
      </w:rPr>
      <w:t>19</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7371"/>
        <w:tab w:val="right" w:pos="14742"/>
      </w:tabs>
      <w:spacing w:before="0"/>
      <w:ind w:left="-851" w:right="-851"/>
      <w:jc w:val="center"/>
      <w:rPr>
        <w:rFonts w:ascii="Arial" w:hAnsi="Arial" w:cs="Arial"/>
        <w:b/>
        <w:sz w:val="48"/>
      </w:rPr>
    </w:pPr>
    <w:r>
      <w:fldChar w:fldCharType="begin"/>
    </w:r>
    <w:r>
      <w:instrText xml:space="preserve"> PAGE  \* MERGEFORMAT </w:instrText>
    </w:r>
    <w:r>
      <w:fldChar w:fldCharType="separate"/>
    </w:r>
    <w:r>
      <w:rPr>
        <w:noProof/>
      </w:rPr>
      <w:t>20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jc w:val="center"/>
      <w:rPr>
        <w:rFonts w:ascii="Arial" w:hAnsi="Arial" w:cs="Arial"/>
        <w:b/>
        <w:sz w:val="48"/>
      </w:rPr>
    </w:pPr>
    <w:r>
      <w:fldChar w:fldCharType="begin"/>
    </w:r>
    <w:r>
      <w:instrText xml:space="preserve"> PAGE  \* MERGEFORMAT </w:instrText>
    </w:r>
    <w:r>
      <w:fldChar w:fldCharType="separate"/>
    </w:r>
    <w:r>
      <w:rPr>
        <w:noProof/>
      </w:rPr>
      <w:t>28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7371"/>
        <w:tab w:val="right" w:pos="14742"/>
      </w:tabs>
      <w:spacing w:before="0"/>
      <w:ind w:left="-851" w:right="-851"/>
      <w:jc w:val="center"/>
      <w:rPr>
        <w:rFonts w:ascii="Arial" w:hAnsi="Arial" w:cs="Arial"/>
        <w:b/>
        <w:sz w:val="48"/>
      </w:rPr>
    </w:pPr>
    <w:r>
      <w:fldChar w:fldCharType="begin"/>
    </w:r>
    <w:r>
      <w:instrText xml:space="preserve"> PAGE  \* MERGEFORMAT </w:instrText>
    </w:r>
    <w:r>
      <w:fldChar w:fldCharType="separate"/>
    </w:r>
    <w:r>
      <w:rPr>
        <w:noProof/>
      </w:rPr>
      <w:t>29</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jc w:val="center"/>
      <w:rPr>
        <w:rFonts w:ascii="Arial" w:hAnsi="Arial" w:cs="Arial"/>
        <w:b/>
        <w:sz w:val="48"/>
      </w:rPr>
    </w:pPr>
    <w:r>
      <w:fldChar w:fldCharType="begin"/>
    </w:r>
    <w:r>
      <w:instrText xml:space="preserve"> PAGE  \* MERGEFORMAT </w:instrText>
    </w:r>
    <w:r>
      <w:fldChar w:fldCharType="separate"/>
    </w:r>
    <w:r>
      <w:rPr>
        <w:noProof/>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clear" w:pos="9921"/>
        <w:tab w:val="center" w:pos="7371"/>
        <w:tab w:val="right" w:pos="14742"/>
      </w:tabs>
      <w:spacing w:before="0"/>
      <w:ind w:left="-851" w:right="-851"/>
      <w:jc w:val="center"/>
      <w:rPr>
        <w:rFonts w:ascii="Arial" w:hAnsi="Arial" w:cs="Arial"/>
        <w:b/>
        <w:sz w:val="48"/>
      </w:rPr>
    </w:pPr>
    <w:r>
      <w:fldChar w:fldCharType="begin"/>
    </w:r>
    <w:r>
      <w:instrText xml:space="preserve"> PAGE  \* MERGEFORMAT </w:instrText>
    </w:r>
    <w:r>
      <w:fldChar w:fldCharType="separate"/>
    </w:r>
    <w:r>
      <w:rPr>
        <w:noProof/>
      </w:rPr>
      <w:t>32</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jc w:val="center"/>
      <w:rPr>
        <w:rFonts w:ascii="Arial" w:hAnsi="Arial" w:cs="Arial"/>
        <w:b/>
        <w:sz w:val="48"/>
      </w:rPr>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rPr>
          <w:sz w:val="19"/>
          <w:szCs w:val="19"/>
          <w:lang w:val="pl-PL"/>
        </w:rPr>
        <w:tab/>
      </w:r>
      <w:r>
        <w:rPr>
          <w:sz w:val="18"/>
          <w:szCs w:val="18"/>
          <w:lang w:val="pl-PL"/>
        </w:rPr>
        <w:t>OJ L 298, 26.10.2012, p. 1.</w:t>
      </w:r>
    </w:p>
  </w:footnote>
  <w:footnote w:id="3">
    <w:p>
      <w:pPr>
        <w:pStyle w:val="FootnoteText"/>
        <w:rPr>
          <w:lang w:val="pl-PL"/>
        </w:rPr>
      </w:pPr>
      <w:r>
        <w:rPr>
          <w:rStyle w:val="FootnoteReference"/>
        </w:rPr>
        <w:footnoteRef/>
      </w:r>
      <w:r>
        <w:rPr>
          <w:lang w:val="pl-PL"/>
        </w:rPr>
        <w:tab/>
      </w:r>
      <w:r>
        <w:rPr>
          <w:sz w:val="18"/>
          <w:szCs w:val="18"/>
          <w:lang w:val="pl-PL"/>
        </w:rPr>
        <w:t>OJ L 48, 24.2.2016, p. 1.</w:t>
      </w:r>
    </w:p>
  </w:footnote>
  <w:footnote w:id="4">
    <w:p>
      <w:pPr>
        <w:pStyle w:val="FootnoteText"/>
        <w:rPr>
          <w:sz w:val="18"/>
          <w:szCs w:val="18"/>
          <w:lang w:val="pl-PL"/>
        </w:rPr>
      </w:pPr>
      <w:r>
        <w:rPr>
          <w:rStyle w:val="FootnoteReference"/>
        </w:rPr>
        <w:footnoteRef/>
      </w:r>
      <w:r>
        <w:rPr>
          <w:lang w:val="pl-PL"/>
        </w:rPr>
        <w:t xml:space="preserve"> </w:t>
      </w:r>
      <w:r>
        <w:rPr>
          <w:lang w:val="pl-PL"/>
        </w:rPr>
        <w:tab/>
      </w:r>
      <w:r>
        <w:rPr>
          <w:sz w:val="18"/>
          <w:szCs w:val="18"/>
          <w:lang w:val="pl-PL"/>
        </w:rPr>
        <w:t>OJ L 143, 31.5.2016, p. 1.</w:t>
      </w:r>
    </w:p>
  </w:footnote>
  <w:footnote w:id="5">
    <w:p>
      <w:pPr>
        <w:pStyle w:val="FootnoteText"/>
        <w:rPr>
          <w:sz w:val="18"/>
          <w:szCs w:val="18"/>
          <w:lang w:val="pt-PT"/>
        </w:rPr>
      </w:pPr>
      <w:r>
        <w:rPr>
          <w:rStyle w:val="FootnoteReference"/>
        </w:rPr>
        <w:footnoteRef/>
      </w:r>
      <w:r>
        <w:rPr>
          <w:lang w:val="pt-PT"/>
        </w:rPr>
        <w:t xml:space="preserve"> </w:t>
      </w:r>
      <w:r>
        <w:rPr>
          <w:lang w:val="pt-PT"/>
        </w:rPr>
        <w:tab/>
      </w:r>
      <w:r>
        <w:rPr>
          <w:sz w:val="18"/>
          <w:szCs w:val="18"/>
          <w:lang w:val="pt-PT"/>
        </w:rPr>
        <w:t>OJ L 248, 15.9.2016, p. 1.</w:t>
      </w:r>
    </w:p>
  </w:footnote>
  <w:footnote w:id="6">
    <w:p>
      <w:pPr>
        <w:pStyle w:val="FootnoteText"/>
        <w:rPr>
          <w:lang w:val="pt-PT"/>
        </w:rPr>
      </w:pPr>
      <w:r>
        <w:rPr>
          <w:rStyle w:val="FootnoteReference"/>
        </w:rPr>
        <w:footnoteRef/>
      </w:r>
      <w:r>
        <w:rPr>
          <w:sz w:val="18"/>
          <w:szCs w:val="18"/>
          <w:lang w:val="pt-PT"/>
        </w:rPr>
        <w:t xml:space="preserve"> </w:t>
      </w:r>
      <w:r>
        <w:rPr>
          <w:sz w:val="18"/>
          <w:szCs w:val="18"/>
          <w:lang w:val="pt-PT"/>
        </w:rPr>
        <w:tab/>
        <w:t>COM(2016) 227 final, 30.6.2016.</w:t>
      </w:r>
    </w:p>
  </w:footnote>
  <w:footnote w:id="7">
    <w:p>
      <w:pPr>
        <w:pStyle w:val="FootnoteText"/>
        <w:rPr>
          <w:lang w:val="fr-BE"/>
        </w:rPr>
      </w:pPr>
      <w:r>
        <w:rPr>
          <w:rStyle w:val="FootnoteReference"/>
        </w:rPr>
        <w:footnoteRef/>
      </w:r>
      <w:r>
        <w:t xml:space="preserve"> </w:t>
      </w:r>
      <w:r>
        <w:rPr>
          <w:lang w:val="fr-BE"/>
        </w:rPr>
        <w:tab/>
      </w:r>
      <w:r>
        <w:rPr>
          <w:sz w:val="18"/>
          <w:szCs w:val="18"/>
          <w:lang w:val="pt-PT"/>
        </w:rPr>
        <w:t>COM(2016) 623 final, 30.9.2016.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7">
    <w:nsid w:val="36576542"/>
    <w:multiLevelType w:val="hybridMultilevel"/>
    <w:tmpl w:val="C044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0">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4">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5">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DB7812"/>
    <w:multiLevelType w:val="hybridMultilevel"/>
    <w:tmpl w:val="4FA6F6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BB006D"/>
    <w:multiLevelType w:val="hybridMultilevel"/>
    <w:tmpl w:val="0D7C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8"/>
  </w:num>
  <w:num w:numId="5">
    <w:abstractNumId w:val="4"/>
  </w:num>
  <w:num w:numId="6">
    <w:abstractNumId w:val="12"/>
  </w:num>
  <w:num w:numId="7">
    <w:abstractNumId w:val="3"/>
  </w:num>
  <w:num w:numId="8">
    <w:abstractNumId w:val="13"/>
  </w:num>
  <w:num w:numId="9">
    <w:abstractNumId w:val="0"/>
  </w:num>
  <w:num w:numId="10">
    <w:abstractNumId w:val="1"/>
  </w:num>
  <w:num w:numId="11">
    <w:abstractNumId w:val="5"/>
  </w:num>
  <w:num w:numId="12">
    <w:abstractNumId w:val="9"/>
  </w:num>
  <w:num w:numId="13">
    <w:abstractNumId w:val="10"/>
  </w:num>
  <w:num w:numId="14">
    <w:abstractNumId w:val="9"/>
  </w:num>
  <w:num w:numId="15">
    <w:abstractNumId w:val="9"/>
  </w:num>
  <w:num w:numId="16">
    <w:abstractNumId w:val="9"/>
  </w:num>
  <w:num w:numId="17">
    <w:abstractNumId w:val="2"/>
  </w:num>
  <w:num w:numId="18">
    <w:abstractNumId w:val="11"/>
  </w:num>
  <w:num w:numId="19">
    <w:abstractNumId w:val="15"/>
  </w:num>
  <w:num w:numId="20">
    <w:abstractNumId w:val="17"/>
  </w:num>
  <w:num w:numId="21">
    <w:abstractNumId w:val="7"/>
  </w:num>
  <w:num w:numId="22">
    <w:abstractNumId w:val="16"/>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lvain Ylieff">
    <w15:presenceInfo w15:providerId="Windows Live" w15:userId="96b523f727a5ed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BA88AECED59E4D79B6F6F6EDBDE57A99"/>
    <w:docVar w:name="LW_CROSSREFERENCE" w:val="&lt;UNUSED&gt;"/>
    <w:docVar w:name="LW_DATE.ADOPT.CP_ISODATE" w:val="&lt;EMPTY&gt;"/>
    <w:docVar w:name="LW_DocType" w:val="NORMAL"/>
    <w:docVar w:name="LW_EMISSION" w:val="7.10.2016"/>
    <w:docVar w:name="LW_EMISSION_ISODATE" w:val="2016-10-07"/>
    <w:docVar w:name="LW_EMISSION_LOCATION" w:val="BRX"/>
    <w:docVar w:name="LW_EMISSION_PREFIX" w:val="Brussels, "/>
    <w:docVar w:name="LW_EMISSION_SUFFIX" w:val="&lt;EMPTY&gt;"/>
    <w:docVar w:name="LW_ID_DOCTYPE_NONLW" w:val="CP-035"/>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60"/>
    <w:docVar w:name="LW_REF.INTERNE" w:val="&lt;UNUSED&gt;"/>
    <w:docVar w:name="LW_SOUS.TITRE.OBJ.CP" w:val="&lt;UNUSED&gt;"/>
    <w:docVar w:name="LW_SUPERTITRE" w:val="&lt;UNUSED&gt;"/>
    <w:docVar w:name="LW_TITRE.OBJ.CP" w:val="Implementation of the Own Resources Decision No 2014/335/EU further to the closing of the ratification process and its entry into force on 1 October 2016"/>
    <w:docVar w:name="LW_TITRE.OBJ.CP_PREVIOUS" w:val="&lt;UNUSED&gt;"/>
    <w:docVar w:name="LW_TYPE.DOC.CP" w:val="DRAFT AMENDING BUDGET No 5_x000b_TO THE GENERAL BUDGET 2016"/>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Bullet 3" w:uiPriority="99"/>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rPr>
      <w:lang w:eastAsia="de-DE"/>
    </w:rPr>
  </w:style>
  <w:style w:type="paragraph" w:customStyle="1" w:styleId="ListNumberLevel2">
    <w:name w:val="List Number (Level 2)"/>
    <w:basedOn w:val="Normal"/>
    <w:pPr>
      <w:numPr>
        <w:ilvl w:val="1"/>
        <w:numId w:val="6"/>
      </w:numPr>
      <w:spacing w:before="120" w:after="120"/>
      <w:jc w:val="both"/>
    </w:pPr>
    <w:rPr>
      <w:lang w:eastAsia="de-DE"/>
    </w:rPr>
  </w:style>
  <w:style w:type="paragraph" w:customStyle="1" w:styleId="ListNumberLevel3">
    <w:name w:val="List Number (Level 3)"/>
    <w:basedOn w:val="Normal"/>
    <w:pPr>
      <w:numPr>
        <w:ilvl w:val="2"/>
        <w:numId w:val="6"/>
      </w:numPr>
      <w:spacing w:before="120" w:after="120"/>
      <w:jc w:val="both"/>
    </w:pPr>
    <w:rPr>
      <w:lang w:eastAsia="de-DE"/>
    </w:rPr>
  </w:style>
  <w:style w:type="paragraph" w:customStyle="1" w:styleId="ListNumberLevel4">
    <w:name w:val="List Number (Level 4)"/>
    <w:basedOn w:val="Normal"/>
    <w:pPr>
      <w:numPr>
        <w:ilvl w:val="3"/>
        <w:numId w:val="6"/>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Bullet 3" w:uiPriority="99"/>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rPr>
      <w:lang w:eastAsia="de-DE"/>
    </w:rPr>
  </w:style>
  <w:style w:type="paragraph" w:customStyle="1" w:styleId="ListNumberLevel2">
    <w:name w:val="List Number (Level 2)"/>
    <w:basedOn w:val="Normal"/>
    <w:pPr>
      <w:numPr>
        <w:ilvl w:val="1"/>
        <w:numId w:val="6"/>
      </w:numPr>
      <w:spacing w:before="120" w:after="120"/>
      <w:jc w:val="both"/>
    </w:pPr>
    <w:rPr>
      <w:lang w:eastAsia="de-DE"/>
    </w:rPr>
  </w:style>
  <w:style w:type="paragraph" w:customStyle="1" w:styleId="ListNumberLevel3">
    <w:name w:val="List Number (Level 3)"/>
    <w:basedOn w:val="Normal"/>
    <w:pPr>
      <w:numPr>
        <w:ilvl w:val="2"/>
        <w:numId w:val="6"/>
      </w:numPr>
      <w:spacing w:before="120" w:after="120"/>
      <w:jc w:val="both"/>
    </w:pPr>
    <w:rPr>
      <w:lang w:eastAsia="de-DE"/>
    </w:rPr>
  </w:style>
  <w:style w:type="paragraph" w:customStyle="1" w:styleId="ListNumberLevel4">
    <w:name w:val="List Number (Level 4)"/>
    <w:basedOn w:val="Normal"/>
    <w:pPr>
      <w:numPr>
        <w:ilvl w:val="3"/>
        <w:numId w:val="6"/>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6D75-A5BE-46C3-A583-DC0570BE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16680</Words>
  <Characters>62219</Characters>
  <Application>Microsoft Office Word</Application>
  <DocSecurity>0</DocSecurity>
  <Lines>5656</Lines>
  <Paragraphs>5259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73640</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2016-10-03T07:48:00Z</cp:lastPrinted>
  <dcterms:created xsi:type="dcterms:W3CDTF">2016-10-06T07:59:00Z</dcterms:created>
  <dcterms:modified xsi:type="dcterms:W3CDTF">2016-10-06T11:45:00Z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