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AC155788EA44749AA879150ED7AB88" style="width:450.75pt;height:465pt">
            <v:imagedata r:id="rId9" o:title=""/>
          </v:shape>
        </w:pict>
      </w:r>
    </w:p>
    <w:p>
      <w:pPr>
        <w:pStyle w:val="Pagedecouverture"/>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lastRenderedPageBreak/>
        <w:t>ПРОТОКОЛ</w:t>
      </w:r>
    </w:p>
    <w:p>
      <w:pPr>
        <w:spacing w:before="60" w:after="60"/>
        <w:ind w:right="-193"/>
        <w:jc w:val="center"/>
        <w:rPr>
          <w:b/>
          <w:noProof/>
        </w:rPr>
      </w:pPr>
    </w:p>
    <w:p>
      <w:pPr>
        <w:spacing w:before="60" w:after="60"/>
        <w:ind w:right="-193"/>
        <w:jc w:val="center"/>
        <w:rPr>
          <w:b/>
          <w:noProof/>
        </w:rPr>
      </w:pPr>
      <w:r>
        <w:rPr>
          <w:b/>
          <w:noProof/>
        </w:rPr>
        <w:t>към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 оглед на присъединяването на Република Хърватия към Европейския съюз</w:t>
      </w:r>
    </w:p>
    <w:p>
      <w:pPr>
        <w:pStyle w:val="Point2"/>
        <w:spacing w:after="40"/>
        <w:ind w:left="0" w:firstLine="0"/>
        <w:rPr>
          <w:noProof/>
        </w:rPr>
      </w:pPr>
    </w:p>
    <w:p>
      <w:pPr>
        <w:pStyle w:val="Point2"/>
        <w:spacing w:after="40"/>
        <w:ind w:left="0" w:firstLine="0"/>
        <w:rPr>
          <w:noProof/>
        </w:rPr>
      </w:pPr>
      <w:r>
        <w:rPr>
          <w:noProof/>
        </w:rPr>
        <w:t>КРАЛСТВО БЕЛГИЯ,</w:t>
      </w:r>
    </w:p>
    <w:p>
      <w:pPr>
        <w:pStyle w:val="Point2"/>
        <w:spacing w:after="40"/>
        <w:ind w:left="0" w:firstLine="0"/>
        <w:rPr>
          <w:noProof/>
        </w:rPr>
      </w:pPr>
      <w:r>
        <w:rPr>
          <w:noProof/>
        </w:rPr>
        <w:t>РЕПУБЛИКА БЪЛГАРИЯ,</w:t>
      </w:r>
    </w:p>
    <w:p>
      <w:pPr>
        <w:pStyle w:val="Point2"/>
        <w:spacing w:after="40"/>
        <w:ind w:left="0" w:firstLine="0"/>
        <w:rPr>
          <w:noProof/>
        </w:rPr>
      </w:pPr>
      <w:r>
        <w:rPr>
          <w:noProof/>
        </w:rPr>
        <w:t>ЧЕШКАТА РЕПУБЛИКА,</w:t>
      </w:r>
    </w:p>
    <w:p>
      <w:pPr>
        <w:pStyle w:val="Point2"/>
        <w:spacing w:after="40"/>
        <w:ind w:left="0" w:firstLine="0"/>
        <w:rPr>
          <w:noProof/>
        </w:rPr>
      </w:pPr>
      <w:r>
        <w:rPr>
          <w:noProof/>
        </w:rPr>
        <w:t>КРАЛСТВО ДАНИЯ,</w:t>
      </w:r>
    </w:p>
    <w:p>
      <w:pPr>
        <w:pStyle w:val="Point2"/>
        <w:spacing w:after="40"/>
        <w:ind w:left="0" w:firstLine="0"/>
        <w:rPr>
          <w:noProof/>
        </w:rPr>
      </w:pPr>
      <w:r>
        <w:rPr>
          <w:noProof/>
        </w:rPr>
        <w:t>ФЕДЕРАЛНА РЕПУБЛИКА ГЕРМАНИЯ,</w:t>
      </w:r>
    </w:p>
    <w:p>
      <w:pPr>
        <w:pStyle w:val="Point2"/>
        <w:spacing w:after="40"/>
        <w:ind w:left="0" w:firstLine="0"/>
        <w:rPr>
          <w:noProof/>
        </w:rPr>
      </w:pPr>
      <w:r>
        <w:rPr>
          <w:noProof/>
        </w:rPr>
        <w:t>РЕПУБЛИКА ЕСТОНИЯ,</w:t>
      </w:r>
    </w:p>
    <w:p>
      <w:pPr>
        <w:pStyle w:val="Point2"/>
        <w:spacing w:after="40"/>
        <w:ind w:left="0" w:firstLine="0"/>
        <w:rPr>
          <w:noProof/>
        </w:rPr>
      </w:pPr>
      <w:r>
        <w:rPr>
          <w:noProof/>
        </w:rPr>
        <w:t>ИРЛАНДИЯ,</w:t>
      </w:r>
    </w:p>
    <w:p>
      <w:pPr>
        <w:pStyle w:val="Point2"/>
        <w:spacing w:after="40"/>
        <w:ind w:left="0" w:firstLine="0"/>
        <w:rPr>
          <w:noProof/>
        </w:rPr>
      </w:pPr>
      <w:r>
        <w:rPr>
          <w:noProof/>
        </w:rPr>
        <w:t>РЕПУБЛИКА ГЪРЦИЯ,</w:t>
      </w:r>
    </w:p>
    <w:p>
      <w:pPr>
        <w:pStyle w:val="Point2"/>
        <w:spacing w:after="40"/>
        <w:ind w:left="0" w:firstLine="0"/>
        <w:rPr>
          <w:noProof/>
        </w:rPr>
      </w:pPr>
      <w:r>
        <w:rPr>
          <w:noProof/>
        </w:rPr>
        <w:t>КРАЛСТВО ИСПАНИЯ,</w:t>
      </w:r>
    </w:p>
    <w:p>
      <w:pPr>
        <w:pStyle w:val="Point2"/>
        <w:spacing w:after="40"/>
        <w:ind w:left="0" w:firstLine="0"/>
        <w:rPr>
          <w:noProof/>
        </w:rPr>
      </w:pPr>
      <w:r>
        <w:rPr>
          <w:noProof/>
        </w:rPr>
        <w:t>ФРЕНСКАТА РЕПУБЛИКА,</w:t>
      </w:r>
    </w:p>
    <w:p>
      <w:pPr>
        <w:pStyle w:val="Point2"/>
        <w:spacing w:after="40"/>
        <w:ind w:left="0" w:firstLine="0"/>
        <w:rPr>
          <w:noProof/>
        </w:rPr>
      </w:pPr>
      <w:r>
        <w:rPr>
          <w:noProof/>
        </w:rPr>
        <w:t>РЕПУБЛИКА ХЪРВАТИЯ,</w:t>
      </w:r>
    </w:p>
    <w:p>
      <w:pPr>
        <w:pStyle w:val="Point2"/>
        <w:spacing w:after="40"/>
        <w:ind w:left="0" w:firstLine="0"/>
        <w:rPr>
          <w:noProof/>
        </w:rPr>
      </w:pPr>
      <w:r>
        <w:rPr>
          <w:noProof/>
        </w:rPr>
        <w:t>ИТАЛИАНСКАТА РЕПУБЛИКА,</w:t>
      </w:r>
    </w:p>
    <w:p>
      <w:pPr>
        <w:pStyle w:val="Point2"/>
        <w:spacing w:after="40"/>
        <w:ind w:left="0" w:firstLine="0"/>
        <w:rPr>
          <w:noProof/>
        </w:rPr>
      </w:pPr>
      <w:r>
        <w:rPr>
          <w:noProof/>
        </w:rPr>
        <w:t>РЕПУБЛИКА КИПЪР,</w:t>
      </w:r>
    </w:p>
    <w:p>
      <w:pPr>
        <w:pStyle w:val="Point2"/>
        <w:spacing w:after="40"/>
        <w:ind w:left="0" w:firstLine="0"/>
        <w:rPr>
          <w:noProof/>
        </w:rPr>
      </w:pPr>
      <w:r>
        <w:rPr>
          <w:noProof/>
        </w:rPr>
        <w:t>РЕПУБЛИКА ЛАТВИЯ,</w:t>
      </w:r>
    </w:p>
    <w:p>
      <w:pPr>
        <w:pStyle w:val="Point2"/>
        <w:spacing w:after="40"/>
        <w:ind w:left="0" w:firstLine="0"/>
        <w:rPr>
          <w:noProof/>
        </w:rPr>
      </w:pPr>
      <w:r>
        <w:rPr>
          <w:noProof/>
        </w:rPr>
        <w:t>РЕПУБЛИКА ЛИТВА,</w:t>
      </w:r>
    </w:p>
    <w:p>
      <w:pPr>
        <w:pStyle w:val="Point2"/>
        <w:spacing w:after="40"/>
        <w:ind w:left="0" w:firstLine="0"/>
        <w:rPr>
          <w:noProof/>
        </w:rPr>
      </w:pPr>
      <w:r>
        <w:rPr>
          <w:noProof/>
        </w:rPr>
        <w:t>ВЕЛИКОТО ХЕРЦОГСТВО ЛЮКСЕМБУРГ,</w:t>
      </w:r>
    </w:p>
    <w:p>
      <w:pPr>
        <w:pStyle w:val="Point2"/>
        <w:spacing w:after="40"/>
        <w:ind w:left="0" w:firstLine="0"/>
        <w:rPr>
          <w:noProof/>
        </w:rPr>
      </w:pPr>
      <w:r>
        <w:rPr>
          <w:noProof/>
        </w:rPr>
        <w:t>УНГАРИЯ,</w:t>
      </w:r>
    </w:p>
    <w:p>
      <w:pPr>
        <w:pStyle w:val="Point2"/>
        <w:spacing w:after="40"/>
        <w:ind w:left="0" w:firstLine="0"/>
        <w:rPr>
          <w:noProof/>
        </w:rPr>
      </w:pPr>
      <w:r>
        <w:rPr>
          <w:noProof/>
        </w:rPr>
        <w:t>РЕПУБЛИКА МАЛТА,</w:t>
      </w:r>
    </w:p>
    <w:p>
      <w:pPr>
        <w:pStyle w:val="Point2"/>
        <w:spacing w:after="40"/>
        <w:ind w:left="0" w:firstLine="0"/>
        <w:rPr>
          <w:noProof/>
        </w:rPr>
      </w:pPr>
      <w:r>
        <w:rPr>
          <w:noProof/>
        </w:rPr>
        <w:t>КРАЛСТВО НИДЕРЛАНДИЯ,</w:t>
      </w:r>
    </w:p>
    <w:p>
      <w:pPr>
        <w:pStyle w:val="Point2"/>
        <w:spacing w:after="40"/>
        <w:ind w:left="0" w:firstLine="0"/>
        <w:rPr>
          <w:noProof/>
        </w:rPr>
      </w:pPr>
      <w:r>
        <w:rPr>
          <w:noProof/>
        </w:rPr>
        <w:t>РЕПУБЛИКА АВСТРИЯ,</w:t>
      </w:r>
    </w:p>
    <w:p>
      <w:pPr>
        <w:pStyle w:val="Point2"/>
        <w:spacing w:after="40"/>
        <w:ind w:left="0" w:firstLine="0"/>
        <w:rPr>
          <w:noProof/>
        </w:rPr>
      </w:pPr>
      <w:r>
        <w:rPr>
          <w:noProof/>
        </w:rPr>
        <w:t>РЕПУБЛИКА ПОЛША,</w:t>
      </w:r>
    </w:p>
    <w:p>
      <w:pPr>
        <w:pStyle w:val="Point2"/>
        <w:spacing w:after="40"/>
        <w:ind w:left="0" w:firstLine="0"/>
        <w:rPr>
          <w:noProof/>
        </w:rPr>
      </w:pPr>
      <w:r>
        <w:rPr>
          <w:noProof/>
        </w:rPr>
        <w:t>ПОРТУГАЛСКАТА РЕПУБЛИКА,</w:t>
      </w:r>
    </w:p>
    <w:p>
      <w:pPr>
        <w:pStyle w:val="Point2"/>
        <w:spacing w:after="40"/>
        <w:ind w:left="0" w:firstLine="0"/>
        <w:rPr>
          <w:noProof/>
        </w:rPr>
      </w:pPr>
      <w:r>
        <w:rPr>
          <w:noProof/>
        </w:rPr>
        <w:t>РУМЪНИЯ,</w:t>
      </w:r>
    </w:p>
    <w:p>
      <w:pPr>
        <w:pStyle w:val="Point2"/>
        <w:spacing w:after="40"/>
        <w:ind w:left="0" w:firstLine="0"/>
        <w:rPr>
          <w:noProof/>
        </w:rPr>
      </w:pPr>
      <w:r>
        <w:rPr>
          <w:noProof/>
        </w:rPr>
        <w:t>РЕПУБЛИКА СЛОВЕНИЯ,</w:t>
      </w:r>
    </w:p>
    <w:p>
      <w:pPr>
        <w:pStyle w:val="Point2"/>
        <w:spacing w:after="40"/>
        <w:ind w:left="0" w:firstLine="0"/>
        <w:rPr>
          <w:noProof/>
        </w:rPr>
      </w:pPr>
      <w:r>
        <w:rPr>
          <w:noProof/>
        </w:rPr>
        <w:t>СЛОВАШКАТА РЕПУБЛИКА,</w:t>
      </w:r>
    </w:p>
    <w:p>
      <w:pPr>
        <w:pStyle w:val="Point2"/>
        <w:spacing w:after="40"/>
        <w:ind w:left="0" w:firstLine="0"/>
        <w:rPr>
          <w:noProof/>
        </w:rPr>
      </w:pPr>
      <w:r>
        <w:rPr>
          <w:noProof/>
        </w:rPr>
        <w:t>РЕПУБЛИКА ФИНЛАНДИЯ,</w:t>
      </w:r>
    </w:p>
    <w:p>
      <w:pPr>
        <w:pStyle w:val="Point2"/>
        <w:spacing w:after="40"/>
        <w:ind w:left="0" w:firstLine="0"/>
        <w:rPr>
          <w:noProof/>
        </w:rPr>
      </w:pPr>
      <w:r>
        <w:rPr>
          <w:noProof/>
        </w:rPr>
        <w:t>КРАЛСТВО ШВЕЦИЯ,</w:t>
      </w:r>
    </w:p>
    <w:p>
      <w:pPr>
        <w:pStyle w:val="Point2"/>
        <w:ind w:left="0" w:hanging="1"/>
        <w:rPr>
          <w:noProof/>
        </w:rPr>
      </w:pPr>
      <w:r>
        <w:rPr>
          <w:noProof/>
        </w:rPr>
        <w:t>ОБЕДИНЕНОТО КРАЛСТВО ВЕЛИКОБРИТАНИЯ И СЕВЕРНА ИРЛАНДИЯ,</w:t>
      </w:r>
    </w:p>
    <w:p>
      <w:pPr>
        <w:rPr>
          <w:noProof/>
        </w:rPr>
      </w:pPr>
      <w:r>
        <w:rPr>
          <w:noProof/>
        </w:rPr>
        <w:lastRenderedPageBreak/>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по-долу „държавите членки“, и</w:t>
      </w:r>
    </w:p>
    <w:p>
      <w:pPr>
        <w:rPr>
          <w:noProof/>
        </w:rPr>
      </w:pPr>
      <w:r>
        <w:rPr>
          <w:noProof/>
        </w:rPr>
        <w:t>ЕВРОПЕЙСКИЯТ СЪЮЗ и ЕВРОПЕЙСКАТА ОБЩНОСТ ЗА АТОМНА ЕНЕРГИЯ,</w:t>
      </w:r>
    </w:p>
    <w:p>
      <w:pPr>
        <w:rPr>
          <w:noProof/>
        </w:rPr>
      </w:pPr>
      <w:r>
        <w:rPr>
          <w:noProof/>
        </w:rPr>
        <w:t>наричани по-нататък „Европейският съюз“,</w:t>
      </w:r>
    </w:p>
    <w:p>
      <w:pPr>
        <w:rPr>
          <w:noProof/>
        </w:rPr>
      </w:pPr>
      <w:r>
        <w:rPr>
          <w:noProof/>
        </w:rPr>
        <w:t>от една страна, и</w:t>
      </w:r>
    </w:p>
    <w:p>
      <w:pPr>
        <w:rPr>
          <w:noProof/>
        </w:rPr>
      </w:pPr>
      <w:r>
        <w:rPr>
          <w:noProof/>
        </w:rPr>
        <w:t xml:space="preserve">БОСНА И ХЕРЦЕГОВИНА, </w:t>
      </w:r>
    </w:p>
    <w:p>
      <w:pPr>
        <w:rPr>
          <w:noProof/>
        </w:rPr>
      </w:pPr>
      <w:r>
        <w:rPr>
          <w:noProof/>
        </w:rPr>
        <w:t>от друга страна,</w:t>
      </w:r>
    </w:p>
    <w:p>
      <w:pPr>
        <w:rPr>
          <w:noProof/>
        </w:rPr>
      </w:pPr>
    </w:p>
    <w:p>
      <w:pPr>
        <w:rPr>
          <w:noProof/>
        </w:rPr>
      </w:pPr>
      <w:r>
        <w:rPr>
          <w:noProof/>
        </w:rPr>
        <w:t>като взеха предвид присъединяването на Република Хърватия (наричана по-нататък „Хърватия“) към Европейския съюз на 1 юли 2013 г.,</w:t>
      </w:r>
    </w:p>
    <w:p>
      <w:pPr>
        <w:rPr>
          <w:noProof/>
        </w:rPr>
      </w:pPr>
      <w:r>
        <w:rPr>
          <w:noProof/>
        </w:rPr>
        <w:t>като имат предвид, че:</w:t>
      </w:r>
    </w:p>
    <w:p>
      <w:pPr>
        <w:pStyle w:val="ListNumber"/>
        <w:numPr>
          <w:ilvl w:val="0"/>
          <w:numId w:val="1"/>
        </w:numPr>
        <w:rPr>
          <w:noProof/>
        </w:rPr>
      </w:pPr>
      <w:r>
        <w:rPr>
          <w:noProof/>
        </w:rPr>
        <w:t>На 16 юни 2008 г.в Люксембург бе подписано Временното споразумение между Европейските общности и техните държави членки, от една страна, и Босна и Херцеговина, от друга страна, и то бе в сила от 1 юли 2008 г. до 31 май 2015 г.</w:t>
      </w:r>
    </w:p>
    <w:p>
      <w:pPr>
        <w:pStyle w:val="ListNumber"/>
        <w:numPr>
          <w:ilvl w:val="0"/>
          <w:numId w:val="1"/>
        </w:numPr>
        <w:rPr>
          <w:noProof/>
        </w:rPr>
      </w:pPr>
      <w:r>
        <w:rPr>
          <w:noProof/>
        </w:rPr>
        <w:t>Договорът за присъединяването на Хърватия към Европейския съюз (наричан по-нататък „Договорът за присъединяване“) бе подписан в Брюксел на 9 декември 2011 г.</w:t>
      </w:r>
    </w:p>
    <w:p>
      <w:pPr>
        <w:pStyle w:val="ListNumber"/>
        <w:numPr>
          <w:ilvl w:val="0"/>
          <w:numId w:val="1"/>
        </w:numPr>
        <w:rPr>
          <w:noProof/>
        </w:rPr>
      </w:pPr>
      <w:r>
        <w:rPr>
          <w:noProof/>
        </w:rPr>
        <w:t>Хърватия се присъедини към Европейския съюз на 1 юли 2013 г.</w:t>
      </w:r>
    </w:p>
    <w:p>
      <w:pPr>
        <w:pStyle w:val="ListNumber"/>
        <w:numPr>
          <w:ilvl w:val="0"/>
          <w:numId w:val="1"/>
        </w:numPr>
        <w:rPr>
          <w:noProof/>
        </w:rPr>
      </w:pPr>
      <w:r>
        <w:rPr>
          <w:noProof/>
        </w:rPr>
        <w:t>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(наричано по-долу „ССА“) бе подписано в Люксембург на 16 юни 2008 г. и влезе в сила на 1 юни 2015 г.</w:t>
      </w:r>
    </w:p>
    <w:p>
      <w:pPr>
        <w:pStyle w:val="ListNumber"/>
        <w:numPr>
          <w:ilvl w:val="0"/>
          <w:numId w:val="1"/>
        </w:numPr>
        <w:rPr>
          <w:noProof/>
        </w:rPr>
      </w:pPr>
      <w:r>
        <w:rPr>
          <w:noProof/>
        </w:rPr>
        <w:t>Съгласно член 6, параграф 2 от Акта за присъединяване на Хърватия присъединяването на Хърватия към ССА се договаря чрез сключването на протокол към ССА.</w:t>
      </w:r>
    </w:p>
    <w:p>
      <w:pPr>
        <w:pStyle w:val="ListNumber"/>
        <w:numPr>
          <w:ilvl w:val="0"/>
          <w:numId w:val="1"/>
        </w:numPr>
        <w:rPr>
          <w:noProof/>
        </w:rPr>
      </w:pPr>
      <w:r>
        <w:rPr>
          <w:noProof/>
        </w:rPr>
        <w:t>Проведени бяха консултации съгласно член 37, параграф 3 от ССА, за да се гарантира, че са взети предвид взаимните интереси на Европейския съюз и Босна и Херцеговина, посочени в това споразумение,</w:t>
      </w:r>
    </w:p>
    <w:p>
      <w:pPr>
        <w:rPr>
          <w:noProof/>
        </w:rPr>
      </w:pPr>
    </w:p>
    <w:p>
      <w:pPr>
        <w:rPr>
          <w:noProof/>
        </w:rPr>
      </w:pPr>
      <w:r>
        <w:rPr>
          <w:noProof/>
        </w:rPr>
        <w:t>СЕ СПОРАЗУМЯХА ЗА СЛЕДНОТО:</w:t>
      </w:r>
    </w:p>
    <w:p>
      <w:pPr>
        <w:rPr>
          <w:noProof/>
        </w:rPr>
      </w:pPr>
    </w:p>
    <w:p>
      <w:pPr>
        <w:pStyle w:val="SectionTitle"/>
        <w:spacing w:after="120"/>
        <w:rPr>
          <w:noProof/>
        </w:rPr>
      </w:pPr>
      <w:r>
        <w:rPr>
          <w:noProof/>
        </w:rPr>
        <w:t>Раздел I</w:t>
      </w:r>
    </w:p>
    <w:p>
      <w:pPr>
        <w:spacing w:after="60"/>
        <w:jc w:val="center"/>
        <w:rPr>
          <w:b/>
          <w:caps/>
          <w:noProof/>
        </w:rPr>
      </w:pPr>
      <w:r>
        <w:rPr>
          <w:b/>
          <w:caps/>
          <w:noProof/>
        </w:rPr>
        <w:t>Договарящи се страни</w:t>
      </w:r>
    </w:p>
    <w:p>
      <w:pPr>
        <w:jc w:val="center"/>
        <w:rPr>
          <w:i/>
          <w:noProof/>
        </w:rPr>
      </w:pPr>
      <w:r>
        <w:rPr>
          <w:i/>
          <w:noProof/>
        </w:rPr>
        <w:t>Член 1</w:t>
      </w:r>
    </w:p>
    <w:p>
      <w:pPr>
        <w:rPr>
          <w:noProof/>
        </w:rPr>
      </w:pPr>
      <w:r>
        <w:rPr>
          <w:noProof/>
        </w:rPr>
        <w:t xml:space="preserve">Хърватия е страна по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(наричано по-долу „ССА“) подписно в Люксембург на 16 </w:t>
      </w:r>
      <w:r>
        <w:rPr>
          <w:noProof/>
        </w:rPr>
        <w:lastRenderedPageBreak/>
        <w:t>юни 2008 г., и съответно приема и взема под внимание, по същия начин като останалите държави — членки на Европейския съюз, текстовете на ССА, на съвместните декларации и на едностранните декларации, приложени към Заключителния акт, подписан на същата дата.</w:t>
      </w:r>
    </w:p>
    <w:p>
      <w:pPr>
        <w:pStyle w:val="SectionTitle"/>
        <w:spacing w:after="240"/>
        <w:rPr>
          <w:noProof/>
        </w:rPr>
      </w:pPr>
      <w:r>
        <w:rPr>
          <w:noProof/>
        </w:rPr>
        <w:t>Раздел II</w:t>
      </w:r>
    </w:p>
    <w:p>
      <w:pPr>
        <w:jc w:val="center"/>
        <w:rPr>
          <w:b/>
          <w:noProof/>
        </w:rPr>
      </w:pPr>
      <w:r>
        <w:rPr>
          <w:b/>
          <w:noProof/>
        </w:rPr>
        <w:t>АДАПТАЦИИ НА ТЕКСТА НА ССА, ВКЛЮЧИТЕЛНО НА ПРИЛОЖЕНИЯТА И ПРОТОКОЛИТЕ КЪМ НЕГО</w:t>
      </w:r>
    </w:p>
    <w:p>
      <w:pPr>
        <w:pStyle w:val="SectionTitle"/>
        <w:spacing w:after="240"/>
        <w:rPr>
          <w:noProof/>
        </w:rPr>
      </w:pPr>
    </w:p>
    <w:p>
      <w:pPr>
        <w:jc w:val="center"/>
        <w:rPr>
          <w:b/>
          <w:i/>
          <w:noProof/>
        </w:rPr>
      </w:pPr>
      <w:r>
        <w:rPr>
          <w:b/>
          <w:i/>
          <w:caps/>
          <w:noProof/>
        </w:rPr>
        <w:t>Селскостопански продукти</w:t>
      </w:r>
    </w:p>
    <w:p>
      <w:pPr>
        <w:jc w:val="center"/>
        <w:rPr>
          <w:i/>
          <w:noProof/>
        </w:rPr>
      </w:pPr>
      <w:r>
        <w:rPr>
          <w:i/>
          <w:noProof/>
        </w:rPr>
        <w:t>Член 2</w:t>
      </w:r>
    </w:p>
    <w:p>
      <w:pPr>
        <w:jc w:val="center"/>
        <w:rPr>
          <w:i/>
          <w:noProof/>
        </w:rPr>
      </w:pPr>
      <w:r>
        <w:rPr>
          <w:i/>
          <w:noProof/>
        </w:rPr>
        <w:t>Селскостопански продукти sensu stricto</w:t>
      </w:r>
    </w:p>
    <w:p>
      <w:pPr>
        <w:rPr>
          <w:noProof/>
        </w:rPr>
      </w:pPr>
      <w:r>
        <w:rPr>
          <w:noProof/>
        </w:rPr>
        <w:t>1. В член 27, параграф 3 от ССА се добавя следната нова втора алинея:</w:t>
      </w:r>
    </w:p>
    <w:p>
      <w:pPr>
        <w:ind w:left="284"/>
        <w:rPr>
          <w:noProof/>
        </w:rPr>
      </w:pPr>
      <w:r>
        <w:rPr>
          <w:noProof/>
        </w:rPr>
        <w:t xml:space="preserve">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годишната тарифна квота, посочена в първата алинея, е 13 210 тона (нетно тегло). </w:t>
      </w:r>
    </w:p>
    <w:p>
      <w:pPr>
        <w:rPr>
          <w:noProof/>
        </w:rPr>
      </w:pPr>
      <w:r>
        <w:rPr>
          <w:noProof/>
        </w:rPr>
        <w:t>2. В член 27 от ССА се добавя следният нов параграф 4а:</w:t>
      </w:r>
    </w:p>
    <w:p>
      <w:pPr>
        <w:ind w:left="284"/>
        <w:rPr>
          <w:noProof/>
        </w:rPr>
      </w:pPr>
      <w:r>
        <w:rPr>
          <w:noProof/>
        </w:rPr>
        <w:t>4а. В допълнение към параграф 4, 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Босна и Херцеговина премахва митата, приложими върху вноса на някои селскостопански продукти с произход от Европейския съюз, изброени в приложение III (е), в рамките на тарифната квота, посочена за съответните продукти.</w:t>
      </w:r>
    </w:p>
    <w:p>
      <w:pPr>
        <w:ind w:left="284" w:hanging="284"/>
        <w:rPr>
          <w:noProof/>
        </w:rPr>
      </w:pPr>
      <w:r>
        <w:rPr>
          <w:noProof/>
        </w:rPr>
        <w:t xml:space="preserve">3. Приложение I към настоящия протокол се добавя като приложение III (е) от ССА и представлява неразделна част от ССА. </w:t>
      </w:r>
    </w:p>
    <w:p>
      <w:pPr>
        <w:spacing w:before="0"/>
        <w:jc w:val="center"/>
        <w:rPr>
          <w:i/>
          <w:noProof/>
        </w:rPr>
      </w:pPr>
      <w:r>
        <w:rPr>
          <w:i/>
          <w:noProof/>
        </w:rPr>
        <w:t>Член 3</w:t>
      </w:r>
    </w:p>
    <w:p>
      <w:pPr>
        <w:jc w:val="center"/>
        <w:rPr>
          <w:i/>
          <w:noProof/>
        </w:rPr>
      </w:pPr>
      <w:r>
        <w:rPr>
          <w:i/>
          <w:noProof/>
        </w:rPr>
        <w:t>Риба и рибни продукти</w:t>
      </w:r>
    </w:p>
    <w:p>
      <w:pPr>
        <w:rPr>
          <w:noProof/>
        </w:rPr>
      </w:pPr>
      <w:r>
        <w:rPr>
          <w:noProof/>
        </w:rPr>
        <w:t>1. В член 28 от ССА се добавя следният параграф 1a:</w:t>
      </w:r>
    </w:p>
    <w:p>
      <w:pPr>
        <w:ind w:left="284"/>
        <w:rPr>
          <w:noProof/>
        </w:rPr>
      </w:pPr>
      <w:r>
        <w:rPr>
          <w:noProof/>
        </w:rPr>
        <w:t>1а. 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Съюзът премахва всички мита или такси с равностоен на мито ефект за риба и рибни продукти с произход от Босна и Херцеговина, различни от изброените в приложение IVа. Продуктите, изброени в приложение IVа, са предмет на разпоредбите, установени в него.</w:t>
      </w:r>
    </w:p>
    <w:p>
      <w:pPr>
        <w:spacing w:after="240"/>
        <w:rPr>
          <w:noProof/>
        </w:rPr>
      </w:pPr>
      <w:r>
        <w:rPr>
          <w:noProof/>
        </w:rPr>
        <w:t>2. В член 28 от ССА се добавя следният параграф 3:</w:t>
      </w:r>
    </w:p>
    <w:p>
      <w:pPr>
        <w:spacing w:after="240"/>
        <w:ind w:left="284"/>
        <w:rPr>
          <w:noProof/>
        </w:rPr>
      </w:pPr>
      <w:r>
        <w:rPr>
          <w:noProof/>
        </w:rPr>
        <w:t xml:space="preserve">3. От датата на влизане в сила на Протокола с оглед на присъединяването на Хърватия към Европейския съюз или, в случай че този протокол се прилага </w:t>
      </w:r>
      <w:r>
        <w:rPr>
          <w:noProof/>
        </w:rPr>
        <w:lastRenderedPageBreak/>
        <w:t>временно, от началната дата на неговото временно прилагане Босна и Херцеговина открива квота за безмитен внос на жив шаран под код по КН 0301 93 00 в рамките на годишна тарифна квота от 75 тона. Внесените количества над определената квота се облагат с митата, определени в приложение V към ССА.</w:t>
      </w:r>
    </w:p>
    <w:p>
      <w:pPr>
        <w:spacing w:after="240"/>
        <w:rPr>
          <w:noProof/>
        </w:rPr>
      </w:pPr>
      <w:r>
        <w:rPr>
          <w:noProof/>
        </w:rPr>
        <w:t>3. Приложение II към настоящия протокол се добавя като приложение IVа към ССА и представлява неразделна част от ССА.</w:t>
      </w:r>
    </w:p>
    <w:p>
      <w:pPr>
        <w:jc w:val="center"/>
        <w:rPr>
          <w:i/>
          <w:noProof/>
        </w:rPr>
      </w:pPr>
      <w:r>
        <w:rPr>
          <w:i/>
          <w:noProof/>
        </w:rPr>
        <w:t>Член 4</w:t>
      </w:r>
    </w:p>
    <w:p>
      <w:pPr>
        <w:jc w:val="center"/>
        <w:rPr>
          <w:i/>
          <w:noProof/>
        </w:rPr>
      </w:pPr>
      <w:r>
        <w:rPr>
          <w:i/>
          <w:noProof/>
        </w:rPr>
        <w:t>Преработени селскостопански продукти</w:t>
      </w:r>
    </w:p>
    <w:p>
      <w:pPr>
        <w:rPr>
          <w:noProof/>
        </w:rPr>
      </w:pPr>
      <w:r>
        <w:rPr>
          <w:noProof/>
        </w:rPr>
        <w:t xml:space="preserve">Приложение III към настоящия протокол се добавя като приложение III към протокол 1 към ССА и представлява неразделна част от ССА. </w:t>
      </w:r>
    </w:p>
    <w:p>
      <w:pPr>
        <w:spacing w:after="0"/>
        <w:jc w:val="center"/>
        <w:rPr>
          <w:i/>
          <w:noProof/>
        </w:rPr>
      </w:pPr>
      <w:r>
        <w:rPr>
          <w:i/>
          <w:noProof/>
        </w:rPr>
        <w:t>Член 5</w:t>
      </w:r>
    </w:p>
    <w:p>
      <w:pPr>
        <w:jc w:val="center"/>
        <w:rPr>
          <w:i/>
          <w:noProof/>
        </w:rPr>
      </w:pPr>
      <w:r>
        <w:rPr>
          <w:i/>
          <w:noProof/>
        </w:rPr>
        <w:t>Споразумение за виното</w:t>
      </w:r>
    </w:p>
    <w:p>
      <w:pPr>
        <w:rPr>
          <w:noProof/>
        </w:rPr>
      </w:pPr>
      <w:r>
        <w:rPr>
          <w:noProof/>
        </w:rPr>
        <w:t>От датата на влизане в сила на Протокола с оглед на присъединяването на Хърватия към Европейския съюз или, в случай че този протокол се прилага временно, от началната дата на неговото временно прилагане приложение I към протокол 7 към ССА, посочен в член 27, параграф 5 от ССА, се изменя, както е посочено в приложение IV към настоящия протокол.</w:t>
      </w:r>
    </w:p>
    <w:p>
      <w:pPr>
        <w:rPr>
          <w:noProof/>
        </w:rPr>
      </w:pPr>
    </w:p>
    <w:p>
      <w:pPr>
        <w:pStyle w:val="SectionTitle"/>
        <w:spacing w:after="240"/>
        <w:rPr>
          <w:noProof/>
        </w:rPr>
      </w:pPr>
      <w:r>
        <w:rPr>
          <w:noProof/>
        </w:rPr>
        <w:t>Раздел III</w:t>
      </w:r>
      <w:r>
        <w:rPr>
          <w:noProof/>
        </w:rPr>
        <w:br/>
      </w:r>
      <w:r>
        <w:rPr>
          <w:noProof/>
        </w:rPr>
        <w:br/>
      </w:r>
      <w:r>
        <w:rPr>
          <w:noProof/>
          <w:sz w:val="24"/>
        </w:rPr>
        <w:t>ОБЩИ И ЗАКЛЮЧИТЕЛНИ РАЗПОРЕДБИ</w:t>
      </w:r>
      <w:r>
        <w:rPr>
          <w:noProof/>
          <w:sz w:val="24"/>
          <w:szCs w:val="24"/>
        </w:rPr>
        <w:br/>
      </w:r>
    </w:p>
    <w:p>
      <w:pPr>
        <w:pStyle w:val="Default"/>
        <w:jc w:val="center"/>
        <w:rPr>
          <w:b/>
          <w:noProof/>
          <w:color w:val="auto"/>
        </w:rPr>
      </w:pPr>
      <w:r>
        <w:rPr>
          <w:i/>
          <w:noProof/>
          <w:color w:val="auto"/>
        </w:rPr>
        <w:t>Член 6</w:t>
      </w:r>
    </w:p>
    <w:p>
      <w:pPr>
        <w:rPr>
          <w:noProof/>
        </w:rPr>
      </w:pPr>
      <w:r>
        <w:rPr>
          <w:noProof/>
        </w:rPr>
        <w:t>Настоящият протокол и приложенията към него представляват неразделна част от ССА.</w:t>
      </w:r>
      <w:r>
        <w:rPr>
          <w:noProof/>
        </w:rPr>
        <w:br/>
      </w:r>
    </w:p>
    <w:p>
      <w:pPr>
        <w:jc w:val="center"/>
        <w:rPr>
          <w:i/>
          <w:noProof/>
        </w:rPr>
      </w:pPr>
      <w:r>
        <w:rPr>
          <w:i/>
          <w:noProof/>
        </w:rPr>
        <w:t>Член 7</w:t>
      </w:r>
    </w:p>
    <w:p>
      <w:pPr>
        <w:rPr>
          <w:noProof/>
        </w:rPr>
      </w:pPr>
      <w:r>
        <w:rPr>
          <w:noProof/>
        </w:rPr>
        <w:t xml:space="preserve">1. Настоящият протокол се одобрява от Европейския съюз и неговите държави членки и от Босна и Херцеговина в съответствие с техните собствени процедури. </w:t>
      </w:r>
    </w:p>
    <w:p>
      <w:pPr>
        <w:rPr>
          <w:noProof/>
        </w:rPr>
      </w:pPr>
      <w:r>
        <w:rPr>
          <w:noProof/>
        </w:rPr>
        <w:t>2. Страните се уведомяват взаимно за приключването на съответните процедури, посочени в параграф 1. Инструментите за одобрение се депозират в Генералния секретариат на Съвета на Европейския съюз.</w:t>
      </w:r>
    </w:p>
    <w:p>
      <w:pPr>
        <w:rPr>
          <w:noProof/>
        </w:rPr>
      </w:pPr>
    </w:p>
    <w:p>
      <w:pPr>
        <w:jc w:val="center"/>
        <w:rPr>
          <w:i/>
          <w:noProof/>
        </w:rPr>
      </w:pPr>
      <w:r>
        <w:rPr>
          <w:i/>
          <w:noProof/>
        </w:rPr>
        <w:t>Член 8</w:t>
      </w:r>
    </w:p>
    <w:p>
      <w:pPr>
        <w:rPr>
          <w:noProof/>
        </w:rPr>
      </w:pPr>
      <w:r>
        <w:rPr>
          <w:noProof/>
        </w:rPr>
        <w:t>1. Настоящият протокол влиза в сила на първия ден от първия месец след датата на депозиране на последния инструмент за одобрение.</w:t>
      </w:r>
    </w:p>
    <w:p>
      <w:pPr>
        <w:rPr>
          <w:noProof/>
        </w:rPr>
      </w:pPr>
      <w:r>
        <w:rPr>
          <w:noProof/>
        </w:rPr>
        <w:t xml:space="preserve">2. В случай че не всички инструменти за одобрение на настоящия протокол са депозирани преди първия ден от втория месец след датата на подписване, протоколът </w:t>
      </w:r>
      <w:r>
        <w:rPr>
          <w:noProof/>
        </w:rPr>
        <w:lastRenderedPageBreak/>
        <w:t xml:space="preserve">се прилага временно. Началната датата на временното прилагане е първият ден от втория месец след датата на подписване. </w:t>
      </w:r>
    </w:p>
    <w:p>
      <w:pPr>
        <w:rPr>
          <w:noProof/>
        </w:rPr>
      </w:pPr>
    </w:p>
    <w:p>
      <w:pPr>
        <w:jc w:val="center"/>
        <w:rPr>
          <w:i/>
          <w:noProof/>
        </w:rPr>
      </w:pPr>
      <w:r>
        <w:rPr>
          <w:i/>
          <w:noProof/>
        </w:rPr>
        <w:t>Член 9</w:t>
      </w:r>
    </w:p>
    <w:p>
      <w:pPr>
        <w:rPr>
          <w:noProof/>
        </w:rPr>
      </w:pPr>
      <w:r>
        <w:rPr>
          <w:noProof/>
        </w:rPr>
        <w:t>Настоящият протокол е изготвен в два екземпляра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език, босненски и сръбски език, като всички текстове са еднакво автентични.</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rPr>
      </w:pPr>
      <w:r>
        <w:rPr>
          <w:b/>
          <w:noProof/>
        </w:rPr>
        <w:t>ПРИЛОЖЕНИЯ</w:t>
      </w:r>
    </w:p>
    <w:p>
      <w:pPr>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ПРИЛОЖЕНИЕ I</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„ПРИЛОЖЕНИЕ III (e)</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ТАРИФНИ ОТСТЪПКИ НА БОСНА И ХЕРЦЕГОВИНА ЗА ОСНОВНИ СЕЛСКОСТОПАНСКИ ПРОДУКТИ С ПРОИЗХОД ОТ ЕВРОПЕЙСКИЯ СЪЮЗ</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(посочени в член 27, параграф 4а от ССА)</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От датата на влизане в сила на Протокола с оглед на присъединяването на Хърватия към Европейския съюз или от началната дата на временното му прилагане се премахват митата за посочените по-долу продукти в рамките на количествата от тарифните квоти, посочени по-долу. За внесените количества над съответната квота се прилага митническата ставка за НОН. За 2017 г. се прилага пълният размер на квотата, независимо от датата на влизане в сила на Протокола или началната дата на временното му прилагане.</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1"/>
        <w:gridCol w:w="6849"/>
        <w:gridCol w:w="1229"/>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Код по КН</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Описание</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noProof/>
                <w:sz w:val="20"/>
              </w:rPr>
              <w:t>Тарифна квота (тонове)</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Живи животни от рода на едрия рогат добитък:</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Домашни животни от рода на едрия рогат добитък:</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 xml:space="preserve">0102 29 </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С тегло, превишаващо 300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Крави: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Предназначени за клане</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Предназначени за клане</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Живи животни от рода на свинете:</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 тегло, равно или по-голямо от 50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Домашни видове: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Женски свине, които са се опрасили поне един път, с минимално тегло 160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Живи домашни петли, кокошки, птици от видовете </w:t>
            </w:r>
            <w:r>
              <w:rPr>
                <w:i/>
                <w:noProof/>
                <w:sz w:val="20"/>
              </w:rPr>
              <w:t>Gallus domesticus</w:t>
            </w:r>
            <w:r>
              <w:rPr>
                <w:noProof/>
                <w:sz w:val="20"/>
              </w:rPr>
              <w:t>, патици, гъски, пуйки и токачки: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lastRenderedPageBreak/>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-Петли и кокошки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Меса и карантии, годни за консумация, от домашни птици от № 0105, пресни, охладени или замразени: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петли и кокошки: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Неразфасовани, замразени: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Оскубани, изкормени, без глави и без крака и без шийки, сърца, черен дроб и воденички, наречени „пилета 65 %“ или представени по друг начин</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Разфасовки и карантии, пресни или охладени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Разфасовки: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Обезкостени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Необезкостени: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Цели крилца, дори без връхчетата</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Бутчета и разфасовки от тях</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Карантии: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Разфасовки и карантии, замразени</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Разфасовки:</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Необезкостени: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Половинки или четвъртинки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Бутчета и разфасовки от тях</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Карантии: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Мляко и сметана, неконцентрирани, нито подсладени със захар или други подсладители:</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С тегловно съдържание на мазнини, превишаващо 6 %, но непревишаващо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В директни опаковки, с нетно съдържание, непревишаващо 2 l</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С тегловно съдържание на мазнини, превишаващо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Непревишаващо 21 %: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В директни опаковки, с нетно съдържание, непревишаващо 2 l</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Мляко и сметана, концентрирани или с прибавка на захар или други подсладители: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На прах, гранули или други твърди форми, с тегловно съдържание на мазнини, превишаващо 1,5 %: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Без захар или други подсладители: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С тегловно съдържание на мазнини, непревишаващо 27 %: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xml:space="preserve">Мътеница, заквасени млека и сметана, кисело мляко, кефир и други </w:t>
            </w:r>
            <w:r>
              <w:rPr>
                <w:noProof/>
                <w:sz w:val="20"/>
              </w:rPr>
              <w:lastRenderedPageBreak/>
              <w:t>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ядки или какао:</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lastRenderedPageBreak/>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Други:</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Неароматизирани, без прибавка на плодове, ядки или какао:</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Други:</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Без прибавка на захар или други подсладители и с тегловно съдържание на мазнини:</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Непревишаващо 3 %</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 Превишаващо 3 %, но непревишаващо 6 %</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Масло и други млечни мазнини; млечни пасти за намазване:</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Масло:</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 тегловно съдържание на мазнини, непревишаващо 85 %: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Натурално масло:</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В директни опаковки, с нетно съдържание, непревишаващо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Сирена и извара:</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Пресни сирена (с незавършено зреене), включително извара и сирене от суроватка</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С тегловно съдържание на мазнини, непревишаващо 40 %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 - Сирене Mozzarella, дори в течност</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0" w:type="auto"/>
            <w:vMerge/>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Други</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Естествен мед</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Картофи, пресни или охладени: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Ранни картофи, от 1 януари до 30 юни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Зеле, карфиол, къдраво зеле, алабаш и подобни, годни за консумация зеленчуци от рода Brassica, пресни или охладени: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Бяло главесто зеле и червено главесто зеле</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Моркови, репи, салатно цвекло, козя брада, целина с едри глави, репички и подобни кореноплодни, годни за консумация, пресни или охладени: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Моркови и репи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Грозде, прясно или сушено:</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lastRenderedPageBreak/>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Свежо:</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Трапезно</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Кайсии, череши, праскови (включително брюнони и нектарини), сливи и трънки, пресни: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Череши: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Вишни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Плодове, неварени или варени във вода или на пара, замразени, дори с добавка на захар или други подсладители:</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Череши: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Вишни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Колбаси и подобни продукти от месо, карантии или кръв; приготвени храни на база на тези продукти:</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Колбаси, сухи или за намазване, без топлинна обработка</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Други приготвени храни и консерви от месо, карантии или кръв:</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Приготвени храни, хомогенизирани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черен дроб от всякакви животни: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домашните птици от № 0105:</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От пуйки: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Съдържащи тегловно 57 % или повече месо или карантии от домашни птици: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петли и кокошки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свине: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Съдържащи тегловно 57 % или повече месо или карантии от домашни птици: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Без топлинна обработка</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Съдържащи тегловно 25% или повече, но по-малко от 57% месо или карантии от домашни птици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Бутове и разфасовки от тях:</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От домашни свине</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 включително смесите: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От домашни свине:</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Съдържащи тегловно 80 % или повече месо или карантии, от всякакви видове, включително сланината и мазнините от всякакъв вид или произход:</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Други смеси, съдържащи бутове, плешки, котлети или вратове и разфасовки от тях</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Съдържащи тегловно 40% или повече, но по-малко от 80% месо или карантии от всякакви видове, включително сланината и мазнините от всякакъв вид или произход</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Съдържащи тегловно по-малко от 40 % месо или карантии, от всякакви видове, включително сланината и мазнините от всякакъв вид или произход</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От животни от рода на едрия рогат добитък:</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„Corned beef“, в херметически затворени опаковки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Други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Захар от захарна тръстика или от цвекло и химически чиста захароза, в твърдо състояние:</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Друга:</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 ароматизиращи или оцветяващи добавки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Бяла захар</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Зеленчуци, плодове и други годни за консумация части от растения, приготвени или консервирани с оцет или с оцетна киселина:</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Краставици и корнишони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Сладки пиперки</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Други зеленчуци, приготвени или консервирани по начин, различен от този с оцет или с оцетна киселина, незамразени, различни от продуктите от № 2006:</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 зеленчуци и смеси от зеленчуци: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Смеси от зеленчуци</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Кисело зеле</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Вносът в Босна и Херцеговина на следните продукти е предмет на определените по-долу отстъпки. За внос извън съответната квота се прилага митническата ставка за НОН. За 2017 г. се прилага пълният размер на квотата, независимо от датата на влизане в сила на Протокола или началната дата на временното му прилагане.</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Код по КН</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Описание</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Тарифна квота (тонове)</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От 1.1.2017 г.</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От 1.1.2018 г.</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От 1.1.2019 г.</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Мляко и сметана, неконцентрирани, нито подсладени със захар или други подсладители:</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С тегловно съдържание на мазнини, превишаващо 1 %, но непревишаващо 6 %: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Непревишаващо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В директни опаковки, с нетно съдържание, непревишаващо 2 l</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Превишаващо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В директни опаковки, с нетно съдържание, непревишаващо 2 l</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Кисело мляко:</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Неароматизирано, без прибавка на плодове, ядки или какао:</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Без прибавка на захар или други подсладители и с тегловно съдържание на мазнини: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Непревишаващо 3 %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Превишаващо 3 %, но непревишаващо 6 %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Неароматизирани, без прибавка на плодове, ядки или какао:</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 Без прибавка на захар или други подсладители и с тегловно съдържание на мазнини: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Превишаващо 6 %</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Колбаси и подобни продукти от месо, карантии или кръв; приготвени храни на база на тези продукти:</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Други</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ПРИЛОЖЕНИЕ 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„ПРИЛОЖЕНИЕ IVa</w:t>
      </w:r>
      <w:r>
        <w:rPr>
          <w:rStyle w:val="Corpsdutexte9"/>
          <w:rFonts w:eastAsiaTheme="minorHAnsi"/>
          <w:i/>
          <w:noProof/>
          <w:sz w:val="20"/>
        </w:rPr>
        <w:br/>
      </w:r>
      <w:r>
        <w:rPr>
          <w:rStyle w:val="Corpsdutexte9"/>
          <w:rFonts w:eastAsiaTheme="minorHAnsi"/>
          <w:b/>
          <w:noProof/>
          <w:sz w:val="20"/>
        </w:rPr>
        <w:br/>
        <w:t>МИТА, ПРИЛАГАНИ ПРИ ВНОС В ЕВРОПЕЙСКЯ СЪЮЗ НА СТОКИ С ПРОИЗХОД ОТ БОСНА И ХЕРЦЕГОВИНА</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(посочени в член 28, параграф 1а от ССА)</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rPr>
            </w:pPr>
            <w:r>
              <w:rPr>
                <w:noProof/>
                <w:sz w:val="20"/>
              </w:rPr>
              <w:t>От датата на влизане в сила на Протокола с оглед на присъединяването на Хърватия към Европейския съюз или от началната дата на временното му прилагане вносът от Босна и Херцеговина в Европейския съюз е предмет на посочените по-долу отстъпки. За 2017 г. се прилага пълният размер на квотата, независимо от датата на влизане в сила на Протокола или началната дата на временното му прилагане.</w:t>
            </w:r>
          </w:p>
        </w:tc>
      </w:tr>
    </w:tbl>
    <w:p>
      <w:pPr>
        <w:spacing w:after="0"/>
        <w:rPr>
          <w:noProof/>
          <w:sz w:val="20"/>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Кодове по КН</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Описание</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Обем на тарифната квота (в тонове)</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noProof/>
                <w:sz w:val="20"/>
              </w:rPr>
              <w:t xml:space="preserve">Митническа ставка </w:t>
            </w:r>
            <w:r>
              <w:rPr>
                <w:b/>
                <w:bCs/>
                <w:noProof/>
                <w:sz w:val="20"/>
              </w:rPr>
              <w:br/>
            </w:r>
            <w:r>
              <w:rPr>
                <w:b/>
                <w:noProof/>
                <w:sz w:val="20"/>
              </w:rPr>
              <w:t>в рамките на квотата</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noProof/>
                <w:sz w:val="20"/>
              </w:rPr>
              <w:t xml:space="preserve">Митническа ставка </w:t>
            </w:r>
            <w:r>
              <w:rPr>
                <w:b/>
                <w:bCs/>
                <w:noProof/>
                <w:sz w:val="20"/>
              </w:rPr>
              <w:br/>
            </w:r>
            <w:r>
              <w:rPr>
                <w:b/>
                <w:noProof/>
                <w:sz w:val="20"/>
              </w:rPr>
              <w:t>над квотата</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Пъстърви (</w:t>
            </w:r>
            <w:r>
              <w:rPr>
                <w:i/>
                <w:noProof/>
                <w:sz w:val="20"/>
              </w:rPr>
              <w:t xml:space="preserve">Salmo trutta, Oncorhynchus mykiss, Oncorhynchus clarki, Oncorhynchus aguabonita, Oncorhynchus gilae, Oncorhynchus apache </w:t>
            </w:r>
            <w:r>
              <w:rPr>
                <w:noProof/>
                <w:sz w:val="20"/>
              </w:rPr>
              <w:t xml:space="preserve">и </w:t>
            </w:r>
            <w:r>
              <w:rPr>
                <w:i/>
                <w:noProof/>
                <w:sz w:val="20"/>
              </w:rPr>
              <w:t>Oncorhynchus chrysogaster</w:t>
            </w:r>
            <w:r>
              <w:rPr>
                <w:noProof/>
                <w:sz w:val="20"/>
              </w:rPr>
              <w:t>):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lastRenderedPageBreak/>
              <w:t>ex 0305 10 00</w:t>
            </w:r>
          </w:p>
          <w:p>
            <w:pPr>
              <w:spacing w:after="0"/>
              <w:jc w:val="right"/>
              <w:rPr>
                <w:noProof/>
                <w:sz w:val="20"/>
              </w:rPr>
            </w:pPr>
            <w:r>
              <w:rPr>
                <w:noProof/>
                <w:sz w:val="20"/>
              </w:rPr>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lastRenderedPageBreak/>
              <w:t>Шарани (</w:t>
            </w:r>
            <w:r>
              <w:rPr>
                <w:i/>
                <w:noProof/>
                <w:sz w:val="20"/>
              </w:rPr>
              <w:t xml:space="preserve">Cyprinus carpio, Carassius carassius, Ctenopharyngodon idellus, Hypophthalmichthys </w:t>
            </w:r>
            <w:r>
              <w:rPr>
                <w:noProof/>
                <w:sz w:val="20"/>
              </w:rPr>
              <w:t>spp.</w:t>
            </w:r>
            <w:r>
              <w:rPr>
                <w:i/>
                <w:noProof/>
                <w:sz w:val="20"/>
              </w:rPr>
              <w:t xml:space="preserve">, Cirrhinus </w:t>
            </w:r>
            <w:r>
              <w:rPr>
                <w:noProof/>
                <w:sz w:val="20"/>
              </w:rPr>
              <w:t>spp.</w:t>
            </w:r>
            <w:r>
              <w:rPr>
                <w:i/>
                <w:noProof/>
                <w:sz w:val="20"/>
              </w:rPr>
              <w:t>, Mylopharyngodon piceus</w:t>
            </w:r>
            <w:r>
              <w:rPr>
                <w:noProof/>
                <w:sz w:val="20"/>
              </w:rPr>
              <w:t xml:space="preserve">) живи; пресни или охладени; замразени; сушени, осолени или в саламура, пушени; филета и други меса от риби; брашна, прахове и агломерати под формата на </w:t>
            </w:r>
            <w:r>
              <w:rPr>
                <w:noProof/>
                <w:sz w:val="20"/>
              </w:rPr>
              <w:lastRenderedPageBreak/>
              <w:t>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lastRenderedPageBreak/>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lastRenderedPageBreak/>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 xml:space="preserve">Морски каракуди от видовете </w:t>
            </w:r>
            <w:r>
              <w:rPr>
                <w:i/>
                <w:noProof/>
                <w:sz w:val="20"/>
              </w:rPr>
              <w:t>Dentex dentex</w:t>
            </w:r>
            <w:r>
              <w:rPr>
                <w:noProof/>
                <w:sz w:val="20"/>
              </w:rPr>
              <w:t xml:space="preserve"> (зубани) и </w:t>
            </w:r>
            <w:r>
              <w:rPr>
                <w:i/>
                <w:noProof/>
                <w:sz w:val="20"/>
              </w:rPr>
              <w:t>Pagellus</w:t>
            </w:r>
            <w:r>
              <w:rPr>
                <w:noProof/>
                <w:sz w:val="20"/>
              </w:rPr>
              <w:t xml:space="preserve"> spp. (пагели):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r>
              <w:rPr>
                <w:noProof/>
                <w:sz w:val="20"/>
                <w:lang w:val="it-IT"/>
              </w:rPr>
              <w:t> </w:t>
            </w:r>
            <w:r>
              <w:rPr>
                <w:noProof/>
                <w:sz w:val="20"/>
              </w:rPr>
              <w:t>%</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w:t>
            </w:r>
            <w:r>
              <w:rPr>
                <w:noProof/>
                <w:sz w:val="20"/>
                <w:lang w:val="it-IT"/>
              </w:rPr>
              <w:t> </w:t>
            </w:r>
            <w:r>
              <w:rPr>
                <w:noProof/>
                <w:sz w:val="20"/>
              </w:rPr>
              <w:t>%</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 xml:space="preserve">Риби от вида </w:t>
            </w:r>
            <w:r>
              <w:rPr>
                <w:i/>
                <w:noProof/>
                <w:sz w:val="20"/>
              </w:rPr>
              <w:t>Dicentrarchus labrax</w:t>
            </w:r>
            <w:r>
              <w:rPr>
                <w:noProof/>
                <w:sz w:val="20"/>
              </w:rPr>
              <w:t xml:space="preserve"> (лавраци): живи; пресни или охладени; замразени; сушени, осолени или в саламура, пушени; филета и други меса от риби; брашна, прахове и агломерати под формата на гранули, годни за консумация от човека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от митническата ставка за НОН</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Приготвени храни и консерви от сардини</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Приготвени храни и консерви от аншоа</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bl>
    <w:p>
      <w:pPr>
        <w:spacing w:after="0"/>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before="0" w:after="0"/>
              <w:rPr>
                <w:noProof/>
                <w:sz w:val="20"/>
              </w:rPr>
            </w:pPr>
            <w:r>
              <w:rPr>
                <w:noProof/>
                <w:sz w:val="20"/>
              </w:rPr>
              <w:t xml:space="preserve">Митническата ставка, прилагана за всички продукти по ХС позиция № 1604, с изключение на приготвените храни и консервите от сардини и аншоа, се намалява до 70 % от митническата ставка </w:t>
            </w:r>
            <w:r>
              <w:rPr>
                <w:noProof/>
                <w:sz w:val="20"/>
              </w:rPr>
              <w:lastRenderedPageBreak/>
              <w:t xml:space="preserve">за НОН. </w:t>
            </w:r>
          </w:p>
          <w:p>
            <w:pPr>
              <w:spacing w:before="0"/>
              <w:rPr>
                <w:noProof/>
                <w:sz w:val="20"/>
              </w:rPr>
            </w:pPr>
          </w:p>
        </w:tc>
      </w:tr>
    </w:tbl>
    <w:p>
      <w:pPr>
        <w:spacing w:before="0" w:after="200" w:line="276" w:lineRule="auto"/>
        <w:jc w:val="left"/>
        <w:rPr>
          <w:noProof/>
        </w:rPr>
      </w:pPr>
      <w:r>
        <w:rPr>
          <w:noProof/>
        </w:rPr>
        <w:lastRenderedPageBreak/>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ПРИЛОЖЕНИЕ III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„ПРИЛОЖЕНИЕ III КЪМ ПРОТОКОЛ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t>ТАРИФНИ ОТСТЪПКИ НА БОСНА И ХЕРЦЕГОВИНА ЗА ПРЕРАБОТЕНИ СЕЛСКОСТОПАНСКИ ПРОДУКТИ С ПРОИЗХОД ОТ ЕВРОПЕЙСКИЯ СЪЮЗ</w:t>
      </w:r>
    </w:p>
    <w:p>
      <w:pPr>
        <w:spacing w:after="0"/>
        <w:ind w:left="180"/>
        <w:jc w:val="center"/>
        <w:rPr>
          <w:b/>
          <w:noProof/>
          <w:sz w:val="20"/>
        </w:rPr>
      </w:pPr>
      <w:r>
        <w:rPr>
          <w:noProof/>
          <w:sz w:val="20"/>
        </w:rPr>
        <w:br/>
      </w:r>
      <w:r>
        <w:rPr>
          <w:b/>
          <w:noProof/>
          <w:sz w:val="20"/>
        </w:rPr>
        <w:t>(посочени в член 25 от ССА)</w:t>
      </w:r>
    </w:p>
    <w:p>
      <w:pPr>
        <w:spacing w:after="0"/>
        <w:ind w:left="180"/>
        <w:rPr>
          <w:noProof/>
          <w:sz w:val="20"/>
        </w:rPr>
      </w:pPr>
    </w:p>
    <w:p>
      <w:pPr>
        <w:spacing w:after="0"/>
        <w:ind w:left="40" w:right="200"/>
        <w:rPr>
          <w:noProof/>
          <w:sz w:val="20"/>
        </w:rPr>
      </w:pPr>
      <w:r>
        <w:rPr>
          <w:rStyle w:val="Corpsdutexte"/>
          <w:rFonts w:eastAsiaTheme="minorHAnsi"/>
          <w:noProof/>
          <w:sz w:val="20"/>
        </w:rPr>
        <w:t>От датата на влизане в сила на Протокола с оглед на присъединяването на Хърватия към Европейския съюз или от началната дата на временното му прилагане се премахва вносното мито в рамките на количествата от тарифните квоти, посочени по-долу. За внесените количества извън съответната квота се прилага митническата ставка за НОН.</w:t>
      </w:r>
      <w:r>
        <w:rPr>
          <w:noProof/>
          <w:sz w:val="20"/>
        </w:rPr>
        <w:t xml:space="preserve"> За 2017 г. се прилага пълният размер на квотата, независимо от датата на влизане в сила на Протокола или началната дата на временното му прилагане.</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Код по КН</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noProof/>
                <w:sz w:val="20"/>
              </w:rPr>
              <w:t>Описание</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Тарифна квота (тонове)</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Кисело мляко: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Ароматизирано или с прибавка на плодове, ядки или какао: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Друго, с тегловно съдържание на млечни мазнини: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Непревишаващо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Превишаващо 3 %, но непревишаващо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Превишаващо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Ароматизирани или с прибавка на плодове, ядки или какао: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 с тегловно съдържание на млечни мазнини: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Непревишаващи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Превишаващи 3 %, но непревишаващи 6 %</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Сладки бисквити; гофрети и вафли: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Сладки бисквити: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Изцяло или частично покрити с шоколад или с други продукти, съдържащи какао:</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Гофрети и вафли: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-Изцяло или частично покрити с шоколад или с други продукти, съдържащи какао:</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Други</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Други: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Други: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Бисквити</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Етилов алкохол, неденатуриран, с алкохолно съдържание по обем под 80 % vol; дестилати, ликьори и други спиртни напитки:</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Дестилати от вино или от гроздови джибри: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В съдове с вместимост, непревишаваща 2 l</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Други:</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Гроздова и гроздова джиброва дестилатна спиртна напитка</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Други</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Пури (включително тези с отрязани краища), пурети и цигари от тютюн или от заместители на тютюна:</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Цигари, съдържащи тютюн:</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Други</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lastRenderedPageBreak/>
        <w:t>ПРИЛОЖЕНИЕ IV</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„ИЗМЕНЕНИЯ НА ПРИЛОЖЕНИЕ I КЪМ ПРОТОКОЛ 7</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Таблицата в точка 1 от приложение I към протокол 7 за внос на вина в Европейския съюз се заменя със следната таблица:</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07"/>
              <w:gridCol w:w="2543"/>
              <w:gridCol w:w="1578"/>
              <w:gridCol w:w="1508"/>
              <w:gridCol w:w="1854"/>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Код по КН</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Описание</w:t>
                  </w:r>
                  <w:r>
                    <w:rPr>
                      <w:b/>
                      <w:bCs/>
                      <w:noProof/>
                      <w:sz w:val="20"/>
                    </w:rPr>
                    <w:br/>
                  </w:r>
                  <w:r>
                    <w:rPr>
                      <w:b/>
                      <w:noProof/>
                      <w:sz w:val="20"/>
                    </w:rPr>
                    <w:t>(съгласно член 2, параграф 1, буква б) от протокол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Приложимо мито</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Количества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Специфични разпоредби</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Качествено пенливо вино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освободено</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rPr>
                    <w:t>(</w:t>
                  </w:r>
                  <w:r>
                    <w:rPr>
                      <w:noProof/>
                      <w:sz w:val="20"/>
                      <w:vertAlign w:val="superscript"/>
                    </w:rPr>
                    <w:t>1</w:t>
                  </w:r>
                  <w:r>
                    <w:rPr>
                      <w:noProof/>
                      <w:sz w:val="20"/>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Вино от прясно грозде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Вино от прясно грозде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освободено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w:t>
                  </w:r>
                  <w:r>
                    <w:rPr>
                      <w:noProof/>
                      <w:sz w:val="20"/>
                      <w:vertAlign w:val="superscript"/>
                    </w:rPr>
                    <w:t>1</w:t>
                  </w:r>
                  <w:r>
                    <w:rPr>
                      <w:noProof/>
                      <w:sz w:val="20"/>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rPr>
                  </w:pPr>
                  <w:r>
                    <w:rPr>
                      <w:noProof/>
                      <w:sz w:val="20"/>
                    </w:rPr>
                    <w:t>(1) По искане на една от страните може да се проведат консултации за адаптиране на квотите, като се прехвърлят количества от квотата, приложима за позиция ex 2204 29, към квотата, приложима за позиции ex 2204 10 и ex 2204 21. За 2017 г. се прилага пълният размер на квотите, независимо от датата на влизане в сила на Протокола или началната дата на временното му прилагане.</w:t>
                  </w:r>
                  <w:r>
                    <w:rPr>
                      <w:b/>
                      <w:noProof/>
                      <w:sz w:val="20"/>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Таблицата в точка 3 от приложение I към протокол 7 относно вноса на вина в Босна и Херцеговина се заменя със следната таблица:</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29"/>
              <w:gridCol w:w="1915"/>
              <w:gridCol w:w="1196"/>
              <w:gridCol w:w="1277"/>
              <w:gridCol w:w="1286"/>
              <w:gridCol w:w="1287"/>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Код по митническата тарифа на Босна и Херцеговина</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Описание на стоката (в съответствие с член 2, параграф 1, буква а) от протокол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Приложимо мито</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Количества, считано от 1.1.2017 г.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 xml:space="preserve">Количества, считано от 1.1.2018 г. </w:t>
                  </w:r>
                  <w:r>
                    <w:rPr>
                      <w:b/>
                      <w:bCs/>
                      <w:noProof/>
                      <w:sz w:val="20"/>
                    </w:rPr>
                    <w:br/>
                  </w:r>
                  <w:r>
                    <w:rPr>
                      <w:b/>
                      <w:noProof/>
                      <w:sz w:val="20"/>
                    </w:rP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noProof/>
                      <w:sz w:val="20"/>
                    </w:rPr>
                    <w:t>Специфични разпоредби</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Качествено пенливо вино</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освободено</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rPr>
                    <w:t>(</w:t>
                  </w:r>
                  <w:r>
                    <w:rPr>
                      <w:noProof/>
                      <w:sz w:val="20"/>
                      <w:vertAlign w:val="superscript"/>
                    </w:rPr>
                    <w:t>2</w:t>
                  </w:r>
                  <w:r>
                    <w:rPr>
                      <w:noProof/>
                      <w:sz w:val="20"/>
                    </w:rPr>
                    <w:t>)</w:t>
                  </w:r>
                </w:p>
              </w:tc>
            </w:tr>
            <w:tr>
              <w:trPr>
                <w:trHeight w:val="647"/>
              </w:trP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Вино от прясно грозде</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rPr>
                  </w:pPr>
                  <w:r>
                    <w:rPr>
                      <w:noProof/>
                      <w:sz w:val="20"/>
                    </w:rPr>
                    <w:t>(</w:t>
                  </w:r>
                  <w:r>
                    <w:rPr>
                      <w:noProof/>
                      <w:sz w:val="20"/>
                      <w:vertAlign w:val="superscript"/>
                    </w:rPr>
                    <w:t>2</w:t>
                  </w:r>
                  <w:r>
                    <w:rPr>
                      <w:noProof/>
                      <w:sz w:val="20"/>
                    </w:rPr>
                    <w:t xml:space="preserve">) За 2017 г. се прилага пълният размер на квотите, независимо от датата на влизане в сила на Протокола или началната дата на временното му прилагане.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22: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6"/>
    <w:docVar w:name="DQCResult_UnknownFonts" w:val="0;0"/>
    <w:docVar w:name="DQCResult_UnknownStyles" w:val="0;1"/>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1AC155788EA44749AA879150ED7AB88"/>
    <w:docVar w:name="LW_CROSSREFERENCE" w:val="&lt;UNUSED&gt;"/>
    <w:docVar w:name="LW_DocType" w:val="ANNEX"/>
    <w:docVar w:name="LW_EMISSION" w:val="6.10.2016"/>
    <w:docVar w:name="LW_EMISSION_ISODATE" w:val="2016-10-0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76?\u1086?\u1073?\u1088?\u1103?\u1074?\u1072?\u1085?\u1077? \u1085?\u1072? \u1089?\u1082?\u1083?\u1102?\u1095?\u1074?\u1072?\u1085?\u1077?\u1090?\u1086?, \u1086?\u1090? \u1045?\u1074?\u1088?\u1086?\u1087?\u1077?\u1081?\u1089?\u1082?\u1072?\u1090?\u1072? \u1082?\u1086?\u1084?\u1080?\u1089?\u1080?\u1103?_x000b_\u1086?\u1090? \u1080?\u1084?\u1077?\u1090?\u1086? \u1085?\u1072? \u1045?\u1074?\u1088?\u1086?\u1087?\u1077?\u1081?\u1089?\u1082?\u1072?\u1090?\u1072? \u1086?\u1073?\u1097?\u1085?\u1086?\u1089?\u1090? \u1079?\u1072? \u1072?\u1090?\u1086?\u1084?\u1085?\u1072? \u1077?\u1085?\u1077?\u1088?\u1075?\u1080?\u1103?,_x000b_\u1085?\u1072? \u1055?\u1088?\u1086?\u1090?\u1086?\u1082?\u1086?\u1083?\u1072? \u1082?\u1098?\u1084? \u1057?\u1087?\u1086?\u1088?\u1072?\u1079?\u1091?\u1084?\u1077?\u1085?\u1080?\u1077?\u1090?\u1086? \u1079?\u1072? \u1089?\u1090?\u1072?\u1073?\u1080?\u1083?\u1080?\u1079?\u1080?\u1088?\u1072?\u1085?\u1077? \u1080? \u1072?\u1089?\u1086?\u1094?\u1080?\u1080?\u1088?\u1072?\u1085?\u1077? \u1084?\u1077?\u1078?\u1076?\u1091?_x000b_\u1045?\u1074?\u1088?\u1086?\u1087?\u1077?\u1081?\u1089?\u1082?\u1080?\u1090?\u1077? \u1086?\u1073?\u1097?\u1085?\u1086?\u1089?\u1090?\u1080? \u1080? \u1090?\u1077?\u1093?\u1085?\u1080?\u1090?\u1077? \u1076?\u1098?\u1088?\u1078?\u1072?\u1074?\u1080? \u1095?\u1083?\u1077?\u1085?\u1082?\u1080?, \u1086?\u1090? \u1077?\u1076?\u1085?\u1072? \u1089?\u1090?\u1088?\u1072?\u1085?\u1072?,_x000b_\u1080? \u1041?\u1086?\u1089?\u1085?\u1072? \u1080? \u1061?\u1077?\u1088?\u1094?\u1077?\u1075?\u1086?\u1074?\u1080?\u1085?\u1072?, \u1086?\u1090? \u1076?\u1088?\u1091?\u1075?\u1072? \u1089?\u1090?\u1088?\u1072?\u1085?\u1072?,_x000b_\u1089? \u1086?\u1075?\u1083?\u1077?\u1076? \u1085?\u1072?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6) 642"/>
    <w:docVar w:name="LW_REF.INTERNE" w:val="&lt;UNUSED&gt;"/>
    <w:docVar w:name="LW_SUPERTITRE" w:val="&lt;UNUSED&gt;"/>
    <w:docVar w:name="LW_TITRE.OBJ.CP" w:val="&lt;UNUSED&gt;"/>
    <w:docVar w:name="LW_TYPE.DOC.CP" w:val="\u1055?\u1056?\u1048?\u1051?\u1054?\u1046?\u1045?\u1053?\u1048?\u1045?"/>
    <w:docVar w:name="LW_TYPEACTEPRINCIPAL.CP" w:val="\u1055?\u1088?\u1077?\u1087?\u1086?\u1088?\u1098?\u1082?\u1072?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eastAsia="bg-BG"/>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bg-BG"/>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69F-B197-4FB0-B98E-3ECDD394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20</Pages>
  <Words>4319</Words>
  <Characters>19696</Characters>
  <Application>Microsoft Office Word</Application>
  <DocSecurity>0</DocSecurity>
  <Lines>1313</Lines>
  <Paragraphs>774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dcterms:created xsi:type="dcterms:W3CDTF">2016-10-03T13:37:00Z</dcterms:created>
  <dcterms:modified xsi:type="dcterms:W3CDTF">2016-10-05T08:22:00Z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