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1568AA9CAE94DEF8C9DE71F34D1448A" style="width:450.3pt;height:465.45pt">
            <v:imagedata r:id="rId8" o:title=""/>
          </v:shape>
        </w:pict>
      </w:r>
    </w:p>
    <w:p>
      <w:pPr>
        <w:pStyle w:val="Pagedecouverture"/>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globale"/>
        <w:spacing w:after="60"/>
        <w:rPr>
          <w:noProof/>
        </w:rPr>
      </w:pPr>
      <w:bookmarkStart w:id="0" w:name="_GoBack"/>
      <w:bookmarkEnd w:id="0"/>
      <w:r>
        <w:rPr>
          <w:noProof/>
        </w:rPr>
        <w:t>PROTOCOL</w:t>
      </w:r>
    </w:p>
    <w:p>
      <w:pPr>
        <w:spacing w:before="60" w:after="60"/>
        <w:ind w:right="-193"/>
        <w:jc w:val="center"/>
        <w:rPr>
          <w:b/>
          <w:noProof/>
        </w:rPr>
      </w:pPr>
    </w:p>
    <w:p>
      <w:pPr>
        <w:spacing w:before="60" w:after="60"/>
        <w:ind w:right="-193"/>
        <w:jc w:val="center"/>
        <w:rPr>
          <w:b/>
          <w:noProof/>
        </w:rPr>
      </w:pPr>
      <w:r>
        <w:rPr>
          <w:b/>
          <w:noProof/>
        </w:rPr>
        <w:t>to the Stabilisation and Association Agreement between the European Communities and their Member States, of the one part, and Bosnia and Herzegovina, of the other part, to take account of the accession of the Republic of Croatia to the European Union</w:t>
      </w:r>
    </w:p>
    <w:p>
      <w:pPr>
        <w:pStyle w:val="Point2"/>
        <w:spacing w:after="40"/>
        <w:ind w:left="0" w:firstLine="0"/>
        <w:rPr>
          <w:noProof/>
        </w:rPr>
      </w:pPr>
    </w:p>
    <w:p>
      <w:pPr>
        <w:pStyle w:val="Point2"/>
        <w:spacing w:after="40"/>
        <w:ind w:left="0" w:firstLine="0"/>
        <w:rPr>
          <w:noProof/>
        </w:rPr>
      </w:pPr>
      <w:r>
        <w:rPr>
          <w:noProof/>
        </w:rPr>
        <w:t>THE KINGDOM OF BELGIUM,</w:t>
      </w:r>
    </w:p>
    <w:p>
      <w:pPr>
        <w:pStyle w:val="Point2"/>
        <w:spacing w:after="40"/>
        <w:ind w:left="0" w:firstLine="0"/>
        <w:rPr>
          <w:noProof/>
        </w:rPr>
      </w:pPr>
      <w:r>
        <w:rPr>
          <w:noProof/>
        </w:rPr>
        <w:t>THE REPUBLIC OF BULGARIA,</w:t>
      </w:r>
    </w:p>
    <w:p>
      <w:pPr>
        <w:pStyle w:val="Point2"/>
        <w:spacing w:after="40"/>
        <w:ind w:left="0" w:firstLine="0"/>
        <w:rPr>
          <w:noProof/>
        </w:rPr>
      </w:pPr>
      <w:r>
        <w:rPr>
          <w:noProof/>
        </w:rPr>
        <w:t>THE CZECH REPUBLIC,</w:t>
      </w:r>
    </w:p>
    <w:p>
      <w:pPr>
        <w:pStyle w:val="Point2"/>
        <w:spacing w:after="40"/>
        <w:ind w:left="0" w:firstLine="0"/>
        <w:rPr>
          <w:noProof/>
        </w:rPr>
      </w:pPr>
      <w:r>
        <w:rPr>
          <w:noProof/>
        </w:rPr>
        <w:t>THE KINGDOM OF DENMARK,</w:t>
      </w:r>
    </w:p>
    <w:p>
      <w:pPr>
        <w:pStyle w:val="Point2"/>
        <w:spacing w:after="40"/>
        <w:ind w:left="0" w:firstLine="0"/>
        <w:rPr>
          <w:noProof/>
        </w:rPr>
      </w:pPr>
      <w:r>
        <w:rPr>
          <w:noProof/>
        </w:rPr>
        <w:t>THE FEDERAL REPUBLIC OF GERMANY,</w:t>
      </w:r>
    </w:p>
    <w:p>
      <w:pPr>
        <w:pStyle w:val="Point2"/>
        <w:spacing w:after="40"/>
        <w:ind w:left="0" w:firstLine="0"/>
        <w:rPr>
          <w:noProof/>
        </w:rPr>
      </w:pPr>
      <w:r>
        <w:rPr>
          <w:noProof/>
        </w:rPr>
        <w:t>THE REPUBLIC OF ESTONIA,</w:t>
      </w:r>
    </w:p>
    <w:p>
      <w:pPr>
        <w:pStyle w:val="Point2"/>
        <w:spacing w:after="40"/>
        <w:ind w:left="0" w:firstLine="0"/>
        <w:rPr>
          <w:noProof/>
        </w:rPr>
      </w:pPr>
      <w:r>
        <w:rPr>
          <w:noProof/>
        </w:rPr>
        <w:t>IRELAND,</w:t>
      </w:r>
    </w:p>
    <w:p>
      <w:pPr>
        <w:pStyle w:val="Point2"/>
        <w:spacing w:after="40"/>
        <w:ind w:left="0" w:firstLine="0"/>
        <w:rPr>
          <w:noProof/>
        </w:rPr>
      </w:pPr>
      <w:r>
        <w:rPr>
          <w:noProof/>
        </w:rPr>
        <w:t>THE HELLENIC REPUBLIC,</w:t>
      </w:r>
    </w:p>
    <w:p>
      <w:pPr>
        <w:pStyle w:val="Point2"/>
        <w:spacing w:after="40"/>
        <w:ind w:left="0" w:firstLine="0"/>
        <w:rPr>
          <w:noProof/>
        </w:rPr>
      </w:pPr>
      <w:r>
        <w:rPr>
          <w:noProof/>
        </w:rPr>
        <w:t>THE KINGDOM OF SPAIN,</w:t>
      </w:r>
    </w:p>
    <w:p>
      <w:pPr>
        <w:pStyle w:val="Point2"/>
        <w:spacing w:after="40"/>
        <w:ind w:left="0" w:firstLine="0"/>
        <w:rPr>
          <w:noProof/>
        </w:rPr>
      </w:pPr>
      <w:r>
        <w:rPr>
          <w:noProof/>
        </w:rPr>
        <w:t>THE FRENCH REPUBLIC,</w:t>
      </w:r>
    </w:p>
    <w:p>
      <w:pPr>
        <w:pStyle w:val="Point2"/>
        <w:spacing w:after="40"/>
        <w:ind w:left="0" w:firstLine="0"/>
        <w:rPr>
          <w:noProof/>
        </w:rPr>
      </w:pPr>
      <w:r>
        <w:rPr>
          <w:noProof/>
        </w:rPr>
        <w:t>THE REPUBLIC OF CROATIA,</w:t>
      </w:r>
    </w:p>
    <w:p>
      <w:pPr>
        <w:pStyle w:val="Point2"/>
        <w:spacing w:after="40"/>
        <w:ind w:left="0" w:firstLine="0"/>
        <w:rPr>
          <w:noProof/>
        </w:rPr>
      </w:pPr>
      <w:r>
        <w:rPr>
          <w:noProof/>
        </w:rPr>
        <w:t>THE ITALIAN REPUBLIC,</w:t>
      </w:r>
    </w:p>
    <w:p>
      <w:pPr>
        <w:pStyle w:val="Point2"/>
        <w:spacing w:after="40"/>
        <w:ind w:left="0" w:firstLine="0"/>
        <w:rPr>
          <w:noProof/>
        </w:rPr>
      </w:pPr>
      <w:r>
        <w:rPr>
          <w:noProof/>
        </w:rPr>
        <w:t>THE REPUBLIC OF CYPRUS,</w:t>
      </w:r>
    </w:p>
    <w:p>
      <w:pPr>
        <w:pStyle w:val="Point2"/>
        <w:spacing w:after="40"/>
        <w:ind w:left="0" w:firstLine="0"/>
        <w:rPr>
          <w:noProof/>
        </w:rPr>
      </w:pPr>
      <w:r>
        <w:rPr>
          <w:noProof/>
        </w:rPr>
        <w:t>THE REPUBLIC OF LATVIA,</w:t>
      </w:r>
    </w:p>
    <w:p>
      <w:pPr>
        <w:pStyle w:val="Point2"/>
        <w:spacing w:after="40"/>
        <w:ind w:left="0" w:firstLine="0"/>
        <w:rPr>
          <w:noProof/>
        </w:rPr>
      </w:pPr>
      <w:r>
        <w:rPr>
          <w:noProof/>
        </w:rPr>
        <w:t>THE REPUBLIC OF LITHUANIA,</w:t>
      </w:r>
    </w:p>
    <w:p>
      <w:pPr>
        <w:pStyle w:val="Point2"/>
        <w:spacing w:after="40"/>
        <w:ind w:left="0" w:firstLine="0"/>
        <w:rPr>
          <w:noProof/>
        </w:rPr>
      </w:pPr>
      <w:r>
        <w:rPr>
          <w:noProof/>
        </w:rPr>
        <w:t>THE GRAND DUCHY OF LUXEMBOURG,</w:t>
      </w:r>
    </w:p>
    <w:p>
      <w:pPr>
        <w:pStyle w:val="Point2"/>
        <w:spacing w:after="40"/>
        <w:ind w:left="0" w:firstLine="0"/>
        <w:rPr>
          <w:noProof/>
        </w:rPr>
      </w:pPr>
      <w:r>
        <w:rPr>
          <w:noProof/>
        </w:rPr>
        <w:t>HUNGARY,</w:t>
      </w:r>
    </w:p>
    <w:p>
      <w:pPr>
        <w:pStyle w:val="Point2"/>
        <w:spacing w:after="40"/>
        <w:ind w:left="0" w:firstLine="0"/>
        <w:rPr>
          <w:noProof/>
        </w:rPr>
      </w:pPr>
      <w:r>
        <w:rPr>
          <w:noProof/>
        </w:rPr>
        <w:t>THE REPUBLIC OF MALTA,</w:t>
      </w:r>
    </w:p>
    <w:p>
      <w:pPr>
        <w:pStyle w:val="Point2"/>
        <w:spacing w:after="40"/>
        <w:ind w:left="0" w:firstLine="0"/>
        <w:rPr>
          <w:noProof/>
        </w:rPr>
      </w:pPr>
      <w:r>
        <w:rPr>
          <w:noProof/>
        </w:rPr>
        <w:t>THE KINGDOM OF THE NETHERLANDS,</w:t>
      </w:r>
    </w:p>
    <w:p>
      <w:pPr>
        <w:pStyle w:val="Point2"/>
        <w:spacing w:after="40"/>
        <w:ind w:left="0" w:firstLine="0"/>
        <w:rPr>
          <w:noProof/>
        </w:rPr>
      </w:pPr>
      <w:r>
        <w:rPr>
          <w:noProof/>
        </w:rPr>
        <w:t>THE REPUBLIC OF AUSTRIA,</w:t>
      </w:r>
    </w:p>
    <w:p>
      <w:pPr>
        <w:pStyle w:val="Point2"/>
        <w:spacing w:after="40"/>
        <w:ind w:left="0" w:firstLine="0"/>
        <w:rPr>
          <w:noProof/>
        </w:rPr>
      </w:pPr>
      <w:r>
        <w:rPr>
          <w:noProof/>
        </w:rPr>
        <w:t>THE REPUBLIC OF POLAND,</w:t>
      </w:r>
    </w:p>
    <w:p>
      <w:pPr>
        <w:pStyle w:val="Point2"/>
        <w:spacing w:after="40"/>
        <w:ind w:left="0" w:firstLine="0"/>
        <w:rPr>
          <w:noProof/>
        </w:rPr>
      </w:pPr>
      <w:r>
        <w:rPr>
          <w:noProof/>
        </w:rPr>
        <w:t>THE PORTUGUESE REPUBLIC,</w:t>
      </w:r>
    </w:p>
    <w:p>
      <w:pPr>
        <w:pStyle w:val="Point2"/>
        <w:spacing w:after="40"/>
        <w:ind w:left="0" w:firstLine="0"/>
        <w:rPr>
          <w:noProof/>
        </w:rPr>
      </w:pPr>
      <w:r>
        <w:rPr>
          <w:noProof/>
        </w:rPr>
        <w:t>ROMANIA,</w:t>
      </w:r>
    </w:p>
    <w:p>
      <w:pPr>
        <w:pStyle w:val="Point2"/>
        <w:spacing w:after="40"/>
        <w:ind w:left="0" w:firstLine="0"/>
        <w:rPr>
          <w:noProof/>
        </w:rPr>
      </w:pPr>
      <w:r>
        <w:rPr>
          <w:noProof/>
        </w:rPr>
        <w:t>THE REPUBLIC OF SLOVENIA,</w:t>
      </w:r>
    </w:p>
    <w:p>
      <w:pPr>
        <w:pStyle w:val="Point2"/>
        <w:spacing w:after="40"/>
        <w:ind w:left="0" w:firstLine="0"/>
        <w:rPr>
          <w:noProof/>
        </w:rPr>
      </w:pPr>
      <w:r>
        <w:rPr>
          <w:noProof/>
        </w:rPr>
        <w:t>THE SLOVAK REPUBLIC,</w:t>
      </w:r>
    </w:p>
    <w:p>
      <w:pPr>
        <w:pStyle w:val="Point2"/>
        <w:spacing w:after="40"/>
        <w:ind w:left="0" w:firstLine="0"/>
        <w:rPr>
          <w:noProof/>
        </w:rPr>
      </w:pPr>
      <w:r>
        <w:rPr>
          <w:noProof/>
        </w:rPr>
        <w:t>THE REPUBLIC OF FINLAND,</w:t>
      </w:r>
    </w:p>
    <w:p>
      <w:pPr>
        <w:pStyle w:val="Point2"/>
        <w:spacing w:after="40"/>
        <w:ind w:left="0" w:firstLine="0"/>
        <w:rPr>
          <w:noProof/>
        </w:rPr>
      </w:pPr>
      <w:r>
        <w:rPr>
          <w:noProof/>
        </w:rPr>
        <w:t>THE KINGDOM OF SWEDEN,</w:t>
      </w:r>
    </w:p>
    <w:p>
      <w:pPr>
        <w:pStyle w:val="Point2"/>
        <w:ind w:left="0" w:hanging="1"/>
        <w:rPr>
          <w:noProof/>
        </w:rPr>
      </w:pPr>
      <w:r>
        <w:rPr>
          <w:noProof/>
        </w:rPr>
        <w:t>THE UNITED KINGDOM OF GREAT BRITAIN AND NORTHERN IRELAND</w:t>
      </w:r>
    </w:p>
    <w:p>
      <w:pPr>
        <w:rPr>
          <w:noProof/>
        </w:rPr>
      </w:pPr>
      <w:r>
        <w:rPr>
          <w:noProof/>
        </w:rPr>
        <w:t>Contracting Parties to the Treaty on European Union, the Treaty on the Functioning of the European Union and the Treaty establishing the European Atomic Energy Community, hereinafter referred to as the 'Member States', and</w:t>
      </w:r>
    </w:p>
    <w:p>
      <w:pPr>
        <w:rPr>
          <w:noProof/>
        </w:rPr>
      </w:pPr>
      <w:r>
        <w:rPr>
          <w:noProof/>
        </w:rPr>
        <w:t>THE EUROPEAN UNION and THE EUROPEAN ATOMIC ENERGY COMMUNITY,</w:t>
      </w:r>
    </w:p>
    <w:p>
      <w:pPr>
        <w:rPr>
          <w:noProof/>
        </w:rPr>
      </w:pPr>
      <w:r>
        <w:rPr>
          <w:noProof/>
        </w:rPr>
        <w:t>hereinafter referred to as 'the European Union',</w:t>
      </w:r>
    </w:p>
    <w:p>
      <w:pPr>
        <w:rPr>
          <w:noProof/>
        </w:rPr>
      </w:pPr>
      <w:r>
        <w:rPr>
          <w:noProof/>
        </w:rPr>
        <w:t>of the one part, and</w:t>
      </w:r>
    </w:p>
    <w:p>
      <w:pPr>
        <w:rPr>
          <w:noProof/>
        </w:rPr>
      </w:pPr>
      <w:r>
        <w:rPr>
          <w:noProof/>
        </w:rPr>
        <w:t xml:space="preserve">BOSNIA AND HERZEGOVINA, </w:t>
      </w:r>
    </w:p>
    <w:p>
      <w:pPr>
        <w:rPr>
          <w:noProof/>
        </w:rPr>
      </w:pPr>
      <w:r>
        <w:rPr>
          <w:noProof/>
        </w:rPr>
        <w:t>of the other part,</w:t>
      </w:r>
    </w:p>
    <w:p>
      <w:pPr>
        <w:rPr>
          <w:noProof/>
        </w:rPr>
      </w:pPr>
    </w:p>
    <w:p>
      <w:pPr>
        <w:rPr>
          <w:noProof/>
        </w:rPr>
      </w:pPr>
      <w:r>
        <w:rPr>
          <w:noProof/>
        </w:rPr>
        <w:t>Having regard to the accession of the Republic of Croatia (hereinafter referred to as 'Croatia') to the European Union on 1 July 2013,</w:t>
      </w:r>
    </w:p>
    <w:p>
      <w:pPr>
        <w:rPr>
          <w:noProof/>
        </w:rPr>
      </w:pPr>
      <w:r>
        <w:rPr>
          <w:noProof/>
        </w:rPr>
        <w:t>Whereas:</w:t>
      </w:r>
    </w:p>
    <w:p>
      <w:pPr>
        <w:pStyle w:val="ListNumber"/>
        <w:numPr>
          <w:ilvl w:val="0"/>
          <w:numId w:val="1"/>
        </w:numPr>
        <w:rPr>
          <w:noProof/>
        </w:rPr>
      </w:pPr>
      <w:r>
        <w:rPr>
          <w:noProof/>
        </w:rPr>
        <w:t>The Interim Agreement between the European Communities and their Member States, of the one part, and Bosnia and Herzegovina, of the other part, was signed in Luxemburg on 16 June 2008 and was in force from 1 July 2008 until 31 May 2015.</w:t>
      </w:r>
    </w:p>
    <w:p>
      <w:pPr>
        <w:pStyle w:val="ListNumber"/>
        <w:numPr>
          <w:ilvl w:val="0"/>
          <w:numId w:val="1"/>
        </w:numPr>
        <w:rPr>
          <w:noProof/>
        </w:rPr>
      </w:pPr>
      <w:r>
        <w:rPr>
          <w:noProof/>
        </w:rPr>
        <w:t>The Treaty concerning the accession of Croatia to the European Union (hereinafter referred to as 'the Treaty of Accession') was signed in Brussels on 9 December 2011.</w:t>
      </w:r>
    </w:p>
    <w:p>
      <w:pPr>
        <w:pStyle w:val="ListNumber"/>
        <w:numPr>
          <w:ilvl w:val="0"/>
          <w:numId w:val="1"/>
        </w:numPr>
        <w:rPr>
          <w:noProof/>
        </w:rPr>
      </w:pPr>
      <w:r>
        <w:rPr>
          <w:noProof/>
        </w:rPr>
        <w:t>Croatia acceded to the European Union on 1 July 2013.</w:t>
      </w:r>
    </w:p>
    <w:p>
      <w:pPr>
        <w:pStyle w:val="ListNumber"/>
        <w:numPr>
          <w:ilvl w:val="0"/>
          <w:numId w:val="1"/>
        </w:numPr>
        <w:rPr>
          <w:noProof/>
        </w:rPr>
      </w:pPr>
      <w:r>
        <w:rPr>
          <w:noProof/>
        </w:rPr>
        <w:t>The Stabilisation and Association Agreement between the European Communities and their Member States, of the one part, and Bosnia and Herzegovina of the other part (hereinafter referred to as 'SAA') was signed in Luxembourg on 16 June 2008 and entered into force on 1 June 2015.</w:t>
      </w:r>
    </w:p>
    <w:p>
      <w:pPr>
        <w:pStyle w:val="ListNumber"/>
        <w:numPr>
          <w:ilvl w:val="0"/>
          <w:numId w:val="1"/>
        </w:numPr>
        <w:rPr>
          <w:noProof/>
        </w:rPr>
      </w:pPr>
      <w:r>
        <w:rPr>
          <w:noProof/>
        </w:rPr>
        <w:t>Pursuant to Article 6(2) of the Act of Accession of Croatia, the accession of Croatia to the SAA shall be agreed by the conclusion of a protocol to the SAA.</w:t>
      </w:r>
    </w:p>
    <w:p>
      <w:pPr>
        <w:pStyle w:val="ListNumber"/>
        <w:numPr>
          <w:ilvl w:val="0"/>
          <w:numId w:val="1"/>
        </w:numPr>
        <w:rPr>
          <w:noProof/>
        </w:rPr>
      </w:pPr>
      <w:r>
        <w:rPr>
          <w:noProof/>
        </w:rPr>
        <w:t>Consultations pursuant to Article 37(3) of the SAA have taken place so as to ensure that account is taken of the mutual interests of the European Union and Bosnia and Herzegovina stated in that Agreement,</w:t>
      </w:r>
    </w:p>
    <w:p>
      <w:pPr>
        <w:rPr>
          <w:noProof/>
        </w:rPr>
      </w:pPr>
    </w:p>
    <w:p>
      <w:pPr>
        <w:rPr>
          <w:noProof/>
        </w:rPr>
      </w:pPr>
      <w:r>
        <w:rPr>
          <w:noProof/>
        </w:rPr>
        <w:t>HAVE AGREED AS FOLLOWS:</w:t>
      </w:r>
    </w:p>
    <w:p>
      <w:pPr>
        <w:rPr>
          <w:noProof/>
        </w:rPr>
      </w:pPr>
    </w:p>
    <w:p>
      <w:pPr>
        <w:pStyle w:val="SectionTitle"/>
        <w:spacing w:after="120"/>
        <w:rPr>
          <w:noProof/>
        </w:rPr>
      </w:pPr>
      <w:r>
        <w:rPr>
          <w:noProof/>
        </w:rPr>
        <w:t>Section I</w:t>
      </w:r>
    </w:p>
    <w:p>
      <w:pPr>
        <w:spacing w:after="60"/>
        <w:jc w:val="center"/>
        <w:rPr>
          <w:b/>
          <w:caps/>
          <w:noProof/>
        </w:rPr>
      </w:pPr>
      <w:r>
        <w:rPr>
          <w:b/>
          <w:caps/>
          <w:noProof/>
        </w:rPr>
        <w:t>Contracting Parties</w:t>
      </w:r>
    </w:p>
    <w:p>
      <w:pPr>
        <w:jc w:val="center"/>
        <w:rPr>
          <w:i/>
          <w:noProof/>
        </w:rPr>
      </w:pPr>
      <w:r>
        <w:rPr>
          <w:i/>
          <w:noProof/>
        </w:rPr>
        <w:t>Article 1</w:t>
      </w:r>
    </w:p>
    <w:p>
      <w:pPr>
        <w:rPr>
          <w:noProof/>
        </w:rPr>
      </w:pPr>
      <w:r>
        <w:rPr>
          <w:noProof/>
        </w:rPr>
        <w:t>Croatia shall be Party to the Stabilisation and Association Agreement between the European Communities and their Member States, of the one part, and Bosnia and Herzegovina of the other part (hereinafter referred to as 'SAA') signed in Luxembourg on 16 June 2008 and shall respectively adopt and take note, in the same manner as the other Member States of the European Union, of the texts of the SAA, as well as of the Joint Declarations, and the Unilateral Declarations annexed to the Final Act signed on the same date.</w:t>
      </w:r>
    </w:p>
    <w:p>
      <w:pPr>
        <w:pStyle w:val="SectionTitle"/>
        <w:spacing w:after="240"/>
        <w:rPr>
          <w:noProof/>
        </w:rPr>
      </w:pPr>
      <w:r>
        <w:rPr>
          <w:noProof/>
        </w:rPr>
        <w:t>Section II</w:t>
      </w:r>
    </w:p>
    <w:p>
      <w:pPr>
        <w:jc w:val="center"/>
        <w:rPr>
          <w:b/>
          <w:noProof/>
        </w:rPr>
      </w:pPr>
      <w:r>
        <w:rPr>
          <w:b/>
          <w:noProof/>
        </w:rPr>
        <w:t>ADJUSTMENTS TO THE TEXT OF THE SAA INCLUDING ITS ANNEXES AND PROTOCOLS</w:t>
      </w:r>
    </w:p>
    <w:p>
      <w:pPr>
        <w:pStyle w:val="SectionTitle"/>
        <w:spacing w:after="240"/>
        <w:rPr>
          <w:noProof/>
        </w:rPr>
      </w:pPr>
    </w:p>
    <w:p>
      <w:pPr>
        <w:jc w:val="center"/>
        <w:rPr>
          <w:b/>
          <w:i/>
          <w:noProof/>
        </w:rPr>
      </w:pPr>
      <w:r>
        <w:rPr>
          <w:b/>
          <w:i/>
          <w:caps/>
          <w:noProof/>
        </w:rPr>
        <w:t>AGricultural Products</w:t>
      </w:r>
    </w:p>
    <w:p>
      <w:pPr>
        <w:jc w:val="center"/>
        <w:rPr>
          <w:i/>
          <w:noProof/>
        </w:rPr>
      </w:pPr>
      <w:r>
        <w:rPr>
          <w:i/>
          <w:noProof/>
        </w:rPr>
        <w:t>Article 2</w:t>
      </w:r>
    </w:p>
    <w:p>
      <w:pPr>
        <w:jc w:val="center"/>
        <w:rPr>
          <w:i/>
          <w:noProof/>
        </w:rPr>
      </w:pPr>
      <w:r>
        <w:rPr>
          <w:i/>
          <w:noProof/>
        </w:rPr>
        <w:t>Agricultural Products sensu stricto</w:t>
      </w:r>
    </w:p>
    <w:p>
      <w:pPr>
        <w:rPr>
          <w:noProof/>
        </w:rPr>
      </w:pPr>
      <w:r>
        <w:rPr>
          <w:noProof/>
        </w:rPr>
        <w:t>1. In Article 27 (3) of the SAA the following new subparagraph two is added:</w:t>
      </w:r>
    </w:p>
    <w:p>
      <w:pPr>
        <w:ind w:left="284"/>
        <w:rPr>
          <w:noProof/>
        </w:rPr>
      </w:pPr>
      <w:r>
        <w:rPr>
          <w:noProof/>
        </w:rPr>
        <w:t xml:space="preserve">From the date of entry into force of the Protocol to take account of the accession of Croatia to the European Union or, in case this Protocol is applied provisionally, from the date of its provisional application, the annual tariff quota set out in the first subparagraph shall be 13 210 tonnes (net weight). </w:t>
      </w:r>
    </w:p>
    <w:p>
      <w:pPr>
        <w:rPr>
          <w:noProof/>
        </w:rPr>
      </w:pPr>
      <w:r>
        <w:rPr>
          <w:noProof/>
        </w:rPr>
        <w:t>2. In Article 27 of the SAA the following new paragraph 4a is added:</w:t>
      </w:r>
    </w:p>
    <w:p>
      <w:pPr>
        <w:ind w:left="284"/>
        <w:rPr>
          <w:noProof/>
        </w:rPr>
      </w:pPr>
      <w:r>
        <w:rPr>
          <w:noProof/>
        </w:rPr>
        <w:t>4a. In addition to paragraph 4, from the date of entry into force of the Protocol to take account of the accession of Croatia to the European Union or, in case this Protocol is applied provisionally, from the date of its provisional application Bosnia and Herzegovina shall abolish the customs duties applicable on imports of certain agricultural products originating in the Union, listed in Annex III (f) within the limit of the tariff quota indicated for the products concerned.</w:t>
      </w:r>
    </w:p>
    <w:p>
      <w:pPr>
        <w:ind w:left="284" w:hanging="284"/>
        <w:rPr>
          <w:noProof/>
        </w:rPr>
      </w:pPr>
      <w:r>
        <w:rPr>
          <w:noProof/>
        </w:rPr>
        <w:t xml:space="preserve">3. Annex I to this Protocol shall be added as Annex III (f) to the SAA and shall form an integral part of the SAA. </w:t>
      </w:r>
    </w:p>
    <w:p>
      <w:pPr>
        <w:spacing w:before="0"/>
        <w:jc w:val="center"/>
        <w:rPr>
          <w:i/>
          <w:noProof/>
        </w:rPr>
      </w:pPr>
      <w:r>
        <w:rPr>
          <w:i/>
          <w:noProof/>
        </w:rPr>
        <w:t>Article 3</w:t>
      </w:r>
    </w:p>
    <w:p>
      <w:pPr>
        <w:jc w:val="center"/>
        <w:rPr>
          <w:i/>
          <w:noProof/>
        </w:rPr>
      </w:pPr>
      <w:r>
        <w:rPr>
          <w:i/>
          <w:noProof/>
        </w:rPr>
        <w:t>Fish and fishery products</w:t>
      </w:r>
    </w:p>
    <w:p>
      <w:pPr>
        <w:rPr>
          <w:noProof/>
        </w:rPr>
      </w:pPr>
      <w:r>
        <w:rPr>
          <w:noProof/>
        </w:rPr>
        <w:t>1. In Article 28 of the SAA the following paragraph shall be added as paragraph 1a:</w:t>
      </w:r>
    </w:p>
    <w:p>
      <w:pPr>
        <w:ind w:left="284"/>
        <w:rPr>
          <w:noProof/>
        </w:rPr>
      </w:pPr>
      <w:r>
        <w:rPr>
          <w:noProof/>
        </w:rPr>
        <w:t>1a. From the date of entry into force of the Protocol to take account of the accession of Croatia to the European Union or, in case this Protocol is applied provisionally, from the date of its provisional application, the Union shall abolish all customs duties or charges having equivalent effect of fish and fishery products originating in Bosnia and Herzegovina, other than those listed in Annex IVa. Products listed in Annex IVa shall be subject to the provisions laid down therein.</w:t>
      </w:r>
    </w:p>
    <w:p>
      <w:pPr>
        <w:spacing w:after="240"/>
        <w:rPr>
          <w:noProof/>
        </w:rPr>
      </w:pPr>
      <w:r>
        <w:rPr>
          <w:noProof/>
        </w:rPr>
        <w:t>2. In Article 28 of the SAA the following paragraph shall be added as paragraph 3:</w:t>
      </w:r>
    </w:p>
    <w:p>
      <w:pPr>
        <w:spacing w:after="240"/>
        <w:ind w:left="284"/>
        <w:rPr>
          <w:noProof/>
          <w:lang w:val="en-US"/>
        </w:rPr>
      </w:pPr>
      <w:r>
        <w:rPr>
          <w:noProof/>
          <w:lang w:val="en-US"/>
        </w:rPr>
        <w:t xml:space="preserve">3. </w:t>
      </w:r>
      <w:r>
        <w:rPr>
          <w:noProof/>
        </w:rPr>
        <w:t xml:space="preserve">From the date of entry into force of the Protocol to take account of the accession of Croatia to the European Union or, in case this Protocol is applied provisionally, from the date of its provisional application, Bosnia and Herzegovina shall open a duty free quota for imports of live carp under CN code 0301 93 00 within the limit of an annual tariff quota of 75 tonnes. Imports outside the quota limits shall be </w:t>
      </w:r>
      <w:r>
        <w:rPr>
          <w:noProof/>
          <w:lang w:val="en-US"/>
        </w:rPr>
        <w:t>subject to the duties laid down in Annex V to the SAA.</w:t>
      </w:r>
    </w:p>
    <w:p>
      <w:pPr>
        <w:spacing w:after="240"/>
        <w:rPr>
          <w:noProof/>
        </w:rPr>
      </w:pPr>
      <w:r>
        <w:rPr>
          <w:noProof/>
          <w:lang w:val="en-US"/>
        </w:rPr>
        <w:t xml:space="preserve">3. </w:t>
      </w:r>
      <w:r>
        <w:rPr>
          <w:noProof/>
        </w:rPr>
        <w:t>Annex II to this Protocol shall be added as Annex IVa to the SAA and shall form an integral part of the SAA.</w:t>
      </w:r>
    </w:p>
    <w:p>
      <w:pPr>
        <w:jc w:val="center"/>
        <w:rPr>
          <w:i/>
          <w:noProof/>
        </w:rPr>
      </w:pPr>
      <w:r>
        <w:rPr>
          <w:i/>
          <w:noProof/>
        </w:rPr>
        <w:t>Article 4</w:t>
      </w:r>
    </w:p>
    <w:p>
      <w:pPr>
        <w:jc w:val="center"/>
        <w:rPr>
          <w:i/>
          <w:noProof/>
        </w:rPr>
      </w:pPr>
      <w:r>
        <w:rPr>
          <w:i/>
          <w:noProof/>
        </w:rPr>
        <w:t>Processed agricultural products</w:t>
      </w:r>
    </w:p>
    <w:p>
      <w:pPr>
        <w:rPr>
          <w:noProof/>
        </w:rPr>
      </w:pPr>
      <w:r>
        <w:rPr>
          <w:noProof/>
        </w:rPr>
        <w:t xml:space="preserve">Annex III to this Protocol shall be added as Annex III to Protocol 1 to the SAA and shall form an integral part of the SAA. </w:t>
      </w:r>
    </w:p>
    <w:p>
      <w:pPr>
        <w:spacing w:after="0"/>
        <w:jc w:val="center"/>
        <w:rPr>
          <w:i/>
          <w:noProof/>
        </w:rPr>
      </w:pPr>
      <w:r>
        <w:rPr>
          <w:i/>
          <w:noProof/>
        </w:rPr>
        <w:t>Article 5</w:t>
      </w:r>
    </w:p>
    <w:p>
      <w:pPr>
        <w:jc w:val="center"/>
        <w:rPr>
          <w:i/>
          <w:noProof/>
        </w:rPr>
      </w:pPr>
      <w:r>
        <w:rPr>
          <w:i/>
          <w:noProof/>
        </w:rPr>
        <w:t>Wine Agreement</w:t>
      </w:r>
    </w:p>
    <w:p>
      <w:pPr>
        <w:rPr>
          <w:noProof/>
        </w:rPr>
      </w:pPr>
      <w:r>
        <w:rPr>
          <w:noProof/>
        </w:rPr>
        <w:t>From the date of entry into force of the Protocol to take account of the accession of Croatia to the European Union or, in case this Protocol is applied provisionally, from the date of its provisional application, Annex I to Protocol 7 to the SAA referred to in Article 27 (5) of the SAA shall be amended as set out in Annex IV to this Protocol.</w:t>
      </w:r>
    </w:p>
    <w:p>
      <w:pPr>
        <w:rPr>
          <w:noProof/>
        </w:rPr>
      </w:pPr>
    </w:p>
    <w:p>
      <w:pPr>
        <w:pStyle w:val="SectionTitle"/>
        <w:spacing w:after="240"/>
        <w:rPr>
          <w:noProof/>
        </w:rPr>
      </w:pPr>
      <w:r>
        <w:rPr>
          <w:noProof/>
        </w:rPr>
        <w:t>Section III</w:t>
      </w:r>
      <w:r>
        <w:rPr>
          <w:noProof/>
        </w:rPr>
        <w:br/>
      </w:r>
      <w:r>
        <w:rPr>
          <w:noProof/>
        </w:rPr>
        <w:br/>
      </w:r>
      <w:r>
        <w:rPr>
          <w:noProof/>
          <w:sz w:val="24"/>
          <w:szCs w:val="24"/>
        </w:rPr>
        <w:t>GENERAL AND FINAL PROVISIONS</w:t>
      </w:r>
      <w:r>
        <w:rPr>
          <w:noProof/>
          <w:sz w:val="24"/>
          <w:szCs w:val="24"/>
        </w:rPr>
        <w:br/>
      </w:r>
    </w:p>
    <w:p>
      <w:pPr>
        <w:pStyle w:val="Default"/>
        <w:jc w:val="center"/>
        <w:rPr>
          <w:b/>
          <w:noProof/>
          <w:color w:val="auto"/>
        </w:rPr>
      </w:pPr>
      <w:r>
        <w:rPr>
          <w:i/>
          <w:noProof/>
          <w:color w:val="auto"/>
        </w:rPr>
        <w:t>Article 6</w:t>
      </w:r>
    </w:p>
    <w:p>
      <w:pPr>
        <w:rPr>
          <w:noProof/>
        </w:rPr>
      </w:pPr>
      <w:r>
        <w:rPr>
          <w:noProof/>
        </w:rPr>
        <w:t>This Protocol and the Annexes thereto shall form an integral part of the SAA.</w:t>
      </w:r>
      <w:r>
        <w:rPr>
          <w:noProof/>
        </w:rPr>
        <w:br/>
      </w:r>
    </w:p>
    <w:p>
      <w:pPr>
        <w:jc w:val="center"/>
        <w:rPr>
          <w:i/>
          <w:noProof/>
        </w:rPr>
      </w:pPr>
      <w:r>
        <w:rPr>
          <w:i/>
          <w:noProof/>
        </w:rPr>
        <w:t>Article 7</w:t>
      </w:r>
    </w:p>
    <w:p>
      <w:pPr>
        <w:rPr>
          <w:noProof/>
        </w:rPr>
      </w:pPr>
      <w:r>
        <w:rPr>
          <w:noProof/>
        </w:rPr>
        <w:t xml:space="preserve">1. This Protocol shall be approved by the European Union and its Member States and by Bosnia and Herzegovina in accordance with their own procedures. </w:t>
      </w:r>
    </w:p>
    <w:p>
      <w:pPr>
        <w:rPr>
          <w:noProof/>
        </w:rPr>
      </w:pPr>
      <w:r>
        <w:rPr>
          <w:noProof/>
        </w:rPr>
        <w:t>2. The Parties shall notify each other of the completion of the corresponding procedures referred to in paragraph 1. The instruments of approval shall be deposited with the General Secretariat of the Council of the European Union.</w:t>
      </w:r>
    </w:p>
    <w:p>
      <w:pPr>
        <w:rPr>
          <w:noProof/>
        </w:rPr>
      </w:pPr>
    </w:p>
    <w:p>
      <w:pPr>
        <w:jc w:val="center"/>
        <w:rPr>
          <w:i/>
          <w:noProof/>
        </w:rPr>
      </w:pPr>
      <w:r>
        <w:rPr>
          <w:i/>
          <w:noProof/>
        </w:rPr>
        <w:t>Article 8</w:t>
      </w:r>
    </w:p>
    <w:p>
      <w:pPr>
        <w:rPr>
          <w:noProof/>
        </w:rPr>
      </w:pPr>
      <w:r>
        <w:rPr>
          <w:noProof/>
        </w:rPr>
        <w:t>1. This Protocol shall enter into force on the first day of the first month following the date of the deposit of the last instrument of approval.</w:t>
      </w:r>
    </w:p>
    <w:p>
      <w:pPr>
        <w:rPr>
          <w:noProof/>
        </w:rPr>
      </w:pPr>
      <w:r>
        <w:rPr>
          <w:noProof/>
        </w:rPr>
        <w:t>2</w:t>
      </w:r>
      <w:r>
        <w:rPr>
          <w:noProof/>
          <w:szCs w:val="24"/>
        </w:rPr>
        <w:t>. If not all the instruments of approval of this Protocol have been deposited before the first day of the second month following the date of signature, this Protocol shall apply provisionally. The date of provisional application shall be the first day of the second month following the date of signature.</w:t>
      </w:r>
      <w:r>
        <w:rPr>
          <w:noProof/>
        </w:rPr>
        <w:t xml:space="preserve"> </w:t>
      </w:r>
    </w:p>
    <w:p>
      <w:pPr>
        <w:rPr>
          <w:noProof/>
        </w:rPr>
      </w:pPr>
    </w:p>
    <w:p>
      <w:pPr>
        <w:jc w:val="center"/>
        <w:rPr>
          <w:i/>
          <w:noProof/>
        </w:rPr>
      </w:pPr>
      <w:r>
        <w:rPr>
          <w:i/>
          <w:noProof/>
        </w:rPr>
        <w:t>Article 9</w:t>
      </w:r>
    </w:p>
    <w:p>
      <w:pPr>
        <w:rPr>
          <w:noProof/>
        </w:rPr>
      </w:pPr>
      <w:r>
        <w:rPr>
          <w:noProof/>
        </w:rPr>
        <w:t>This Protocol is drawn up in duplicate in the Bulgarian, Croatian, Czech, Danish, Dutch, English, Estonian, Irish, Finnish, French, German, Greek, Hungarian, Italian, Latvian, Lithuanian, Maltese, Polish, Portuguese, Romanian, Slovak, Slovene, Spanish, Swedish, Bosnian and Serbian languages, each of these texts being equally authentic.</w:t>
      </w:r>
    </w:p>
    <w:p>
      <w:pPr>
        <w:rPr>
          <w:noProof/>
        </w:rPr>
      </w:pPr>
      <w:r>
        <w:rPr>
          <w:noProof/>
        </w:rPr>
        <w:br w:type="page"/>
      </w:r>
    </w:p>
    <w:p>
      <w:pPr>
        <w:rPr>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i/>
          <w:noProof/>
        </w:rPr>
      </w:pPr>
    </w:p>
    <w:p>
      <w:pPr>
        <w:spacing w:before="0" w:after="240"/>
        <w:jc w:val="center"/>
        <w:rPr>
          <w:b/>
          <w:noProof/>
          <w:szCs w:val="24"/>
          <w:lang w:eastAsia="hr-HR"/>
        </w:rPr>
      </w:pPr>
      <w:r>
        <w:rPr>
          <w:b/>
          <w:noProof/>
          <w:szCs w:val="24"/>
          <w:lang w:eastAsia="hr-HR"/>
        </w:rPr>
        <w:t>ANNEXES</w:t>
      </w:r>
    </w:p>
    <w:p>
      <w:pPr>
        <w:rPr>
          <w:noProof/>
          <w:lang w:eastAsia="hr-HR"/>
        </w:rPr>
      </w:pPr>
      <w:r>
        <w:rPr>
          <w:noProof/>
          <w:lang w:eastAsia="hr-HR"/>
        </w:rPr>
        <w:br w:type="page"/>
      </w:r>
    </w:p>
    <w:p>
      <w:pPr>
        <w:spacing w:after="0"/>
        <w:ind w:left="180"/>
        <w:jc w:val="right"/>
        <w:rPr>
          <w:rStyle w:val="Corpsdutexte9"/>
          <w:rFonts w:eastAsiaTheme="minorHAnsi"/>
          <w:b/>
          <w:noProof/>
          <w:sz w:val="20"/>
        </w:rPr>
      </w:pPr>
      <w:r>
        <w:rPr>
          <w:rStyle w:val="Corpsdutexte9"/>
          <w:rFonts w:eastAsiaTheme="minorHAnsi"/>
          <w:b/>
          <w:noProof/>
          <w:sz w:val="20"/>
        </w:rPr>
        <w:t>ANNEX I</w:t>
      </w:r>
      <w:r>
        <w:rPr>
          <w:rStyle w:val="Corpsdutexte9"/>
          <w:rFonts w:eastAsiaTheme="minorHAnsi"/>
          <w:b/>
          <w:noProof/>
          <w:sz w:val="20"/>
        </w:rPr>
        <w:br/>
      </w:r>
      <w:r>
        <w:rPr>
          <w:rStyle w:val="Corpsdutexte9"/>
          <w:rFonts w:eastAsiaTheme="minorHAnsi"/>
          <w:b/>
          <w:noProof/>
          <w:sz w:val="20"/>
        </w:rPr>
        <w:br/>
      </w:r>
    </w:p>
    <w:p>
      <w:pPr>
        <w:spacing w:after="0"/>
        <w:ind w:left="180"/>
        <w:jc w:val="center"/>
        <w:rPr>
          <w:rStyle w:val="Corpsdutexte9"/>
          <w:rFonts w:eastAsiaTheme="minorHAnsi"/>
          <w:b/>
          <w:noProof/>
          <w:sz w:val="20"/>
        </w:rPr>
      </w:pPr>
    </w:p>
    <w:p>
      <w:pPr>
        <w:spacing w:after="0"/>
        <w:ind w:left="180"/>
        <w:jc w:val="center"/>
        <w:rPr>
          <w:rStyle w:val="Corpsdutexte9"/>
          <w:rFonts w:eastAsiaTheme="minorHAnsi"/>
          <w:i/>
          <w:noProof/>
          <w:sz w:val="20"/>
        </w:rPr>
      </w:pPr>
      <w:r>
        <w:rPr>
          <w:rStyle w:val="Corpsdutexte9"/>
          <w:rFonts w:eastAsiaTheme="minorHAnsi"/>
          <w:i/>
          <w:noProof/>
          <w:sz w:val="20"/>
        </w:rPr>
        <w:t>'ANNEX III (f)</w:t>
      </w:r>
    </w:p>
    <w:p>
      <w:pPr>
        <w:spacing w:after="0"/>
        <w:ind w:left="180"/>
        <w:jc w:val="center"/>
        <w:rPr>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TARIFF CONCESSIONS OF BOSNIA AND HERZEGOVINA FOR AGRICULTURAL PRIMARY PRODUCTS ORIGINATING IN THE EUROPEAN UNION</w:t>
      </w:r>
    </w:p>
    <w:p>
      <w:pPr>
        <w:spacing w:after="0"/>
        <w:ind w:left="180"/>
        <w:jc w:val="center"/>
        <w:rPr>
          <w:b/>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(Referred to in Article 27(4a) of the SAA)</w:t>
      </w:r>
    </w:p>
    <w:p>
      <w:pPr>
        <w:spacing w:after="0"/>
        <w:ind w:left="180"/>
        <w:rPr>
          <w:rStyle w:val="Corpsdutexte4"/>
          <w:rFonts w:eastAsiaTheme="minorHAnsi"/>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lang w:val="en-US"/>
              </w:rPr>
            </w:pPr>
            <w:r>
              <w:rPr>
                <w:noProof/>
                <w:sz w:val="20"/>
              </w:rPr>
              <w:t>From the date of entry into force or provisional application of the Protocol to take account of the accession of Croatia to the European Union, duty shall be abolished for the products below within the Tariff Quota quantities set out below. For imports out of quota the MFN duty rate shall apply. For the year 2017 the full amount of the quota shall apply, irrespective of the date of entry into force or provisional application of the Protocol.</w:t>
            </w:r>
          </w:p>
        </w:tc>
      </w:tr>
    </w:tbl>
    <w:p>
      <w:pPr>
        <w:spacing w:after="0"/>
        <w:ind w:left="40" w:right="200"/>
        <w:rPr>
          <w:noProof/>
          <w:sz w:val="20"/>
        </w:rPr>
      </w:pPr>
    </w:p>
    <w:tbl>
      <w:tblPr>
        <w:tblW w:w="9039" w:type="dxa"/>
        <w:tblCellSpacing w:w="0" w:type="dxa"/>
        <w:tblInd w:w="9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0"/>
        <w:gridCol w:w="6999"/>
        <w:gridCol w:w="1100"/>
      </w:tblGrid>
      <w:tr>
        <w:trPr>
          <w:trHeight w:val="227"/>
          <w:tblHeader/>
          <w:tblCellSpacing w:w="0" w:type="dxa"/>
        </w:trPr>
        <w:tc>
          <w:tcPr>
            <w:tcW w:w="0" w:type="auto"/>
            <w:tcBorders>
              <w:top w:val="single" w:sz="12" w:space="0" w:color="auto"/>
              <w:left w:val="nil"/>
              <w:bottom w:val="single" w:sz="12" w:space="0" w:color="auto"/>
              <w:right w:val="single" w:sz="12" w:space="0" w:color="auto"/>
            </w:tcBorders>
            <w:shd w:val="clear" w:color="auto" w:fill="C0C0C0"/>
            <w:vAlign w:val="center"/>
          </w:tcPr>
          <w:p>
            <w:pPr>
              <w:spacing w:before="40" w:after="40"/>
              <w:jc w:val="center"/>
              <w:rPr>
                <w:b/>
                <w:bCs/>
                <w:noProof/>
                <w:sz w:val="20"/>
              </w:rPr>
            </w:pPr>
            <w:r>
              <w:rPr>
                <w:b/>
                <w:bCs/>
                <w:noProof/>
                <w:sz w:val="20"/>
              </w:rPr>
              <w:t>CN Code</w:t>
            </w:r>
          </w:p>
        </w:tc>
        <w:tc>
          <w:tcPr>
            <w:tcW w:w="0" w:type="auto"/>
            <w:tcBorders>
              <w:top w:val="single" w:sz="12" w:space="0" w:color="auto"/>
              <w:left w:val="single" w:sz="12" w:space="0" w:color="auto"/>
              <w:bottom w:val="single" w:sz="12" w:space="0" w:color="auto"/>
              <w:right w:val="single" w:sz="12" w:space="0" w:color="auto"/>
            </w:tcBorders>
            <w:shd w:val="clear" w:color="auto" w:fill="C0C0C0"/>
            <w:vAlign w:val="center"/>
          </w:tcPr>
          <w:p>
            <w:pPr>
              <w:spacing w:before="40" w:after="40"/>
              <w:jc w:val="center"/>
              <w:rPr>
                <w:b/>
                <w:bCs/>
                <w:noProof/>
                <w:sz w:val="20"/>
              </w:rPr>
            </w:pPr>
            <w:r>
              <w:rPr>
                <w:b/>
                <w:bCs/>
                <w:noProof/>
                <w:sz w:val="20"/>
              </w:rPr>
              <w:t>Description</w:t>
            </w:r>
          </w:p>
        </w:tc>
        <w:tc>
          <w:tcPr>
            <w:tcW w:w="0" w:type="auto"/>
            <w:tcBorders>
              <w:top w:val="single" w:sz="12" w:space="0" w:color="auto"/>
              <w:left w:val="single" w:sz="12" w:space="0" w:color="auto"/>
              <w:bottom w:val="single" w:sz="12" w:space="0" w:color="auto"/>
              <w:right w:val="nil"/>
            </w:tcBorders>
            <w:shd w:val="clear" w:color="auto" w:fill="C0C0C0"/>
          </w:tcPr>
          <w:p>
            <w:pPr>
              <w:spacing w:before="40" w:after="40"/>
              <w:jc w:val="center"/>
              <w:rPr>
                <w:b/>
                <w:bCs/>
                <w:noProof/>
                <w:sz w:val="20"/>
              </w:rPr>
            </w:pPr>
            <w:r>
              <w:rPr>
                <w:b/>
                <w:bCs/>
                <w:noProof/>
                <w:sz w:val="20"/>
              </w:rPr>
              <w:t>Tariff quota (tonnes)</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0102</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Live bovine animals:</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Cattle: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0102 29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Of a weight exceeding 300 kg:</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Cows: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0102 29 61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 For slaughter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1 935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0102 29 91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 For slaughter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190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0103</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Live swine:</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0103 92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Weighing 50 kg or more: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Domestic species: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0103 92 11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Sows having farrowed at least once, of a weight of not less than 160 kg</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575</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0103 92 19</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Other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1 755</w:t>
            </w: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0103 92 90</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Other</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195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0105</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xml:space="preserve">Live poultry, that is to say, fowls of the species </w:t>
            </w:r>
            <w:r>
              <w:rPr>
                <w:i/>
                <w:noProof/>
                <w:sz w:val="20"/>
              </w:rPr>
              <w:t>Gallus domesticus</w:t>
            </w:r>
            <w:r>
              <w:rPr>
                <w:noProof/>
                <w:sz w:val="20"/>
              </w:rPr>
              <w:t>, ducks, geese, turkeys and guinea fowls:</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0105 94 00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xml:space="preserve">- - Fowls of the species </w:t>
            </w:r>
            <w:r>
              <w:rPr>
                <w:i/>
                <w:noProof/>
                <w:sz w:val="20"/>
              </w:rPr>
              <w:t>Gallus domesticus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1 455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0207</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Meat and edible offal, of the poultry of heading 0105, fresh, chilled or frozen:</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xml:space="preserve">- Of fowls of the species </w:t>
            </w:r>
            <w:r>
              <w:rPr>
                <w:i/>
                <w:noProof/>
                <w:sz w:val="20"/>
              </w:rPr>
              <w:t>Gallus domesticus</w:t>
            </w:r>
            <w:r>
              <w:rPr>
                <w:noProof/>
                <w:sz w:val="20"/>
              </w:rPr>
              <w:t>:</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Not cut in pieces, frozen:</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0207 12 90</w:t>
            </w:r>
          </w:p>
        </w:tc>
        <w:tc>
          <w:tcPr>
            <w:tcW w:w="0" w:type="auto"/>
            <w:tcBorders>
              <w:top w:val="nil"/>
              <w:left w:val="single" w:sz="4" w:space="0" w:color="auto"/>
              <w:bottom w:val="nil"/>
              <w:right w:val="single" w:sz="4" w:space="0" w:color="auto"/>
            </w:tcBorders>
            <w:shd w:val="clear" w:color="auto" w:fill="FFFFFF"/>
            <w:hideMark/>
          </w:tcPr>
          <w:p>
            <w:pPr>
              <w:spacing w:before="40" w:after="40"/>
              <w:ind w:left="375" w:hanging="375"/>
              <w:jc w:val="left"/>
              <w:rPr>
                <w:noProof/>
                <w:sz w:val="20"/>
              </w:rPr>
            </w:pPr>
            <w:r>
              <w:rPr>
                <w:noProof/>
                <w:sz w:val="20"/>
              </w:rPr>
              <w:t>- - - Plucked and drawn, without heads and feet and without necks, hearts, livers and gizzards, known as '65 % chickens', or otherwise presented</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80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Cuts and offal, fresh or chilled:</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Cuts: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Boneless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90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With bone in:</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0207 13 30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Whole wings, with or without tips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0207 13 60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Legs and cuts thereof</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320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Offal:</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0207 13 99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Other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25</w:t>
            </w:r>
          </w:p>
        </w:tc>
      </w:tr>
      <w:tr>
        <w:trPr>
          <w:tblCellSpacing w:w="0" w:type="dxa"/>
        </w:trPr>
        <w:tc>
          <w:tcPr>
            <w:tcW w:w="0" w:type="auto"/>
            <w:tcBorders>
              <w:top w:val="nil"/>
              <w:left w:val="nil"/>
              <w:bottom w:val="nil"/>
              <w:right w:val="single" w:sz="4" w:space="0" w:color="auto"/>
            </w:tcBorders>
            <w:shd w:val="clear" w:color="auto" w:fill="FFFFFF"/>
            <w:hideMark/>
          </w:tcPr>
          <w:p>
            <w:pPr>
              <w:keepLines/>
              <w:spacing w:before="40" w:after="40"/>
              <w:rPr>
                <w:noProof/>
                <w:sz w:val="20"/>
              </w:rPr>
            </w:pPr>
            <w:r>
              <w:rPr>
                <w:noProof/>
                <w:sz w:val="20"/>
              </w:rPr>
              <w:t>0207 14</w:t>
            </w:r>
          </w:p>
        </w:tc>
        <w:tc>
          <w:tcPr>
            <w:tcW w:w="0" w:type="auto"/>
            <w:tcBorders>
              <w:top w:val="nil"/>
              <w:left w:val="single" w:sz="4" w:space="0" w:color="auto"/>
              <w:bottom w:val="nil"/>
              <w:right w:val="single" w:sz="4" w:space="0" w:color="auto"/>
            </w:tcBorders>
            <w:shd w:val="clear" w:color="auto" w:fill="FFFFFF"/>
            <w:hideMark/>
          </w:tcPr>
          <w:p>
            <w:pPr>
              <w:keepLines/>
              <w:spacing w:before="40" w:after="40"/>
              <w:jc w:val="left"/>
              <w:rPr>
                <w:noProof/>
                <w:sz w:val="20"/>
              </w:rPr>
            </w:pPr>
            <w:r>
              <w:rPr>
                <w:noProof/>
                <w:sz w:val="20"/>
              </w:rPr>
              <w:t>- - Cuts and offal, frozen:</w:t>
            </w:r>
          </w:p>
        </w:tc>
        <w:tc>
          <w:tcPr>
            <w:tcW w:w="0" w:type="auto"/>
            <w:tcBorders>
              <w:top w:val="nil"/>
              <w:left w:val="single" w:sz="4" w:space="0" w:color="auto"/>
              <w:bottom w:val="nil"/>
              <w:right w:val="nil"/>
            </w:tcBorders>
            <w:shd w:val="clear" w:color="auto" w:fill="FFFFFF"/>
          </w:tcPr>
          <w:p>
            <w:pPr>
              <w:keepLines/>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keepLines/>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keepLines/>
              <w:spacing w:before="40" w:after="40"/>
              <w:jc w:val="left"/>
              <w:rPr>
                <w:noProof/>
                <w:sz w:val="20"/>
              </w:rPr>
            </w:pPr>
            <w:r>
              <w:rPr>
                <w:noProof/>
                <w:sz w:val="20"/>
              </w:rPr>
              <w:t>- - - Cuts:</w:t>
            </w:r>
          </w:p>
        </w:tc>
        <w:tc>
          <w:tcPr>
            <w:tcW w:w="0" w:type="auto"/>
            <w:tcBorders>
              <w:top w:val="nil"/>
              <w:left w:val="single" w:sz="4" w:space="0" w:color="auto"/>
              <w:bottom w:val="nil"/>
              <w:right w:val="nil"/>
            </w:tcBorders>
            <w:shd w:val="clear" w:color="auto" w:fill="FFFFFF"/>
          </w:tcPr>
          <w:p>
            <w:pPr>
              <w:keepLines/>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With bone in:</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0207 14 20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Halves or quarters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0207 14 60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Legs and cuts thereof</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Offal:</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0207 14 99</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Other</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50</w:t>
            </w: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Milk and cream, not concentrated nor containing added sugar or other sweetening matter:</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0401 40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Of a fat content, by weight, exceeding 6 % but not exceeding 10 %: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0401 40 10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In immediate packings of a net content not exceeding two litres</w:t>
            </w:r>
          </w:p>
        </w:tc>
        <w:tc>
          <w:tcPr>
            <w:tcW w:w="0" w:type="auto"/>
            <w:tcBorders>
              <w:top w:val="nil"/>
              <w:left w:val="single" w:sz="4" w:space="0" w:color="auto"/>
              <w:right w:val="nil"/>
            </w:tcBorders>
            <w:shd w:val="clear" w:color="auto" w:fill="FFFFFF"/>
          </w:tcPr>
          <w:p>
            <w:pPr>
              <w:spacing w:before="40" w:after="40"/>
              <w:jc w:val="right"/>
              <w:rPr>
                <w:noProof/>
                <w:sz w:val="20"/>
              </w:rPr>
            </w:pPr>
            <w:r>
              <w:rPr>
                <w:noProof/>
                <w:sz w:val="20"/>
              </w:rPr>
              <w:t>80</w:t>
            </w: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r>
              <w:rPr>
                <w:noProof/>
                <w:sz w:val="20"/>
              </w:rPr>
              <w:t>0401 50</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Of a fat content, by weight, exceeding 10 %: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right w:val="single" w:sz="4" w:space="0" w:color="auto"/>
            </w:tcBorders>
            <w:shd w:val="clear" w:color="auto" w:fill="FFFFFF"/>
          </w:tcPr>
          <w:p>
            <w:pPr>
              <w:spacing w:before="40" w:after="40"/>
              <w:rPr>
                <w:noProof/>
                <w:sz w:val="20"/>
              </w:rPr>
            </w:pP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Not exceeding 21 %:</w:t>
            </w:r>
          </w:p>
        </w:tc>
        <w:tc>
          <w:tcPr>
            <w:tcW w:w="0" w:type="auto"/>
            <w:tcBorders>
              <w:top w:val="nil"/>
              <w:left w:val="single" w:sz="4" w:space="0" w:color="auto"/>
              <w:right w:val="nil"/>
            </w:tcBorders>
            <w:shd w:val="clear" w:color="auto" w:fill="FFFFFF"/>
          </w:tcPr>
          <w:p>
            <w:pPr>
              <w:spacing w:before="40" w:after="40"/>
              <w:jc w:val="right"/>
              <w:rPr>
                <w:noProof/>
                <w:sz w:val="20"/>
              </w:rPr>
            </w:pPr>
          </w:p>
        </w:tc>
      </w:tr>
      <w:tr>
        <w:trPr>
          <w:trHeight w:val="283"/>
          <w:tblCellSpacing w:w="0" w:type="dxa"/>
        </w:trPr>
        <w:tc>
          <w:tcPr>
            <w:tcW w:w="0" w:type="auto"/>
            <w:tcBorders>
              <w:top w:val="nil"/>
              <w:left w:val="nil"/>
              <w:bottom w:val="single" w:sz="6" w:space="0" w:color="auto"/>
              <w:right w:val="single" w:sz="4" w:space="0" w:color="auto"/>
            </w:tcBorders>
            <w:shd w:val="clear" w:color="auto" w:fill="FFFFFF"/>
          </w:tcPr>
          <w:p>
            <w:pPr>
              <w:spacing w:before="40" w:after="40"/>
              <w:rPr>
                <w:noProof/>
                <w:sz w:val="20"/>
              </w:rPr>
            </w:pPr>
            <w:r>
              <w:rPr>
                <w:noProof/>
                <w:sz w:val="20"/>
              </w:rPr>
              <w:t>0401 50 11</w:t>
            </w:r>
          </w:p>
        </w:tc>
        <w:tc>
          <w:tcPr>
            <w:tcW w:w="0" w:type="auto"/>
            <w:tcBorders>
              <w:top w:val="nil"/>
              <w:left w:val="single" w:sz="4" w:space="0" w:color="auto"/>
              <w:bottom w:val="single" w:sz="6" w:space="0" w:color="auto"/>
              <w:right w:val="single" w:sz="4" w:space="0" w:color="auto"/>
            </w:tcBorders>
            <w:shd w:val="clear" w:color="auto" w:fill="FFFFFF"/>
          </w:tcPr>
          <w:p>
            <w:pPr>
              <w:spacing w:before="40" w:after="40"/>
              <w:jc w:val="left"/>
              <w:rPr>
                <w:noProof/>
                <w:sz w:val="20"/>
              </w:rPr>
            </w:pPr>
            <w:r>
              <w:rPr>
                <w:noProof/>
                <w:sz w:val="20"/>
              </w:rPr>
              <w:t>- - - In immediate packings of a net content not exceeding two litres</w:t>
            </w:r>
          </w:p>
        </w:tc>
        <w:tc>
          <w:tcPr>
            <w:tcW w:w="0" w:type="auto"/>
            <w:tcBorders>
              <w:top w:val="nil"/>
              <w:left w:val="single" w:sz="4" w:space="0" w:color="auto"/>
              <w:bottom w:val="single" w:sz="6" w:space="0" w:color="auto"/>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Milk and cream, concentrated or containing added sugar or other sweetening matter: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ind w:left="91" w:hanging="91"/>
              <w:jc w:val="left"/>
              <w:rPr>
                <w:noProof/>
                <w:sz w:val="20"/>
              </w:rPr>
            </w:pPr>
            <w:r>
              <w:rPr>
                <w:noProof/>
                <w:sz w:val="20"/>
              </w:rPr>
              <w:t>- In powder, granules or other solid forms, of a fat content, by weight, exceeding 1,5 %: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0402 21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Not containing added sugar or other sweetening matter: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Of a fat content, by weight, not exceeding 27 %: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0402 21 18</w:t>
            </w:r>
          </w:p>
        </w:tc>
        <w:tc>
          <w:tcPr>
            <w:tcW w:w="0" w:type="auto"/>
            <w:tcBorders>
              <w:top w:val="nil"/>
              <w:left w:val="single" w:sz="4" w:space="0" w:color="auto"/>
              <w:bottom w:val="single" w:sz="12" w:space="0" w:color="auto"/>
              <w:right w:val="single" w:sz="4" w:space="0" w:color="auto"/>
            </w:tcBorders>
            <w:shd w:val="clear" w:color="auto" w:fill="FFFFFF"/>
            <w:hideMark/>
          </w:tcPr>
          <w:p>
            <w:pPr>
              <w:spacing w:before="40" w:after="40"/>
              <w:jc w:val="left"/>
              <w:rPr>
                <w:noProof/>
                <w:sz w:val="20"/>
              </w:rPr>
            </w:pPr>
            <w:r>
              <w:rPr>
                <w:noProof/>
                <w:sz w:val="20"/>
              </w:rPr>
              <w:t>- - - - Other</w:t>
            </w:r>
          </w:p>
        </w:tc>
        <w:tc>
          <w:tcPr>
            <w:tcW w:w="0" w:type="auto"/>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25</w:t>
            </w: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Buttermilk, curdled milk and cream, yogurt, kephir and other fermented or acidified milk and cream, whether or not concentrated or containing added sugar or other sweetening matter or flavoured or containing added fruit, nuts or cocoa:</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0403 90</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Other:</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Not flavoured nor containing added fruit, nuts or cocoa:</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 Other:</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p>
        </w:tc>
        <w:tc>
          <w:tcPr>
            <w:tcW w:w="0" w:type="auto"/>
            <w:tcBorders>
              <w:top w:val="nil"/>
              <w:left w:val="single" w:sz="4" w:space="0" w:color="auto"/>
              <w:right w:val="single" w:sz="4" w:space="0" w:color="auto"/>
            </w:tcBorders>
            <w:shd w:val="clear" w:color="auto" w:fill="FFFFFF"/>
          </w:tcPr>
          <w:p>
            <w:pPr>
              <w:keepLines/>
              <w:spacing w:before="40" w:after="40"/>
              <w:ind w:left="419" w:hanging="419"/>
              <w:jc w:val="left"/>
              <w:rPr>
                <w:noProof/>
                <w:sz w:val="20"/>
              </w:rPr>
            </w:pPr>
            <w:r>
              <w:rPr>
                <w:noProof/>
                <w:sz w:val="20"/>
              </w:rPr>
              <w:t>- - - - Not containing added sugar or other sweetening matter, of a fat content, by weight:</w:t>
            </w:r>
          </w:p>
        </w:tc>
        <w:tc>
          <w:tcPr>
            <w:tcW w:w="0" w:type="auto"/>
            <w:tcBorders>
              <w:top w:val="nil"/>
              <w:left w:val="single" w:sz="4" w:space="0" w:color="auto"/>
              <w:right w:val="nil"/>
            </w:tcBorders>
            <w:shd w:val="clear" w:color="auto" w:fill="FFFFFF"/>
          </w:tcPr>
          <w:p>
            <w:pPr>
              <w:keepLines/>
              <w:spacing w:before="40" w:after="40"/>
              <w:jc w:val="right"/>
              <w:rPr>
                <w:noProof/>
                <w:sz w:val="20"/>
              </w:rPr>
            </w:pPr>
          </w:p>
        </w:tc>
      </w:tr>
      <w:tr>
        <w:trPr>
          <w:trHeight w:val="283"/>
          <w:tblCellSpacing w:w="0" w:type="dxa"/>
        </w:trPr>
        <w:tc>
          <w:tcPr>
            <w:tcW w:w="0" w:type="auto"/>
            <w:tcBorders>
              <w:left w:val="nil"/>
              <w:right w:val="single" w:sz="4" w:space="0" w:color="auto"/>
            </w:tcBorders>
            <w:shd w:val="clear" w:color="auto" w:fill="FFFFFF"/>
          </w:tcPr>
          <w:p>
            <w:pPr>
              <w:keepLines/>
              <w:spacing w:before="40" w:after="40"/>
              <w:rPr>
                <w:noProof/>
                <w:sz w:val="20"/>
              </w:rPr>
            </w:pPr>
            <w:r>
              <w:rPr>
                <w:noProof/>
                <w:sz w:val="20"/>
              </w:rPr>
              <w:t>0403 90 51</w:t>
            </w:r>
          </w:p>
        </w:tc>
        <w:tc>
          <w:tcPr>
            <w:tcW w:w="0" w:type="auto"/>
            <w:tcBorders>
              <w:top w:val="nil"/>
              <w:left w:val="single" w:sz="4" w:space="0" w:color="auto"/>
              <w:right w:val="single" w:sz="4" w:space="0" w:color="auto"/>
            </w:tcBorders>
            <w:shd w:val="clear" w:color="auto" w:fill="FFFFFF"/>
          </w:tcPr>
          <w:p>
            <w:pPr>
              <w:keepLines/>
              <w:spacing w:before="40" w:after="40"/>
              <w:jc w:val="left"/>
              <w:rPr>
                <w:noProof/>
                <w:sz w:val="20"/>
              </w:rPr>
            </w:pPr>
            <w:r>
              <w:rPr>
                <w:noProof/>
                <w:sz w:val="20"/>
              </w:rPr>
              <w:t>- - - - - Not exceeding 3 %</w:t>
            </w:r>
          </w:p>
        </w:tc>
        <w:tc>
          <w:tcPr>
            <w:tcW w:w="0" w:type="auto"/>
            <w:tcBorders>
              <w:top w:val="nil"/>
              <w:left w:val="single" w:sz="4" w:space="0" w:color="auto"/>
              <w:right w:val="nil"/>
            </w:tcBorders>
            <w:shd w:val="clear" w:color="auto" w:fill="FFFFFF"/>
          </w:tcPr>
          <w:p>
            <w:pPr>
              <w:keepLines/>
              <w:spacing w:before="40" w:after="40"/>
              <w:jc w:val="right"/>
              <w:rPr>
                <w:noProof/>
                <w:sz w:val="20"/>
              </w:rPr>
            </w:pPr>
            <w:r>
              <w:rPr>
                <w:noProof/>
                <w:sz w:val="20"/>
              </w:rPr>
              <w:t>500</w:t>
            </w:r>
          </w:p>
        </w:tc>
      </w:tr>
      <w:tr>
        <w:trPr>
          <w:trHeight w:val="283"/>
          <w:tblCellSpacing w:w="0" w:type="dxa"/>
        </w:trPr>
        <w:tc>
          <w:tcPr>
            <w:tcW w:w="0" w:type="auto"/>
            <w:tcBorders>
              <w:left w:val="nil"/>
              <w:right w:val="single" w:sz="4" w:space="0" w:color="auto"/>
            </w:tcBorders>
            <w:shd w:val="clear" w:color="auto" w:fill="FFFFFF"/>
          </w:tcPr>
          <w:p>
            <w:pPr>
              <w:spacing w:before="40" w:after="40"/>
              <w:rPr>
                <w:noProof/>
                <w:sz w:val="20"/>
              </w:rPr>
            </w:pPr>
            <w:r>
              <w:rPr>
                <w:noProof/>
                <w:sz w:val="20"/>
              </w:rPr>
              <w:t>0403 90 53</w:t>
            </w:r>
          </w:p>
        </w:tc>
        <w:tc>
          <w:tcPr>
            <w:tcW w:w="0" w:type="auto"/>
            <w:tcBorders>
              <w:top w:val="nil"/>
              <w:left w:val="single" w:sz="4" w:space="0" w:color="auto"/>
              <w:right w:val="single" w:sz="4" w:space="0" w:color="auto"/>
            </w:tcBorders>
            <w:shd w:val="clear" w:color="auto" w:fill="FFFFFF"/>
          </w:tcPr>
          <w:p>
            <w:pPr>
              <w:spacing w:before="40" w:after="40"/>
              <w:jc w:val="left"/>
              <w:rPr>
                <w:noProof/>
                <w:sz w:val="20"/>
              </w:rPr>
            </w:pPr>
            <w:r>
              <w:rPr>
                <w:noProof/>
                <w:sz w:val="20"/>
              </w:rPr>
              <w:t>- - - - - Exceeding 3 % but not exceeding 6 %</w:t>
            </w:r>
          </w:p>
        </w:tc>
        <w:tc>
          <w:tcPr>
            <w:tcW w:w="0" w:type="auto"/>
            <w:tcBorders>
              <w:top w:val="nil"/>
              <w:left w:val="single" w:sz="4" w:space="0" w:color="auto"/>
              <w:right w:val="nil"/>
            </w:tcBorders>
            <w:shd w:val="clear" w:color="auto" w:fill="FFFFFF"/>
          </w:tcPr>
          <w:p>
            <w:pPr>
              <w:spacing w:before="40" w:after="40"/>
              <w:jc w:val="right"/>
              <w:rPr>
                <w:noProof/>
                <w:sz w:val="20"/>
              </w:rPr>
            </w:pPr>
            <w:r>
              <w:rPr>
                <w:noProof/>
                <w:sz w:val="20"/>
              </w:rPr>
              <w:t>290</w:t>
            </w:r>
          </w:p>
        </w:tc>
      </w:tr>
      <w:tr>
        <w:trPr>
          <w:tblCellSpacing w:w="0" w:type="dxa"/>
        </w:trPr>
        <w:tc>
          <w:tcPr>
            <w:tcW w:w="0" w:type="auto"/>
            <w:tcBorders>
              <w:top w:val="single" w:sz="12" w:space="0" w:color="auto"/>
              <w:left w:val="nil"/>
              <w:bottom w:val="nil"/>
              <w:right w:val="single" w:sz="4" w:space="0" w:color="auto"/>
            </w:tcBorders>
            <w:shd w:val="clear" w:color="auto" w:fill="FFFFFF"/>
            <w:hideMark/>
          </w:tcPr>
          <w:p>
            <w:pPr>
              <w:spacing w:before="40" w:after="40"/>
              <w:rPr>
                <w:noProof/>
                <w:sz w:val="20"/>
              </w:rPr>
            </w:pPr>
            <w:r>
              <w:rPr>
                <w:noProof/>
                <w:sz w:val="20"/>
              </w:rPr>
              <w:t>0405</w:t>
            </w:r>
          </w:p>
        </w:tc>
        <w:tc>
          <w:tcPr>
            <w:tcW w:w="0" w:type="auto"/>
            <w:tcBorders>
              <w:top w:val="single" w:sz="12"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Butter and other fats and oils derived from milk; dairy spreads:</w:t>
            </w:r>
          </w:p>
        </w:tc>
        <w:tc>
          <w:tcPr>
            <w:tcW w:w="0" w:type="auto"/>
            <w:tcBorders>
              <w:top w:val="single" w:sz="12"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0405 10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Butter: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Of a fat content, by weight, not exceeding 85 %: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Natural butter: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0405 10 11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In immediate packings of a net content not exceeding 1 kg</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160</w:t>
            </w: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0405 10 19</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Other</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200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Cheese and curd:</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0406 10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Fresh (unripened or uncured) cheese, including whey cheese, and curd</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Of a fat content, by weight, not exceeding 40 %</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single" w:sz="4" w:space="0" w:color="auto"/>
              <w:left w:val="nil"/>
              <w:bottom w:val="nil"/>
              <w:right w:val="single" w:sz="4" w:space="0" w:color="auto"/>
            </w:tcBorders>
            <w:shd w:val="clear" w:color="auto" w:fill="FFFFFF"/>
          </w:tcPr>
          <w:p>
            <w:pPr>
              <w:spacing w:before="40" w:after="40"/>
              <w:rPr>
                <w:noProof/>
                <w:sz w:val="20"/>
              </w:rPr>
            </w:pPr>
            <w:r>
              <w:rPr>
                <w:noProof/>
                <w:sz w:val="20"/>
              </w:rPr>
              <w:t>0406 10 30</w:t>
            </w:r>
          </w:p>
        </w:tc>
        <w:tc>
          <w:tcPr>
            <w:tcW w:w="0" w:type="auto"/>
            <w:tcBorders>
              <w:top w:val="single" w:sz="4" w:space="0" w:color="auto"/>
              <w:left w:val="single" w:sz="4" w:space="0" w:color="auto"/>
              <w:bottom w:val="nil"/>
              <w:right w:val="single" w:sz="4" w:space="0" w:color="auto"/>
            </w:tcBorders>
            <w:shd w:val="clear" w:color="auto" w:fill="FFFFFF"/>
          </w:tcPr>
          <w:p>
            <w:pPr>
              <w:spacing w:before="40" w:after="40"/>
              <w:jc w:val="left"/>
              <w:rPr>
                <w:noProof/>
                <w:sz w:val="20"/>
              </w:rPr>
            </w:pPr>
            <w:r>
              <w:rPr>
                <w:noProof/>
                <w:sz w:val="20"/>
              </w:rPr>
              <w:t>- - - Mozzarella, whether or not in a liquid</w:t>
            </w:r>
          </w:p>
        </w:tc>
        <w:tc>
          <w:tcPr>
            <w:tcW w:w="0" w:type="auto"/>
            <w:vMerge w:val="restart"/>
            <w:tcBorders>
              <w:top w:val="single" w:sz="4" w:space="0" w:color="auto"/>
              <w:left w:val="single" w:sz="4" w:space="0" w:color="auto"/>
              <w:bottom w:val="nil"/>
              <w:right w:val="nil"/>
            </w:tcBorders>
            <w:shd w:val="clear" w:color="auto" w:fill="FFFFFF"/>
            <w:vAlign w:val="center"/>
          </w:tcPr>
          <w:p>
            <w:pPr>
              <w:spacing w:before="40" w:after="40"/>
              <w:jc w:val="right"/>
              <w:rPr>
                <w:noProof/>
                <w:sz w:val="20"/>
              </w:rPr>
            </w:pPr>
            <w:r>
              <w:rPr>
                <w:noProof/>
                <w:sz w:val="20"/>
              </w:rPr>
              <w:t>355</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0406 10 50</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Other</w:t>
            </w:r>
          </w:p>
        </w:tc>
        <w:tc>
          <w:tcPr>
            <w:tcW w:w="0" w:type="auto"/>
            <w:vMerge/>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single" w:sz="4" w:space="0" w:color="auto"/>
              <w:left w:val="nil"/>
              <w:bottom w:val="single" w:sz="4" w:space="0" w:color="auto"/>
              <w:right w:val="single" w:sz="4" w:space="0" w:color="auto"/>
            </w:tcBorders>
            <w:shd w:val="clear" w:color="auto" w:fill="FFFFFF"/>
          </w:tcPr>
          <w:p>
            <w:pPr>
              <w:spacing w:before="40" w:after="40"/>
              <w:rPr>
                <w:noProof/>
                <w:sz w:val="20"/>
              </w:rPr>
            </w:pPr>
            <w:r>
              <w:rPr>
                <w:noProof/>
                <w:sz w:val="20"/>
              </w:rPr>
              <w:t>0406 10 80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Other</w:t>
            </w:r>
          </w:p>
        </w:tc>
        <w:tc>
          <w:tcPr>
            <w:tcW w:w="0" w:type="auto"/>
            <w:tcBorders>
              <w:top w:val="single" w:sz="4" w:space="0" w:color="auto"/>
              <w:left w:val="single" w:sz="4" w:space="0" w:color="auto"/>
              <w:bottom w:val="single" w:sz="4" w:space="0" w:color="auto"/>
              <w:right w:val="nil"/>
            </w:tcBorders>
            <w:shd w:val="clear" w:color="auto" w:fill="FFFFFF"/>
          </w:tcPr>
          <w:p>
            <w:pPr>
              <w:spacing w:before="40" w:after="40"/>
              <w:jc w:val="right"/>
              <w:rPr>
                <w:noProof/>
                <w:sz w:val="20"/>
              </w:rPr>
            </w:pPr>
            <w:r>
              <w:rPr>
                <w:noProof/>
                <w:sz w:val="20"/>
              </w:rPr>
              <w:t>165</w:t>
            </w:r>
          </w:p>
        </w:tc>
      </w:tr>
      <w:tr>
        <w:trPr>
          <w:tblCellSpacing w:w="0" w:type="dxa"/>
        </w:trPr>
        <w:tc>
          <w:tcPr>
            <w:tcW w:w="0" w:type="auto"/>
            <w:tcBorders>
              <w:top w:val="single" w:sz="4" w:space="0" w:color="auto"/>
              <w:left w:val="nil"/>
              <w:bottom w:val="single" w:sz="4" w:space="0" w:color="auto"/>
              <w:right w:val="single" w:sz="4" w:space="0" w:color="auto"/>
            </w:tcBorders>
            <w:shd w:val="clear" w:color="auto" w:fill="FFFFFF"/>
            <w:hideMark/>
          </w:tcPr>
          <w:p>
            <w:pPr>
              <w:spacing w:before="40" w:after="40"/>
              <w:rPr>
                <w:noProof/>
                <w:sz w:val="20"/>
              </w:rPr>
            </w:pPr>
            <w:r>
              <w:rPr>
                <w:noProof/>
                <w:sz w:val="20"/>
              </w:rPr>
              <w:t>0409 00 00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Natural honey</w:t>
            </w:r>
          </w:p>
        </w:tc>
        <w:tc>
          <w:tcPr>
            <w:tcW w:w="0" w:type="auto"/>
            <w:tcBorders>
              <w:top w:val="single" w:sz="4" w:space="0" w:color="auto"/>
              <w:left w:val="single" w:sz="4" w:space="0" w:color="auto"/>
              <w:bottom w:val="single" w:sz="4" w:space="0" w:color="auto"/>
              <w:right w:val="nil"/>
            </w:tcBorders>
            <w:shd w:val="clear" w:color="auto" w:fill="FFFFFF"/>
          </w:tcPr>
          <w:p>
            <w:pPr>
              <w:spacing w:before="40" w:after="40"/>
              <w:jc w:val="right"/>
              <w:rPr>
                <w:noProof/>
                <w:sz w:val="20"/>
              </w:rPr>
            </w:pPr>
            <w:r>
              <w:rPr>
                <w:noProof/>
                <w:sz w:val="20"/>
              </w:rPr>
              <w:t>165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Potatoes, fresh or chilled:</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0701 90 50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New, from 1 January to 30 June</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50</w:t>
            </w: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0701 90 90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Other</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1 265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0704</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Cabbages, cauliflowers, kohlrabi, kale and similar edible brassicas, fresh or chilled:</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0704 90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0704 90 10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White cabbages and red cabbages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280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0706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Carrots, turnips, salad beetroot, salsify, celeriac, radishes and similar edible roots, fresh or chilled:</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0706 10 00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Carrots and turnips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0806</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Grapes, fresh or dried:</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0806 10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Fresh:</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0806 10 10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Table grapes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45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0809</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Apricots, cherries, peaches (including nectarines), plums and sloes, fresh:</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Cherries: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0809 21 00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Sour cherries (</w:t>
            </w:r>
            <w:r>
              <w:rPr>
                <w:i/>
                <w:noProof/>
                <w:sz w:val="20"/>
              </w:rPr>
              <w:t>Prunus cerasus</w:t>
            </w:r>
            <w:r>
              <w:rPr>
                <w:noProof/>
                <w:sz w:val="20"/>
              </w:rPr>
              <w:t>)</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410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0811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Fruit and nuts, uncooked or cooked by steaming or boiling in water, frozen, whether or not containing added sugar or other sweetening matter:</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0811 90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Cherries: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0811 90 75</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Sour cherries (</w:t>
            </w:r>
            <w:r>
              <w:rPr>
                <w:i/>
                <w:noProof/>
                <w:sz w:val="20"/>
              </w:rPr>
              <w:t>Prunus cerasus</w:t>
            </w:r>
            <w:r>
              <w:rPr>
                <w:noProof/>
                <w:sz w:val="20"/>
              </w:rPr>
              <w:t>)</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70</w:t>
            </w:r>
          </w:p>
        </w:tc>
      </w:tr>
      <w:tr>
        <w:trPr>
          <w:trHeight w:val="227"/>
          <w:tblCellSpacing w:w="0" w:type="dxa"/>
        </w:trPr>
        <w:tc>
          <w:tcPr>
            <w:tcW w:w="0" w:type="auto"/>
            <w:tcBorders>
              <w:top w:val="single" w:sz="4" w:space="0" w:color="auto"/>
              <w:left w:val="nil"/>
              <w:bottom w:val="nil"/>
              <w:right w:val="single" w:sz="4" w:space="0" w:color="auto"/>
            </w:tcBorders>
            <w:shd w:val="clear" w:color="auto" w:fill="FFFFFF"/>
          </w:tcPr>
          <w:p>
            <w:pPr>
              <w:spacing w:before="40" w:after="40"/>
              <w:rPr>
                <w:noProof/>
                <w:sz w:val="20"/>
              </w:rPr>
            </w:pPr>
            <w:r>
              <w:rPr>
                <w:noProof/>
                <w:sz w:val="20"/>
              </w:rPr>
              <w:t>1601</w:t>
            </w:r>
          </w:p>
        </w:tc>
        <w:tc>
          <w:tcPr>
            <w:tcW w:w="0" w:type="auto"/>
            <w:tcBorders>
              <w:top w:val="single" w:sz="4" w:space="0" w:color="auto"/>
              <w:left w:val="single" w:sz="4" w:space="0" w:color="auto"/>
              <w:bottom w:val="nil"/>
              <w:right w:val="single" w:sz="4" w:space="0" w:color="auto"/>
            </w:tcBorders>
            <w:shd w:val="clear" w:color="auto" w:fill="FFFFFF"/>
          </w:tcPr>
          <w:p>
            <w:pPr>
              <w:spacing w:before="40" w:after="40"/>
              <w:jc w:val="left"/>
              <w:rPr>
                <w:noProof/>
                <w:sz w:val="20"/>
              </w:rPr>
            </w:pPr>
            <w:r>
              <w:rPr>
                <w:noProof/>
                <w:sz w:val="20"/>
              </w:rPr>
              <w:t>Sausages and similar products, of meat, meat offal or blood; food preparations based on these products:</w:t>
            </w:r>
          </w:p>
        </w:tc>
        <w:tc>
          <w:tcPr>
            <w:tcW w:w="0" w:type="auto"/>
            <w:tcBorders>
              <w:top w:val="single" w:sz="4" w:space="0" w:color="auto"/>
              <w:left w:val="single" w:sz="4" w:space="0" w:color="auto"/>
              <w:bottom w:val="nil"/>
              <w:right w:val="nil"/>
            </w:tcBorders>
            <w:shd w:val="clear" w:color="auto" w:fill="FFFFFF"/>
          </w:tcPr>
          <w:p>
            <w:pPr>
              <w:spacing w:before="40" w:after="40"/>
              <w:jc w:val="right"/>
              <w:rPr>
                <w:noProof/>
                <w:sz w:val="20"/>
              </w:rPr>
            </w:pPr>
          </w:p>
        </w:tc>
      </w:tr>
      <w:tr>
        <w:trPr>
          <w:trHeight w:val="227"/>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Other: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rHeight w:val="227"/>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1601 00 91</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Sausages, dry or for spreading, uncooked</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285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1602</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Other prepared or preserved meat, meat offal or blood:</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1602 10 00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Homogenised preparations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75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1602 20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Of liver of any animal:</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1602 20 90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Other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140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Of poultry of heading 0105:</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Of turkeys: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Containing 57 % or more by weight of poultry meat or offal:</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1602 31 19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Other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40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1602 32</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xml:space="preserve">- - Of fowls of the species </w:t>
            </w:r>
            <w:r>
              <w:rPr>
                <w:i/>
                <w:noProof/>
                <w:sz w:val="20"/>
              </w:rPr>
              <w:t>Gallus domesticus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Of swine: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Containing 57 % or more by weight of poultry meat or offal:</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1602 32 11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Uncooked</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1602 32 19</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Other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1602 32 30</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Containing 25 % or more but less than 57 % by weight of poultry meat or offal</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170</w:t>
            </w: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1602 32 90</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Other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230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1602 41</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Hams and cuts thereof:</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1602 41 10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Of domestic swine</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360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Other, including mixtures: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Of domestic swine:</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Containing by weight 80 % or more of meat or meat offal, of any kind, including fats of any kind or origin:</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1602 49 15</w:t>
            </w:r>
          </w:p>
        </w:tc>
        <w:tc>
          <w:tcPr>
            <w:tcW w:w="0" w:type="auto"/>
            <w:tcBorders>
              <w:top w:val="nil"/>
              <w:left w:val="single" w:sz="4" w:space="0" w:color="auto"/>
              <w:bottom w:val="nil"/>
              <w:right w:val="single" w:sz="4" w:space="0" w:color="auto"/>
            </w:tcBorders>
            <w:shd w:val="clear" w:color="auto" w:fill="FFFFFF"/>
            <w:hideMark/>
          </w:tcPr>
          <w:p>
            <w:pPr>
              <w:spacing w:before="40" w:after="40"/>
              <w:ind w:left="561" w:hanging="561"/>
              <w:jc w:val="left"/>
              <w:rPr>
                <w:noProof/>
                <w:sz w:val="20"/>
              </w:rPr>
            </w:pPr>
            <w:r>
              <w:rPr>
                <w:noProof/>
                <w:sz w:val="20"/>
              </w:rPr>
              <w:t>- - - - - Other mixtures containing hams (legs), shoulders, loins or collars, and cuts thereof</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150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1602 49 30</w:t>
            </w: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Containing by weight 40 % or more but less than 80 % of meat or meat offal, of any kind, including fats of any kind or origin</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445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1602 49 50</w:t>
            </w:r>
          </w:p>
        </w:tc>
        <w:tc>
          <w:tcPr>
            <w:tcW w:w="0" w:type="auto"/>
            <w:tcBorders>
              <w:top w:val="nil"/>
              <w:left w:val="single" w:sz="4" w:space="0" w:color="auto"/>
              <w:bottom w:val="nil"/>
              <w:right w:val="single" w:sz="4" w:space="0" w:color="auto"/>
            </w:tcBorders>
            <w:shd w:val="clear" w:color="auto" w:fill="FFFFFF"/>
            <w:hideMark/>
          </w:tcPr>
          <w:p>
            <w:pPr>
              <w:spacing w:before="40" w:after="40"/>
              <w:ind w:left="419" w:hanging="419"/>
              <w:jc w:val="left"/>
              <w:rPr>
                <w:noProof/>
                <w:sz w:val="20"/>
              </w:rPr>
            </w:pPr>
            <w:r>
              <w:rPr>
                <w:noProof/>
                <w:sz w:val="20"/>
              </w:rPr>
              <w:t>- - - - Containing by weight less than 40 % of meat or meat offal, of any kind, including fats of any kind or origin</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60</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1602 50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Of bovine animals: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tcPr>
          <w:p>
            <w:pPr>
              <w:spacing w:before="40" w:after="40"/>
              <w:rPr>
                <w:noProof/>
                <w:sz w:val="20"/>
              </w:rPr>
            </w:pPr>
            <w:r>
              <w:rPr>
                <w:noProof/>
                <w:sz w:val="20"/>
              </w:rPr>
              <w:t>1602 50 31</w:t>
            </w:r>
          </w:p>
        </w:tc>
        <w:tc>
          <w:tcPr>
            <w:tcW w:w="0" w:type="auto"/>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Corned beef, in airtight containers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70</w:t>
            </w:r>
          </w:p>
        </w:tc>
      </w:tr>
      <w:tr>
        <w:trPr>
          <w:tblCellSpacing w:w="0" w:type="dxa"/>
        </w:trPr>
        <w:tc>
          <w:tcPr>
            <w:tcW w:w="0" w:type="auto"/>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1602 50 95</w:t>
            </w:r>
          </w:p>
        </w:tc>
        <w:tc>
          <w:tcPr>
            <w:tcW w:w="0" w:type="auto"/>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Other</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295</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1701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Cane or beet sugar and chemically pure sucrose, in solid form:</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1701 91 00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Containing added flavouring or colouring matter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55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1701 99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1701 99 10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White sugar</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3 470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2001</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Vegetables, fruit, nuts and other edible parts of plants, prepared or preserved by vinegar or acetic acid:</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2001 10 00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Cucumbers and gherkins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265</w:t>
            </w: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2001 90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0" w:type="auto"/>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0" w:type="auto"/>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2001 90 70</w:t>
            </w:r>
          </w:p>
        </w:tc>
        <w:tc>
          <w:tcPr>
            <w:tcW w:w="0" w:type="auto"/>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Sweet peppers</w:t>
            </w:r>
          </w:p>
        </w:tc>
        <w:tc>
          <w:tcPr>
            <w:tcW w:w="0" w:type="auto"/>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70</w:t>
            </w:r>
          </w:p>
        </w:tc>
      </w:tr>
      <w:tr>
        <w:trPr>
          <w:tblCellSpacing w:w="0" w:type="dxa"/>
        </w:trPr>
        <w:tc>
          <w:tcPr>
            <w:tcW w:w="0" w:type="auto"/>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2005</w:t>
            </w:r>
          </w:p>
        </w:tc>
        <w:tc>
          <w:tcPr>
            <w:tcW w:w="0" w:type="auto"/>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Other vegetables prepared or preserved otherwise than by vinegar or acetic acid, not frozen, other than products of heading 2006:</w:t>
            </w:r>
          </w:p>
        </w:tc>
        <w:tc>
          <w:tcPr>
            <w:tcW w:w="0" w:type="auto"/>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 vegetables and mixtures of vegetables:</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2005 99</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Other:</w:t>
            </w:r>
          </w:p>
        </w:tc>
        <w:tc>
          <w:tcPr>
            <w:tcW w:w="0" w:type="auto"/>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0" w:type="auto"/>
            <w:tcBorders>
              <w:top w:val="nil"/>
              <w:left w:val="nil"/>
              <w:bottom w:val="nil"/>
              <w:right w:val="single" w:sz="4" w:space="0" w:color="auto"/>
            </w:tcBorders>
            <w:shd w:val="clear" w:color="auto" w:fill="FFFFFF"/>
            <w:hideMark/>
          </w:tcPr>
          <w:p>
            <w:pPr>
              <w:spacing w:before="40" w:after="40"/>
              <w:rPr>
                <w:noProof/>
                <w:sz w:val="20"/>
              </w:rPr>
            </w:pPr>
            <w:r>
              <w:rPr>
                <w:noProof/>
                <w:sz w:val="20"/>
              </w:rPr>
              <w:t>2005 99 50</w:t>
            </w:r>
          </w:p>
        </w:tc>
        <w:tc>
          <w:tcPr>
            <w:tcW w:w="0" w:type="auto"/>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Mixtures of vegetables</w:t>
            </w:r>
          </w:p>
        </w:tc>
        <w:tc>
          <w:tcPr>
            <w:tcW w:w="0" w:type="auto"/>
            <w:tcBorders>
              <w:top w:val="nil"/>
              <w:left w:val="single" w:sz="4" w:space="0" w:color="auto"/>
              <w:bottom w:val="nil"/>
              <w:right w:val="nil"/>
            </w:tcBorders>
            <w:shd w:val="clear" w:color="auto" w:fill="FFFFFF"/>
          </w:tcPr>
          <w:p>
            <w:pPr>
              <w:spacing w:before="40" w:after="40"/>
              <w:jc w:val="right"/>
              <w:rPr>
                <w:noProof/>
                <w:sz w:val="20"/>
              </w:rPr>
            </w:pPr>
            <w:r>
              <w:rPr>
                <w:noProof/>
                <w:sz w:val="20"/>
              </w:rPr>
              <w:t>245</w:t>
            </w:r>
          </w:p>
        </w:tc>
      </w:tr>
      <w:tr>
        <w:trPr>
          <w:tblCellSpacing w:w="0" w:type="dxa"/>
        </w:trPr>
        <w:tc>
          <w:tcPr>
            <w:tcW w:w="0" w:type="auto"/>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2005 99 60</w:t>
            </w:r>
          </w:p>
        </w:tc>
        <w:tc>
          <w:tcPr>
            <w:tcW w:w="0" w:type="auto"/>
            <w:tcBorders>
              <w:top w:val="nil"/>
              <w:left w:val="single" w:sz="4" w:space="0" w:color="auto"/>
              <w:bottom w:val="single" w:sz="12" w:space="0" w:color="auto"/>
              <w:right w:val="single" w:sz="4" w:space="0" w:color="auto"/>
            </w:tcBorders>
            <w:shd w:val="clear" w:color="auto" w:fill="FFFFFF"/>
            <w:hideMark/>
          </w:tcPr>
          <w:p>
            <w:pPr>
              <w:spacing w:before="40" w:after="40"/>
              <w:jc w:val="left"/>
              <w:rPr>
                <w:noProof/>
                <w:sz w:val="20"/>
              </w:rPr>
            </w:pPr>
            <w:r>
              <w:rPr>
                <w:noProof/>
                <w:sz w:val="20"/>
              </w:rPr>
              <w:t>- - - Sauerkraut</w:t>
            </w:r>
          </w:p>
        </w:tc>
        <w:tc>
          <w:tcPr>
            <w:tcW w:w="0" w:type="auto"/>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40</w:t>
            </w:r>
          </w:p>
        </w:tc>
      </w:tr>
    </w:tbl>
    <w:p>
      <w:pPr>
        <w:rPr>
          <w:noProof/>
          <w:sz w:val="20"/>
        </w:rPr>
      </w:pPr>
    </w:p>
    <w:p>
      <w:pPr>
        <w:rPr>
          <w:noProof/>
        </w:rPr>
      </w:pPr>
      <w:r>
        <w:rPr>
          <w:noProof/>
        </w:rPr>
        <w:br w:type="page"/>
      </w:r>
    </w:p>
    <w:p>
      <w:pPr>
        <w:rPr>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139"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4801" w:type="pct"/>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lang w:val="en-US"/>
              </w:rPr>
            </w:pPr>
            <w:r>
              <w:rPr>
                <w:noProof/>
                <w:sz w:val="20"/>
              </w:rPr>
              <w:t>Imports into Bosnia and Herzegovina of the following products shall be subject to the concessions set out below. For imports out of quota the MFN duty rate shall apply. For the year 2017 the full amount of the quota shall apply, irrespective of the date of entry into force or provisional application of the Protocol.</w:t>
            </w:r>
          </w:p>
        </w:tc>
      </w:tr>
    </w:tbl>
    <w:p>
      <w:pPr>
        <w:rPr>
          <w:noProof/>
          <w:sz w:val="20"/>
        </w:rPr>
      </w:pPr>
    </w:p>
    <w:tbl>
      <w:tblPr>
        <w:tblW w:w="0" w:type="auto"/>
        <w:tblCellSpacing w:w="0" w:type="dxa"/>
        <w:tblInd w:w="9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8"/>
        <w:gridCol w:w="5107"/>
        <w:gridCol w:w="960"/>
        <w:gridCol w:w="960"/>
        <w:gridCol w:w="1014"/>
      </w:tblGrid>
      <w:tr>
        <w:trPr>
          <w:cantSplit/>
          <w:tblHeader/>
          <w:tblCellSpacing w:w="0" w:type="dxa"/>
        </w:trPr>
        <w:tc>
          <w:tcPr>
            <w:tcW w:w="998" w:type="dxa"/>
            <w:vMerge w:val="restart"/>
            <w:tcBorders>
              <w:top w:val="outset" w:sz="6" w:space="0" w:color="000000"/>
              <w:left w:val="outset" w:sz="6" w:space="0" w:color="000000"/>
              <w:right w:val="outset" w:sz="6" w:space="0" w:color="000000"/>
            </w:tcBorders>
            <w:shd w:val="clear" w:color="auto" w:fill="C0C0C0"/>
            <w:vAlign w:val="center"/>
          </w:tcPr>
          <w:p>
            <w:pPr>
              <w:spacing w:before="40" w:after="40"/>
              <w:jc w:val="center"/>
              <w:rPr>
                <w:b/>
                <w:bCs/>
                <w:noProof/>
                <w:sz w:val="20"/>
              </w:rPr>
            </w:pPr>
            <w:r>
              <w:rPr>
                <w:b/>
                <w:bCs/>
                <w:noProof/>
                <w:sz w:val="20"/>
              </w:rPr>
              <w:t>CN Code</w:t>
            </w:r>
          </w:p>
        </w:tc>
        <w:tc>
          <w:tcPr>
            <w:tcW w:w="5107" w:type="dxa"/>
            <w:vMerge w:val="restart"/>
            <w:tcBorders>
              <w:top w:val="outset" w:sz="6" w:space="0" w:color="000000"/>
              <w:left w:val="outset" w:sz="6" w:space="0" w:color="000000"/>
              <w:right w:val="outset" w:sz="6" w:space="0" w:color="000000"/>
            </w:tcBorders>
            <w:shd w:val="clear" w:color="auto" w:fill="C0C0C0"/>
            <w:vAlign w:val="center"/>
          </w:tcPr>
          <w:p>
            <w:pPr>
              <w:spacing w:before="40" w:after="40"/>
              <w:jc w:val="center"/>
              <w:rPr>
                <w:b/>
                <w:bCs/>
                <w:noProof/>
                <w:sz w:val="20"/>
              </w:rPr>
            </w:pPr>
            <w:r>
              <w:rPr>
                <w:b/>
                <w:bCs/>
                <w:noProof/>
                <w:sz w:val="20"/>
              </w:rPr>
              <w:t>Description</w:t>
            </w: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bCs/>
                <w:noProof/>
                <w:sz w:val="20"/>
              </w:rPr>
              <w:t>Tariff quota (tonnes)</w:t>
            </w:r>
          </w:p>
        </w:tc>
      </w:tr>
      <w:tr>
        <w:trPr>
          <w:cantSplit/>
          <w:tblHeader/>
          <w:tblCellSpacing w:w="0" w:type="dxa"/>
        </w:trPr>
        <w:tc>
          <w:tcPr>
            <w:tcW w:w="998" w:type="dxa"/>
            <w:vMerge/>
            <w:tcBorders>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p>
        </w:tc>
        <w:tc>
          <w:tcPr>
            <w:tcW w:w="5107" w:type="dxa"/>
            <w:vMerge/>
            <w:tcBorders>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p>
        </w:tc>
        <w:tc>
          <w:tcPr>
            <w:tcW w:w="960"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bCs/>
                <w:noProof/>
                <w:sz w:val="20"/>
              </w:rPr>
              <w:t>As of 01.01.2017</w:t>
            </w:r>
          </w:p>
        </w:tc>
        <w:tc>
          <w:tcPr>
            <w:tcW w:w="960"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bCs/>
                <w:noProof/>
                <w:sz w:val="20"/>
              </w:rPr>
              <w:t>As of 01.01.2018</w:t>
            </w:r>
          </w:p>
        </w:tc>
        <w:tc>
          <w:tcPr>
            <w:tcW w:w="1014" w:type="dxa"/>
            <w:tcBorders>
              <w:top w:val="outset" w:sz="6" w:space="0" w:color="000000"/>
              <w:left w:val="outset" w:sz="6" w:space="0" w:color="000000"/>
              <w:bottom w:val="outset" w:sz="6" w:space="0" w:color="000000"/>
              <w:right w:val="outset" w:sz="6" w:space="0" w:color="000000"/>
            </w:tcBorders>
            <w:shd w:val="clear" w:color="auto" w:fill="C0C0C0"/>
          </w:tcPr>
          <w:p>
            <w:pPr>
              <w:spacing w:before="40" w:after="40"/>
              <w:jc w:val="center"/>
              <w:rPr>
                <w:b/>
                <w:bCs/>
                <w:noProof/>
                <w:sz w:val="20"/>
              </w:rPr>
            </w:pPr>
            <w:r>
              <w:rPr>
                <w:b/>
                <w:bCs/>
                <w:noProof/>
                <w:sz w:val="20"/>
              </w:rPr>
              <w:t>As of 01.01.2019</w:t>
            </w:r>
          </w:p>
        </w:tc>
      </w:tr>
      <w:tr>
        <w:trPr>
          <w:cantSplit/>
          <w:tblCellSpacing w:w="0" w:type="dxa"/>
        </w:trPr>
        <w:tc>
          <w:tcPr>
            <w:tcW w:w="998"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0401</w:t>
            </w:r>
          </w:p>
        </w:tc>
        <w:tc>
          <w:tcPr>
            <w:tcW w:w="510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Milk and cream, not concentrated nor containing added sugar or other sweetening matter:</w:t>
            </w: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0401 20</w:t>
            </w:r>
          </w:p>
        </w:tc>
        <w:tc>
          <w:tcPr>
            <w:tcW w:w="5107" w:type="dxa"/>
            <w:tcBorders>
              <w:top w:val="nil"/>
              <w:left w:val="single" w:sz="4" w:space="0" w:color="auto"/>
              <w:bottom w:val="nil"/>
              <w:right w:val="single" w:sz="4" w:space="0" w:color="auto"/>
            </w:tcBorders>
            <w:shd w:val="clear" w:color="auto" w:fill="FFFFFF"/>
            <w:hideMark/>
          </w:tcPr>
          <w:p>
            <w:pPr>
              <w:spacing w:before="40" w:after="40"/>
              <w:ind w:left="190" w:hanging="190"/>
              <w:jc w:val="left"/>
              <w:rPr>
                <w:noProof/>
                <w:sz w:val="20"/>
              </w:rPr>
            </w:pPr>
            <w:r>
              <w:rPr>
                <w:noProof/>
                <w:sz w:val="20"/>
              </w:rPr>
              <w:t>- Of a fat content, by weight, exceeding 1 % but not exceeding 6 %: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Not exceeding 3 %: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0401 20 11</w:t>
            </w:r>
          </w:p>
        </w:tc>
        <w:tc>
          <w:tcPr>
            <w:tcW w:w="5107" w:type="dxa"/>
            <w:tcBorders>
              <w:top w:val="nil"/>
              <w:left w:val="single" w:sz="4" w:space="0" w:color="auto"/>
              <w:bottom w:val="nil"/>
              <w:right w:val="single" w:sz="4" w:space="0" w:color="auto"/>
            </w:tcBorders>
            <w:shd w:val="clear" w:color="auto" w:fill="FFFFFF"/>
            <w:hideMark/>
          </w:tcPr>
          <w:p>
            <w:pPr>
              <w:spacing w:before="40" w:after="40"/>
              <w:ind w:left="332" w:hanging="332"/>
              <w:jc w:val="left"/>
              <w:rPr>
                <w:noProof/>
                <w:sz w:val="20"/>
              </w:rPr>
            </w:pPr>
            <w:r>
              <w:rPr>
                <w:noProof/>
                <w:sz w:val="20"/>
              </w:rPr>
              <w:t>- - - In immediate packings of a net content not exceeding two litres</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5 432</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9 506</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13 580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Exceeding 3 %:</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12" w:space="0" w:color="auto"/>
              <w:right w:val="single" w:sz="4" w:space="0" w:color="auto"/>
            </w:tcBorders>
            <w:shd w:val="clear" w:color="auto" w:fill="FFFFFF"/>
            <w:hideMark/>
          </w:tcPr>
          <w:p>
            <w:pPr>
              <w:spacing w:before="40" w:after="40"/>
              <w:rPr>
                <w:noProof/>
                <w:sz w:val="20"/>
              </w:rPr>
            </w:pPr>
            <w:r>
              <w:rPr>
                <w:noProof/>
                <w:sz w:val="20"/>
              </w:rPr>
              <w:t>0401 20 91</w:t>
            </w:r>
          </w:p>
        </w:tc>
        <w:tc>
          <w:tcPr>
            <w:tcW w:w="5107" w:type="dxa"/>
            <w:tcBorders>
              <w:top w:val="nil"/>
              <w:left w:val="single" w:sz="4" w:space="0" w:color="auto"/>
              <w:bottom w:val="single" w:sz="12" w:space="0" w:color="auto"/>
              <w:right w:val="single" w:sz="4" w:space="0" w:color="auto"/>
            </w:tcBorders>
            <w:shd w:val="clear" w:color="auto" w:fill="FFFFFF"/>
            <w:hideMark/>
          </w:tcPr>
          <w:p>
            <w:pPr>
              <w:spacing w:before="40" w:after="40"/>
              <w:ind w:left="332" w:hanging="332"/>
              <w:jc w:val="left"/>
              <w:rPr>
                <w:noProof/>
                <w:sz w:val="20"/>
              </w:rPr>
            </w:pPr>
            <w:r>
              <w:rPr>
                <w:noProof/>
                <w:sz w:val="20"/>
              </w:rPr>
              <w:t>- - - In immediate packings of a net content not exceeding two litres</w:t>
            </w:r>
          </w:p>
        </w:tc>
        <w:tc>
          <w:tcPr>
            <w:tcW w:w="960" w:type="dxa"/>
            <w:tcBorders>
              <w:top w:val="nil"/>
              <w:left w:val="single" w:sz="4" w:space="0" w:color="auto"/>
              <w:bottom w:val="single" w:sz="12" w:space="0" w:color="auto"/>
              <w:right w:val="single" w:sz="4" w:space="0" w:color="auto"/>
            </w:tcBorders>
            <w:shd w:val="clear" w:color="auto" w:fill="FFFFFF"/>
          </w:tcPr>
          <w:p>
            <w:pPr>
              <w:spacing w:before="40" w:after="40"/>
              <w:jc w:val="right"/>
              <w:rPr>
                <w:noProof/>
                <w:sz w:val="20"/>
              </w:rPr>
            </w:pPr>
            <w:r>
              <w:rPr>
                <w:noProof/>
                <w:sz w:val="20"/>
              </w:rPr>
              <w:t>720</w:t>
            </w:r>
          </w:p>
        </w:tc>
        <w:tc>
          <w:tcPr>
            <w:tcW w:w="960" w:type="dxa"/>
            <w:tcBorders>
              <w:top w:val="nil"/>
              <w:left w:val="single" w:sz="4" w:space="0" w:color="auto"/>
              <w:bottom w:val="single" w:sz="12" w:space="0" w:color="auto"/>
              <w:right w:val="single" w:sz="4" w:space="0" w:color="auto"/>
            </w:tcBorders>
            <w:shd w:val="clear" w:color="auto" w:fill="FFFFFF"/>
          </w:tcPr>
          <w:p>
            <w:pPr>
              <w:spacing w:before="40" w:after="40"/>
              <w:jc w:val="right"/>
              <w:rPr>
                <w:noProof/>
                <w:sz w:val="20"/>
              </w:rPr>
            </w:pPr>
            <w:r>
              <w:rPr>
                <w:noProof/>
                <w:sz w:val="20"/>
              </w:rPr>
              <w:t>1 440</w:t>
            </w:r>
          </w:p>
        </w:tc>
        <w:tc>
          <w:tcPr>
            <w:tcW w:w="1014" w:type="dxa"/>
            <w:tcBorders>
              <w:top w:val="nil"/>
              <w:left w:val="single" w:sz="4" w:space="0" w:color="auto"/>
              <w:bottom w:val="single" w:sz="12" w:space="0" w:color="auto"/>
              <w:right w:val="nil"/>
            </w:tcBorders>
            <w:shd w:val="clear" w:color="auto" w:fill="FFFFFF"/>
          </w:tcPr>
          <w:p>
            <w:pPr>
              <w:spacing w:before="40" w:after="40"/>
              <w:jc w:val="right"/>
              <w:rPr>
                <w:noProof/>
                <w:sz w:val="20"/>
              </w:rPr>
            </w:pPr>
            <w:r>
              <w:rPr>
                <w:noProof/>
                <w:sz w:val="20"/>
              </w:rPr>
              <w:t>1 440</w:t>
            </w:r>
          </w:p>
        </w:tc>
      </w:tr>
      <w:tr>
        <w:trPr>
          <w:cantSplit/>
          <w:tblCellSpacing w:w="0" w:type="dxa"/>
        </w:trPr>
        <w:tc>
          <w:tcPr>
            <w:tcW w:w="998" w:type="dxa"/>
            <w:tcBorders>
              <w:top w:val="single" w:sz="12" w:space="0" w:color="auto"/>
              <w:left w:val="nil"/>
              <w:bottom w:val="nil"/>
              <w:right w:val="single" w:sz="4" w:space="0" w:color="auto"/>
            </w:tcBorders>
            <w:shd w:val="clear" w:color="auto" w:fill="FFFFFF"/>
            <w:hideMark/>
          </w:tcPr>
          <w:p>
            <w:pPr>
              <w:spacing w:before="40" w:after="40"/>
              <w:rPr>
                <w:noProof/>
                <w:sz w:val="20"/>
              </w:rPr>
            </w:pPr>
            <w:r>
              <w:rPr>
                <w:noProof/>
                <w:sz w:val="20"/>
              </w:rPr>
              <w:t>0403</w:t>
            </w:r>
          </w:p>
        </w:tc>
        <w:tc>
          <w:tcPr>
            <w:tcW w:w="5107" w:type="dxa"/>
            <w:tcBorders>
              <w:top w:val="single" w:sz="12"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Buttermilk, curdled milk and cream, yogurt, kephir and other fermented or acidified milk and cream, whether or not concentrated or containing added sugar or other sweetening matter or flavoured or containing added fruit, nuts or cocoa:</w:t>
            </w:r>
          </w:p>
        </w:tc>
        <w:tc>
          <w:tcPr>
            <w:tcW w:w="960" w:type="dxa"/>
            <w:tcBorders>
              <w:top w:val="single" w:sz="12"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12"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12"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Yogurt:</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Not flavoured nor containing added fruit, nuts or cocoa:</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ind w:left="332" w:hanging="332"/>
              <w:jc w:val="left"/>
              <w:rPr>
                <w:noProof/>
                <w:sz w:val="20"/>
              </w:rPr>
            </w:pPr>
            <w:r>
              <w:rPr>
                <w:noProof/>
                <w:sz w:val="20"/>
              </w:rPr>
              <w:t>- - - Not containing added sugar or other sweetening matter, of a fat content, by weight:</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0403 10 11</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Not exceeding 3 %</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1 515</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3 030</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3 030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0403 10 13</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Exceeding 3 % but not exceeding 6 %</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1 520</w:t>
            </w:r>
          </w:p>
        </w:tc>
        <w:tc>
          <w:tcPr>
            <w:tcW w:w="960" w:type="dxa"/>
            <w:tcBorders>
              <w:top w:val="nil"/>
              <w:left w:val="single" w:sz="4" w:space="0" w:color="auto"/>
              <w:bottom w:val="nil"/>
              <w:right w:val="single" w:sz="4" w:space="0" w:color="auto"/>
            </w:tcBorders>
            <w:shd w:val="clear" w:color="auto" w:fill="FFFFFF"/>
          </w:tcPr>
          <w:p>
            <w:pPr>
              <w:spacing w:before="40" w:after="40"/>
              <w:jc w:val="right"/>
              <w:rPr>
                <w:noProof/>
                <w:sz w:val="20"/>
              </w:rPr>
            </w:pPr>
            <w:r>
              <w:rPr>
                <w:noProof/>
                <w:sz w:val="20"/>
              </w:rPr>
              <w:t>3 040</w:t>
            </w:r>
          </w:p>
        </w:tc>
        <w:tc>
          <w:tcPr>
            <w:tcW w:w="1014"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3 040</w:t>
            </w: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w:t>
            </w: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Not flavoured nor containing added fruit, nuts or cocoa:</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Other:</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ind w:left="474" w:hanging="474"/>
              <w:jc w:val="left"/>
              <w:rPr>
                <w:noProof/>
                <w:sz w:val="20"/>
              </w:rPr>
            </w:pPr>
            <w:r>
              <w:rPr>
                <w:noProof/>
                <w:sz w:val="20"/>
              </w:rPr>
              <w:t>- - - - Not containing added sugar or other sweetening matter, of a fat content, by weight:</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0403 90 59</w:t>
            </w:r>
          </w:p>
        </w:tc>
        <w:tc>
          <w:tcPr>
            <w:tcW w:w="510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 Exceeding 6 %</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1 762.5</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3 525</w:t>
            </w:r>
          </w:p>
        </w:tc>
        <w:tc>
          <w:tcPr>
            <w:tcW w:w="1014"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3 525</w:t>
            </w:r>
          </w:p>
        </w:tc>
      </w:tr>
      <w:tr>
        <w:trPr>
          <w:cantSplit/>
          <w:tblCellSpacing w:w="0" w:type="dxa"/>
        </w:trPr>
        <w:tc>
          <w:tcPr>
            <w:tcW w:w="998"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1601</w:t>
            </w:r>
          </w:p>
        </w:tc>
        <w:tc>
          <w:tcPr>
            <w:tcW w:w="510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Sausages and similar products, of meat, meat offal or blood; food preparations based on these products:</w:t>
            </w: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single" w:sz="4" w:space="0" w:color="auto"/>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nil"/>
              <w:right w:val="single" w:sz="4" w:space="0" w:color="auto"/>
            </w:tcBorders>
            <w:shd w:val="clear" w:color="auto" w:fill="FFFFFF"/>
            <w:hideMark/>
          </w:tcPr>
          <w:p>
            <w:pPr>
              <w:spacing w:before="40" w:after="40"/>
              <w:rPr>
                <w:noProof/>
                <w:sz w:val="20"/>
              </w:rPr>
            </w:pPr>
          </w:p>
        </w:tc>
        <w:tc>
          <w:tcPr>
            <w:tcW w:w="510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960" w:type="dxa"/>
            <w:tcBorders>
              <w:top w:val="nil"/>
              <w:left w:val="single" w:sz="4" w:space="0" w:color="auto"/>
              <w:bottom w:val="nil"/>
              <w:right w:val="single" w:sz="4" w:space="0" w:color="auto"/>
            </w:tcBorders>
            <w:shd w:val="clear" w:color="auto" w:fill="FFFFFF"/>
          </w:tcPr>
          <w:p>
            <w:pPr>
              <w:spacing w:before="40" w:after="40"/>
              <w:rPr>
                <w:noProof/>
                <w:sz w:val="20"/>
              </w:rPr>
            </w:pPr>
          </w:p>
        </w:tc>
        <w:tc>
          <w:tcPr>
            <w:tcW w:w="1014" w:type="dxa"/>
            <w:tcBorders>
              <w:top w:val="nil"/>
              <w:left w:val="single" w:sz="4" w:space="0" w:color="auto"/>
              <w:bottom w:val="nil"/>
              <w:right w:val="nil"/>
            </w:tcBorders>
            <w:shd w:val="clear" w:color="auto" w:fill="FFFFFF"/>
          </w:tcPr>
          <w:p>
            <w:pPr>
              <w:spacing w:before="40" w:after="40"/>
              <w:rPr>
                <w:noProof/>
                <w:sz w:val="20"/>
              </w:rPr>
            </w:pPr>
          </w:p>
        </w:tc>
      </w:tr>
      <w:tr>
        <w:trPr>
          <w:cantSplit/>
          <w:tblCellSpacing w:w="0" w:type="dxa"/>
        </w:trPr>
        <w:tc>
          <w:tcPr>
            <w:tcW w:w="998"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1601 00 99</w:t>
            </w:r>
          </w:p>
        </w:tc>
        <w:tc>
          <w:tcPr>
            <w:tcW w:w="510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Other</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1 692.5</w:t>
            </w:r>
          </w:p>
        </w:tc>
        <w:tc>
          <w:tcPr>
            <w:tcW w:w="960" w:type="dxa"/>
            <w:tcBorders>
              <w:top w:val="nil"/>
              <w:left w:val="single" w:sz="4" w:space="0" w:color="auto"/>
              <w:bottom w:val="single" w:sz="4" w:space="0" w:color="auto"/>
              <w:right w:val="single" w:sz="4" w:space="0" w:color="auto"/>
            </w:tcBorders>
            <w:shd w:val="clear" w:color="auto" w:fill="FFFFFF"/>
          </w:tcPr>
          <w:p>
            <w:pPr>
              <w:spacing w:before="40" w:after="40"/>
              <w:jc w:val="right"/>
              <w:rPr>
                <w:noProof/>
                <w:sz w:val="20"/>
              </w:rPr>
            </w:pPr>
            <w:r>
              <w:rPr>
                <w:noProof/>
                <w:sz w:val="20"/>
              </w:rPr>
              <w:t>3 385</w:t>
            </w:r>
          </w:p>
        </w:tc>
        <w:tc>
          <w:tcPr>
            <w:tcW w:w="1014"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3 385</w:t>
            </w:r>
          </w:p>
        </w:tc>
      </w:tr>
    </w:tbl>
    <w:p>
      <w:pPr>
        <w:rPr>
          <w:noProof/>
          <w:sz w:val="20"/>
        </w:rPr>
      </w:pPr>
    </w:p>
    <w:p>
      <w:pPr>
        <w:spacing w:before="0" w:after="200" w:line="276" w:lineRule="auto"/>
        <w:jc w:val="left"/>
        <w:rPr>
          <w:rStyle w:val="Corpsdutexte9"/>
          <w:rFonts w:eastAsiaTheme="minorHAnsi"/>
          <w:b/>
          <w:noProof/>
          <w:sz w:val="20"/>
        </w:rPr>
      </w:pPr>
      <w:r>
        <w:rPr>
          <w:rStyle w:val="Corpsdutexte9"/>
          <w:rFonts w:eastAsiaTheme="minorHAnsi"/>
          <w:b/>
          <w:noProof/>
          <w:sz w:val="20"/>
        </w:rPr>
        <w:br w:type="page"/>
      </w:r>
    </w:p>
    <w:p>
      <w:pPr>
        <w:spacing w:after="0"/>
        <w:ind w:left="180"/>
        <w:jc w:val="right"/>
        <w:rPr>
          <w:rStyle w:val="Corpsdutexte9"/>
          <w:rFonts w:eastAsiaTheme="minorHAnsi"/>
          <w:b/>
          <w:noProof/>
          <w:sz w:val="20"/>
        </w:rPr>
      </w:pPr>
      <w:r>
        <w:rPr>
          <w:rStyle w:val="Corpsdutexte9"/>
          <w:rFonts w:eastAsiaTheme="minorHAnsi"/>
          <w:b/>
          <w:noProof/>
          <w:sz w:val="20"/>
        </w:rPr>
        <w:t>ANNEX II</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9"/>
          <w:rFonts w:eastAsiaTheme="minorHAnsi"/>
          <w:b/>
          <w:noProof/>
          <w:sz w:val="20"/>
        </w:rPr>
      </w:pPr>
      <w:r>
        <w:rPr>
          <w:rStyle w:val="Corpsdutexte9"/>
          <w:rFonts w:eastAsiaTheme="minorHAnsi"/>
          <w:i/>
          <w:noProof/>
          <w:sz w:val="20"/>
        </w:rPr>
        <w:t>'ANNEX IVa</w:t>
      </w:r>
      <w:r>
        <w:rPr>
          <w:rStyle w:val="Corpsdutexte9"/>
          <w:rFonts w:eastAsiaTheme="minorHAnsi"/>
          <w:i/>
          <w:noProof/>
          <w:sz w:val="20"/>
        </w:rPr>
        <w:br/>
      </w:r>
      <w:r>
        <w:rPr>
          <w:rStyle w:val="Corpsdutexte9"/>
          <w:rFonts w:eastAsiaTheme="minorHAnsi"/>
          <w:b/>
          <w:noProof/>
          <w:sz w:val="20"/>
        </w:rPr>
        <w:br/>
        <w:t>DUTIES APPLICABLE TO GOODS ORIGINATING IN BOSNIA AND HERZEGOVINA ON IMPORT INTO THE EUROPEAN UNION</w:t>
      </w:r>
    </w:p>
    <w:p>
      <w:pPr>
        <w:spacing w:after="0"/>
        <w:ind w:left="180"/>
        <w:jc w:val="center"/>
        <w:rPr>
          <w:rStyle w:val="Corpsdutexte9"/>
          <w:rFonts w:eastAsiaTheme="minorHAnsi"/>
          <w:b/>
          <w:noProof/>
          <w:sz w:val="20"/>
        </w:rPr>
      </w:pPr>
    </w:p>
    <w:p>
      <w:pPr>
        <w:spacing w:after="0"/>
        <w:ind w:left="180"/>
        <w:jc w:val="center"/>
        <w:rPr>
          <w:rStyle w:val="Corpsdutexte4"/>
          <w:rFonts w:eastAsiaTheme="minorHAnsi"/>
          <w:b/>
          <w:noProof/>
          <w:sz w:val="20"/>
        </w:rPr>
      </w:pPr>
      <w:r>
        <w:rPr>
          <w:rStyle w:val="Corpsdutexte4"/>
          <w:rFonts w:eastAsiaTheme="minorHAnsi"/>
          <w:b/>
          <w:noProof/>
          <w:sz w:val="20"/>
        </w:rPr>
        <w:t>(Referred to in Article 28 (1a) of the SAA)</w:t>
      </w:r>
    </w:p>
    <w:p>
      <w:pPr>
        <w:spacing w:after="0"/>
        <w:ind w:left="180"/>
        <w:jc w:val="center"/>
        <w:rPr>
          <w:rStyle w:val="Corpsdutexte4"/>
          <w:rFonts w:eastAsiaTheme="minorHAnsi"/>
          <w:b/>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b/>
                <w:noProof/>
                <w:sz w:val="20"/>
                <w:lang w:val="en-US"/>
              </w:rPr>
            </w:pPr>
            <w:r>
              <w:rPr>
                <w:noProof/>
                <w:sz w:val="20"/>
              </w:rPr>
              <w:t>From the date of entry into force or provisional application of the Protocol to take account of the accession of Croatia to the European Union, imports from Bosnia and Herzegovina into the European Union shall be subject to the concessions set below. For the year 2017 the full amount of the quota shall apply, irrespective of the date of entry into force or provisional application of the Protocol.</w:t>
            </w:r>
          </w:p>
        </w:tc>
      </w:tr>
    </w:tbl>
    <w:p>
      <w:pPr>
        <w:spacing w:after="0"/>
        <w:rPr>
          <w:noProof/>
          <w:sz w:val="20"/>
          <w:lang w:val="en"/>
        </w:rPr>
      </w:pPr>
    </w:p>
    <w:tbl>
      <w:tblPr>
        <w:tblW w:w="5004"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49"/>
        <w:gridCol w:w="3081"/>
        <w:gridCol w:w="1609"/>
        <w:gridCol w:w="1609"/>
        <w:gridCol w:w="1606"/>
      </w:tblGrid>
      <w:tr>
        <w:tc>
          <w:tcPr>
            <w:tcW w:w="682" w:type="pct"/>
            <w:tcBorders>
              <w:top w:val="single" w:sz="6" w:space="0" w:color="000000"/>
              <w:left w:val="nil"/>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bCs/>
                <w:noProof/>
                <w:sz w:val="20"/>
              </w:rPr>
              <w:t>CN Codes</w:t>
            </w:r>
          </w:p>
        </w:tc>
        <w:tc>
          <w:tcPr>
            <w:tcW w:w="1683"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rPr>
            </w:pPr>
            <w:r>
              <w:rPr>
                <w:b/>
                <w:bCs/>
                <w:noProof/>
                <w:sz w:val="20"/>
              </w:rPr>
              <w:t>Description</w:t>
            </w:r>
          </w:p>
        </w:tc>
        <w:tc>
          <w:tcPr>
            <w:tcW w:w="879"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spacing w:after="0"/>
              <w:jc w:val="center"/>
              <w:rPr>
                <w:b/>
                <w:bCs/>
                <w:noProof/>
                <w:sz w:val="20"/>
                <w:lang w:val="it-IT"/>
              </w:rPr>
            </w:pPr>
            <w:r>
              <w:rPr>
                <w:b/>
                <w:bCs/>
                <w:noProof/>
                <w:sz w:val="20"/>
                <w:lang w:val="it-IT"/>
              </w:rPr>
              <w:t>Tariff quota volume (in tonnes)</w:t>
            </w:r>
          </w:p>
        </w:tc>
        <w:tc>
          <w:tcPr>
            <w:tcW w:w="879" w:type="pct"/>
            <w:tcBorders>
              <w:top w:val="single" w:sz="6" w:space="0" w:color="000000"/>
              <w:left w:val="single" w:sz="6" w:space="0" w:color="000000"/>
              <w:bottom w:val="single" w:sz="6" w:space="0" w:color="000000"/>
              <w:right w:val="single" w:sz="6" w:space="0" w:color="000000"/>
            </w:tcBorders>
            <w:shd w:val="pct25" w:color="auto" w:fill="FFFFFF"/>
            <w:vAlign w:val="center"/>
          </w:tcPr>
          <w:p>
            <w:pPr>
              <w:spacing w:after="0"/>
              <w:jc w:val="center"/>
              <w:rPr>
                <w:b/>
                <w:bCs/>
                <w:noProof/>
                <w:sz w:val="20"/>
              </w:rPr>
            </w:pPr>
            <w:r>
              <w:rPr>
                <w:b/>
                <w:bCs/>
                <w:noProof/>
                <w:sz w:val="20"/>
              </w:rPr>
              <w:t xml:space="preserve">Rate of duty </w:t>
            </w:r>
            <w:r>
              <w:rPr>
                <w:b/>
                <w:bCs/>
                <w:noProof/>
                <w:sz w:val="20"/>
              </w:rPr>
              <w:br/>
              <w:t>within quota</w:t>
            </w:r>
          </w:p>
        </w:tc>
        <w:tc>
          <w:tcPr>
            <w:tcW w:w="877" w:type="pct"/>
            <w:tcBorders>
              <w:top w:val="single" w:sz="6" w:space="0" w:color="000000"/>
              <w:left w:val="single" w:sz="6" w:space="0" w:color="000000"/>
              <w:bottom w:val="single" w:sz="6" w:space="0" w:color="000000"/>
              <w:right w:val="nil"/>
            </w:tcBorders>
            <w:shd w:val="pct25" w:color="auto" w:fill="FFFFFF"/>
            <w:vAlign w:val="center"/>
          </w:tcPr>
          <w:p>
            <w:pPr>
              <w:spacing w:after="0"/>
              <w:jc w:val="center"/>
              <w:rPr>
                <w:b/>
                <w:bCs/>
                <w:noProof/>
                <w:sz w:val="20"/>
              </w:rPr>
            </w:pPr>
            <w:r>
              <w:rPr>
                <w:b/>
                <w:bCs/>
                <w:noProof/>
                <w:sz w:val="20"/>
              </w:rPr>
              <w:t xml:space="preserve">Rate of duty </w:t>
            </w:r>
            <w:r>
              <w:rPr>
                <w:b/>
                <w:bCs/>
                <w:noProof/>
                <w:sz w:val="20"/>
              </w:rPr>
              <w:br/>
              <w:t>over quota</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0301 91 00</w:t>
            </w:r>
          </w:p>
          <w:p>
            <w:pPr>
              <w:spacing w:after="0"/>
              <w:jc w:val="right"/>
              <w:rPr>
                <w:noProof/>
                <w:sz w:val="20"/>
              </w:rPr>
            </w:pPr>
            <w:r>
              <w:rPr>
                <w:noProof/>
                <w:sz w:val="20"/>
              </w:rPr>
              <w:t>0302 11 00</w:t>
            </w:r>
          </w:p>
          <w:p>
            <w:pPr>
              <w:spacing w:after="0"/>
              <w:jc w:val="right"/>
              <w:rPr>
                <w:noProof/>
                <w:sz w:val="20"/>
              </w:rPr>
            </w:pPr>
            <w:r>
              <w:rPr>
                <w:noProof/>
                <w:sz w:val="20"/>
              </w:rPr>
              <w:t>0303 14 00</w:t>
            </w:r>
          </w:p>
          <w:p>
            <w:pPr>
              <w:spacing w:after="0"/>
              <w:jc w:val="right"/>
              <w:rPr>
                <w:noProof/>
                <w:sz w:val="20"/>
              </w:rPr>
            </w:pPr>
            <w:r>
              <w:rPr>
                <w:noProof/>
                <w:sz w:val="20"/>
              </w:rPr>
              <w:t>0304 42 00</w:t>
            </w:r>
          </w:p>
          <w:p>
            <w:pPr>
              <w:spacing w:after="0"/>
              <w:jc w:val="right"/>
              <w:rPr>
                <w:noProof/>
                <w:sz w:val="20"/>
              </w:rPr>
            </w:pPr>
            <w:r>
              <w:rPr>
                <w:noProof/>
                <w:sz w:val="20"/>
              </w:rPr>
              <w:t>ex 0304 52 00</w:t>
            </w:r>
          </w:p>
          <w:p>
            <w:pPr>
              <w:spacing w:after="0"/>
              <w:jc w:val="right"/>
              <w:rPr>
                <w:noProof/>
                <w:sz w:val="20"/>
              </w:rPr>
            </w:pPr>
            <w:r>
              <w:rPr>
                <w:noProof/>
                <w:sz w:val="20"/>
              </w:rPr>
              <w:t>0304 82 00</w:t>
            </w:r>
          </w:p>
          <w:p>
            <w:pPr>
              <w:spacing w:after="0"/>
              <w:jc w:val="right"/>
              <w:rPr>
                <w:noProof/>
                <w:sz w:val="20"/>
              </w:rPr>
            </w:pPr>
            <w:r>
              <w:rPr>
                <w:noProof/>
                <w:sz w:val="20"/>
              </w:rPr>
              <w:t>ex 0304 99 21</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0305 43 00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Trout (</w:t>
            </w:r>
            <w:r>
              <w:rPr>
                <w:i/>
                <w:iCs/>
                <w:noProof/>
                <w:sz w:val="20"/>
              </w:rPr>
              <w:t>Salmo trutta</w:t>
            </w:r>
            <w:r>
              <w:rPr>
                <w:noProof/>
                <w:sz w:val="20"/>
              </w:rPr>
              <w:t xml:space="preserve">, </w:t>
            </w:r>
            <w:r>
              <w:rPr>
                <w:i/>
                <w:iCs/>
                <w:noProof/>
                <w:sz w:val="20"/>
              </w:rPr>
              <w:t>Oncorhynchus mykiss, Oncorhynchus clarki</w:t>
            </w:r>
            <w:r>
              <w:rPr>
                <w:noProof/>
                <w:sz w:val="20"/>
              </w:rPr>
              <w:t xml:space="preserve">, </w:t>
            </w:r>
            <w:r>
              <w:rPr>
                <w:i/>
                <w:iCs/>
                <w:noProof/>
                <w:sz w:val="20"/>
              </w:rPr>
              <w:t>Oncorhynchus aguabonita</w:t>
            </w:r>
            <w:r>
              <w:rPr>
                <w:noProof/>
                <w:sz w:val="20"/>
              </w:rPr>
              <w:t xml:space="preserve">, </w:t>
            </w:r>
            <w:r>
              <w:rPr>
                <w:i/>
                <w:iCs/>
                <w:noProof/>
                <w:sz w:val="20"/>
              </w:rPr>
              <w:t>Oncorhynchus gilae</w:t>
            </w:r>
            <w:r>
              <w:rPr>
                <w:noProof/>
                <w:sz w:val="20"/>
              </w:rPr>
              <w:t xml:space="preserve">, </w:t>
            </w:r>
            <w:r>
              <w:rPr>
                <w:i/>
                <w:iCs/>
                <w:noProof/>
                <w:sz w:val="20"/>
              </w:rPr>
              <w:t>Oncorhynchus apache</w:t>
            </w:r>
            <w:r>
              <w:rPr>
                <w:noProof/>
                <w:sz w:val="20"/>
              </w:rPr>
              <w:t xml:space="preserve"> and </w:t>
            </w:r>
            <w:r>
              <w:rPr>
                <w:i/>
                <w:iCs/>
                <w:noProof/>
                <w:sz w:val="20"/>
              </w:rPr>
              <w:t>Oncorhynchus chrysogaster</w:t>
            </w:r>
            <w:r>
              <w:rPr>
                <w:noProof/>
                <w:sz w:val="20"/>
              </w:rPr>
              <w:t>): live; fresh or chilled; frozen; dried, salted or in brine, smoked; fillets and other fish meat; flours, meals and pellets, fit for human consumption</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500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70%</w:t>
            </w:r>
            <w:r>
              <w:rPr>
                <w:noProof/>
                <w:sz w:val="20"/>
              </w:rPr>
              <w:br/>
              <w:t>of MFN duty</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0301 93 00</w:t>
            </w:r>
          </w:p>
          <w:p>
            <w:pPr>
              <w:spacing w:after="0"/>
              <w:jc w:val="right"/>
              <w:rPr>
                <w:noProof/>
                <w:sz w:val="20"/>
              </w:rPr>
            </w:pPr>
            <w:r>
              <w:rPr>
                <w:noProof/>
                <w:sz w:val="20"/>
              </w:rPr>
              <w:t>0302 73 00</w:t>
            </w:r>
          </w:p>
          <w:p>
            <w:pPr>
              <w:spacing w:after="0"/>
              <w:jc w:val="right"/>
              <w:rPr>
                <w:noProof/>
                <w:sz w:val="20"/>
              </w:rPr>
            </w:pPr>
            <w:r>
              <w:rPr>
                <w:noProof/>
                <w:sz w:val="20"/>
              </w:rPr>
              <w:t>0303 25 00</w:t>
            </w:r>
          </w:p>
          <w:p>
            <w:pPr>
              <w:spacing w:after="0"/>
              <w:jc w:val="right"/>
              <w:rPr>
                <w:noProof/>
                <w:sz w:val="20"/>
              </w:rPr>
            </w:pPr>
            <w:r>
              <w:rPr>
                <w:noProof/>
                <w:sz w:val="20"/>
              </w:rPr>
              <w:t>ex 0304 39 00</w:t>
            </w:r>
          </w:p>
          <w:p>
            <w:pPr>
              <w:spacing w:after="0"/>
              <w:jc w:val="right"/>
              <w:rPr>
                <w:noProof/>
                <w:sz w:val="20"/>
              </w:rPr>
            </w:pPr>
            <w:r>
              <w:rPr>
                <w:noProof/>
                <w:sz w:val="20"/>
              </w:rPr>
              <w:t>ex 0304 51 00</w:t>
            </w:r>
          </w:p>
          <w:p>
            <w:pPr>
              <w:spacing w:after="0"/>
              <w:jc w:val="right"/>
              <w:rPr>
                <w:noProof/>
                <w:sz w:val="20"/>
              </w:rPr>
            </w:pPr>
            <w:r>
              <w:rPr>
                <w:noProof/>
                <w:sz w:val="20"/>
              </w:rPr>
              <w:t>ex 0304 69 00</w:t>
            </w:r>
          </w:p>
          <w:p>
            <w:pPr>
              <w:spacing w:after="0"/>
              <w:jc w:val="right"/>
              <w:rPr>
                <w:noProof/>
                <w:sz w:val="20"/>
              </w:rPr>
            </w:pPr>
            <w:r>
              <w:rPr>
                <w:noProof/>
                <w:sz w:val="20"/>
              </w:rPr>
              <w:t>ex 0304 93 90</w:t>
            </w:r>
          </w:p>
          <w:p>
            <w:pPr>
              <w:spacing w:after="0"/>
              <w:jc w:val="right"/>
              <w:rPr>
                <w:noProof/>
                <w:sz w:val="20"/>
              </w:rPr>
            </w:pPr>
            <w:r>
              <w:rPr>
                <w:noProof/>
                <w:sz w:val="20"/>
              </w:rPr>
              <w:t>ex 0305 10 00</w:t>
            </w:r>
          </w:p>
          <w:p>
            <w:pPr>
              <w:spacing w:after="0"/>
              <w:jc w:val="right"/>
              <w:rPr>
                <w:noProof/>
                <w:sz w:val="20"/>
              </w:rPr>
            </w:pPr>
            <w:r>
              <w:rPr>
                <w:noProof/>
                <w:sz w:val="20"/>
              </w:rPr>
              <w:t>ex 0305 31 00</w:t>
            </w:r>
          </w:p>
          <w:p>
            <w:pPr>
              <w:spacing w:after="0"/>
              <w:jc w:val="right"/>
              <w:rPr>
                <w:noProof/>
                <w:sz w:val="20"/>
              </w:rPr>
            </w:pPr>
            <w:r>
              <w:rPr>
                <w:noProof/>
                <w:sz w:val="20"/>
              </w:rPr>
              <w:t>ex 0305 44 90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Carp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 piceus</w:t>
            </w:r>
            <w:r>
              <w:rPr>
                <w:noProof/>
                <w:sz w:val="20"/>
              </w:rPr>
              <w:t>): live; fresh or chilled; frozen; dried, salted or in brine, smoked; fillets and other fish meat; flours, meals and pellets, fit for human consumption</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140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70%</w:t>
            </w:r>
            <w:r>
              <w:rPr>
                <w:noProof/>
                <w:sz w:val="20"/>
              </w:rPr>
              <w:br/>
              <w:t>of MFN duty</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hideMark/>
          </w:tcPr>
          <w:p>
            <w:pPr>
              <w:spacing w:after="0"/>
              <w:jc w:val="right"/>
              <w:rPr>
                <w:noProof/>
                <w:sz w:val="20"/>
              </w:rPr>
            </w:pPr>
            <w:r>
              <w:rPr>
                <w:noProof/>
                <w:sz w:val="20"/>
              </w:rPr>
              <w:t>ex 0301 99 85</w:t>
            </w:r>
          </w:p>
          <w:p>
            <w:pPr>
              <w:spacing w:after="0"/>
              <w:jc w:val="right"/>
              <w:rPr>
                <w:noProof/>
                <w:sz w:val="20"/>
              </w:rPr>
            </w:pPr>
            <w:r>
              <w:rPr>
                <w:noProof/>
                <w:sz w:val="20"/>
              </w:rPr>
              <w:t>0302 85 10</w:t>
            </w:r>
          </w:p>
          <w:p>
            <w:pPr>
              <w:spacing w:after="0"/>
              <w:jc w:val="right"/>
              <w:rPr>
                <w:noProof/>
                <w:sz w:val="20"/>
              </w:rPr>
            </w:pPr>
            <w:r>
              <w:rPr>
                <w:noProof/>
                <w:sz w:val="20"/>
              </w:rPr>
              <w:t>0303 89 50</w:t>
            </w:r>
          </w:p>
          <w:p>
            <w:pPr>
              <w:spacing w:after="0"/>
              <w:jc w:val="right"/>
              <w:rPr>
                <w:noProof/>
                <w:sz w:val="20"/>
              </w:rPr>
            </w:pPr>
            <w:r>
              <w:rPr>
                <w:noProof/>
                <w:sz w:val="20"/>
              </w:rPr>
              <w:t>ex 0304 49 90</w:t>
            </w:r>
          </w:p>
          <w:p>
            <w:pPr>
              <w:spacing w:after="0"/>
              <w:jc w:val="right"/>
              <w:rPr>
                <w:noProof/>
                <w:sz w:val="20"/>
              </w:rPr>
            </w:pPr>
            <w:r>
              <w:rPr>
                <w:noProof/>
                <w:sz w:val="20"/>
              </w:rPr>
              <w:t>ex 0304 59 90</w:t>
            </w:r>
          </w:p>
          <w:p>
            <w:pPr>
              <w:spacing w:after="0"/>
              <w:jc w:val="right"/>
              <w:rPr>
                <w:noProof/>
                <w:sz w:val="20"/>
              </w:rPr>
            </w:pPr>
            <w:r>
              <w:rPr>
                <w:noProof/>
                <w:sz w:val="20"/>
              </w:rPr>
              <w:t>ex 0304 89 90</w:t>
            </w:r>
          </w:p>
          <w:p>
            <w:pPr>
              <w:spacing w:after="0"/>
              <w:jc w:val="right"/>
              <w:rPr>
                <w:noProof/>
                <w:sz w:val="20"/>
              </w:rPr>
            </w:pPr>
            <w:r>
              <w:rPr>
                <w:noProof/>
                <w:sz w:val="20"/>
              </w:rPr>
              <w:t>ex 0304 99 99</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ex 0305 49 80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 xml:space="preserve">Sea bream </w:t>
            </w:r>
            <w:r>
              <w:rPr>
                <w:i/>
                <w:iCs/>
                <w:noProof/>
                <w:sz w:val="20"/>
              </w:rPr>
              <w:t>(Dentex dentex</w:t>
            </w:r>
            <w:r>
              <w:rPr>
                <w:noProof/>
                <w:sz w:val="20"/>
              </w:rPr>
              <w:t xml:space="preserve"> and </w:t>
            </w:r>
            <w:r>
              <w:rPr>
                <w:i/>
                <w:iCs/>
                <w:noProof/>
                <w:sz w:val="20"/>
              </w:rPr>
              <w:t>Pagellus</w:t>
            </w:r>
            <w:r>
              <w:rPr>
                <w:noProof/>
                <w:sz w:val="20"/>
              </w:rPr>
              <w:t xml:space="preserve"> spp.): live; fresh or chilled; frozen; dried, salted or in brine, smoked; fillets and other fish meat; flours, meals and pellets, fit for human consumption</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30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30%</w:t>
            </w:r>
            <w:r>
              <w:rPr>
                <w:noProof/>
                <w:sz w:val="20"/>
              </w:rPr>
              <w:br/>
              <w:t>of MFN duty</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right"/>
              <w:rPr>
                <w:noProof/>
                <w:sz w:val="20"/>
              </w:rPr>
            </w:pPr>
            <w:r>
              <w:rPr>
                <w:noProof/>
                <w:sz w:val="20"/>
              </w:rPr>
              <w:t>ex 0301 99 85</w:t>
            </w:r>
          </w:p>
          <w:p>
            <w:pPr>
              <w:spacing w:after="0"/>
              <w:jc w:val="right"/>
              <w:rPr>
                <w:noProof/>
                <w:sz w:val="20"/>
              </w:rPr>
            </w:pPr>
            <w:r>
              <w:rPr>
                <w:noProof/>
                <w:sz w:val="20"/>
              </w:rPr>
              <w:t>0302 84 10</w:t>
            </w:r>
          </w:p>
          <w:p>
            <w:pPr>
              <w:spacing w:after="0"/>
              <w:jc w:val="right"/>
              <w:rPr>
                <w:noProof/>
                <w:sz w:val="20"/>
              </w:rPr>
            </w:pPr>
            <w:r>
              <w:rPr>
                <w:noProof/>
                <w:sz w:val="20"/>
              </w:rPr>
              <w:t>0303 84 10</w:t>
            </w:r>
          </w:p>
          <w:p>
            <w:pPr>
              <w:spacing w:after="0"/>
              <w:jc w:val="right"/>
              <w:rPr>
                <w:noProof/>
                <w:sz w:val="20"/>
              </w:rPr>
            </w:pPr>
            <w:r>
              <w:rPr>
                <w:noProof/>
                <w:sz w:val="20"/>
              </w:rPr>
              <w:t>ex 0304 49 90</w:t>
            </w:r>
          </w:p>
          <w:p>
            <w:pPr>
              <w:spacing w:after="0"/>
              <w:jc w:val="right"/>
              <w:rPr>
                <w:noProof/>
                <w:sz w:val="20"/>
              </w:rPr>
            </w:pPr>
            <w:r>
              <w:rPr>
                <w:noProof/>
                <w:sz w:val="20"/>
              </w:rPr>
              <w:t>ex 0304 59 90</w:t>
            </w:r>
          </w:p>
          <w:p>
            <w:pPr>
              <w:spacing w:after="0"/>
              <w:jc w:val="right"/>
              <w:rPr>
                <w:noProof/>
                <w:sz w:val="20"/>
              </w:rPr>
            </w:pPr>
            <w:r>
              <w:rPr>
                <w:noProof/>
                <w:sz w:val="20"/>
              </w:rPr>
              <w:t>ex 0304 89 90</w:t>
            </w:r>
          </w:p>
          <w:p>
            <w:pPr>
              <w:spacing w:after="0"/>
              <w:jc w:val="right"/>
              <w:rPr>
                <w:noProof/>
                <w:sz w:val="20"/>
              </w:rPr>
            </w:pPr>
            <w:r>
              <w:rPr>
                <w:noProof/>
                <w:sz w:val="20"/>
              </w:rPr>
              <w:t>ex 0304 99 99</w:t>
            </w:r>
          </w:p>
          <w:p>
            <w:pPr>
              <w:spacing w:after="0"/>
              <w:jc w:val="right"/>
              <w:rPr>
                <w:noProof/>
                <w:sz w:val="20"/>
              </w:rPr>
            </w:pPr>
            <w:r>
              <w:rPr>
                <w:noProof/>
                <w:sz w:val="20"/>
              </w:rPr>
              <w:t>ex 0305 10 00</w:t>
            </w:r>
          </w:p>
          <w:p>
            <w:pPr>
              <w:spacing w:after="0"/>
              <w:jc w:val="right"/>
              <w:rPr>
                <w:noProof/>
                <w:sz w:val="20"/>
              </w:rPr>
            </w:pPr>
            <w:r>
              <w:rPr>
                <w:noProof/>
                <w:sz w:val="20"/>
              </w:rPr>
              <w:t>ex 0305 39 90</w:t>
            </w:r>
          </w:p>
          <w:p>
            <w:pPr>
              <w:spacing w:after="0"/>
              <w:jc w:val="right"/>
              <w:rPr>
                <w:noProof/>
                <w:sz w:val="20"/>
              </w:rPr>
            </w:pPr>
            <w:r>
              <w:rPr>
                <w:noProof/>
                <w:sz w:val="20"/>
              </w:rPr>
              <w:t>ex 0305 49 80</w:t>
            </w:r>
          </w:p>
          <w:p>
            <w:pPr>
              <w:spacing w:after="0"/>
              <w:jc w:val="right"/>
              <w:rPr>
                <w:noProof/>
                <w:sz w:val="20"/>
              </w:rPr>
            </w:pPr>
            <w:r>
              <w:rPr>
                <w:noProof/>
                <w:sz w:val="20"/>
              </w:rPr>
              <w:t>ex 0305 59 80</w:t>
            </w:r>
          </w:p>
          <w:p>
            <w:pPr>
              <w:spacing w:after="0"/>
              <w:jc w:val="right"/>
              <w:rPr>
                <w:noProof/>
                <w:sz w:val="20"/>
              </w:rPr>
            </w:pPr>
            <w:r>
              <w:rPr>
                <w:noProof/>
                <w:sz w:val="20"/>
              </w:rPr>
              <w:t>ex 0305 69 80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left"/>
              <w:rPr>
                <w:noProof/>
                <w:sz w:val="20"/>
              </w:rPr>
            </w:pPr>
            <w:r>
              <w:rPr>
                <w:noProof/>
                <w:sz w:val="20"/>
              </w:rPr>
              <w:t xml:space="preserve">Sea bass </w:t>
            </w:r>
            <w:r>
              <w:rPr>
                <w:i/>
                <w:iCs/>
                <w:noProof/>
                <w:sz w:val="20"/>
              </w:rPr>
              <w:t>(Dicentrarchus labrax)</w:t>
            </w:r>
            <w:r>
              <w:rPr>
                <w:noProof/>
                <w:sz w:val="20"/>
              </w:rPr>
              <w:t>: live; fresh or chilled; frozen; dried, salted or in brine, smoked; fillets and other fish meat; flours, meals and pellets, fit for human consumption</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spacing w:after="0"/>
              <w:jc w:val="center"/>
              <w:rPr>
                <w:noProof/>
                <w:sz w:val="20"/>
              </w:rPr>
            </w:pPr>
            <w:r>
              <w:rPr>
                <w:noProof/>
                <w:sz w:val="20"/>
              </w:rPr>
              <w:t>30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0%</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30%</w:t>
            </w:r>
            <w:r>
              <w:rPr>
                <w:noProof/>
                <w:sz w:val="20"/>
              </w:rPr>
              <w:br/>
              <w:t>of MFN duty</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right"/>
              <w:rPr>
                <w:noProof/>
                <w:sz w:val="20"/>
              </w:rPr>
            </w:pPr>
            <w:r>
              <w:rPr>
                <w:noProof/>
                <w:sz w:val="20"/>
              </w:rPr>
              <w:t>1604 13 11</w:t>
            </w:r>
          </w:p>
          <w:p>
            <w:pPr>
              <w:spacing w:after="0"/>
              <w:jc w:val="right"/>
              <w:rPr>
                <w:noProof/>
                <w:sz w:val="20"/>
              </w:rPr>
            </w:pPr>
            <w:r>
              <w:rPr>
                <w:noProof/>
                <w:sz w:val="20"/>
              </w:rPr>
              <w:t>1604 13 19</w:t>
            </w:r>
          </w:p>
          <w:p>
            <w:pPr>
              <w:spacing w:after="0"/>
              <w:jc w:val="right"/>
              <w:rPr>
                <w:noProof/>
                <w:sz w:val="20"/>
              </w:rPr>
            </w:pPr>
            <w:r>
              <w:rPr>
                <w:noProof/>
                <w:sz w:val="20"/>
              </w:rPr>
              <w:t>ex 1604 20 50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rPr>
                <w:noProof/>
                <w:sz w:val="20"/>
              </w:rPr>
            </w:pPr>
            <w:r>
              <w:rPr>
                <w:noProof/>
                <w:sz w:val="20"/>
              </w:rPr>
              <w:t>Prepared or preserved sardines</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center"/>
              <w:rPr>
                <w:noProof/>
                <w:sz w:val="20"/>
              </w:rPr>
            </w:pPr>
            <w:r>
              <w:rPr>
                <w:noProof/>
                <w:sz w:val="20"/>
              </w:rPr>
              <w:t>50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6%</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100%</w:t>
            </w:r>
          </w:p>
        </w:tc>
      </w:tr>
      <w:tr>
        <w:tc>
          <w:tcPr>
            <w:tcW w:w="682" w:type="pct"/>
            <w:tcBorders>
              <w:top w:val="single" w:sz="6" w:space="0" w:color="000000"/>
              <w:left w:val="nil"/>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right"/>
              <w:rPr>
                <w:noProof/>
                <w:sz w:val="20"/>
              </w:rPr>
            </w:pPr>
            <w:r>
              <w:rPr>
                <w:noProof/>
                <w:sz w:val="20"/>
              </w:rPr>
              <w:t>1604 16 00</w:t>
            </w:r>
          </w:p>
          <w:p>
            <w:pPr>
              <w:spacing w:after="0"/>
              <w:jc w:val="right"/>
              <w:rPr>
                <w:noProof/>
                <w:sz w:val="20"/>
              </w:rPr>
            </w:pPr>
            <w:r>
              <w:rPr>
                <w:noProof/>
                <w:sz w:val="20"/>
              </w:rPr>
              <w:t>1604 20 40</w:t>
            </w:r>
          </w:p>
        </w:tc>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rPr>
                <w:noProof/>
                <w:sz w:val="20"/>
              </w:rPr>
            </w:pPr>
            <w:r>
              <w:rPr>
                <w:noProof/>
                <w:sz w:val="20"/>
              </w:rPr>
              <w:t>Prepared or preserved anchovies</w:t>
            </w:r>
          </w:p>
        </w:tc>
        <w:tc>
          <w:tcPr>
            <w:tcW w:w="879"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tcPr>
          <w:p>
            <w:pPr>
              <w:spacing w:after="0"/>
              <w:jc w:val="center"/>
              <w:rPr>
                <w:noProof/>
                <w:sz w:val="20"/>
              </w:rPr>
            </w:pPr>
            <w:r>
              <w:rPr>
                <w:noProof/>
                <w:sz w:val="20"/>
              </w:rPr>
              <w:t>70</w:t>
            </w:r>
          </w:p>
        </w:tc>
        <w:tc>
          <w:tcPr>
            <w:tcW w:w="879" w:type="pct"/>
            <w:tcBorders>
              <w:top w:val="single" w:sz="6" w:space="0" w:color="000000"/>
              <w:left w:val="single" w:sz="6" w:space="0" w:color="000000"/>
              <w:bottom w:val="single" w:sz="6" w:space="0" w:color="000000"/>
              <w:right w:val="single" w:sz="6" w:space="0" w:color="000000"/>
            </w:tcBorders>
            <w:shd w:val="clear" w:color="auto" w:fill="FFFFFF"/>
            <w:vAlign w:val="center"/>
          </w:tcPr>
          <w:p>
            <w:pPr>
              <w:spacing w:after="0"/>
              <w:jc w:val="center"/>
              <w:rPr>
                <w:noProof/>
                <w:sz w:val="20"/>
              </w:rPr>
            </w:pPr>
            <w:r>
              <w:rPr>
                <w:noProof/>
                <w:sz w:val="20"/>
              </w:rPr>
              <w:t>12,5%</w:t>
            </w:r>
          </w:p>
        </w:tc>
        <w:tc>
          <w:tcPr>
            <w:tcW w:w="877" w:type="pct"/>
            <w:tcBorders>
              <w:top w:val="single" w:sz="6" w:space="0" w:color="000000"/>
              <w:left w:val="single" w:sz="6" w:space="0" w:color="000000"/>
              <w:bottom w:val="single" w:sz="6" w:space="0" w:color="000000"/>
              <w:right w:val="nil"/>
            </w:tcBorders>
            <w:shd w:val="clear" w:color="auto" w:fill="FFFFFF"/>
            <w:vAlign w:val="center"/>
          </w:tcPr>
          <w:p>
            <w:pPr>
              <w:spacing w:after="0"/>
              <w:jc w:val="center"/>
              <w:rPr>
                <w:noProof/>
                <w:sz w:val="20"/>
              </w:rPr>
            </w:pPr>
            <w:r>
              <w:rPr>
                <w:noProof/>
                <w:sz w:val="20"/>
              </w:rPr>
              <w:t>100%</w:t>
            </w:r>
          </w:p>
        </w:tc>
      </w:tr>
    </w:tbl>
    <w:p>
      <w:pPr>
        <w:spacing w:after="0"/>
        <w:rPr>
          <w:noProof/>
          <w:sz w:val="20"/>
          <w:lang w:val="en"/>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spacing w:after="0"/>
              <w:rPr>
                <w:noProof/>
                <w:sz w:val="20"/>
              </w:rPr>
            </w:pPr>
            <w:r>
              <w:rPr>
                <w:noProof/>
                <w:sz w:val="20"/>
                <w:lang w:val="en"/>
              </w:rPr>
              <w:t xml:space="preserve">The duty rate applicable to all products of HS heading 1604 except prepared or preserved sardines and prepared or preserved anchovies is reduced to </w:t>
            </w:r>
            <w:r>
              <w:rPr>
                <w:noProof/>
                <w:sz w:val="20"/>
              </w:rPr>
              <w:t>70 % of MFN</w:t>
            </w:r>
            <w:r>
              <w:rPr>
                <w:noProof/>
                <w:sz w:val="20"/>
                <w:lang w:val="en"/>
              </w:rPr>
              <w:t xml:space="preserve"> duty rate. </w:t>
            </w:r>
          </w:p>
          <w:p>
            <w:pPr>
              <w:rPr>
                <w:noProof/>
                <w:sz w:val="20"/>
              </w:rPr>
            </w:pPr>
          </w:p>
        </w:tc>
      </w:tr>
    </w:tbl>
    <w:p>
      <w:pPr>
        <w:spacing w:before="0" w:after="200" w:line="276" w:lineRule="auto"/>
        <w:jc w:val="left"/>
        <w:rPr>
          <w:noProof/>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t>ANNEX III</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4"/>
          <w:rFonts w:eastAsiaTheme="minorHAnsi"/>
          <w:b/>
          <w:noProof/>
          <w:sz w:val="20"/>
        </w:rPr>
      </w:pPr>
      <w:r>
        <w:rPr>
          <w:rStyle w:val="Corpsdutexte4"/>
          <w:rFonts w:eastAsiaTheme="minorHAnsi"/>
          <w:i/>
          <w:noProof/>
          <w:sz w:val="20"/>
        </w:rPr>
        <w:t>'ANNEX III TO PROTOCOL 1</w:t>
      </w:r>
      <w:r>
        <w:rPr>
          <w:rStyle w:val="Corpsdutexte4"/>
          <w:rFonts w:eastAsiaTheme="minorHAnsi"/>
          <w:i/>
          <w:noProof/>
          <w:sz w:val="20"/>
        </w:rPr>
        <w:br/>
      </w:r>
      <w:r>
        <w:rPr>
          <w:rStyle w:val="Corpsdutexte4"/>
          <w:rFonts w:eastAsiaTheme="minorHAnsi"/>
          <w:b/>
          <w:noProof/>
          <w:sz w:val="20"/>
        </w:rPr>
        <w:br/>
      </w:r>
      <w:r>
        <w:rPr>
          <w:rStyle w:val="Corpsdutexte4"/>
          <w:rFonts w:eastAsiaTheme="minorHAnsi"/>
          <w:b/>
          <w:noProof/>
          <w:sz w:val="20"/>
        </w:rPr>
        <w:br/>
        <w:t>TARIFF CONCESSIONS OF BOSNIA AND HERZEGOVINA FOR PROCESSED AGRICULTURAL PRODUCTS ORIGINATING IN THE EUROPEAN UNION</w:t>
      </w:r>
    </w:p>
    <w:p>
      <w:pPr>
        <w:spacing w:after="0"/>
        <w:ind w:left="180"/>
        <w:jc w:val="center"/>
        <w:rPr>
          <w:b/>
          <w:noProof/>
          <w:sz w:val="20"/>
        </w:rPr>
      </w:pPr>
      <w:r>
        <w:rPr>
          <w:noProof/>
          <w:sz w:val="20"/>
        </w:rPr>
        <w:br/>
      </w:r>
      <w:r>
        <w:rPr>
          <w:b/>
          <w:noProof/>
          <w:sz w:val="20"/>
        </w:rPr>
        <w:t>(Referred to in Article 25 of the SAA)</w:t>
      </w:r>
    </w:p>
    <w:p>
      <w:pPr>
        <w:spacing w:after="0"/>
        <w:ind w:left="180"/>
        <w:rPr>
          <w:noProof/>
          <w:sz w:val="20"/>
        </w:rPr>
      </w:pPr>
    </w:p>
    <w:p>
      <w:pPr>
        <w:spacing w:after="0"/>
        <w:ind w:left="40" w:right="200"/>
        <w:rPr>
          <w:noProof/>
          <w:sz w:val="20"/>
        </w:rPr>
      </w:pPr>
      <w:r>
        <w:rPr>
          <w:rStyle w:val="Corpsdutexte"/>
          <w:rFonts w:eastAsiaTheme="minorHAnsi"/>
          <w:noProof/>
          <w:sz w:val="20"/>
        </w:rPr>
        <w:t xml:space="preserve">From the date of entry into force or provisional application of the Protocol to take account of the accession of Croatia to the European Union, the import duty shall be abolished within </w:t>
      </w:r>
      <w:r>
        <w:rPr>
          <w:rStyle w:val="Corpsdutexte"/>
          <w:rFonts w:eastAsiaTheme="minorHAnsi"/>
          <w:noProof/>
          <w:sz w:val="20"/>
          <w:lang w:val="hr"/>
        </w:rPr>
        <w:t xml:space="preserve">the </w:t>
      </w:r>
      <w:r>
        <w:rPr>
          <w:rStyle w:val="Corpsdutexte"/>
          <w:rFonts w:eastAsiaTheme="minorHAnsi"/>
          <w:noProof/>
          <w:sz w:val="20"/>
        </w:rPr>
        <w:t>tariff quota quantities set out below. For imports out of quota the MFN duty rate shall apply.</w:t>
      </w:r>
      <w:r>
        <w:rPr>
          <w:noProof/>
          <w:sz w:val="20"/>
        </w:rPr>
        <w:t xml:space="preserve"> For the year 2017 the full amount of the quota shall apply, irrespective of the date of entry into force or provisional application of the Protocol.</w:t>
      </w:r>
    </w:p>
    <w:p>
      <w:pPr>
        <w:rPr>
          <w:i/>
          <w:noProof/>
          <w:sz w:val="20"/>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9"/>
        <w:gridCol w:w="1276"/>
        <w:gridCol w:w="6237"/>
        <w:gridCol w:w="1305"/>
      </w:tblGrid>
      <w:tr>
        <w:trPr>
          <w:tblHeader/>
          <w:tblCellSpacing w:w="0" w:type="dxa"/>
        </w:trPr>
        <w:tc>
          <w:tcPr>
            <w:tcW w:w="1575"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tcPr>
          <w:p>
            <w:pPr>
              <w:spacing w:before="40" w:after="40"/>
              <w:jc w:val="center"/>
              <w:rPr>
                <w:b/>
                <w:bCs/>
                <w:noProof/>
                <w:sz w:val="20"/>
              </w:rPr>
            </w:pPr>
            <w:r>
              <w:rPr>
                <w:b/>
                <w:bCs/>
                <w:noProof/>
                <w:sz w:val="20"/>
              </w:rPr>
              <w:t>CN Code</w:t>
            </w:r>
          </w:p>
        </w:tc>
        <w:tc>
          <w:tcPr>
            <w:tcW w:w="6237"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pPr>
              <w:spacing w:before="40" w:after="40"/>
              <w:jc w:val="center"/>
              <w:rPr>
                <w:b/>
                <w:bCs/>
                <w:noProof/>
                <w:sz w:val="20"/>
              </w:rPr>
            </w:pPr>
            <w:r>
              <w:rPr>
                <w:b/>
                <w:bCs/>
                <w:noProof/>
                <w:sz w:val="20"/>
              </w:rPr>
              <w:t>Description</w:t>
            </w:r>
          </w:p>
        </w:tc>
        <w:tc>
          <w:tcPr>
            <w:tcW w:w="1305" w:type="dxa"/>
            <w:tcBorders>
              <w:top w:val="outset" w:sz="6" w:space="0" w:color="000000"/>
              <w:left w:val="outset" w:sz="6" w:space="0" w:color="000000"/>
              <w:bottom w:val="outset" w:sz="6" w:space="0" w:color="000000"/>
              <w:right w:val="outset" w:sz="6" w:space="0" w:color="000000"/>
            </w:tcBorders>
            <w:shd w:val="clear" w:color="auto" w:fill="C0C0C0"/>
            <w:vAlign w:val="center"/>
          </w:tcPr>
          <w:p>
            <w:pPr>
              <w:spacing w:before="40" w:after="40"/>
              <w:jc w:val="center"/>
              <w:rPr>
                <w:b/>
                <w:bCs/>
                <w:noProof/>
                <w:sz w:val="20"/>
              </w:rPr>
            </w:pPr>
            <w:r>
              <w:rPr>
                <w:b/>
                <w:bCs/>
                <w:noProof/>
                <w:sz w:val="20"/>
              </w:rPr>
              <w:t>Tariff quota (tonnes)</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0403</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Buttermilk, curdled milk and cream, yogurt, kephir and other fermented or acidified milk and cream, whether or not concentrated or containing added sugar or other sweetening matter or flavoured or containing added fruit, nuts or cocoa:</w:t>
            </w:r>
          </w:p>
        </w:tc>
        <w:tc>
          <w:tcPr>
            <w:tcW w:w="1305" w:type="dxa"/>
            <w:tcBorders>
              <w:top w:val="single" w:sz="4" w:space="0" w:color="auto"/>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Yogurt:</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Flavoured or containing added fruit, nuts or cocoa:</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Other, of a milkfat content, by weight:</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Not exceeding 3 %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480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0403 10 93</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Exceeding 3 % but not exceeding 6 %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130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0403 10 99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Exceeding 6 %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25</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Flavoured or containing added fruit, nuts or cocoa:</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Other, of a milkfat content, by weight:</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0403 90 91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Not exceeding 3 %</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530</w:t>
            </w: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outset" w:sz="6" w:space="0" w:color="EEECE1"/>
              <w:right w:val="single" w:sz="4" w:space="0" w:color="auto"/>
            </w:tcBorders>
            <w:shd w:val="clear" w:color="auto" w:fill="FFFFFF"/>
            <w:hideMark/>
          </w:tcPr>
          <w:p>
            <w:pPr>
              <w:spacing w:before="40" w:after="40"/>
              <w:rPr>
                <w:noProof/>
                <w:sz w:val="20"/>
              </w:rPr>
            </w:pPr>
            <w:r>
              <w:rPr>
                <w:noProof/>
                <w:sz w:val="20"/>
              </w:rPr>
              <w:t>0403 90 93</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 Exceeding 3 % but not exceeding 6 %</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55</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1905</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Bread, pastry, cakes, biscuits and other bakers' wares, whether or not containing cocoa; communion wafers, empty cachets of a kind suitable for pharmaceutical use, sealing wafers, rice paper and similar products:</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Sweet biscuits; waffles and wafers:</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Sweet biscuits:</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ind w:left="542" w:hanging="542"/>
              <w:jc w:val="left"/>
              <w:rPr>
                <w:noProof/>
                <w:sz w:val="20"/>
              </w:rPr>
            </w:pPr>
            <w:r>
              <w:rPr>
                <w:noProof/>
                <w:sz w:val="20"/>
              </w:rPr>
              <w:t>- - - Completely or partially coated or covered with chocolate or other preparations containing cocoa:</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1905 31 19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Other</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365</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Other:</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Other:</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1905 31 99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 - Other</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600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1905 32</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Waffles and wafers:</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Other:</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tcPr>
          <w:p>
            <w:pPr>
              <w:spacing w:before="40" w:after="40"/>
              <w:ind w:left="683" w:hanging="683"/>
              <w:jc w:val="left"/>
              <w:rPr>
                <w:noProof/>
                <w:sz w:val="20"/>
              </w:rPr>
            </w:pPr>
            <w:r>
              <w:rPr>
                <w:noProof/>
                <w:sz w:val="20"/>
              </w:rPr>
              <w:t>- - - - Completely or partially coated or covered with chocolate or other preparations containing cocoa:</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tcPr>
          <w:p>
            <w:pPr>
              <w:spacing w:before="40" w:after="40"/>
              <w:rPr>
                <w:noProof/>
                <w:sz w:val="20"/>
              </w:rPr>
            </w:pPr>
            <w:r>
              <w:rPr>
                <w:noProof/>
                <w:sz w:val="20"/>
              </w:rPr>
              <w:t>1905 32 19</w:t>
            </w: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 Other</w:t>
            </w:r>
          </w:p>
        </w:tc>
        <w:tc>
          <w:tcPr>
            <w:tcW w:w="1305" w:type="dxa"/>
            <w:tcBorders>
              <w:top w:val="nil"/>
              <w:left w:val="single" w:sz="4" w:space="0" w:color="auto"/>
              <w:bottom w:val="nil"/>
              <w:right w:val="nil"/>
            </w:tcBorders>
            <w:shd w:val="clear" w:color="auto" w:fill="FFFFFF"/>
          </w:tcPr>
          <w:p>
            <w:pPr>
              <w:spacing w:before="40" w:after="40"/>
              <w:jc w:val="right"/>
              <w:rPr>
                <w:noProof/>
                <w:sz w:val="20"/>
              </w:rPr>
            </w:pPr>
            <w:r>
              <w:rPr>
                <w:noProof/>
                <w:sz w:val="20"/>
              </w:rPr>
              <w:t>300</w:t>
            </w: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1905 90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Other:</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Other:</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1905 90 45</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jc w:val="left"/>
              <w:rPr>
                <w:noProof/>
                <w:sz w:val="20"/>
              </w:rPr>
            </w:pPr>
            <w:r>
              <w:rPr>
                <w:noProof/>
                <w:sz w:val="20"/>
              </w:rPr>
              <w:t>- - - Biscuits</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35</w:t>
            </w: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2208</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Undenatured ethyl alcohol of an alcoholic strength by volume of less than 80 % vol; spirits, liqueurs and other spirituous beverages:</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2208 20</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Spirits obtained by distilling grape wine or grape marc:</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In containers holding 2 litres or less:</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2208 20 29</w:t>
            </w:r>
          </w:p>
        </w:tc>
        <w:tc>
          <w:tcPr>
            <w:tcW w:w="6237" w:type="dxa"/>
            <w:tcBorders>
              <w:top w:val="nil"/>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 - - Other:</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r>
              <w:rPr>
                <w:noProof/>
                <w:sz w:val="20"/>
              </w:rPr>
              <w:t>ex</w:t>
            </w:r>
          </w:p>
        </w:tc>
        <w:tc>
          <w:tcPr>
            <w:tcW w:w="1276" w:type="dxa"/>
            <w:tcBorders>
              <w:top w:val="nil"/>
              <w:left w:val="nil"/>
              <w:bottom w:val="nil"/>
              <w:right w:val="single" w:sz="4" w:space="0" w:color="auto"/>
            </w:tcBorders>
            <w:shd w:val="clear" w:color="auto" w:fill="FFFFFF"/>
          </w:tcPr>
          <w:p>
            <w:pPr>
              <w:spacing w:before="40" w:after="40"/>
              <w:rPr>
                <w:noProof/>
                <w:sz w:val="20"/>
              </w:rPr>
            </w:pPr>
            <w:r>
              <w:rPr>
                <w:noProof/>
                <w:sz w:val="20"/>
              </w:rPr>
              <w:t>2208 20 29</w:t>
            </w:r>
          </w:p>
        </w:tc>
        <w:tc>
          <w:tcPr>
            <w:tcW w:w="6237" w:type="dxa"/>
            <w:tcBorders>
              <w:top w:val="nil"/>
              <w:left w:val="single" w:sz="4" w:space="0" w:color="auto"/>
              <w:bottom w:val="nil"/>
              <w:right w:val="single" w:sz="4" w:space="0" w:color="auto"/>
            </w:tcBorders>
            <w:shd w:val="clear" w:color="auto" w:fill="FFFFFF"/>
          </w:tcPr>
          <w:p>
            <w:pPr>
              <w:spacing w:before="40" w:after="40"/>
              <w:jc w:val="left"/>
              <w:rPr>
                <w:noProof/>
                <w:sz w:val="20"/>
              </w:rPr>
            </w:pPr>
            <w:r>
              <w:rPr>
                <w:noProof/>
                <w:sz w:val="20"/>
              </w:rPr>
              <w:t>- - - - Grape brandy and grape marc brandy</w:t>
            </w:r>
          </w:p>
        </w:tc>
        <w:tc>
          <w:tcPr>
            <w:tcW w:w="1305" w:type="dxa"/>
            <w:vMerge w:val="restart"/>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85</w:t>
            </w: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r>
              <w:rPr>
                <w:noProof/>
                <w:sz w:val="20"/>
              </w:rPr>
              <w:t>ex</w:t>
            </w:r>
          </w:p>
        </w:tc>
        <w:tc>
          <w:tcPr>
            <w:tcW w:w="1276" w:type="dxa"/>
            <w:tcBorders>
              <w:top w:val="nil"/>
              <w:left w:val="nil"/>
              <w:bottom w:val="single" w:sz="4" w:space="0" w:color="auto"/>
              <w:right w:val="single" w:sz="4" w:space="0" w:color="auto"/>
            </w:tcBorders>
            <w:shd w:val="clear" w:color="auto" w:fill="FFFFFF"/>
          </w:tcPr>
          <w:p>
            <w:pPr>
              <w:spacing w:before="40" w:after="40"/>
              <w:rPr>
                <w:noProof/>
                <w:sz w:val="20"/>
              </w:rPr>
            </w:pPr>
            <w:r>
              <w:rPr>
                <w:noProof/>
                <w:sz w:val="20"/>
              </w:rPr>
              <w:t>2208 20 29</w:t>
            </w:r>
          </w:p>
        </w:tc>
        <w:tc>
          <w:tcPr>
            <w:tcW w:w="6237" w:type="dxa"/>
            <w:tcBorders>
              <w:top w:val="nil"/>
              <w:left w:val="single" w:sz="4" w:space="0" w:color="auto"/>
              <w:bottom w:val="single" w:sz="4" w:space="0" w:color="auto"/>
              <w:right w:val="single" w:sz="4" w:space="0" w:color="auto"/>
            </w:tcBorders>
            <w:shd w:val="clear" w:color="auto" w:fill="FFFFFF"/>
          </w:tcPr>
          <w:p>
            <w:pPr>
              <w:spacing w:before="40" w:after="40"/>
              <w:jc w:val="left"/>
              <w:rPr>
                <w:noProof/>
                <w:sz w:val="20"/>
              </w:rPr>
            </w:pPr>
            <w:r>
              <w:rPr>
                <w:noProof/>
                <w:sz w:val="20"/>
              </w:rPr>
              <w:t>- - - - Other</w:t>
            </w:r>
          </w:p>
        </w:tc>
        <w:tc>
          <w:tcPr>
            <w:tcW w:w="1305" w:type="dxa"/>
            <w:vMerge/>
            <w:tcBorders>
              <w:top w:val="single" w:sz="4" w:space="0" w:color="auto"/>
              <w:left w:val="single" w:sz="4" w:space="0" w:color="auto"/>
              <w:bottom w:val="single" w:sz="4" w:space="0" w:color="auto"/>
              <w:right w:val="nil"/>
            </w:tcBorders>
            <w:shd w:val="clear" w:color="auto" w:fill="FFFFFF"/>
          </w:tcPr>
          <w:p>
            <w:pPr>
              <w:spacing w:before="40" w:after="40"/>
              <w:rPr>
                <w:noProof/>
                <w:sz w:val="20"/>
              </w:rPr>
            </w:pPr>
          </w:p>
        </w:tc>
      </w:tr>
      <w:tr>
        <w:trPr>
          <w:tblCellSpacing w:w="0" w:type="dxa"/>
        </w:trPr>
        <w:tc>
          <w:tcPr>
            <w:tcW w:w="299" w:type="dxa"/>
            <w:tcBorders>
              <w:top w:val="single" w:sz="4" w:space="0" w:color="auto"/>
              <w:left w:val="nil"/>
              <w:bottom w:val="nil"/>
              <w:right w:val="nil"/>
            </w:tcBorders>
            <w:shd w:val="clear" w:color="auto" w:fill="FFFFFF"/>
          </w:tcPr>
          <w:p>
            <w:pPr>
              <w:spacing w:before="40" w:after="40"/>
              <w:rPr>
                <w:noProof/>
                <w:sz w:val="20"/>
              </w:rPr>
            </w:pPr>
          </w:p>
        </w:tc>
        <w:tc>
          <w:tcPr>
            <w:tcW w:w="1276" w:type="dxa"/>
            <w:tcBorders>
              <w:top w:val="single" w:sz="4" w:space="0" w:color="auto"/>
              <w:left w:val="nil"/>
              <w:bottom w:val="nil"/>
              <w:right w:val="single" w:sz="4" w:space="0" w:color="auto"/>
            </w:tcBorders>
            <w:shd w:val="clear" w:color="auto" w:fill="FFFFFF"/>
            <w:hideMark/>
          </w:tcPr>
          <w:p>
            <w:pPr>
              <w:spacing w:before="40" w:after="40"/>
              <w:rPr>
                <w:noProof/>
                <w:sz w:val="20"/>
              </w:rPr>
            </w:pPr>
            <w:r>
              <w:rPr>
                <w:noProof/>
                <w:sz w:val="20"/>
              </w:rPr>
              <w:t>2402</w:t>
            </w:r>
          </w:p>
        </w:tc>
        <w:tc>
          <w:tcPr>
            <w:tcW w:w="6237" w:type="dxa"/>
            <w:tcBorders>
              <w:top w:val="single" w:sz="4" w:space="0" w:color="auto"/>
              <w:left w:val="single" w:sz="4" w:space="0" w:color="auto"/>
              <w:bottom w:val="nil"/>
              <w:right w:val="single" w:sz="4" w:space="0" w:color="auto"/>
            </w:tcBorders>
            <w:shd w:val="clear" w:color="auto" w:fill="FFFFFF"/>
            <w:hideMark/>
          </w:tcPr>
          <w:p>
            <w:pPr>
              <w:spacing w:before="40" w:after="40"/>
              <w:jc w:val="left"/>
              <w:rPr>
                <w:noProof/>
                <w:sz w:val="20"/>
              </w:rPr>
            </w:pPr>
            <w:r>
              <w:rPr>
                <w:noProof/>
                <w:sz w:val="20"/>
              </w:rPr>
              <w:t>Cigars, cheroots, cigarillos and cigarettes, of tobacco or of tobacco substitutes:</w:t>
            </w:r>
          </w:p>
        </w:tc>
        <w:tc>
          <w:tcPr>
            <w:tcW w:w="1305" w:type="dxa"/>
            <w:tcBorders>
              <w:top w:val="single" w:sz="4" w:space="0" w:color="auto"/>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nil"/>
              <w:right w:val="nil"/>
            </w:tcBorders>
            <w:shd w:val="clear" w:color="auto" w:fill="FFFFFF"/>
          </w:tcPr>
          <w:p>
            <w:pPr>
              <w:spacing w:before="40" w:after="40"/>
              <w:rPr>
                <w:noProof/>
                <w:sz w:val="20"/>
              </w:rPr>
            </w:pPr>
          </w:p>
        </w:tc>
        <w:tc>
          <w:tcPr>
            <w:tcW w:w="1276" w:type="dxa"/>
            <w:tcBorders>
              <w:top w:val="nil"/>
              <w:left w:val="nil"/>
              <w:bottom w:val="nil"/>
              <w:right w:val="single" w:sz="4" w:space="0" w:color="auto"/>
            </w:tcBorders>
            <w:shd w:val="clear" w:color="auto" w:fill="FFFFFF"/>
            <w:hideMark/>
          </w:tcPr>
          <w:p>
            <w:pPr>
              <w:spacing w:before="40" w:after="40"/>
              <w:rPr>
                <w:noProof/>
                <w:sz w:val="20"/>
              </w:rPr>
            </w:pPr>
            <w:r>
              <w:rPr>
                <w:noProof/>
                <w:sz w:val="20"/>
              </w:rPr>
              <w:t>2402 20</w:t>
            </w:r>
          </w:p>
        </w:tc>
        <w:tc>
          <w:tcPr>
            <w:tcW w:w="6237" w:type="dxa"/>
            <w:tcBorders>
              <w:top w:val="nil"/>
              <w:left w:val="single" w:sz="4" w:space="0" w:color="auto"/>
              <w:bottom w:val="nil"/>
              <w:right w:val="single" w:sz="4" w:space="0" w:color="auto"/>
            </w:tcBorders>
            <w:shd w:val="clear" w:color="auto" w:fill="FFFFFF"/>
            <w:hideMark/>
          </w:tcPr>
          <w:p>
            <w:pPr>
              <w:spacing w:before="40" w:after="40"/>
              <w:rPr>
                <w:noProof/>
                <w:sz w:val="20"/>
              </w:rPr>
            </w:pPr>
            <w:r>
              <w:rPr>
                <w:noProof/>
                <w:sz w:val="20"/>
              </w:rPr>
              <w:t>- Cigarettes containing tobacco:</w:t>
            </w:r>
          </w:p>
        </w:tc>
        <w:tc>
          <w:tcPr>
            <w:tcW w:w="1305" w:type="dxa"/>
            <w:tcBorders>
              <w:top w:val="nil"/>
              <w:left w:val="single" w:sz="4" w:space="0" w:color="auto"/>
              <w:bottom w:val="nil"/>
              <w:right w:val="nil"/>
            </w:tcBorders>
            <w:shd w:val="clear" w:color="auto" w:fill="FFFFFF"/>
          </w:tcPr>
          <w:p>
            <w:pPr>
              <w:spacing w:before="40" w:after="40"/>
              <w:rPr>
                <w:noProof/>
                <w:sz w:val="20"/>
              </w:rPr>
            </w:pPr>
          </w:p>
        </w:tc>
      </w:tr>
      <w:tr>
        <w:trPr>
          <w:tblCellSpacing w:w="0" w:type="dxa"/>
        </w:trPr>
        <w:tc>
          <w:tcPr>
            <w:tcW w:w="299" w:type="dxa"/>
            <w:tcBorders>
              <w:top w:val="nil"/>
              <w:left w:val="nil"/>
              <w:bottom w:val="single" w:sz="4" w:space="0" w:color="auto"/>
              <w:right w:val="nil"/>
            </w:tcBorders>
            <w:shd w:val="clear" w:color="auto" w:fill="FFFFFF"/>
          </w:tcPr>
          <w:p>
            <w:pPr>
              <w:spacing w:before="40" w:after="40"/>
              <w:rPr>
                <w:noProof/>
                <w:sz w:val="20"/>
              </w:rPr>
            </w:pPr>
          </w:p>
        </w:tc>
        <w:tc>
          <w:tcPr>
            <w:tcW w:w="1276" w:type="dxa"/>
            <w:tcBorders>
              <w:top w:val="nil"/>
              <w:left w:val="nil"/>
              <w:bottom w:val="single" w:sz="4" w:space="0" w:color="auto"/>
              <w:right w:val="single" w:sz="4" w:space="0" w:color="auto"/>
            </w:tcBorders>
            <w:shd w:val="clear" w:color="auto" w:fill="FFFFFF"/>
            <w:hideMark/>
          </w:tcPr>
          <w:p>
            <w:pPr>
              <w:spacing w:before="40" w:after="40"/>
              <w:rPr>
                <w:noProof/>
                <w:sz w:val="20"/>
              </w:rPr>
            </w:pPr>
            <w:r>
              <w:rPr>
                <w:noProof/>
                <w:sz w:val="20"/>
              </w:rPr>
              <w:t>2402 20 90</w:t>
            </w:r>
          </w:p>
        </w:tc>
        <w:tc>
          <w:tcPr>
            <w:tcW w:w="6237" w:type="dxa"/>
            <w:tcBorders>
              <w:top w:val="nil"/>
              <w:left w:val="single" w:sz="4" w:space="0" w:color="auto"/>
              <w:bottom w:val="single" w:sz="4" w:space="0" w:color="auto"/>
              <w:right w:val="single" w:sz="4" w:space="0" w:color="auto"/>
            </w:tcBorders>
            <w:shd w:val="clear" w:color="auto" w:fill="FFFFFF"/>
            <w:hideMark/>
          </w:tcPr>
          <w:p>
            <w:pPr>
              <w:spacing w:before="40" w:after="40"/>
              <w:rPr>
                <w:noProof/>
                <w:sz w:val="20"/>
              </w:rPr>
            </w:pPr>
            <w:r>
              <w:rPr>
                <w:noProof/>
                <w:sz w:val="20"/>
              </w:rPr>
              <w:t>- - Other</w:t>
            </w:r>
          </w:p>
        </w:tc>
        <w:tc>
          <w:tcPr>
            <w:tcW w:w="1305" w:type="dxa"/>
            <w:tcBorders>
              <w:top w:val="nil"/>
              <w:left w:val="single" w:sz="4" w:space="0" w:color="auto"/>
              <w:bottom w:val="single" w:sz="4" w:space="0" w:color="auto"/>
              <w:right w:val="nil"/>
            </w:tcBorders>
            <w:shd w:val="clear" w:color="auto" w:fill="FFFFFF"/>
          </w:tcPr>
          <w:p>
            <w:pPr>
              <w:spacing w:before="40" w:after="40"/>
              <w:jc w:val="right"/>
              <w:rPr>
                <w:noProof/>
                <w:sz w:val="20"/>
              </w:rPr>
            </w:pPr>
            <w:r>
              <w:rPr>
                <w:noProof/>
                <w:sz w:val="20"/>
              </w:rPr>
              <w:t>3 200</w:t>
            </w:r>
          </w:p>
        </w:tc>
      </w:tr>
    </w:tbl>
    <w:p>
      <w:pPr>
        <w:rPr>
          <w:noProof/>
          <w:sz w:val="20"/>
        </w:rPr>
      </w:pPr>
    </w:p>
    <w:p>
      <w:pPr>
        <w:spacing w:before="0" w:after="200" w:line="276" w:lineRule="auto"/>
        <w:jc w:val="left"/>
        <w:rPr>
          <w:noProof/>
        </w:rPr>
      </w:pPr>
      <w:r>
        <w:rPr>
          <w:noProof/>
        </w:rPr>
        <w:br w:type="page"/>
      </w:r>
    </w:p>
    <w:p>
      <w:pPr>
        <w:spacing w:after="0"/>
        <w:ind w:left="180"/>
        <w:jc w:val="right"/>
        <w:rPr>
          <w:rStyle w:val="Corpsdutexte9"/>
          <w:rFonts w:eastAsiaTheme="minorHAnsi"/>
          <w:b/>
          <w:noProof/>
          <w:sz w:val="20"/>
        </w:rPr>
      </w:pPr>
      <w:r>
        <w:rPr>
          <w:rStyle w:val="Corpsdutexte9"/>
          <w:rFonts w:eastAsiaTheme="minorHAnsi"/>
          <w:b/>
          <w:noProof/>
          <w:sz w:val="20"/>
        </w:rPr>
        <w:t>ANNEX IV</w:t>
      </w:r>
    </w:p>
    <w:p>
      <w:pPr>
        <w:spacing w:after="0"/>
        <w:ind w:left="180"/>
        <w:jc w:val="center"/>
        <w:rPr>
          <w:b/>
          <w:noProof/>
          <w:sz w:val="20"/>
        </w:rPr>
      </w:pPr>
    </w:p>
    <w:p>
      <w:pPr>
        <w:spacing w:after="0"/>
        <w:ind w:left="180"/>
        <w:jc w:val="center"/>
        <w:rPr>
          <w:b/>
          <w:noProof/>
          <w:sz w:val="20"/>
        </w:rPr>
      </w:pPr>
    </w:p>
    <w:p>
      <w:pPr>
        <w:spacing w:after="0"/>
        <w:ind w:left="180"/>
        <w:jc w:val="center"/>
        <w:rPr>
          <w:b/>
          <w:noProof/>
          <w:sz w:val="20"/>
        </w:rPr>
      </w:pPr>
    </w:p>
    <w:p>
      <w:pPr>
        <w:spacing w:after="0"/>
        <w:ind w:left="180"/>
        <w:jc w:val="center"/>
        <w:rPr>
          <w:rStyle w:val="Corpsdutexte4"/>
          <w:rFonts w:eastAsiaTheme="minorHAnsi"/>
          <w:i/>
          <w:noProof/>
          <w:sz w:val="20"/>
        </w:rPr>
      </w:pPr>
      <w:r>
        <w:rPr>
          <w:rStyle w:val="Corpsdutexte4"/>
          <w:rFonts w:eastAsiaTheme="minorHAnsi"/>
          <w:i/>
          <w:noProof/>
          <w:sz w:val="20"/>
        </w:rPr>
        <w:t>'AMENDMENTS TO ANNEX I TO PROTOCOL 7</w:t>
      </w:r>
    </w:p>
    <w:p>
      <w:pPr>
        <w:spacing w:after="0"/>
        <w:ind w:left="180"/>
        <w:jc w:val="center"/>
        <w:rPr>
          <w:rStyle w:val="Corpsdutexte4"/>
          <w:rFonts w:eastAsiaTheme="minorHAnsi"/>
          <w:b/>
          <w:noProof/>
          <w:sz w:val="2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1"/>
        <w:gridCol w:w="255"/>
        <w:gridCol w:w="8811"/>
      </w:tblGrid>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The table at Point 1 of Annex I to Protocol 7, on imports of wines into the European Union, shall be replaced by the table below:</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74"/>
              <w:gridCol w:w="2930"/>
              <w:gridCol w:w="1502"/>
              <w:gridCol w:w="1421"/>
              <w:gridCol w:w="1563"/>
            </w:tblGrid>
            <w:tr>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bCs/>
                      <w:noProof/>
                      <w:sz w:val="20"/>
                    </w:rPr>
                    <w:t>CN code</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bCs/>
                      <w:noProof/>
                      <w:sz w:val="20"/>
                    </w:rPr>
                    <w:t>Description</w:t>
                  </w:r>
                  <w:r>
                    <w:rPr>
                      <w:b/>
                      <w:bCs/>
                      <w:noProof/>
                      <w:sz w:val="20"/>
                    </w:rPr>
                    <w:br/>
                    <w:t>(in accordance with Article 2(1)(b) of Protocol 7)</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bCs/>
                      <w:noProof/>
                      <w:sz w:val="20"/>
                    </w:rPr>
                    <w:t>Applicable duty</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bCs/>
                      <w:noProof/>
                      <w:sz w:val="20"/>
                    </w:rPr>
                    <w:t>Quantities (hl)</w:t>
                  </w:r>
                </w:p>
              </w:tc>
              <w:tc>
                <w:tcPr>
                  <w:tcW w:w="0" w:type="auto"/>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vAlign w:val="center"/>
                  <w:hideMark/>
                </w:tcPr>
                <w:p>
                  <w:pPr>
                    <w:jc w:val="center"/>
                    <w:rPr>
                      <w:b/>
                      <w:bCs/>
                      <w:noProof/>
                      <w:sz w:val="20"/>
                    </w:rPr>
                  </w:pPr>
                  <w:r>
                    <w:rPr>
                      <w:b/>
                      <w:bCs/>
                      <w:noProof/>
                      <w:sz w:val="20"/>
                    </w:rPr>
                    <w:t>Specific provisions</w:t>
                  </w: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Quality sparkling wine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exemption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25 500</w:t>
                  </w:r>
                </w:p>
              </w:tc>
              <w:tc>
                <w:tcPr>
                  <w:tcW w:w="0" w:type="auto"/>
                  <w:vMerge w:val="restart"/>
                  <w:tcBorders>
                    <w:top w:val="single" w:sz="6" w:space="0" w:color="000000"/>
                    <w:left w:val="single" w:sz="6" w:space="0" w:color="000000"/>
                    <w:right w:val="single" w:sz="6" w:space="0" w:color="000000"/>
                  </w:tcBorders>
                  <w:shd w:val="clear" w:color="auto" w:fill="FFFFFF"/>
                  <w:tcMar>
                    <w:top w:w="30" w:type="dxa"/>
                    <w:left w:w="75" w:type="dxa"/>
                    <w:bottom w:w="30" w:type="dxa"/>
                    <w:right w:w="30" w:type="dxa"/>
                  </w:tcMar>
                  <w:vAlign w:val="center"/>
                </w:tcPr>
                <w:p>
                  <w:pPr>
                    <w:jc w:val="center"/>
                    <w:rPr>
                      <w:noProof/>
                      <w:sz w:val="20"/>
                    </w:rPr>
                  </w:pPr>
                  <w:r>
                    <w:rPr>
                      <w:noProof/>
                      <w:sz w:val="20"/>
                      <w:lang w:val="en"/>
                    </w:rPr>
                    <w:t>(</w:t>
                  </w:r>
                  <w:r>
                    <w:rPr>
                      <w:noProof/>
                      <w:sz w:val="20"/>
                      <w:vertAlign w:val="superscript"/>
                      <w:lang w:val="en"/>
                    </w:rPr>
                    <w:t>1</w:t>
                  </w:r>
                  <w:r>
                    <w:rPr>
                      <w:noProof/>
                      <w:sz w:val="20"/>
                      <w:lang w:val="en"/>
                    </w:rPr>
                    <w:t>)  </w:t>
                  </w: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Wine of fresh grapes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jc w:val="center"/>
                    <w:rPr>
                      <w:noProof/>
                      <w:sz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pPr>
                    <w:jc w:val="center"/>
                    <w:rPr>
                      <w:noProof/>
                      <w:sz w:val="20"/>
                    </w:rPr>
                  </w:pPr>
                </w:p>
              </w:tc>
              <w:tc>
                <w:tcPr>
                  <w:tcW w:w="0" w:type="auto"/>
                  <w:vMerge/>
                  <w:tcBorders>
                    <w:left w:val="single" w:sz="6" w:space="0" w:color="000000"/>
                    <w:bottom w:val="single" w:sz="4" w:space="0" w:color="auto"/>
                    <w:right w:val="single" w:sz="6" w:space="0" w:color="000000"/>
                  </w:tcBorders>
                  <w:shd w:val="clear" w:color="auto" w:fill="FFFFFF"/>
                  <w:vAlign w:val="center"/>
                  <w:hideMark/>
                </w:tcPr>
                <w:p>
                  <w:pPr>
                    <w:jc w:val="center"/>
                    <w:rPr>
                      <w:noProof/>
                      <w:sz w:val="20"/>
                    </w:rPr>
                  </w:pPr>
                </w:p>
              </w:tc>
            </w:tr>
            <w:t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ex 2204 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Wine of fresh grapes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exemption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15 100</w:t>
                  </w:r>
                </w:p>
              </w:tc>
              <w:tc>
                <w:tcPr>
                  <w:tcW w:w="0" w:type="auto"/>
                  <w:tcBorders>
                    <w:top w:val="nil"/>
                    <w:left w:val="single" w:sz="6" w:space="0" w:color="000000"/>
                    <w:bottom w:val="single" w:sz="4" w:space="0" w:color="auto"/>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lang w:val="en"/>
                    </w:rPr>
                    <w:t>(</w:t>
                  </w:r>
                  <w:r>
                    <w:rPr>
                      <w:noProof/>
                      <w:sz w:val="20"/>
                      <w:vertAlign w:val="superscript"/>
                      <w:lang w:val="en"/>
                    </w:rPr>
                    <w:t>1</w:t>
                  </w:r>
                  <w:r>
                    <w:rPr>
                      <w:noProof/>
                      <w:sz w:val="20"/>
                      <w:lang w:val="en"/>
                    </w:rPr>
                    <w:t>)  </w:t>
                  </w:r>
                </w:p>
              </w:tc>
            </w:tr>
            <w:t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pPr>
                    <w:rPr>
                      <w:b/>
                      <w:noProof/>
                      <w:sz w:val="20"/>
                      <w:lang w:val="en"/>
                    </w:rPr>
                  </w:pPr>
                  <w:r>
                    <w:rPr>
                      <w:noProof/>
                      <w:sz w:val="20"/>
                      <w:lang w:val="en"/>
                    </w:rPr>
                    <w:t>(</w:t>
                  </w:r>
                  <w:r>
                    <w:rPr>
                      <w:noProof/>
                      <w:sz w:val="20"/>
                      <w:vertAlign w:val="superscript"/>
                      <w:lang w:val="en"/>
                    </w:rPr>
                    <w:t>1</w:t>
                  </w:r>
                  <w:r>
                    <w:rPr>
                      <w:noProof/>
                      <w:sz w:val="20"/>
                      <w:lang w:val="en"/>
                    </w:rPr>
                    <w:t xml:space="preserve">)  Consultations at the request of one of the Parties may be held to adapt the quotas by transferring quantities from the quota applying to position ex 2204 29 to the quota applying to positions ex 2204 10 and ex 2204 21. </w:t>
                  </w:r>
                  <w:r>
                    <w:rPr>
                      <w:noProof/>
                      <w:sz w:val="20"/>
                    </w:rPr>
                    <w:t>For the year 2017 the full amount of the quotas shall apply, irrespective of the date of entry into force or provisional application of the Protocol.</w:t>
                  </w:r>
                  <w:r>
                    <w:rPr>
                      <w:b/>
                      <w:noProof/>
                      <w:sz w:val="20"/>
                      <w:lang w:val="en"/>
                    </w:rPr>
                    <w:t xml:space="preserve"> </w:t>
                  </w:r>
                </w:p>
              </w:tc>
            </w:tr>
          </w:tbl>
          <w:p>
            <w:pPr>
              <w:rPr>
                <w:noProof/>
                <w:sz w:val="20"/>
              </w:rPr>
            </w:pPr>
          </w:p>
        </w:tc>
      </w:tr>
      <w:tr>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pPr>
              <w:rPr>
                <w:noProof/>
                <w:sz w:val="20"/>
              </w:rPr>
            </w:pPr>
            <w:r>
              <w:rPr>
                <w:noProof/>
                <w:sz w:val="20"/>
              </w:rPr>
              <w:t>The table at Point 3 of Annex I to Protocol 7, on imports of wines into Bosnia and Herzegovina, shall be replaced by the table below:</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63"/>
              <w:gridCol w:w="1948"/>
              <w:gridCol w:w="1031"/>
              <w:gridCol w:w="1310"/>
              <w:gridCol w:w="1319"/>
              <w:gridCol w:w="1319"/>
            </w:tblGrid>
            <w:tr>
              <w:tc>
                <w:tcPr>
                  <w:tcW w:w="1014"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bCs/>
                      <w:noProof/>
                      <w:sz w:val="20"/>
                    </w:rPr>
                    <w:t>Bosnia and Herzegovina customs tariff code</w:t>
                  </w:r>
                </w:p>
              </w:tc>
              <w:tc>
                <w:tcPr>
                  <w:tcW w:w="1121"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bCs/>
                      <w:noProof/>
                      <w:sz w:val="20"/>
                    </w:rPr>
                    <w:t>Description (in accordance with Article 2(1)(a) of Protocol 7)</w:t>
                  </w:r>
                </w:p>
              </w:tc>
              <w:tc>
                <w:tcPr>
                  <w:tcW w:w="593"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bCs/>
                      <w:noProof/>
                      <w:sz w:val="20"/>
                    </w:rPr>
                    <w:t>Applicable duty</w:t>
                  </w:r>
                </w:p>
              </w:tc>
              <w:tc>
                <w:tcPr>
                  <w:tcW w:w="754"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bCs/>
                      <w:noProof/>
                      <w:sz w:val="20"/>
                    </w:rPr>
                    <w:t>Quantities as of 01.01.2017  (hl)</w:t>
                  </w:r>
                </w:p>
              </w:tc>
              <w:tc>
                <w:tcPr>
                  <w:tcW w:w="759" w:type="pct"/>
                  <w:tcBorders>
                    <w:top w:val="single" w:sz="6" w:space="0" w:color="000000"/>
                    <w:left w:val="single" w:sz="6" w:space="0" w:color="000000"/>
                    <w:bottom w:val="single" w:sz="6" w:space="0" w:color="000000"/>
                    <w:right w:val="single" w:sz="6" w:space="0" w:color="000000"/>
                  </w:tcBorders>
                  <w:shd w:val="pct25" w:color="auto" w:fill="FFFFFF"/>
                  <w:tcMar>
                    <w:top w:w="30" w:type="dxa"/>
                    <w:left w:w="75" w:type="dxa"/>
                    <w:bottom w:w="30" w:type="dxa"/>
                    <w:right w:w="30" w:type="dxa"/>
                  </w:tcMar>
                  <w:hideMark/>
                </w:tcPr>
                <w:p>
                  <w:pPr>
                    <w:jc w:val="center"/>
                    <w:rPr>
                      <w:b/>
                      <w:bCs/>
                      <w:noProof/>
                      <w:sz w:val="20"/>
                    </w:rPr>
                  </w:pPr>
                  <w:r>
                    <w:rPr>
                      <w:b/>
                      <w:bCs/>
                      <w:noProof/>
                      <w:sz w:val="20"/>
                    </w:rPr>
                    <w:t xml:space="preserve">Quantities as of 01.01.2018 </w:t>
                  </w:r>
                  <w:r>
                    <w:rPr>
                      <w:b/>
                      <w:bCs/>
                      <w:noProof/>
                      <w:sz w:val="20"/>
                    </w:rPr>
                    <w:br/>
                    <w:t>(hl)</w:t>
                  </w:r>
                </w:p>
              </w:tc>
              <w:tc>
                <w:tcPr>
                  <w:tcW w:w="759" w:type="pct"/>
                  <w:tcBorders>
                    <w:top w:val="single" w:sz="6" w:space="0" w:color="000000"/>
                    <w:left w:val="single" w:sz="6" w:space="0" w:color="000000"/>
                    <w:bottom w:val="single" w:sz="6" w:space="0" w:color="000000"/>
                    <w:right w:val="single" w:sz="6" w:space="0" w:color="000000"/>
                  </w:tcBorders>
                  <w:shd w:val="pct25" w:color="auto" w:fill="FFFFFF"/>
                </w:tcPr>
                <w:p>
                  <w:pPr>
                    <w:jc w:val="center"/>
                    <w:rPr>
                      <w:b/>
                      <w:bCs/>
                      <w:noProof/>
                      <w:sz w:val="20"/>
                    </w:rPr>
                  </w:pPr>
                  <w:r>
                    <w:rPr>
                      <w:b/>
                      <w:bCs/>
                      <w:noProof/>
                      <w:sz w:val="20"/>
                    </w:rPr>
                    <w:t>Specific provisions</w:t>
                  </w:r>
                </w:p>
              </w:tc>
            </w:tr>
            <w:tr>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ex 2204 10</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Quality sparkling wine</w:t>
                  </w:r>
                </w:p>
              </w:tc>
              <w:tc>
                <w:tcPr>
                  <w:tcW w:w="5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br/>
                    <w:t>exemption</w:t>
                  </w:r>
                </w:p>
              </w:tc>
              <w:tc>
                <w:tcPr>
                  <w:tcW w:w="754"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jc w:val="center"/>
                    <w:rPr>
                      <w:noProof/>
                      <w:sz w:val="20"/>
                    </w:rPr>
                  </w:pPr>
                  <w:r>
                    <w:rPr>
                      <w:noProof/>
                      <w:sz w:val="20"/>
                    </w:rPr>
                    <w:t>13 765</w:t>
                  </w:r>
                </w:p>
              </w:tc>
              <w:tc>
                <w:tcPr>
                  <w:tcW w:w="759"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vAlign w:val="center"/>
                  <w:hideMark/>
                </w:tcPr>
                <w:p>
                  <w:pPr>
                    <w:jc w:val="center"/>
                    <w:rPr>
                      <w:noProof/>
                      <w:sz w:val="20"/>
                    </w:rPr>
                  </w:pPr>
                  <w:r>
                    <w:rPr>
                      <w:noProof/>
                      <w:sz w:val="20"/>
                    </w:rPr>
                    <w:t>19 530</w:t>
                  </w:r>
                </w:p>
              </w:tc>
              <w:tc>
                <w:tcPr>
                  <w:tcW w:w="759" w:type="pct"/>
                  <w:vMerge w:val="restart"/>
                  <w:tcBorders>
                    <w:top w:val="single" w:sz="6" w:space="0" w:color="000000"/>
                    <w:left w:val="single" w:sz="6" w:space="0" w:color="000000"/>
                    <w:right w:val="single" w:sz="6" w:space="0" w:color="000000"/>
                  </w:tcBorders>
                  <w:shd w:val="clear" w:color="auto" w:fill="FFFFFF"/>
                  <w:vAlign w:val="center"/>
                </w:tcPr>
                <w:p>
                  <w:pPr>
                    <w:jc w:val="center"/>
                    <w:rPr>
                      <w:noProof/>
                      <w:sz w:val="20"/>
                    </w:rPr>
                  </w:pPr>
                  <w:r>
                    <w:rPr>
                      <w:noProof/>
                      <w:sz w:val="20"/>
                      <w:lang w:val="en"/>
                    </w:rPr>
                    <w:t>(</w:t>
                  </w:r>
                  <w:r>
                    <w:rPr>
                      <w:noProof/>
                      <w:sz w:val="20"/>
                      <w:vertAlign w:val="superscript"/>
                      <w:lang w:val="en"/>
                    </w:rPr>
                    <w:t>2</w:t>
                  </w:r>
                  <w:r>
                    <w:rPr>
                      <w:noProof/>
                      <w:sz w:val="20"/>
                      <w:lang w:val="en"/>
                    </w:rPr>
                    <w:t>)</w:t>
                  </w:r>
                </w:p>
              </w:tc>
            </w:tr>
            <w:tr>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jc w:val="center"/>
                    <w:rPr>
                      <w:noProof/>
                      <w:sz w:val="20"/>
                    </w:rPr>
                  </w:pPr>
                  <w:r>
                    <w:rPr>
                      <w:noProof/>
                      <w:sz w:val="20"/>
                    </w:rPr>
                    <w:t>ex 2204 21</w:t>
                  </w:r>
                </w:p>
              </w:tc>
              <w:tc>
                <w:tcPr>
                  <w:tcW w:w="112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pPr>
                    <w:rPr>
                      <w:noProof/>
                      <w:sz w:val="20"/>
                    </w:rPr>
                  </w:pPr>
                  <w:r>
                    <w:rPr>
                      <w:noProof/>
                      <w:sz w:val="20"/>
                    </w:rPr>
                    <w:t>Wine of fresh grapes</w:t>
                  </w:r>
                </w:p>
              </w:tc>
              <w:tc>
                <w:tcPr>
                  <w:tcW w:w="593"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4"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9" w:type="pct"/>
                  <w:vMerge/>
                  <w:tcBorders>
                    <w:top w:val="single" w:sz="6" w:space="0" w:color="000000"/>
                    <w:left w:val="single" w:sz="6" w:space="0" w:color="000000"/>
                    <w:bottom w:val="single" w:sz="6" w:space="0" w:color="000000"/>
                    <w:right w:val="single" w:sz="6" w:space="0" w:color="000000"/>
                  </w:tcBorders>
                  <w:vAlign w:val="center"/>
                  <w:hideMark/>
                </w:tcPr>
                <w:p>
                  <w:pPr>
                    <w:rPr>
                      <w:noProof/>
                      <w:sz w:val="20"/>
                    </w:rPr>
                  </w:pPr>
                </w:p>
              </w:tc>
              <w:tc>
                <w:tcPr>
                  <w:tcW w:w="759" w:type="pct"/>
                  <w:vMerge/>
                  <w:tcBorders>
                    <w:left w:val="single" w:sz="6" w:space="0" w:color="000000"/>
                    <w:bottom w:val="single" w:sz="6" w:space="0" w:color="000000"/>
                    <w:right w:val="single" w:sz="6" w:space="0" w:color="000000"/>
                  </w:tcBorders>
                </w:tcPr>
                <w:p>
                  <w:pPr>
                    <w:rPr>
                      <w:noProof/>
                      <w:sz w:val="20"/>
                    </w:rPr>
                  </w:pPr>
                </w:p>
              </w:tc>
            </w:tr>
            <w:tr>
              <w:tc>
                <w:tcPr>
                  <w:tcW w:w="5000" w:type="pct"/>
                  <w:gridSpan w:val="6"/>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pPr>
                    <w:rPr>
                      <w:noProof/>
                      <w:sz w:val="20"/>
                      <w:lang w:val="en"/>
                    </w:rPr>
                  </w:pPr>
                  <w:r>
                    <w:rPr>
                      <w:noProof/>
                      <w:sz w:val="20"/>
                      <w:lang w:val="en"/>
                    </w:rPr>
                    <w:t>(</w:t>
                  </w:r>
                  <w:r>
                    <w:rPr>
                      <w:noProof/>
                      <w:sz w:val="20"/>
                      <w:vertAlign w:val="superscript"/>
                      <w:lang w:val="en"/>
                    </w:rPr>
                    <w:t>2</w:t>
                  </w:r>
                  <w:r>
                    <w:rPr>
                      <w:noProof/>
                      <w:sz w:val="20"/>
                      <w:lang w:val="en"/>
                    </w:rPr>
                    <w:t>)  </w:t>
                  </w:r>
                  <w:r>
                    <w:rPr>
                      <w:noProof/>
                      <w:sz w:val="20"/>
                    </w:rPr>
                    <w:t>For the year 2017 the full amount of the quotas shall apply, irrespective of the date of entry into force or provisional application of the Protocol.</w:t>
                  </w:r>
                  <w:r>
                    <w:rPr>
                      <w:noProof/>
                      <w:sz w:val="20"/>
                      <w:lang w:val="en"/>
                    </w:rPr>
                    <w:t xml:space="preserve"> </w:t>
                  </w:r>
                </w:p>
              </w:tc>
            </w:tr>
          </w:tbl>
          <w:p>
            <w:pPr>
              <w:rPr>
                <w:noProof/>
                <w:sz w:val="20"/>
              </w:rPr>
            </w:pPr>
          </w:p>
        </w:tc>
      </w:tr>
    </w:tbl>
    <w:p>
      <w:pPr>
        <w:rPr>
          <w:i/>
          <w:noProof/>
        </w:rPr>
      </w:pPr>
    </w:p>
    <w:p>
      <w:pPr>
        <w:spacing w:before="0" w:after="240"/>
        <w:jc w:val="center"/>
        <w:rPr>
          <w:noProof/>
        </w:rPr>
      </w:pPr>
    </w:p>
    <w:p>
      <w:pPr>
        <w:pStyle w:val="Typedudocument"/>
        <w:rPr>
          <w:noProof/>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325C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EA22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66BE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5CDA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067E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826D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C62C0E"/>
    <w:lvl w:ilvl="0">
      <w:start w:val="1"/>
      <w:numFmt w:val="decimal"/>
      <w:pStyle w:val="ListNumber"/>
      <w:lvlText w:val="%1."/>
      <w:lvlJc w:val="left"/>
      <w:pPr>
        <w:tabs>
          <w:tab w:val="num" w:pos="360"/>
        </w:tabs>
        <w:ind w:left="360" w:hanging="360"/>
      </w:pPr>
    </w:lvl>
  </w:abstractNum>
  <w:abstractNum w:abstractNumId="7">
    <w:nsid w:val="FFFFFF89"/>
    <w:multiLevelType w:val="singleLevel"/>
    <w:tmpl w:val="9F1689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0E0429"/>
    <w:multiLevelType w:val="multilevel"/>
    <w:tmpl w:val="28B89D12"/>
    <w:name w:val="List Dash"/>
    <w:lvl w:ilvl="0">
      <w:start w:val="1"/>
      <w:numFmt w:val="decimal"/>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 w:numId="6">
    <w:abstractNumId w:val="3"/>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5 10:21: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0"/>
    <w:docVar w:name="DQCResult_StructureCheck" w:val="0;0"/>
    <w:docVar w:name="DQCResult_SuperfluousWhitespace" w:val="0;49"/>
    <w:docVar w:name="DQCResult_UnknownFonts" w:val="0;0"/>
    <w:docVar w:name="DQCResult_UnknownStyles" w:val="0;1"/>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D1568AA9CAE94DEF8C9DE71F34D1448A"/>
    <w:docVar w:name="LW_CROSSREFERENCE" w:val="&lt;UNUSED&gt;"/>
    <w:docVar w:name="LW_DocType" w:val="ANNEX"/>
    <w:docVar w:name="LW_EMISSION" w:val="6.10.2016"/>
    <w:docVar w:name="LW_EMISSION_ISODATE" w:val="2016-10-06"/>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approving the conclusion, by the European Commission,_x000b_on behalf of the European Atomic Energy Community,_x000b_of the Protocol to the Stabilisation and Association Agreement between_x000b_the European Communities and their Member States, of the one part,_x000b_and Bosnia and Herzegovina, of the other part,_x000b_to take account of the accession of the Republic of Croatia to the European Union"/>
    <w:docVar w:name="LW_PART_NBR" w:val="1"/>
    <w:docVar w:name="LW_PART_NBR_TOTAL" w:val="1"/>
    <w:docVar w:name="LW_REF.INST.NEW" w:val="COM"/>
    <w:docVar w:name="LW_REF.INST.NEW_ADOPTED" w:val="final"/>
    <w:docVar w:name="LW_REF.INST.NEW_TEXT" w:val="(2016) 642"/>
    <w:docVar w:name="LW_REF.INTERNE" w:val="&lt;UNUSED&gt;"/>
    <w:docVar w:name="LW_SUPERTITRE" w:val="&lt;UNUSED&gt;"/>
    <w:docVar w:name="LW_TITRE.OBJ.CP" w:val="&lt;UNUSED&gt;"/>
    <w:docVar w:name="LW_TYPE.DOC.CP" w:val="ANNEX"/>
    <w:docVar w:name="LW_TYPEACTEPRINCIPAL.CP" w:val="Recommendation for a_x000b_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pPr>
      <w:numPr>
        <w:numId w:val="2"/>
      </w:numPr>
      <w:tabs>
        <w:tab w:val="clear" w:pos="360"/>
        <w:tab w:val="num" w:pos="709"/>
      </w:tabs>
      <w:ind w:left="709" w:hanging="709"/>
    </w:pPr>
    <w:rPr>
      <w:rFonts w:eastAsia="Times New Roman"/>
      <w:szCs w:val="20"/>
      <w:lang w:eastAsia="en-GB"/>
    </w:rPr>
  </w:style>
  <w:style w:type="paragraph" w:customStyle="1" w:styleId="ListNumberLevel2">
    <w:name w:val="List Number (Level 2)"/>
    <w:basedOn w:val="Normal"/>
    <w:pPr>
      <w:numPr>
        <w:ilvl w:val="1"/>
        <w:numId w:val="1"/>
      </w:numPr>
    </w:pPr>
    <w:rPr>
      <w:rFonts w:eastAsia="Times New Roman"/>
      <w:szCs w:val="20"/>
      <w:lang w:eastAsia="en-GB"/>
    </w:rPr>
  </w:style>
  <w:style w:type="paragraph" w:customStyle="1" w:styleId="ListNumberLevel3">
    <w:name w:val="List Number (Level 3)"/>
    <w:basedOn w:val="Normal"/>
    <w:pPr>
      <w:numPr>
        <w:ilvl w:val="2"/>
        <w:numId w:val="1"/>
      </w:numPr>
    </w:pPr>
    <w:rPr>
      <w:rFonts w:eastAsia="Times New Roman"/>
      <w:szCs w:val="20"/>
      <w:lang w:eastAsia="en-GB"/>
    </w:rPr>
  </w:style>
  <w:style w:type="paragraph" w:customStyle="1" w:styleId="ListNumberLevel4">
    <w:name w:val="List Number (Level 4)"/>
    <w:basedOn w:val="Normal"/>
    <w:pPr>
      <w:numPr>
        <w:ilvl w:val="3"/>
        <w:numId w:val="1"/>
      </w:numPr>
    </w:pPr>
    <w:rPr>
      <w:rFonts w:eastAsia="Times New Roman"/>
      <w:szCs w:val="20"/>
      <w:lang w:eastAsia="en-GB"/>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en-GB"/>
    </w:rPr>
  </w:style>
  <w:style w:type="paragraph" w:customStyle="1" w:styleId="Annexetitreglobale">
    <w:name w:val="Annexe titre (globale)"/>
    <w:basedOn w:val="Normal"/>
    <w:next w:val="Normal"/>
    <w:pPr>
      <w:jc w:val="center"/>
    </w:pPr>
    <w:rPr>
      <w:rFonts w:eastAsia="Times New Roman"/>
      <w:b/>
      <w:szCs w:val="20"/>
      <w:u w:val="single"/>
      <w:lang w:eastAsia="en-GB"/>
    </w:rPr>
  </w:style>
  <w:style w:type="paragraph" w:styleId="ListParagraph">
    <w:name w:val="List Paragraph"/>
    <w:basedOn w:val="Normal"/>
    <w:uiPriority w:val="34"/>
    <w:qFormat/>
    <w:pPr>
      <w:ind w:left="720"/>
      <w:contextualSpacing/>
    </w:pPr>
    <w:rPr>
      <w:rFonts w:eastAsia="Times New Roman"/>
      <w:szCs w:val="20"/>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numbering" w:customStyle="1" w:styleId="NoList1">
    <w:name w:val="No List1"/>
    <w:next w:val="NoList"/>
    <w:uiPriority w:val="99"/>
    <w:semiHidden/>
    <w:unhideWhenUsed/>
  </w:style>
  <w:style w:type="character" w:styleId="Hyperlink">
    <w:name w:val="Hyperlink"/>
    <w:uiPriority w:val="99"/>
    <w:rPr>
      <w:color w:val="0000FF"/>
      <w:u w:val="single"/>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en-GB"/>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Arial Unicode MS" w:eastAsia="Arial Unicode MS" w:hAnsi="Arial Unicode MS" w:cs="Arial Unicode MS"/>
      <w:color w:val="000000"/>
      <w:sz w:val="22"/>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lang w:eastAsia="en-GB"/>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Cs w:val="24"/>
      <w:lang w:eastAsia="en-GB"/>
    </w:rPr>
  </w:style>
  <w:style w:type="paragraph" w:customStyle="1" w:styleId="xl77">
    <w:name w:val="xl77"/>
    <w:basedOn w:val="Normal"/>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78">
    <w:name w:val="xl78"/>
    <w:basedOn w:val="Normal"/>
    <w:pPr>
      <w:pBdr>
        <w:top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79">
    <w:name w:val="xl79"/>
    <w:basedOn w:val="Normal"/>
    <w:pPr>
      <w:pBdr>
        <w:top w:val="single" w:sz="4" w:space="0" w:color="auto"/>
        <w:bottom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lang w:eastAsia="en-GB"/>
    </w:rPr>
  </w:style>
  <w:style w:type="paragraph" w:customStyle="1" w:styleId="xl80">
    <w:name w:val="xl8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82">
    <w:name w:val="xl82"/>
    <w:basedOn w:val="Normal"/>
    <w:pP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 w:val="20"/>
      <w:szCs w:val="20"/>
      <w:lang w:eastAsia="en-GB"/>
    </w:rPr>
  </w:style>
  <w:style w:type="paragraph" w:customStyle="1" w:styleId="xl88">
    <w:name w:val="xl88"/>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90">
    <w:name w:val="xl90"/>
    <w:basedOn w:val="Normal"/>
    <w:pPr>
      <w:pBdr>
        <w:top w:val="single" w:sz="4" w:space="0" w:color="auto"/>
        <w:left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lang w:eastAsia="en-GB"/>
    </w:rPr>
  </w:style>
  <w:style w:type="paragraph" w:customStyle="1" w:styleId="xl91">
    <w:name w:val="xl91"/>
    <w:basedOn w:val="Normal"/>
    <w:pPr>
      <w:pBdr>
        <w:top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lang w:eastAsia="en-GB"/>
    </w:rPr>
  </w:style>
  <w:style w:type="paragraph" w:customStyle="1" w:styleId="xl92">
    <w:name w:val="xl92"/>
    <w:basedOn w:val="Normal"/>
    <w:pPr>
      <w:pBdr>
        <w:top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93">
    <w:name w:val="xl93"/>
    <w:basedOn w:val="Normal"/>
    <w:pPr>
      <w:pBdr>
        <w:top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94">
    <w:name w:val="xl94"/>
    <w:basedOn w:val="Normal"/>
    <w:pPr>
      <w:shd w:val="clear" w:color="000000" w:fill="FFFFFF"/>
      <w:spacing w:before="100" w:beforeAutospacing="1" w:after="100" w:afterAutospacing="1"/>
      <w:jc w:val="left"/>
      <w:textAlignment w:val="top"/>
    </w:pPr>
    <w:rPr>
      <w:rFonts w:ascii="Arial" w:eastAsia="Times New Roman" w:hAnsi="Arial" w:cs="Arial"/>
      <w:b/>
      <w:bCs/>
      <w:szCs w:val="24"/>
      <w:lang w:eastAsia="en-GB"/>
    </w:rPr>
  </w:style>
  <w:style w:type="paragraph" w:customStyle="1" w:styleId="xl95">
    <w:name w:val="xl95"/>
    <w:basedOn w:val="Normal"/>
    <w:pPr>
      <w:shd w:val="clear" w:color="000000" w:fill="FFFFFF"/>
      <w:spacing w:before="100" w:beforeAutospacing="1" w:after="100" w:afterAutospacing="1"/>
      <w:jc w:val="left"/>
    </w:pPr>
    <w:rPr>
      <w:rFonts w:ascii="Arial" w:eastAsia="Times New Roman" w:hAnsi="Arial" w:cs="Arial"/>
      <w:b/>
      <w:bCs/>
      <w:szCs w:val="24"/>
      <w:lang w:eastAsia="en-GB"/>
    </w:rPr>
  </w:style>
  <w:style w:type="paragraph" w:customStyle="1" w:styleId="xl96">
    <w:name w:val="xl96"/>
    <w:basedOn w:val="Normal"/>
    <w:pPr>
      <w:shd w:val="clear" w:color="000000" w:fill="FFFFFF"/>
      <w:spacing w:before="100" w:beforeAutospacing="1" w:after="100" w:afterAutospacing="1"/>
      <w:jc w:val="center"/>
      <w:textAlignment w:val="center"/>
    </w:pPr>
    <w:rPr>
      <w:rFonts w:ascii="Arial" w:eastAsia="Times New Roman" w:hAnsi="Arial" w:cs="Arial"/>
      <w:b/>
      <w:bCs/>
      <w:szCs w:val="24"/>
      <w:lang w:eastAsia="en-GB"/>
    </w:rPr>
  </w:style>
  <w:style w:type="paragraph" w:customStyle="1" w:styleId="xl97">
    <w:name w:val="xl97"/>
    <w:basedOn w:val="Normal"/>
    <w:pPr>
      <w:shd w:val="clear" w:color="000000" w:fill="FFFFFF"/>
      <w:spacing w:before="100" w:beforeAutospacing="1" w:after="100" w:afterAutospacing="1"/>
      <w:jc w:val="left"/>
    </w:pPr>
    <w:rPr>
      <w:rFonts w:ascii="Arial" w:eastAsia="Times New Roman" w:hAnsi="Arial" w:cs="Arial"/>
      <w:b/>
      <w:bCs/>
      <w:szCs w:val="24"/>
      <w:lang w:eastAsia="en-GB"/>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0">
    <w:name w:val="xl100"/>
    <w:basedOn w:val="Normal"/>
    <w:pP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102">
    <w:name w:val="xl102"/>
    <w:basedOn w:val="Normal"/>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104">
    <w:name w:val="xl10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6">
    <w:name w:val="xl106"/>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09">
    <w:name w:val="xl109"/>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10">
    <w:name w:val="xl110"/>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11">
    <w:name w:val="xl111"/>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12">
    <w:name w:val="xl11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13">
    <w:name w:val="xl11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14">
    <w:name w:val="xl11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15">
    <w:name w:val="xl11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16">
    <w:name w:val="xl116"/>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17">
    <w:name w:val="xl117"/>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18">
    <w:name w:val="xl118"/>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19">
    <w:name w:val="xl119"/>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2">
    <w:name w:val="xl12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23">
    <w:name w:val="xl12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24">
    <w:name w:val="xl12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5">
    <w:name w:val="xl125"/>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26">
    <w:name w:val="xl126"/>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27">
    <w:name w:val="xl127"/>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8">
    <w:name w:val="xl1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9">
    <w:name w:val="xl12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0">
    <w:name w:val="xl130"/>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1">
    <w:name w:val="xl13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2">
    <w:name w:val="xl13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3">
    <w:name w:val="xl13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4">
    <w:name w:val="xl134"/>
    <w:basedOn w:val="Normal"/>
    <w:pPr>
      <w:pBdr>
        <w:top w:val="single" w:sz="4"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35">
    <w:name w:val="xl135"/>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36">
    <w:name w:val="xl136"/>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37">
    <w:name w:val="xl13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8">
    <w:name w:val="xl1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9">
    <w:name w:val="xl13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40">
    <w:name w:val="xl140"/>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41">
    <w:name w:val="xl141"/>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42">
    <w:name w:val="xl142"/>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44">
    <w:name w:val="xl144"/>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45">
    <w:name w:val="xl145"/>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46">
    <w:name w:val="xl146"/>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47">
    <w:name w:val="xl147"/>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48">
    <w:name w:val="xl14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49">
    <w:name w:val="xl14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0">
    <w:name w:val="xl150"/>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1">
    <w:name w:val="xl151"/>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2">
    <w:name w:val="xl152"/>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3">
    <w:name w:val="xl153"/>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4">
    <w:name w:val="xl154"/>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5">
    <w:name w:val="xl155"/>
    <w:basedOn w:val="Normal"/>
    <w:pPr>
      <w:pBdr>
        <w:top w:val="single" w:sz="8"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56">
    <w:name w:val="xl156"/>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57">
    <w:name w:val="xl157"/>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58">
    <w:name w:val="xl158"/>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9">
    <w:name w:val="xl159"/>
    <w:basedOn w:val="Normal"/>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0">
    <w:name w:val="xl160"/>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1">
    <w:name w:val="xl161"/>
    <w:basedOn w:val="Normal"/>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2">
    <w:name w:val="xl162"/>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63">
    <w:name w:val="xl16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4">
    <w:name w:val="xl164"/>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5">
    <w:name w:val="xl165"/>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6">
    <w:name w:val="xl166"/>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67">
    <w:name w:val="xl167"/>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68">
    <w:name w:val="xl168"/>
    <w:basedOn w:val="Normal"/>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9">
    <w:name w:val="xl16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70">
    <w:name w:val="xl170"/>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71">
    <w:name w:val="xl171"/>
    <w:basedOn w:val="Normal"/>
    <w:pPr>
      <w:pBdr>
        <w:lef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72">
    <w:name w:val="xl172"/>
    <w:basedOn w:val="Normal"/>
    <w:pP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73">
    <w:name w:val="xl173"/>
    <w:basedOn w:val="Normal"/>
    <w:pPr>
      <w:pBdr>
        <w:right w:val="single" w:sz="4"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174">
    <w:name w:val="xl17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75">
    <w:name w:val="xl17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76">
    <w:name w:val="xl17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77">
    <w:name w:val="xl177"/>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78">
    <w:name w:val="xl178"/>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179">
    <w:name w:val="xl17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180">
    <w:name w:val="xl18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81">
    <w:name w:val="xl181"/>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82">
    <w:name w:val="xl18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83">
    <w:name w:val="xl18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184">
    <w:name w:val="xl184"/>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szCs w:val="24"/>
      <w:lang w:eastAsia="en-GB"/>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89">
    <w:name w:val="xl189"/>
    <w:basedOn w:val="Normal"/>
    <w:pP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lang w:eastAsia="en-GB"/>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92">
    <w:name w:val="xl192"/>
    <w:basedOn w:val="Normal"/>
    <w:pPr>
      <w:pBdr>
        <w:top w:val="single" w:sz="8"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93">
    <w:name w:val="xl19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94">
    <w:name w:val="xl1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lang w:eastAsia="en-GB"/>
    </w:rPr>
  </w:style>
  <w:style w:type="paragraph" w:customStyle="1" w:styleId="xl195">
    <w:name w:val="xl195"/>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96">
    <w:name w:val="xl196"/>
    <w:basedOn w:val="Normal"/>
    <w:pPr>
      <w:pBdr>
        <w:top w:val="single" w:sz="4"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97">
    <w:name w:val="xl197"/>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98">
    <w:name w:val="xl19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00">
    <w:name w:val="xl200"/>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02">
    <w:name w:val="xl202"/>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3">
    <w:name w:val="xl203"/>
    <w:basedOn w:val="Normal"/>
    <w:pPr>
      <w:pBdr>
        <w:top w:val="single" w:sz="8"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4">
    <w:name w:val="xl2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05">
    <w:name w:val="xl205"/>
    <w:basedOn w:val="Normal"/>
    <w:pPr>
      <w:pBdr>
        <w:top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6">
    <w:name w:val="xl206"/>
    <w:basedOn w:val="Normal"/>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7">
    <w:name w:val="xl207"/>
    <w:basedOn w:val="Normal"/>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8">
    <w:name w:val="xl20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09">
    <w:name w:val="xl209"/>
    <w:basedOn w:val="Normal"/>
    <w:pPr>
      <w:pBdr>
        <w:top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10">
    <w:name w:val="xl21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szCs w:val="24"/>
      <w:lang w:eastAsia="en-GB"/>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12">
    <w:name w:val="xl21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13">
    <w:name w:val="xl213"/>
    <w:basedOn w:val="Normal"/>
    <w:pPr>
      <w:pBdr>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14">
    <w:name w:val="xl214"/>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15">
    <w:name w:val="xl215"/>
    <w:basedOn w:val="Normal"/>
    <w:pPr>
      <w:pBdr>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16">
    <w:name w:val="xl216"/>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17">
    <w:name w:val="xl217"/>
    <w:basedOn w:val="Normal"/>
    <w:pPr>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19">
    <w:name w:val="xl219"/>
    <w:basedOn w:val="Normal"/>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1">
    <w:name w:val="xl221"/>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Cs w:val="24"/>
      <w:lang w:eastAsia="en-GB"/>
    </w:rPr>
  </w:style>
  <w:style w:type="paragraph" w:customStyle="1" w:styleId="xl222">
    <w:name w:val="xl222"/>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223">
    <w:name w:val="xl223"/>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4">
    <w:name w:val="xl224"/>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5">
    <w:name w:val="xl225"/>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6">
    <w:name w:val="xl226"/>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7">
    <w:name w:val="xl227"/>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20"/>
      <w:szCs w:val="20"/>
      <w:lang w:eastAsia="en-GB"/>
    </w:rPr>
  </w:style>
  <w:style w:type="paragraph" w:customStyle="1" w:styleId="xl230">
    <w:name w:val="xl230"/>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1">
    <w:name w:val="xl231"/>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2">
    <w:name w:val="xl232"/>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3">
    <w:name w:val="xl233"/>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4">
    <w:name w:val="xl234"/>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5">
    <w:name w:val="xl235"/>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6">
    <w:name w:val="xl236"/>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7">
    <w:name w:val="xl23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8">
    <w:name w:val="xl238"/>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239">
    <w:name w:val="xl23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240">
    <w:name w:val="xl240"/>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41">
    <w:name w:val="xl24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42">
    <w:name w:val="xl24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43">
    <w:name w:val="xl243"/>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44">
    <w:name w:val="xl244"/>
    <w:basedOn w:val="Normal"/>
    <w:pPr>
      <w:pBdr>
        <w:top w:val="single" w:sz="8" w:space="0" w:color="auto"/>
        <w:lef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45">
    <w:name w:val="xl245"/>
    <w:basedOn w:val="Normal"/>
    <w:pPr>
      <w:pBdr>
        <w:top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46">
    <w:name w:val="xl246"/>
    <w:basedOn w:val="Normal"/>
    <w:pPr>
      <w:pBdr>
        <w:top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47">
    <w:name w:val="xl247"/>
    <w:basedOn w:val="Normal"/>
    <w:pPr>
      <w:shd w:val="clear" w:color="000000" w:fill="FFFFFF"/>
      <w:spacing w:before="100" w:beforeAutospacing="1" w:after="100" w:afterAutospacing="1"/>
      <w:jc w:val="left"/>
    </w:pPr>
    <w:rPr>
      <w:rFonts w:ascii="Arial" w:eastAsia="Times New Roman" w:hAnsi="Arial" w:cs="Arial"/>
      <w:b/>
      <w:bCs/>
      <w:szCs w:val="24"/>
      <w:lang w:eastAsia="en-GB"/>
    </w:rPr>
  </w:style>
  <w:style w:type="paragraph" w:customStyle="1" w:styleId="xl248">
    <w:name w:val="xl248"/>
    <w:basedOn w:val="Normal"/>
    <w:pPr>
      <w:shd w:val="clear" w:color="000000" w:fill="FFFFFF"/>
      <w:spacing w:before="100" w:beforeAutospacing="1" w:after="100" w:afterAutospacing="1"/>
      <w:jc w:val="left"/>
      <w:textAlignment w:val="top"/>
    </w:pPr>
    <w:rPr>
      <w:rFonts w:ascii="Arial" w:eastAsia="Times New Roman" w:hAnsi="Arial" w:cs="Arial"/>
      <w:b/>
      <w:bCs/>
      <w:szCs w:val="24"/>
      <w:lang w:eastAsia="en-GB"/>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4"/>
      <w:lang w:eastAsia="en-GB"/>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eastAsia="en-GB"/>
    </w:rPr>
  </w:style>
  <w:style w:type="paragraph" w:customStyle="1" w:styleId="xl251">
    <w:name w:val="xl251"/>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3">
    <w:name w:val="xl253"/>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4">
    <w:name w:val="xl25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5">
    <w:name w:val="xl2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6">
    <w:name w:val="xl25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7">
    <w:name w:val="xl25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9">
    <w:name w:val="xl25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60">
    <w:name w:val="xl260"/>
    <w:basedOn w:val="Normal"/>
    <w:pPr>
      <w:pBdr>
        <w:top w:val="single" w:sz="4" w:space="0" w:color="auto"/>
        <w:left w:val="single" w:sz="4" w:space="0" w:color="auto"/>
        <w:right w:val="single" w:sz="8" w:space="0" w:color="auto"/>
      </w:pBdr>
      <w:spacing w:before="100" w:beforeAutospacing="1" w:after="100" w:afterAutospacing="1"/>
      <w:jc w:val="center"/>
      <w:textAlignment w:val="top"/>
    </w:pPr>
    <w:rPr>
      <w:rFonts w:ascii="Arial Narrow" w:eastAsia="Times New Roman" w:hAnsi="Arial Narrow"/>
      <w:szCs w:val="24"/>
      <w:lang w:eastAsia="en-GB"/>
    </w:rPr>
  </w:style>
  <w:style w:type="paragraph" w:customStyle="1" w:styleId="xl261">
    <w:name w:val="xl261"/>
    <w:basedOn w:val="Normal"/>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szCs w:val="24"/>
      <w:lang w:eastAsia="en-GB"/>
    </w:rPr>
  </w:style>
  <w:style w:type="paragraph" w:customStyle="1" w:styleId="xl262">
    <w:name w:val="xl262"/>
    <w:basedOn w:val="Normal"/>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Cs w:val="24"/>
      <w:lang w:eastAsia="en-GB"/>
    </w:rPr>
  </w:style>
  <w:style w:type="paragraph" w:customStyle="1" w:styleId="xl263">
    <w:name w:val="xl263"/>
    <w:basedOn w:val="Normal"/>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64">
    <w:name w:val="xl26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265">
    <w:name w:val="xl265"/>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266">
    <w:name w:val="xl26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267">
    <w:name w:val="xl267"/>
    <w:basedOn w:val="Normal"/>
    <w:pPr>
      <w:pBdr>
        <w:top w:val="single" w:sz="8"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68">
    <w:name w:val="xl268"/>
    <w:basedOn w:val="Normal"/>
    <w:pPr>
      <w:pBdr>
        <w:top w:val="single" w:sz="8" w:space="0" w:color="auto"/>
        <w:left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69">
    <w:name w:val="xl269"/>
    <w:basedOn w:val="Normal"/>
    <w:pPr>
      <w:pBdr>
        <w:top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0">
    <w:name w:val="xl270"/>
    <w:basedOn w:val="Normal"/>
    <w:pPr>
      <w:pBdr>
        <w:top w:val="single" w:sz="8" w:space="0" w:color="auto"/>
        <w:bottom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1">
    <w:name w:val="xl271"/>
    <w:basedOn w:val="Normal"/>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2">
    <w:name w:val="xl272"/>
    <w:basedOn w:val="Normal"/>
    <w:pPr>
      <w:pBdr>
        <w:top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3">
    <w:name w:val="xl273"/>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4">
    <w:name w:val="xl274"/>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75">
    <w:name w:val="xl275"/>
    <w:basedOn w:val="Normal"/>
    <w:pPr>
      <w:pBdr>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76">
    <w:name w:val="xl276"/>
    <w:basedOn w:val="Normal"/>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styleId="Revision">
    <w:name w:val="Revision"/>
    <w:hidden/>
    <w:uiPriority w:val="99"/>
    <w:semiHidden/>
    <w:pPr>
      <w:spacing w:after="0" w:line="240" w:lineRule="auto"/>
    </w:pPr>
    <w:rPr>
      <w:lang w:val="en-GB"/>
    </w:r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Corpsdutexte9">
    <w:name w:val="Corps du texte (9)"/>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Corpsdutexte4">
    <w:name w:val="Corps du texte (4)"/>
    <w:basedOn w:val="DefaultParagraphFon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pPr>
      <w:numPr>
        <w:numId w:val="2"/>
      </w:numPr>
      <w:tabs>
        <w:tab w:val="clear" w:pos="360"/>
        <w:tab w:val="num" w:pos="709"/>
      </w:tabs>
      <w:ind w:left="709" w:hanging="709"/>
    </w:pPr>
    <w:rPr>
      <w:rFonts w:eastAsia="Times New Roman"/>
      <w:szCs w:val="20"/>
      <w:lang w:eastAsia="en-GB"/>
    </w:rPr>
  </w:style>
  <w:style w:type="paragraph" w:customStyle="1" w:styleId="ListNumberLevel2">
    <w:name w:val="List Number (Level 2)"/>
    <w:basedOn w:val="Normal"/>
    <w:pPr>
      <w:numPr>
        <w:ilvl w:val="1"/>
        <w:numId w:val="1"/>
      </w:numPr>
    </w:pPr>
    <w:rPr>
      <w:rFonts w:eastAsia="Times New Roman"/>
      <w:szCs w:val="20"/>
      <w:lang w:eastAsia="en-GB"/>
    </w:rPr>
  </w:style>
  <w:style w:type="paragraph" w:customStyle="1" w:styleId="ListNumberLevel3">
    <w:name w:val="List Number (Level 3)"/>
    <w:basedOn w:val="Normal"/>
    <w:pPr>
      <w:numPr>
        <w:ilvl w:val="2"/>
        <w:numId w:val="1"/>
      </w:numPr>
    </w:pPr>
    <w:rPr>
      <w:rFonts w:eastAsia="Times New Roman"/>
      <w:szCs w:val="20"/>
      <w:lang w:eastAsia="en-GB"/>
    </w:rPr>
  </w:style>
  <w:style w:type="paragraph" w:customStyle="1" w:styleId="ListNumberLevel4">
    <w:name w:val="List Number (Level 4)"/>
    <w:basedOn w:val="Normal"/>
    <w:pPr>
      <w:numPr>
        <w:ilvl w:val="3"/>
        <w:numId w:val="1"/>
      </w:numPr>
    </w:pPr>
    <w:rPr>
      <w:rFonts w:eastAsia="Times New Roman"/>
      <w:szCs w:val="20"/>
      <w:lang w:eastAsia="en-GB"/>
    </w:rPr>
  </w:style>
  <w:style w:type="paragraph" w:styleId="BalloonText">
    <w:name w:val="Balloon Text"/>
    <w:basedOn w:val="Normal"/>
    <w:link w:val="BalloonTextChar"/>
    <w:uiPriority w:val="99"/>
    <w:semiHidden/>
    <w:unhideWhenUsed/>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eastAsia="en-GB"/>
    </w:rPr>
  </w:style>
  <w:style w:type="paragraph" w:customStyle="1" w:styleId="Annexetitreglobale">
    <w:name w:val="Annexe titre (globale)"/>
    <w:basedOn w:val="Normal"/>
    <w:next w:val="Normal"/>
    <w:pPr>
      <w:jc w:val="center"/>
    </w:pPr>
    <w:rPr>
      <w:rFonts w:eastAsia="Times New Roman"/>
      <w:b/>
      <w:szCs w:val="20"/>
      <w:u w:val="single"/>
      <w:lang w:eastAsia="en-GB"/>
    </w:rPr>
  </w:style>
  <w:style w:type="paragraph" w:styleId="ListParagraph">
    <w:name w:val="List Paragraph"/>
    <w:basedOn w:val="Normal"/>
    <w:uiPriority w:val="34"/>
    <w:qFormat/>
    <w:pPr>
      <w:ind w:left="720"/>
      <w:contextualSpacing/>
    </w:pPr>
    <w:rPr>
      <w:rFonts w:eastAsia="Times New Roman"/>
      <w:szCs w:val="20"/>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numbering" w:customStyle="1" w:styleId="NoList1">
    <w:name w:val="No List1"/>
    <w:next w:val="NoList"/>
    <w:uiPriority w:val="99"/>
    <w:semiHidden/>
    <w:unhideWhenUsed/>
  </w:style>
  <w:style w:type="character" w:styleId="Hyperlink">
    <w:name w:val="Hyperlink"/>
    <w:uiPriority w:val="99"/>
    <w:rPr>
      <w:color w:val="0000FF"/>
      <w:u w:val="single"/>
    </w:rPr>
  </w:style>
  <w:style w:type="paragraph" w:styleId="EndnoteText">
    <w:name w:val="endnote text"/>
    <w:basedOn w:val="Normal"/>
    <w:link w:val="EndnoteTextChar"/>
    <w:uiPriority w:val="99"/>
    <w:semiHidden/>
    <w:unhideWhenUsed/>
    <w:pPr>
      <w:spacing w:before="0" w:after="200" w:line="276" w:lineRule="auto"/>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en-GB"/>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jc w:val="left"/>
    </w:pPr>
    <w:rPr>
      <w:rFonts w:ascii="Arial Unicode MS" w:eastAsia="Arial Unicode MS" w:hAnsi="Arial Unicode MS" w:cs="Arial Unicode MS"/>
      <w:color w:val="000000"/>
      <w:sz w:val="22"/>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lang w:eastAsia="en-GB"/>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Cs w:val="24"/>
      <w:lang w:eastAsia="en-GB"/>
    </w:rPr>
  </w:style>
  <w:style w:type="paragraph" w:customStyle="1" w:styleId="xl77">
    <w:name w:val="xl77"/>
    <w:basedOn w:val="Normal"/>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78">
    <w:name w:val="xl78"/>
    <w:basedOn w:val="Normal"/>
    <w:pPr>
      <w:pBdr>
        <w:top w:val="single" w:sz="4"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79">
    <w:name w:val="xl79"/>
    <w:basedOn w:val="Normal"/>
    <w:pPr>
      <w:pBdr>
        <w:top w:val="single" w:sz="4" w:space="0" w:color="auto"/>
        <w:bottom w:val="single" w:sz="4" w:space="0" w:color="auto"/>
      </w:pBdr>
      <w:shd w:val="clear" w:color="000000" w:fill="FFFFFF"/>
      <w:spacing w:before="100" w:beforeAutospacing="1" w:after="100" w:afterAutospacing="1"/>
      <w:jc w:val="center"/>
      <w:textAlignment w:val="top"/>
    </w:pPr>
    <w:rPr>
      <w:rFonts w:ascii="Arial Narrow" w:eastAsia="Times New Roman" w:hAnsi="Arial Narrow"/>
      <w:szCs w:val="24"/>
      <w:lang w:eastAsia="en-GB"/>
    </w:rPr>
  </w:style>
  <w:style w:type="paragraph" w:customStyle="1" w:styleId="xl80">
    <w:name w:val="xl8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82">
    <w:name w:val="xl82"/>
    <w:basedOn w:val="Normal"/>
    <w:pP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Narrow" w:eastAsia="Times New Roman" w:hAnsi="Arial Narrow"/>
      <w:b/>
      <w:bCs/>
      <w:sz w:val="20"/>
      <w:szCs w:val="20"/>
      <w:lang w:eastAsia="en-GB"/>
    </w:rPr>
  </w:style>
  <w:style w:type="paragraph" w:customStyle="1" w:styleId="xl88">
    <w:name w:val="xl88"/>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90">
    <w:name w:val="xl90"/>
    <w:basedOn w:val="Normal"/>
    <w:pPr>
      <w:pBdr>
        <w:top w:val="single" w:sz="4" w:space="0" w:color="auto"/>
        <w:left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lang w:eastAsia="en-GB"/>
    </w:rPr>
  </w:style>
  <w:style w:type="paragraph" w:customStyle="1" w:styleId="xl91">
    <w:name w:val="xl91"/>
    <w:basedOn w:val="Normal"/>
    <w:pPr>
      <w:pBdr>
        <w:top w:val="single" w:sz="4" w:space="0" w:color="auto"/>
      </w:pBdr>
      <w:shd w:val="clear" w:color="000000" w:fill="F2F2F2"/>
      <w:spacing w:before="100" w:beforeAutospacing="1" w:after="100" w:afterAutospacing="1"/>
      <w:jc w:val="center"/>
      <w:textAlignment w:val="top"/>
    </w:pPr>
    <w:rPr>
      <w:rFonts w:ascii="Arial Narrow" w:eastAsia="Times New Roman" w:hAnsi="Arial Narrow"/>
      <w:b/>
      <w:bCs/>
      <w:szCs w:val="24"/>
      <w:lang w:eastAsia="en-GB"/>
    </w:rPr>
  </w:style>
  <w:style w:type="paragraph" w:customStyle="1" w:styleId="xl92">
    <w:name w:val="xl92"/>
    <w:basedOn w:val="Normal"/>
    <w:pPr>
      <w:pBdr>
        <w:top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93">
    <w:name w:val="xl93"/>
    <w:basedOn w:val="Normal"/>
    <w:pPr>
      <w:pBdr>
        <w:top w:val="single" w:sz="4" w:space="0" w:color="auto"/>
        <w:right w:val="single" w:sz="4" w:space="0" w:color="auto"/>
      </w:pBdr>
      <w:shd w:val="clear" w:color="000000" w:fill="F2F2F2"/>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94">
    <w:name w:val="xl94"/>
    <w:basedOn w:val="Normal"/>
    <w:pPr>
      <w:shd w:val="clear" w:color="000000" w:fill="FFFFFF"/>
      <w:spacing w:before="100" w:beforeAutospacing="1" w:after="100" w:afterAutospacing="1"/>
      <w:jc w:val="left"/>
      <w:textAlignment w:val="top"/>
    </w:pPr>
    <w:rPr>
      <w:rFonts w:ascii="Arial" w:eastAsia="Times New Roman" w:hAnsi="Arial" w:cs="Arial"/>
      <w:b/>
      <w:bCs/>
      <w:szCs w:val="24"/>
      <w:lang w:eastAsia="en-GB"/>
    </w:rPr>
  </w:style>
  <w:style w:type="paragraph" w:customStyle="1" w:styleId="xl95">
    <w:name w:val="xl95"/>
    <w:basedOn w:val="Normal"/>
    <w:pPr>
      <w:shd w:val="clear" w:color="000000" w:fill="FFFFFF"/>
      <w:spacing w:before="100" w:beforeAutospacing="1" w:after="100" w:afterAutospacing="1"/>
      <w:jc w:val="left"/>
    </w:pPr>
    <w:rPr>
      <w:rFonts w:ascii="Arial" w:eastAsia="Times New Roman" w:hAnsi="Arial" w:cs="Arial"/>
      <w:b/>
      <w:bCs/>
      <w:szCs w:val="24"/>
      <w:lang w:eastAsia="en-GB"/>
    </w:rPr>
  </w:style>
  <w:style w:type="paragraph" w:customStyle="1" w:styleId="xl96">
    <w:name w:val="xl96"/>
    <w:basedOn w:val="Normal"/>
    <w:pPr>
      <w:shd w:val="clear" w:color="000000" w:fill="FFFFFF"/>
      <w:spacing w:before="100" w:beforeAutospacing="1" w:after="100" w:afterAutospacing="1"/>
      <w:jc w:val="center"/>
      <w:textAlignment w:val="center"/>
    </w:pPr>
    <w:rPr>
      <w:rFonts w:ascii="Arial" w:eastAsia="Times New Roman" w:hAnsi="Arial" w:cs="Arial"/>
      <w:b/>
      <w:bCs/>
      <w:szCs w:val="24"/>
      <w:lang w:eastAsia="en-GB"/>
    </w:rPr>
  </w:style>
  <w:style w:type="paragraph" w:customStyle="1" w:styleId="xl97">
    <w:name w:val="xl97"/>
    <w:basedOn w:val="Normal"/>
    <w:pPr>
      <w:shd w:val="clear" w:color="000000" w:fill="FFFFFF"/>
      <w:spacing w:before="100" w:beforeAutospacing="1" w:after="100" w:afterAutospacing="1"/>
      <w:jc w:val="left"/>
    </w:pPr>
    <w:rPr>
      <w:rFonts w:ascii="Arial" w:eastAsia="Times New Roman" w:hAnsi="Arial" w:cs="Arial"/>
      <w:b/>
      <w:bCs/>
      <w:szCs w:val="24"/>
      <w:lang w:eastAsia="en-GB"/>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0">
    <w:name w:val="xl100"/>
    <w:basedOn w:val="Normal"/>
    <w:pP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102">
    <w:name w:val="xl102"/>
    <w:basedOn w:val="Normal"/>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104">
    <w:name w:val="xl104"/>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6">
    <w:name w:val="xl106"/>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09">
    <w:name w:val="xl109"/>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10">
    <w:name w:val="xl110"/>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11">
    <w:name w:val="xl111"/>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12">
    <w:name w:val="xl11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13">
    <w:name w:val="xl11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14">
    <w:name w:val="xl11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15">
    <w:name w:val="xl11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16">
    <w:name w:val="xl116"/>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17">
    <w:name w:val="xl117"/>
    <w:basedOn w:val="Normal"/>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18">
    <w:name w:val="xl118"/>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19">
    <w:name w:val="xl119"/>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2">
    <w:name w:val="xl122"/>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23">
    <w:name w:val="xl12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24">
    <w:name w:val="xl124"/>
    <w:basedOn w:val="Normal"/>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5">
    <w:name w:val="xl125"/>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26">
    <w:name w:val="xl126"/>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27">
    <w:name w:val="xl127"/>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8">
    <w:name w:val="xl12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29">
    <w:name w:val="xl12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0">
    <w:name w:val="xl130"/>
    <w:basedOn w:val="Normal"/>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1">
    <w:name w:val="xl13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2">
    <w:name w:val="xl13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3">
    <w:name w:val="xl133"/>
    <w:basedOn w:val="Normal"/>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4">
    <w:name w:val="xl134"/>
    <w:basedOn w:val="Normal"/>
    <w:pPr>
      <w:pBdr>
        <w:top w:val="single" w:sz="4"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35">
    <w:name w:val="xl135"/>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36">
    <w:name w:val="xl136"/>
    <w:basedOn w:val="Normal"/>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37">
    <w:name w:val="xl13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8">
    <w:name w:val="xl1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39">
    <w:name w:val="xl13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40">
    <w:name w:val="xl140"/>
    <w:basedOn w:val="Normal"/>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41">
    <w:name w:val="xl141"/>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42">
    <w:name w:val="xl142"/>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44">
    <w:name w:val="xl144"/>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45">
    <w:name w:val="xl145"/>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46">
    <w:name w:val="xl146"/>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47">
    <w:name w:val="xl147"/>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48">
    <w:name w:val="xl148"/>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49">
    <w:name w:val="xl149"/>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0">
    <w:name w:val="xl150"/>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1">
    <w:name w:val="xl151"/>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2">
    <w:name w:val="xl152"/>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3">
    <w:name w:val="xl153"/>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4">
    <w:name w:val="xl154"/>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5">
    <w:name w:val="xl155"/>
    <w:basedOn w:val="Normal"/>
    <w:pPr>
      <w:pBdr>
        <w:top w:val="single" w:sz="8" w:space="0" w:color="auto"/>
        <w:left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56">
    <w:name w:val="xl156"/>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57">
    <w:name w:val="xl157"/>
    <w:basedOn w:val="Normal"/>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58">
    <w:name w:val="xl158"/>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59">
    <w:name w:val="xl159"/>
    <w:basedOn w:val="Normal"/>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0">
    <w:name w:val="xl160"/>
    <w:basedOn w:val="Normal"/>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1">
    <w:name w:val="xl161"/>
    <w:basedOn w:val="Normal"/>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2">
    <w:name w:val="xl162"/>
    <w:basedOn w:val="Normal"/>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63">
    <w:name w:val="xl16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4">
    <w:name w:val="xl164"/>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5">
    <w:name w:val="xl165"/>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6">
    <w:name w:val="xl166"/>
    <w:basedOn w:val="Normal"/>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67">
    <w:name w:val="xl167"/>
    <w:basedOn w:val="Normal"/>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68">
    <w:name w:val="xl168"/>
    <w:basedOn w:val="Normal"/>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69">
    <w:name w:val="xl169"/>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170">
    <w:name w:val="xl170"/>
    <w:basedOn w:val="Normal"/>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top"/>
    </w:pPr>
    <w:rPr>
      <w:rFonts w:ascii="Arial Narrow" w:eastAsia="Times New Roman" w:hAnsi="Arial Narrow"/>
      <w:szCs w:val="24"/>
      <w:lang w:eastAsia="en-GB"/>
    </w:rPr>
  </w:style>
  <w:style w:type="paragraph" w:customStyle="1" w:styleId="xl171">
    <w:name w:val="xl171"/>
    <w:basedOn w:val="Normal"/>
    <w:pPr>
      <w:pBdr>
        <w:left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72">
    <w:name w:val="xl172"/>
    <w:basedOn w:val="Normal"/>
    <w:pPr>
      <w:shd w:val="clear" w:color="000000" w:fill="FFFFFF"/>
      <w:spacing w:before="100" w:beforeAutospacing="1" w:after="100" w:afterAutospacing="1"/>
      <w:jc w:val="center"/>
      <w:textAlignment w:val="center"/>
    </w:pPr>
    <w:rPr>
      <w:rFonts w:ascii="Arial" w:eastAsia="Times New Roman" w:hAnsi="Arial" w:cs="Arial"/>
      <w:szCs w:val="24"/>
      <w:lang w:eastAsia="en-GB"/>
    </w:rPr>
  </w:style>
  <w:style w:type="paragraph" w:customStyle="1" w:styleId="xl173">
    <w:name w:val="xl173"/>
    <w:basedOn w:val="Normal"/>
    <w:pPr>
      <w:pBdr>
        <w:right w:val="single" w:sz="4"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174">
    <w:name w:val="xl17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75">
    <w:name w:val="xl175"/>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76">
    <w:name w:val="xl176"/>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77">
    <w:name w:val="xl177"/>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78">
    <w:name w:val="xl178"/>
    <w:basedOn w:val="Normal"/>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179">
    <w:name w:val="xl17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180">
    <w:name w:val="xl18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81">
    <w:name w:val="xl181"/>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82">
    <w:name w:val="xl182"/>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83">
    <w:name w:val="xl183"/>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184">
    <w:name w:val="xl184"/>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Narrow" w:eastAsia="Times New Roman" w:hAnsi="Arial Narrow"/>
      <w:szCs w:val="24"/>
      <w:lang w:eastAsia="en-GB"/>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89">
    <w:name w:val="xl189"/>
    <w:basedOn w:val="Normal"/>
    <w:pP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lang w:eastAsia="en-GB"/>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92">
    <w:name w:val="xl192"/>
    <w:basedOn w:val="Normal"/>
    <w:pPr>
      <w:pBdr>
        <w:top w:val="single" w:sz="8"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93">
    <w:name w:val="xl193"/>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94">
    <w:name w:val="xl1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olor w:val="000000"/>
      <w:szCs w:val="24"/>
      <w:lang w:eastAsia="en-GB"/>
    </w:rPr>
  </w:style>
  <w:style w:type="paragraph" w:customStyle="1" w:styleId="xl195">
    <w:name w:val="xl195"/>
    <w:basedOn w:val="Normal"/>
    <w:pPr>
      <w:pBdr>
        <w:top w:val="single" w:sz="4" w:space="0" w:color="auto"/>
        <w:left w:val="single" w:sz="8" w:space="0" w:color="auto"/>
        <w:bottom w:val="single" w:sz="4"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96">
    <w:name w:val="xl196"/>
    <w:basedOn w:val="Normal"/>
    <w:pPr>
      <w:pBdr>
        <w:top w:val="single" w:sz="4"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197">
    <w:name w:val="xl197"/>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198">
    <w:name w:val="xl19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00">
    <w:name w:val="xl200"/>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02">
    <w:name w:val="xl202"/>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3">
    <w:name w:val="xl203"/>
    <w:basedOn w:val="Normal"/>
    <w:pPr>
      <w:pBdr>
        <w:top w:val="single" w:sz="8"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4">
    <w:name w:val="xl20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05">
    <w:name w:val="xl205"/>
    <w:basedOn w:val="Normal"/>
    <w:pPr>
      <w:pBdr>
        <w:top w:val="single" w:sz="8" w:space="0" w:color="auto"/>
        <w:bottom w:val="single" w:sz="4"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6">
    <w:name w:val="xl206"/>
    <w:basedOn w:val="Normal"/>
    <w:pPr>
      <w:pBdr>
        <w:top w:val="single" w:sz="4" w:space="0" w:color="auto"/>
        <w:left w:val="single" w:sz="8" w:space="0" w:color="auto"/>
        <w:bottom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7">
    <w:name w:val="xl207"/>
    <w:basedOn w:val="Normal"/>
    <w:pPr>
      <w:pBdr>
        <w:top w:val="single" w:sz="4" w:space="0" w:color="auto"/>
        <w:left w:val="single" w:sz="8" w:space="0" w:color="auto"/>
        <w:bottom w:val="single" w:sz="8"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08">
    <w:name w:val="xl20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09">
    <w:name w:val="xl209"/>
    <w:basedOn w:val="Normal"/>
    <w:pPr>
      <w:pBdr>
        <w:top w:val="single" w:sz="4" w:space="0" w:color="auto"/>
        <w:bottom w:val="single" w:sz="8" w:space="0" w:color="auto"/>
        <w:right w:val="single" w:sz="4" w:space="0" w:color="auto"/>
      </w:pBdr>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10">
    <w:name w:val="xl21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szCs w:val="24"/>
      <w:lang w:eastAsia="en-GB"/>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12">
    <w:name w:val="xl21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13">
    <w:name w:val="xl213"/>
    <w:basedOn w:val="Normal"/>
    <w:pPr>
      <w:pBdr>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14">
    <w:name w:val="xl214"/>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15">
    <w:name w:val="xl215"/>
    <w:basedOn w:val="Normal"/>
    <w:pPr>
      <w:pBdr>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16">
    <w:name w:val="xl216"/>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17">
    <w:name w:val="xl217"/>
    <w:basedOn w:val="Normal"/>
    <w:pPr>
      <w:pBdr>
        <w:top w:val="single" w:sz="4" w:space="0" w:color="auto"/>
        <w:left w:val="single" w:sz="4" w:space="0" w:color="auto"/>
        <w:bottom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 w:val="20"/>
      <w:szCs w:val="20"/>
      <w:lang w:eastAsia="en-GB"/>
    </w:rPr>
  </w:style>
  <w:style w:type="paragraph" w:customStyle="1" w:styleId="xl219">
    <w:name w:val="xl219"/>
    <w:basedOn w:val="Normal"/>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Arial Narrow" w:eastAsia="Times New Roman" w:hAnsi="Arial Narrow"/>
      <w:szCs w:val="24"/>
      <w:lang w:eastAsia="en-GB"/>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1">
    <w:name w:val="xl221"/>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Cs w:val="24"/>
      <w:lang w:eastAsia="en-GB"/>
    </w:rPr>
  </w:style>
  <w:style w:type="paragraph" w:customStyle="1" w:styleId="xl222">
    <w:name w:val="xl222"/>
    <w:basedOn w:val="Normal"/>
    <w:pPr>
      <w:pBdr>
        <w:left w:val="single" w:sz="4" w:space="0" w:color="auto"/>
        <w:right w:val="single" w:sz="4" w:space="0" w:color="auto"/>
      </w:pBdr>
      <w:spacing w:before="100" w:beforeAutospacing="1" w:after="100" w:afterAutospacing="1"/>
      <w:jc w:val="left"/>
      <w:textAlignment w:val="top"/>
    </w:pPr>
    <w:rPr>
      <w:rFonts w:ascii="Arial Narrow" w:eastAsia="Times New Roman" w:hAnsi="Arial Narrow"/>
      <w:sz w:val="20"/>
      <w:szCs w:val="20"/>
      <w:lang w:eastAsia="en-GB"/>
    </w:rPr>
  </w:style>
  <w:style w:type="paragraph" w:customStyle="1" w:styleId="xl223">
    <w:name w:val="xl223"/>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4">
    <w:name w:val="xl224"/>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5">
    <w:name w:val="xl225"/>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6">
    <w:name w:val="xl226"/>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7">
    <w:name w:val="xl227"/>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20"/>
      <w:szCs w:val="20"/>
      <w:lang w:eastAsia="en-GB"/>
    </w:rPr>
  </w:style>
  <w:style w:type="paragraph" w:customStyle="1" w:styleId="xl230">
    <w:name w:val="xl230"/>
    <w:basedOn w:val="Normal"/>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1">
    <w:name w:val="xl231"/>
    <w:basedOn w:val="Normal"/>
    <w:pPr>
      <w:pBdr>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2">
    <w:name w:val="xl232"/>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3">
    <w:name w:val="xl233"/>
    <w:basedOn w:val="Normal"/>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4">
    <w:name w:val="xl234"/>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5">
    <w:name w:val="xl235"/>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6">
    <w:name w:val="xl236"/>
    <w:basedOn w:val="Normal"/>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7">
    <w:name w:val="xl23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38">
    <w:name w:val="xl238"/>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239">
    <w:name w:val="xl239"/>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Cs w:val="24"/>
      <w:lang w:eastAsia="en-GB"/>
    </w:rPr>
  </w:style>
  <w:style w:type="paragraph" w:customStyle="1" w:styleId="xl240">
    <w:name w:val="xl240"/>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41">
    <w:name w:val="xl241"/>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42">
    <w:name w:val="xl24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43">
    <w:name w:val="xl243"/>
    <w:basedOn w:val="Normal"/>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44">
    <w:name w:val="xl244"/>
    <w:basedOn w:val="Normal"/>
    <w:pPr>
      <w:pBdr>
        <w:top w:val="single" w:sz="8" w:space="0" w:color="auto"/>
        <w:lef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45">
    <w:name w:val="xl245"/>
    <w:basedOn w:val="Normal"/>
    <w:pPr>
      <w:pBdr>
        <w:top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46">
    <w:name w:val="xl246"/>
    <w:basedOn w:val="Normal"/>
    <w:pPr>
      <w:pBdr>
        <w:top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47">
    <w:name w:val="xl247"/>
    <w:basedOn w:val="Normal"/>
    <w:pPr>
      <w:shd w:val="clear" w:color="000000" w:fill="FFFFFF"/>
      <w:spacing w:before="100" w:beforeAutospacing="1" w:after="100" w:afterAutospacing="1"/>
      <w:jc w:val="left"/>
    </w:pPr>
    <w:rPr>
      <w:rFonts w:ascii="Arial" w:eastAsia="Times New Roman" w:hAnsi="Arial" w:cs="Arial"/>
      <w:b/>
      <w:bCs/>
      <w:szCs w:val="24"/>
      <w:lang w:eastAsia="en-GB"/>
    </w:rPr>
  </w:style>
  <w:style w:type="paragraph" w:customStyle="1" w:styleId="xl248">
    <w:name w:val="xl248"/>
    <w:basedOn w:val="Normal"/>
    <w:pPr>
      <w:shd w:val="clear" w:color="000000" w:fill="FFFFFF"/>
      <w:spacing w:before="100" w:beforeAutospacing="1" w:after="100" w:afterAutospacing="1"/>
      <w:jc w:val="left"/>
      <w:textAlignment w:val="top"/>
    </w:pPr>
    <w:rPr>
      <w:rFonts w:ascii="Arial" w:eastAsia="Times New Roman" w:hAnsi="Arial" w:cs="Arial"/>
      <w:b/>
      <w:bCs/>
      <w:szCs w:val="24"/>
      <w:lang w:eastAsia="en-GB"/>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Cs w:val="24"/>
      <w:lang w:eastAsia="en-GB"/>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eastAsia="en-GB"/>
    </w:rPr>
  </w:style>
  <w:style w:type="paragraph" w:customStyle="1" w:styleId="xl251">
    <w:name w:val="xl251"/>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3">
    <w:name w:val="xl253"/>
    <w:basedOn w:val="Normal"/>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4">
    <w:name w:val="xl25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5">
    <w:name w:val="xl2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6">
    <w:name w:val="xl25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7">
    <w:name w:val="xl25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59">
    <w:name w:val="xl259"/>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60">
    <w:name w:val="xl260"/>
    <w:basedOn w:val="Normal"/>
    <w:pPr>
      <w:pBdr>
        <w:top w:val="single" w:sz="4" w:space="0" w:color="auto"/>
        <w:left w:val="single" w:sz="4" w:space="0" w:color="auto"/>
        <w:right w:val="single" w:sz="8" w:space="0" w:color="auto"/>
      </w:pBdr>
      <w:spacing w:before="100" w:beforeAutospacing="1" w:after="100" w:afterAutospacing="1"/>
      <w:jc w:val="center"/>
      <w:textAlignment w:val="top"/>
    </w:pPr>
    <w:rPr>
      <w:rFonts w:ascii="Arial Narrow" w:eastAsia="Times New Roman" w:hAnsi="Arial Narrow"/>
      <w:szCs w:val="24"/>
      <w:lang w:eastAsia="en-GB"/>
    </w:rPr>
  </w:style>
  <w:style w:type="paragraph" w:customStyle="1" w:styleId="xl261">
    <w:name w:val="xl261"/>
    <w:basedOn w:val="Normal"/>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szCs w:val="24"/>
      <w:lang w:eastAsia="en-GB"/>
    </w:rPr>
  </w:style>
  <w:style w:type="paragraph" w:customStyle="1" w:styleId="xl262">
    <w:name w:val="xl262"/>
    <w:basedOn w:val="Normal"/>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Cs w:val="24"/>
      <w:lang w:eastAsia="en-GB"/>
    </w:rPr>
  </w:style>
  <w:style w:type="paragraph" w:customStyle="1" w:styleId="xl263">
    <w:name w:val="xl263"/>
    <w:basedOn w:val="Normal"/>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64">
    <w:name w:val="xl26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265">
    <w:name w:val="xl265"/>
    <w:basedOn w:val="Normal"/>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266">
    <w:name w:val="xl266"/>
    <w:basedOn w:val="Normal"/>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267">
    <w:name w:val="xl267"/>
    <w:basedOn w:val="Normal"/>
    <w:pPr>
      <w:pBdr>
        <w:top w:val="single" w:sz="8"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68">
    <w:name w:val="xl268"/>
    <w:basedOn w:val="Normal"/>
    <w:pPr>
      <w:pBdr>
        <w:top w:val="single" w:sz="8" w:space="0" w:color="auto"/>
        <w:left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69">
    <w:name w:val="xl269"/>
    <w:basedOn w:val="Normal"/>
    <w:pPr>
      <w:pBdr>
        <w:top w:val="single" w:sz="8" w:space="0" w:color="auto"/>
        <w:bottom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0">
    <w:name w:val="xl270"/>
    <w:basedOn w:val="Normal"/>
    <w:pPr>
      <w:pBdr>
        <w:top w:val="single" w:sz="8" w:space="0" w:color="auto"/>
        <w:bottom w:val="single" w:sz="8" w:space="0" w:color="auto"/>
        <w:right w:val="single" w:sz="8"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1">
    <w:name w:val="xl271"/>
    <w:basedOn w:val="Normal"/>
    <w:pPr>
      <w:pBdr>
        <w:top w:val="single" w:sz="4" w:space="0" w:color="auto"/>
        <w:left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2">
    <w:name w:val="xl272"/>
    <w:basedOn w:val="Normal"/>
    <w:pPr>
      <w:pBdr>
        <w:top w:val="single" w:sz="4" w:space="0" w:color="auto"/>
        <w:bottom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3">
    <w:name w:val="xl273"/>
    <w:basedOn w:val="Normal"/>
    <w:pPr>
      <w:pBdr>
        <w:top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Narrow" w:eastAsia="Times New Roman" w:hAnsi="Arial Narrow"/>
      <w:b/>
      <w:bCs/>
      <w:szCs w:val="24"/>
      <w:lang w:eastAsia="en-GB"/>
    </w:rPr>
  </w:style>
  <w:style w:type="paragraph" w:customStyle="1" w:styleId="xl274">
    <w:name w:val="xl274"/>
    <w:basedOn w:val="Normal"/>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75">
    <w:name w:val="xl275"/>
    <w:basedOn w:val="Normal"/>
    <w:pPr>
      <w:pBdr>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customStyle="1" w:styleId="xl276">
    <w:name w:val="xl276"/>
    <w:basedOn w:val="Normal"/>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szCs w:val="24"/>
      <w:lang w:eastAsia="en-GB"/>
    </w:rPr>
  </w:style>
  <w:style w:type="paragraph" w:styleId="Revision">
    <w:name w:val="Revision"/>
    <w:hidden/>
    <w:uiPriority w:val="99"/>
    <w:semiHidden/>
    <w:pPr>
      <w:spacing w:after="0" w:line="240" w:lineRule="auto"/>
    </w:pPr>
    <w:rPr>
      <w:lang w:val="en-GB"/>
    </w:r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Corpsdutexte9">
    <w:name w:val="Corps du texte (9)"/>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Corpsdutexte4">
    <w:name w:val="Corps du texte (4)"/>
    <w:basedOn w:val="DefaultParagraphFon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19</Pages>
  <Words>4494</Words>
  <Characters>19145</Characters>
  <Application>Microsoft Office Word</Application>
  <DocSecurity>0</DocSecurity>
  <Lines>1196</Lines>
  <Paragraphs>787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KRETTEK Heike (ELARG)</dc:creator>
  <cp:lastModifiedBy>DIGIT/A3</cp:lastModifiedBy>
  <cp:revision>7</cp:revision>
  <dcterms:created xsi:type="dcterms:W3CDTF">2016-09-19T11:03:00Z</dcterms:created>
  <dcterms:modified xsi:type="dcterms:W3CDTF">2016-10-05T08:21:00Z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