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DFFA36516CD464D8D3BEBA88A0475D5" style="width:450.75pt;height:465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globale"/>
        <w:spacing w:after="60"/>
        <w:rPr>
          <w:noProof/>
        </w:rPr>
      </w:pPr>
      <w:bookmarkStart w:id="0" w:name="_GoBack"/>
      <w:bookmarkEnd w:id="0"/>
      <w:r>
        <w:rPr>
          <w:noProof/>
        </w:rPr>
        <w:t>PROTOCOLE</w:t>
      </w:r>
    </w:p>
    <w:p>
      <w:pPr>
        <w:spacing w:before="60" w:after="60"/>
        <w:ind w:right="-193"/>
        <w:jc w:val="center"/>
        <w:rPr>
          <w:b/>
          <w:noProof/>
        </w:rPr>
      </w:pPr>
    </w:p>
    <w:p>
      <w:pPr>
        <w:spacing w:before="60" w:after="60"/>
        <w:ind w:right="-193"/>
        <w:jc w:val="center"/>
        <w:rPr>
          <w:b/>
          <w:noProof/>
        </w:rPr>
      </w:pPr>
      <w:r>
        <w:rPr>
          <w:b/>
          <w:noProof/>
        </w:rPr>
        <w:t>à l'accord de stabilisation et d'association entre les Communautés européennes et leurs États membres, d'une part, et la Bosnie</w:t>
      </w:r>
      <w:r>
        <w:rPr>
          <w:noProof/>
        </w:rPr>
        <w:noBreakHyphen/>
      </w:r>
      <w:r>
        <w:rPr>
          <w:b/>
          <w:noProof/>
        </w:rPr>
        <w:t>Herzégovine, d'autre part, visant à tenir compte de l'adhésion de la République de Croatie à l'Union européenne</w:t>
      </w:r>
    </w:p>
    <w:p>
      <w:pPr>
        <w:pStyle w:val="Point2"/>
        <w:spacing w:after="40"/>
        <w:ind w:left="0" w:firstLine="0"/>
        <w:rPr>
          <w:noProof/>
        </w:rPr>
      </w:pPr>
    </w:p>
    <w:p>
      <w:pPr>
        <w:pStyle w:val="Point2"/>
        <w:spacing w:after="40"/>
        <w:ind w:left="0" w:firstLine="0"/>
        <w:rPr>
          <w:noProof/>
        </w:rPr>
      </w:pPr>
      <w:r>
        <w:rPr>
          <w:noProof/>
        </w:rPr>
        <w:t>LE ROYAUME DE BELGIQUE,</w:t>
      </w:r>
    </w:p>
    <w:p>
      <w:pPr>
        <w:pStyle w:val="Point2"/>
        <w:spacing w:after="40"/>
        <w:ind w:left="0" w:firstLine="0"/>
        <w:rPr>
          <w:noProof/>
        </w:rPr>
      </w:pPr>
      <w:r>
        <w:rPr>
          <w:noProof/>
        </w:rPr>
        <w:t>LA RÉPUBLIQUE DE BULGARIE,</w:t>
      </w:r>
    </w:p>
    <w:p>
      <w:pPr>
        <w:pStyle w:val="Point2"/>
        <w:spacing w:after="40"/>
        <w:ind w:left="0" w:firstLine="0"/>
        <w:rPr>
          <w:noProof/>
        </w:rPr>
      </w:pPr>
      <w:r>
        <w:rPr>
          <w:noProof/>
        </w:rPr>
        <w:t>LA RÉPUBLIQUE TCHÈQUE,</w:t>
      </w:r>
    </w:p>
    <w:p>
      <w:pPr>
        <w:pStyle w:val="Point2"/>
        <w:spacing w:after="40"/>
        <w:ind w:left="0" w:firstLine="0"/>
        <w:rPr>
          <w:noProof/>
        </w:rPr>
      </w:pPr>
      <w:r>
        <w:rPr>
          <w:noProof/>
        </w:rPr>
        <w:t>LE ROYAUME DE DANEMARK,</w:t>
      </w:r>
    </w:p>
    <w:p>
      <w:pPr>
        <w:pStyle w:val="Point2"/>
        <w:spacing w:after="40"/>
        <w:ind w:left="0" w:firstLine="0"/>
        <w:rPr>
          <w:noProof/>
        </w:rPr>
      </w:pPr>
      <w:r>
        <w:rPr>
          <w:noProof/>
        </w:rPr>
        <w:t>LA RÉPUBLIQUE FÉDÉRALE D’ALLEMAGNE,</w:t>
      </w:r>
    </w:p>
    <w:p>
      <w:pPr>
        <w:pStyle w:val="Point2"/>
        <w:spacing w:after="40"/>
        <w:ind w:left="0" w:firstLine="0"/>
        <w:rPr>
          <w:noProof/>
        </w:rPr>
      </w:pPr>
      <w:r>
        <w:rPr>
          <w:noProof/>
        </w:rPr>
        <w:t>LA RÉPUBLIQUE D’ESTONIE,</w:t>
      </w:r>
    </w:p>
    <w:p>
      <w:pPr>
        <w:pStyle w:val="Point2"/>
        <w:spacing w:after="40"/>
        <w:ind w:left="0" w:firstLine="0"/>
        <w:rPr>
          <w:noProof/>
        </w:rPr>
      </w:pPr>
      <w:r>
        <w:rPr>
          <w:noProof/>
        </w:rPr>
        <w:t>L’IRLANDE,</w:t>
      </w:r>
    </w:p>
    <w:p>
      <w:pPr>
        <w:pStyle w:val="Point2"/>
        <w:spacing w:after="40"/>
        <w:ind w:left="0" w:firstLine="0"/>
        <w:rPr>
          <w:noProof/>
        </w:rPr>
      </w:pPr>
      <w:r>
        <w:rPr>
          <w:noProof/>
        </w:rPr>
        <w:t>LA RÉPUBLIQUE HELLÉNIQUE,</w:t>
      </w:r>
    </w:p>
    <w:p>
      <w:pPr>
        <w:pStyle w:val="Point2"/>
        <w:spacing w:after="40"/>
        <w:ind w:left="0" w:firstLine="0"/>
        <w:rPr>
          <w:noProof/>
        </w:rPr>
      </w:pPr>
      <w:r>
        <w:rPr>
          <w:noProof/>
        </w:rPr>
        <w:t>LE ROYAUME D’ESPAGNE,</w:t>
      </w:r>
    </w:p>
    <w:p>
      <w:pPr>
        <w:pStyle w:val="Point2"/>
        <w:spacing w:after="40"/>
        <w:ind w:left="0" w:firstLine="0"/>
        <w:rPr>
          <w:noProof/>
        </w:rPr>
      </w:pPr>
      <w:r>
        <w:rPr>
          <w:noProof/>
        </w:rPr>
        <w:t>LA RÉPUBLIQUE FRANÇAISE,</w:t>
      </w:r>
    </w:p>
    <w:p>
      <w:pPr>
        <w:pStyle w:val="Point2"/>
        <w:spacing w:after="40"/>
        <w:ind w:left="0" w:firstLine="0"/>
        <w:rPr>
          <w:noProof/>
        </w:rPr>
      </w:pPr>
      <w:r>
        <w:rPr>
          <w:noProof/>
        </w:rPr>
        <w:t>LA RÉPUBLIQUE DE CROATIE,</w:t>
      </w:r>
    </w:p>
    <w:p>
      <w:pPr>
        <w:pStyle w:val="Point2"/>
        <w:spacing w:after="40"/>
        <w:ind w:left="0" w:firstLine="0"/>
        <w:rPr>
          <w:noProof/>
        </w:rPr>
      </w:pPr>
      <w:r>
        <w:rPr>
          <w:noProof/>
        </w:rPr>
        <w:t>LA RÉPUBLIQUE ITALIENNE,</w:t>
      </w:r>
    </w:p>
    <w:p>
      <w:pPr>
        <w:pStyle w:val="Point2"/>
        <w:spacing w:after="40"/>
        <w:ind w:left="0" w:firstLine="0"/>
        <w:rPr>
          <w:noProof/>
        </w:rPr>
      </w:pPr>
      <w:r>
        <w:rPr>
          <w:noProof/>
        </w:rPr>
        <w:t>LA RÉPUBLIQUE DE CHYPRE,</w:t>
      </w:r>
    </w:p>
    <w:p>
      <w:pPr>
        <w:pStyle w:val="Point2"/>
        <w:spacing w:after="40"/>
        <w:ind w:left="0" w:firstLine="0"/>
        <w:rPr>
          <w:noProof/>
        </w:rPr>
      </w:pPr>
      <w:r>
        <w:rPr>
          <w:noProof/>
        </w:rPr>
        <w:t>LA RÉPUBLIQUE DE LETTONIE,</w:t>
      </w:r>
    </w:p>
    <w:p>
      <w:pPr>
        <w:pStyle w:val="Point2"/>
        <w:spacing w:after="40"/>
        <w:ind w:left="0" w:firstLine="0"/>
        <w:rPr>
          <w:noProof/>
        </w:rPr>
      </w:pPr>
      <w:r>
        <w:rPr>
          <w:noProof/>
        </w:rPr>
        <w:t>LA RÉPUBLIQUE DE LITUANIE,</w:t>
      </w:r>
    </w:p>
    <w:p>
      <w:pPr>
        <w:pStyle w:val="Point2"/>
        <w:spacing w:after="40"/>
        <w:ind w:left="0" w:firstLine="0"/>
        <w:rPr>
          <w:noProof/>
        </w:rPr>
      </w:pPr>
      <w:r>
        <w:rPr>
          <w:noProof/>
        </w:rPr>
        <w:t>LE GRAND-DUCHÉ DE LUXEMBOURG,</w:t>
      </w:r>
    </w:p>
    <w:p>
      <w:pPr>
        <w:pStyle w:val="Point2"/>
        <w:spacing w:after="40"/>
        <w:ind w:left="0" w:firstLine="0"/>
        <w:rPr>
          <w:noProof/>
        </w:rPr>
      </w:pPr>
      <w:r>
        <w:rPr>
          <w:noProof/>
        </w:rPr>
        <w:t>LA HONGRIE,</w:t>
      </w:r>
    </w:p>
    <w:p>
      <w:pPr>
        <w:pStyle w:val="Point2"/>
        <w:spacing w:after="40"/>
        <w:ind w:left="0" w:firstLine="0"/>
        <w:rPr>
          <w:noProof/>
        </w:rPr>
      </w:pPr>
      <w:r>
        <w:rPr>
          <w:noProof/>
        </w:rPr>
        <w:t>LA RÉPUBLIQUE DE MALTE,</w:t>
      </w:r>
    </w:p>
    <w:p>
      <w:pPr>
        <w:pStyle w:val="Point2"/>
        <w:spacing w:after="40"/>
        <w:ind w:left="0" w:firstLine="0"/>
        <w:rPr>
          <w:noProof/>
        </w:rPr>
      </w:pPr>
      <w:r>
        <w:rPr>
          <w:noProof/>
        </w:rPr>
        <w:t>LE ROYAUME DES PAYS-BAS,</w:t>
      </w:r>
    </w:p>
    <w:p>
      <w:pPr>
        <w:pStyle w:val="Point2"/>
        <w:spacing w:after="40"/>
        <w:ind w:left="0" w:firstLine="0"/>
        <w:rPr>
          <w:noProof/>
        </w:rPr>
      </w:pPr>
      <w:r>
        <w:rPr>
          <w:noProof/>
        </w:rPr>
        <w:t>LA RÉPUBLIQUE D’AUTRICHE,</w:t>
      </w:r>
    </w:p>
    <w:p>
      <w:pPr>
        <w:pStyle w:val="Point2"/>
        <w:spacing w:after="40"/>
        <w:ind w:left="0" w:firstLine="0"/>
        <w:rPr>
          <w:noProof/>
        </w:rPr>
      </w:pPr>
      <w:r>
        <w:rPr>
          <w:noProof/>
        </w:rPr>
        <w:t>LA RÉPUBLIQUE DE POLOGNE,</w:t>
      </w:r>
    </w:p>
    <w:p>
      <w:pPr>
        <w:pStyle w:val="Point2"/>
        <w:spacing w:after="40"/>
        <w:ind w:left="0" w:firstLine="0"/>
        <w:rPr>
          <w:noProof/>
        </w:rPr>
      </w:pPr>
      <w:r>
        <w:rPr>
          <w:noProof/>
        </w:rPr>
        <w:t>LA RÉPUBLIQUE PORTUGAISE,</w:t>
      </w:r>
    </w:p>
    <w:p>
      <w:pPr>
        <w:pStyle w:val="Point2"/>
        <w:spacing w:after="40"/>
        <w:ind w:left="0" w:firstLine="0"/>
        <w:rPr>
          <w:noProof/>
        </w:rPr>
      </w:pPr>
      <w:r>
        <w:rPr>
          <w:noProof/>
        </w:rPr>
        <w:t>LA ROUMANIE,</w:t>
      </w:r>
    </w:p>
    <w:p>
      <w:pPr>
        <w:pStyle w:val="Point2"/>
        <w:spacing w:after="40"/>
        <w:ind w:left="0" w:firstLine="0"/>
        <w:rPr>
          <w:noProof/>
        </w:rPr>
      </w:pPr>
      <w:r>
        <w:rPr>
          <w:noProof/>
        </w:rPr>
        <w:t>LA RÉPUBLIQUE DE SLOVÉNIE,</w:t>
      </w:r>
    </w:p>
    <w:p>
      <w:pPr>
        <w:pStyle w:val="Point2"/>
        <w:spacing w:after="40"/>
        <w:ind w:left="0" w:firstLine="0"/>
        <w:rPr>
          <w:noProof/>
        </w:rPr>
      </w:pPr>
      <w:r>
        <w:rPr>
          <w:noProof/>
        </w:rPr>
        <w:t>LA RÉPUBLIQUE SLOVAQUE,</w:t>
      </w:r>
    </w:p>
    <w:p>
      <w:pPr>
        <w:pStyle w:val="Point2"/>
        <w:spacing w:after="40"/>
        <w:ind w:left="0" w:firstLine="0"/>
        <w:rPr>
          <w:noProof/>
        </w:rPr>
      </w:pPr>
      <w:r>
        <w:rPr>
          <w:noProof/>
        </w:rPr>
        <w:t>LA RÉPUBLIQUE DE FINLANDE,</w:t>
      </w:r>
    </w:p>
    <w:p>
      <w:pPr>
        <w:pStyle w:val="Point2"/>
        <w:spacing w:after="40"/>
        <w:ind w:left="0" w:firstLine="0"/>
        <w:rPr>
          <w:noProof/>
        </w:rPr>
      </w:pPr>
      <w:r>
        <w:rPr>
          <w:noProof/>
        </w:rPr>
        <w:t>LE ROYAUME DE SUÈDE,</w:t>
      </w:r>
    </w:p>
    <w:p>
      <w:pPr>
        <w:pStyle w:val="Point2"/>
        <w:ind w:left="0" w:hanging="1"/>
        <w:rPr>
          <w:noProof/>
        </w:rPr>
      </w:pPr>
      <w:r>
        <w:rPr>
          <w:noProof/>
        </w:rPr>
        <w:t>LE ROYAUME-UNI DE GRANDE-BRETAGNE ET D'IRLANDE DU NORD,</w:t>
      </w:r>
    </w:p>
    <w:p>
      <w:pPr>
        <w:rPr>
          <w:noProof/>
        </w:rPr>
      </w:pPr>
      <w:r>
        <w:rPr>
          <w:noProof/>
        </w:rPr>
        <w:t>parties contractantes au traité sur l’Union européenne, au traité sur le fonctionnement de l’Union européenne et au traité instituant la Communauté européenne de l’énergie atomique, ci-après dénommées les «États membres», et</w:t>
      </w:r>
    </w:p>
    <w:p>
      <w:pPr>
        <w:rPr>
          <w:noProof/>
        </w:rPr>
      </w:pPr>
      <w:r>
        <w:rPr>
          <w:noProof/>
        </w:rPr>
        <w:t>L'UNION EUROPÉENNE et LA COMMUNAUTÉ EUROPÉENNE DE L'ÉNERGIE ATOMIQUE,</w:t>
      </w:r>
    </w:p>
    <w:p>
      <w:pPr>
        <w:rPr>
          <w:noProof/>
        </w:rPr>
      </w:pPr>
      <w:r>
        <w:rPr>
          <w:noProof/>
        </w:rPr>
        <w:t>ci-après dénommées l'«Union européenne»,</w:t>
      </w:r>
    </w:p>
    <w:p>
      <w:pPr>
        <w:rPr>
          <w:noProof/>
        </w:rPr>
      </w:pPr>
      <w:r>
        <w:rPr>
          <w:noProof/>
        </w:rPr>
        <w:t>d'une part, et</w:t>
      </w:r>
    </w:p>
    <w:p>
      <w:pPr>
        <w:rPr>
          <w:noProof/>
        </w:rPr>
      </w:pPr>
      <w:r>
        <w:rPr>
          <w:noProof/>
        </w:rPr>
        <w:t>LA BOSNIE</w:t>
      </w:r>
      <w:r>
        <w:rPr>
          <w:noProof/>
        </w:rPr>
        <w:noBreakHyphen/>
        <w:t xml:space="preserve">HERZÉGOVINE, </w:t>
      </w:r>
    </w:p>
    <w:p>
      <w:pPr>
        <w:rPr>
          <w:noProof/>
        </w:rPr>
      </w:pPr>
      <w:r>
        <w:rPr>
          <w:noProof/>
        </w:rPr>
        <w:t>d'autre part,</w:t>
      </w:r>
    </w:p>
    <w:p>
      <w:pPr>
        <w:rPr>
          <w:noProof/>
        </w:rPr>
      </w:pPr>
    </w:p>
    <w:p>
      <w:pPr>
        <w:rPr>
          <w:noProof/>
        </w:rPr>
      </w:pPr>
      <w:r>
        <w:rPr>
          <w:noProof/>
        </w:rPr>
        <w:t>vu l’adhésion de la République de Croatie (ci-après dénommée la «Croatie») à l’Union européenne, le 1</w:t>
      </w:r>
      <w:r>
        <w:rPr>
          <w:noProof/>
          <w:vertAlign w:val="superscript"/>
        </w:rPr>
        <w:t>er</w:t>
      </w:r>
      <w:r>
        <w:rPr>
          <w:noProof/>
        </w:rPr>
        <w:t> juillet 2013,</w:t>
      </w:r>
    </w:p>
    <w:p>
      <w:pPr>
        <w:rPr>
          <w:noProof/>
        </w:rPr>
      </w:pPr>
      <w:r>
        <w:rPr>
          <w:noProof/>
        </w:rPr>
        <w:t>considérant ce qui suit:</w:t>
      </w:r>
    </w:p>
    <w:p>
      <w:pPr>
        <w:pStyle w:val="ListNumber"/>
        <w:numPr>
          <w:ilvl w:val="0"/>
          <w:numId w:val="1"/>
        </w:numPr>
        <w:rPr>
          <w:noProof/>
        </w:rPr>
      </w:pPr>
      <w:r>
        <w:rPr>
          <w:noProof/>
        </w:rPr>
        <w:t>L’accord intérimaire entre les Communautés européennes et leurs États membres, d’une part, et la Bosnie</w:t>
      </w:r>
      <w:r>
        <w:rPr>
          <w:noProof/>
        </w:rPr>
        <w:noBreakHyphen/>
        <w:t>Herzégovine, d’autre part, a été signé à Luxembourg le 16 juin 2008 et a été en vigueur du 1</w:t>
      </w:r>
      <w:r>
        <w:rPr>
          <w:noProof/>
          <w:vertAlign w:val="superscript"/>
        </w:rPr>
        <w:t>er</w:t>
      </w:r>
      <w:r>
        <w:rPr>
          <w:noProof/>
        </w:rPr>
        <w:t> juillet 2008 au 31 mai 2015.</w:t>
      </w:r>
    </w:p>
    <w:p>
      <w:pPr>
        <w:pStyle w:val="ListNumber"/>
        <w:numPr>
          <w:ilvl w:val="0"/>
          <w:numId w:val="1"/>
        </w:numPr>
        <w:rPr>
          <w:noProof/>
        </w:rPr>
      </w:pPr>
      <w:r>
        <w:rPr>
          <w:noProof/>
        </w:rPr>
        <w:t>Le traité d'adhésion de la Croatie à l'Union européenne (ci-après dénommé le «traité d’adhésion») a été signé à Bruxelles le 9 décembre 2011.</w:t>
      </w:r>
    </w:p>
    <w:p>
      <w:pPr>
        <w:pStyle w:val="ListNumber"/>
        <w:numPr>
          <w:ilvl w:val="0"/>
          <w:numId w:val="1"/>
        </w:numPr>
        <w:rPr>
          <w:noProof/>
        </w:rPr>
      </w:pPr>
      <w:r>
        <w:rPr>
          <w:noProof/>
        </w:rPr>
        <w:t>La Croatie a adhéré à l'Union européenne le 1</w:t>
      </w:r>
      <w:r>
        <w:rPr>
          <w:noProof/>
          <w:vertAlign w:val="superscript"/>
        </w:rPr>
        <w:t>er</w:t>
      </w:r>
      <w:r>
        <w:rPr>
          <w:noProof/>
        </w:rPr>
        <w:t> juillet 2013.</w:t>
      </w:r>
    </w:p>
    <w:p>
      <w:pPr>
        <w:pStyle w:val="ListNumber"/>
        <w:numPr>
          <w:ilvl w:val="0"/>
          <w:numId w:val="1"/>
        </w:numPr>
        <w:rPr>
          <w:noProof/>
        </w:rPr>
      </w:pPr>
      <w:r>
        <w:rPr>
          <w:noProof/>
        </w:rPr>
        <w:t>L'accord de stabilisation et d'association entre les Communautés européennes et leurs États membres, d'une part, et la Bosnie</w:t>
      </w:r>
      <w:r>
        <w:rPr>
          <w:noProof/>
        </w:rPr>
        <w:noBreakHyphen/>
        <w:t>Herzégovine, d'autre part (ci-après dénommé l'«ASA»), a été signé à Luxembourg le 16 juin 2008 et est entré en vigueur le 1</w:t>
      </w:r>
      <w:r>
        <w:rPr>
          <w:noProof/>
          <w:vertAlign w:val="superscript"/>
        </w:rPr>
        <w:t>er</w:t>
      </w:r>
      <w:r>
        <w:rPr>
          <w:noProof/>
        </w:rPr>
        <w:t> juin 2015.</w:t>
      </w:r>
    </w:p>
    <w:p>
      <w:pPr>
        <w:pStyle w:val="ListNumber"/>
        <w:numPr>
          <w:ilvl w:val="0"/>
          <w:numId w:val="1"/>
        </w:numPr>
        <w:rPr>
          <w:noProof/>
        </w:rPr>
      </w:pPr>
      <w:r>
        <w:rPr>
          <w:noProof/>
        </w:rPr>
        <w:t>En vertu de l'article 6, paragraphe 2, de l'acte d'adhésion de la Croatie, l'adhésion de ce pays à l'ASA est approuvée par la conclusion d'un protocole à cet accord.</w:t>
      </w:r>
    </w:p>
    <w:p>
      <w:pPr>
        <w:pStyle w:val="ListNumber"/>
        <w:numPr>
          <w:ilvl w:val="0"/>
          <w:numId w:val="1"/>
        </w:numPr>
        <w:rPr>
          <w:noProof/>
        </w:rPr>
      </w:pPr>
      <w:r>
        <w:rPr>
          <w:noProof/>
        </w:rPr>
        <w:t>Des consultations ont été menées en vertu de l'article 37, paragraphe 3, de l'ASA, afin d'assurer qu'il soit tenu compte des intérêts mutuels de l'Union européenne et de la Bosnie</w:t>
      </w:r>
      <w:r>
        <w:rPr>
          <w:noProof/>
        </w:rPr>
        <w:noBreakHyphen/>
        <w:t>Herzégovine inscrits dans ledit accord,</w:t>
      </w:r>
    </w:p>
    <w:p>
      <w:pPr>
        <w:rPr>
          <w:noProof/>
        </w:rPr>
      </w:pPr>
    </w:p>
    <w:p>
      <w:pPr>
        <w:rPr>
          <w:noProof/>
        </w:rPr>
      </w:pPr>
      <w:r>
        <w:rPr>
          <w:noProof/>
        </w:rPr>
        <w:t>SONT CONVENUES DES DISPOSITIONS SUIVANTES:</w:t>
      </w:r>
    </w:p>
    <w:p>
      <w:pPr>
        <w:rPr>
          <w:noProof/>
        </w:rPr>
      </w:pPr>
    </w:p>
    <w:p>
      <w:pPr>
        <w:pStyle w:val="SectionTitle"/>
        <w:spacing w:after="120"/>
        <w:rPr>
          <w:noProof/>
        </w:rPr>
      </w:pPr>
      <w:r>
        <w:rPr>
          <w:noProof/>
        </w:rPr>
        <w:t>Partie I</w:t>
      </w:r>
    </w:p>
    <w:p>
      <w:pPr>
        <w:spacing w:after="60"/>
        <w:jc w:val="center"/>
        <w:rPr>
          <w:b/>
          <w:caps/>
          <w:noProof/>
        </w:rPr>
      </w:pPr>
      <w:r>
        <w:rPr>
          <w:b/>
          <w:caps/>
          <w:noProof/>
        </w:rPr>
        <w:t>Parties contractantes</w:t>
      </w:r>
    </w:p>
    <w:p>
      <w:pPr>
        <w:jc w:val="center"/>
        <w:rPr>
          <w:i/>
          <w:noProof/>
        </w:rPr>
      </w:pPr>
      <w:r>
        <w:rPr>
          <w:i/>
          <w:noProof/>
        </w:rPr>
        <w:t>Article premier</w:t>
      </w:r>
    </w:p>
    <w:p>
      <w:pPr>
        <w:rPr>
          <w:noProof/>
        </w:rPr>
      </w:pPr>
      <w:r>
        <w:rPr>
          <w:noProof/>
        </w:rPr>
        <w:t>La Croatie est partie à l'accord de stabilisation et d'association entre les Communautés européennes et leurs États membres, d'une part, et la Bosnie</w:t>
      </w:r>
      <w:r>
        <w:rPr>
          <w:noProof/>
        </w:rPr>
        <w:noBreakHyphen/>
        <w:t>Herzégovine, d'autre part (ci</w:t>
      </w:r>
      <w:r>
        <w:rPr>
          <w:noProof/>
        </w:rPr>
        <w:noBreakHyphen/>
        <w:t>après dénommé l'«ASA»), signé à Luxembourg le 16 juin 2008 et, au même titre que les autres États membres de l'Union européenne, adopte les textes de l'ASA ainsi que des déclarations communes et des déclarations unilatérales annexées à l'acte final signé à la même date ou en prend acte.</w:t>
      </w:r>
    </w:p>
    <w:p>
      <w:pPr>
        <w:pStyle w:val="SectionTitle"/>
        <w:spacing w:after="240"/>
        <w:rPr>
          <w:noProof/>
        </w:rPr>
      </w:pPr>
      <w:r>
        <w:rPr>
          <w:noProof/>
        </w:rPr>
        <w:t>Partie II</w:t>
      </w:r>
    </w:p>
    <w:p>
      <w:pPr>
        <w:jc w:val="center"/>
        <w:rPr>
          <w:b/>
          <w:noProof/>
        </w:rPr>
      </w:pPr>
      <w:r>
        <w:rPr>
          <w:b/>
          <w:noProof/>
        </w:rPr>
        <w:t>ADAPTATIONS APPORTÉES AU TEXTE DE L’ASA, Y COMPRIS À SES ANNEXES ET À SES PROTOCOLES</w:t>
      </w:r>
    </w:p>
    <w:p>
      <w:pPr>
        <w:pStyle w:val="SectionTitle"/>
        <w:spacing w:after="240"/>
        <w:rPr>
          <w:noProof/>
        </w:rPr>
      </w:pPr>
    </w:p>
    <w:p>
      <w:pPr>
        <w:jc w:val="center"/>
        <w:rPr>
          <w:b/>
          <w:i/>
          <w:noProof/>
        </w:rPr>
      </w:pPr>
      <w:r>
        <w:rPr>
          <w:b/>
          <w:i/>
          <w:caps/>
          <w:noProof/>
        </w:rPr>
        <w:t>Produits agricoles</w:t>
      </w:r>
    </w:p>
    <w:p>
      <w:pPr>
        <w:jc w:val="center"/>
        <w:rPr>
          <w:i/>
          <w:noProof/>
        </w:rPr>
      </w:pPr>
      <w:r>
        <w:rPr>
          <w:i/>
          <w:noProof/>
        </w:rPr>
        <w:t>Article 2</w:t>
      </w:r>
    </w:p>
    <w:p>
      <w:pPr>
        <w:jc w:val="center"/>
        <w:rPr>
          <w:i/>
          <w:noProof/>
        </w:rPr>
      </w:pPr>
      <w:r>
        <w:rPr>
          <w:i/>
          <w:noProof/>
        </w:rPr>
        <w:t>Produits agricoles stricto sensu</w:t>
      </w:r>
    </w:p>
    <w:p>
      <w:pPr>
        <w:rPr>
          <w:noProof/>
        </w:rPr>
      </w:pPr>
      <w:r>
        <w:rPr>
          <w:noProof/>
        </w:rPr>
        <w:t>1. À l'article 27, paragraphe 3, de l'ASA, le deuxième alinéa suivant est ajouté:</w:t>
      </w:r>
    </w:p>
    <w:p>
      <w:pPr>
        <w:ind w:left="284"/>
        <w:rPr>
          <w:noProof/>
        </w:rPr>
      </w:pPr>
      <w:r>
        <w:rPr>
          <w:noProof/>
        </w:rPr>
        <w:t xml:space="preserve">Dès la date d'entrée en vigueur du protocole visant à tenir compte de l'adhésion de la Croatie à l'Union européenne ou, au cas où le présent protocole est appliqué à titre provisoire, dès la date de son application provisoire, le contingent tarifaire annuel visé au premier alinéa est de 13 210 tonnes (poids net). </w:t>
      </w:r>
    </w:p>
    <w:p>
      <w:pPr>
        <w:rPr>
          <w:noProof/>
        </w:rPr>
      </w:pPr>
      <w:r>
        <w:rPr>
          <w:noProof/>
        </w:rPr>
        <w:t>2. À l'article 27 de l'ASA, le nouveau paragraphe 4</w:t>
      </w:r>
      <w:r>
        <w:rPr>
          <w:i/>
          <w:noProof/>
        </w:rPr>
        <w:t>bis</w:t>
      </w:r>
      <w:r>
        <w:rPr>
          <w:noProof/>
        </w:rPr>
        <w:t xml:space="preserve"> suivant est ajouté:</w:t>
      </w:r>
    </w:p>
    <w:p>
      <w:pPr>
        <w:ind w:left="284"/>
        <w:rPr>
          <w:noProof/>
        </w:rPr>
      </w:pPr>
      <w:r>
        <w:rPr>
          <w:noProof/>
        </w:rPr>
        <w:t>4</w:t>
      </w:r>
      <w:r>
        <w:rPr>
          <w:i/>
          <w:noProof/>
        </w:rPr>
        <w:t>bis</w:t>
      </w:r>
      <w:r>
        <w:rPr>
          <w:noProof/>
        </w:rPr>
        <w:t>. En complément du paragraphe 4, dès la date d’entrée en vigueur du protocole visant à tenir compte de l’adhésion de la Croatie à l’Union européenne ou, au cas où le présent protocole est appliqué à titre provisoire, dès la date de son application provisoire, la Bosnie</w:t>
      </w:r>
      <w:r>
        <w:rPr>
          <w:noProof/>
        </w:rPr>
        <w:noBreakHyphen/>
        <w:t>Herzégovine supprime les droits de douane applicables aux importations de certains produits agricoles originaires de l’Union, dont la liste figure à l’annexe III f), dans la limite des contingents tarifaires indiqués pour les produits concernés.</w:t>
      </w:r>
    </w:p>
    <w:p>
      <w:pPr>
        <w:ind w:left="284" w:hanging="284"/>
        <w:rPr>
          <w:noProof/>
        </w:rPr>
      </w:pPr>
      <w:r>
        <w:rPr>
          <w:noProof/>
        </w:rPr>
        <w:t xml:space="preserve">3. L’annexe I au présent protocole est ajoutée en tant qu’annexe III f) de l’ASA et fait partie intégrante de celui-ci. </w:t>
      </w:r>
    </w:p>
    <w:p>
      <w:pPr>
        <w:spacing w:before="0"/>
        <w:jc w:val="center"/>
        <w:rPr>
          <w:i/>
          <w:noProof/>
        </w:rPr>
      </w:pPr>
      <w:r>
        <w:rPr>
          <w:i/>
          <w:noProof/>
        </w:rPr>
        <w:t>Article 3</w:t>
      </w:r>
    </w:p>
    <w:p>
      <w:pPr>
        <w:jc w:val="center"/>
        <w:rPr>
          <w:i/>
          <w:noProof/>
        </w:rPr>
      </w:pPr>
      <w:r>
        <w:rPr>
          <w:i/>
          <w:noProof/>
        </w:rPr>
        <w:t>Poissons et produits de la pêche</w:t>
      </w:r>
    </w:p>
    <w:p>
      <w:pPr>
        <w:rPr>
          <w:noProof/>
        </w:rPr>
      </w:pPr>
      <w:r>
        <w:rPr>
          <w:noProof/>
        </w:rPr>
        <w:t>1. À l'article 28 de l'ASA, le paragraphe suivant est ajouté en tant que paragraphe 1</w:t>
      </w:r>
      <w:r>
        <w:rPr>
          <w:i/>
          <w:noProof/>
        </w:rPr>
        <w:t>bis</w:t>
      </w:r>
      <w:r>
        <w:rPr>
          <w:noProof/>
        </w:rPr>
        <w:t>:</w:t>
      </w:r>
    </w:p>
    <w:p>
      <w:pPr>
        <w:ind w:left="284"/>
        <w:rPr>
          <w:noProof/>
        </w:rPr>
      </w:pPr>
      <w:r>
        <w:rPr>
          <w:noProof/>
        </w:rPr>
        <w:t>1</w:t>
      </w:r>
      <w:r>
        <w:rPr>
          <w:i/>
          <w:noProof/>
        </w:rPr>
        <w:t>bis</w:t>
      </w:r>
      <w:r>
        <w:rPr>
          <w:noProof/>
        </w:rPr>
        <w:t>. Dès la date d’entrée en vigueur du protocole visant à tenir compte de l’adhésion de la Croatie à l’Union européenne ou, au cas où le présent protocole est appliqué à titre provisoire, dès la date de son application provisoire, l’Union supprime la totalité des droits de douane et mesures d’effet équivalent auxquels sont soumis les poissons et produits de la pêche originaires de Bosnie</w:t>
      </w:r>
      <w:r>
        <w:rPr>
          <w:noProof/>
        </w:rPr>
        <w:noBreakHyphen/>
        <w:t>Herzégovine, autres que ceux énumérés à l'annexe IV</w:t>
      </w:r>
      <w:r>
        <w:rPr>
          <w:i/>
          <w:noProof/>
        </w:rPr>
        <w:t>bis</w:t>
      </w:r>
      <w:r>
        <w:rPr>
          <w:noProof/>
        </w:rPr>
        <w:t>. Les produits énumérés à l’annexe IV </w:t>
      </w:r>
      <w:r>
        <w:rPr>
          <w:i/>
          <w:noProof/>
        </w:rPr>
        <w:t>bis</w:t>
      </w:r>
      <w:r>
        <w:rPr>
          <w:noProof/>
        </w:rPr>
        <w:t xml:space="preserve"> sont soumis aux dispositions qui y sont prévues.</w:t>
      </w:r>
    </w:p>
    <w:p>
      <w:pPr>
        <w:spacing w:after="240"/>
        <w:rPr>
          <w:noProof/>
        </w:rPr>
      </w:pPr>
      <w:r>
        <w:rPr>
          <w:noProof/>
        </w:rPr>
        <w:t>2. À l'article 28 de l'ASA, le paragraphe suivant est ajouté en tant que paragraphe 3:</w:t>
      </w:r>
    </w:p>
    <w:p>
      <w:pPr>
        <w:spacing w:after="240"/>
        <w:ind w:left="284"/>
        <w:rPr>
          <w:noProof/>
        </w:rPr>
      </w:pPr>
      <w:r>
        <w:rPr>
          <w:noProof/>
        </w:rPr>
        <w:t>3. Dès la date d’entrée en vigueur du protocole visant à tenir compte de l’adhésion de la Croatie à l’Union européenne ou, au cas où le présent protocole est appliqué à titre provisoire, dès la date de son application provisoire, la Bosnie</w:t>
      </w:r>
      <w:r>
        <w:rPr>
          <w:noProof/>
        </w:rPr>
        <w:noBreakHyphen/>
        <w:t>Herzégovine ouvre un contingent tarifaire en franchise de droits pour les importations de carpes vivantes relevant du code NC 0301 93 00 dans la limite d'un contingent tarifaire annuel de 75 tonnes. Les importations excédant les limites du contingent sont soumises aux droits fixés à l’annexe V de l’ASA.</w:t>
      </w:r>
    </w:p>
    <w:p>
      <w:pPr>
        <w:spacing w:after="240"/>
        <w:rPr>
          <w:noProof/>
        </w:rPr>
      </w:pPr>
      <w:r>
        <w:rPr>
          <w:noProof/>
        </w:rPr>
        <w:t>3. L’annexe II du présent protocole est ajoutée en tant qu’annexe IV</w:t>
      </w:r>
      <w:r>
        <w:rPr>
          <w:i/>
          <w:noProof/>
        </w:rPr>
        <w:t>bis</w:t>
      </w:r>
      <w:r>
        <w:rPr>
          <w:noProof/>
        </w:rPr>
        <w:t xml:space="preserve"> de l’ASA et fait partie intégrante de celui-ci.</w:t>
      </w:r>
    </w:p>
    <w:p>
      <w:pPr>
        <w:jc w:val="center"/>
        <w:rPr>
          <w:i/>
          <w:noProof/>
        </w:rPr>
      </w:pPr>
      <w:r>
        <w:rPr>
          <w:i/>
          <w:noProof/>
        </w:rPr>
        <w:t>Article 4</w:t>
      </w:r>
    </w:p>
    <w:p>
      <w:pPr>
        <w:jc w:val="center"/>
        <w:rPr>
          <w:i/>
          <w:noProof/>
        </w:rPr>
      </w:pPr>
      <w:r>
        <w:rPr>
          <w:i/>
          <w:noProof/>
        </w:rPr>
        <w:t>Produits agricoles transformés</w:t>
      </w:r>
    </w:p>
    <w:p>
      <w:pPr>
        <w:rPr>
          <w:noProof/>
        </w:rPr>
      </w:pPr>
      <w:r>
        <w:rPr>
          <w:noProof/>
        </w:rPr>
        <w:t xml:space="preserve">L’annexe III du présent protocole est ajoutée en tant qu’annexe III au protocole n° 1 de l’ASA et fait partie intégrante de celui-ci. </w:t>
      </w:r>
    </w:p>
    <w:p>
      <w:pPr>
        <w:spacing w:after="0"/>
        <w:jc w:val="center"/>
        <w:rPr>
          <w:i/>
          <w:noProof/>
        </w:rPr>
      </w:pPr>
      <w:r>
        <w:rPr>
          <w:i/>
          <w:noProof/>
        </w:rPr>
        <w:t>Article 5</w:t>
      </w:r>
    </w:p>
    <w:p>
      <w:pPr>
        <w:jc w:val="center"/>
        <w:rPr>
          <w:i/>
          <w:noProof/>
        </w:rPr>
      </w:pPr>
      <w:r>
        <w:rPr>
          <w:i/>
          <w:noProof/>
        </w:rPr>
        <w:t>Accord sur le vin</w:t>
      </w:r>
    </w:p>
    <w:p>
      <w:pPr>
        <w:rPr>
          <w:noProof/>
        </w:rPr>
      </w:pPr>
      <w:r>
        <w:rPr>
          <w:noProof/>
        </w:rPr>
        <w:t>Dès la date d'entrée en vigueur du protocole visant à tenir compte de l'adhésion de la Croatie à l'Union européenne ou, au cas où le présent protocole est appliqué à titre provisoire, dès la date de son application provisoire, l'annexe I du protocole n° 7 de l'ASA visé à l'article 27, paragraphe 5, de l'ASA est modifiée comme exposé à l'annexe IV du présent protocole.</w:t>
      </w:r>
    </w:p>
    <w:p>
      <w:pPr>
        <w:rPr>
          <w:noProof/>
        </w:rPr>
      </w:pPr>
    </w:p>
    <w:p>
      <w:pPr>
        <w:pStyle w:val="SectionTitle"/>
        <w:spacing w:after="240"/>
        <w:rPr>
          <w:noProof/>
        </w:rPr>
      </w:pPr>
      <w:r>
        <w:rPr>
          <w:noProof/>
        </w:rPr>
        <w:t>PARTIE III</w:t>
      </w:r>
      <w:r>
        <w:rPr>
          <w:noProof/>
        </w:rPr>
        <w:br/>
      </w:r>
      <w:r>
        <w:rPr>
          <w:noProof/>
        </w:rPr>
        <w:br/>
      </w:r>
      <w:r>
        <w:rPr>
          <w:noProof/>
          <w:sz w:val="24"/>
        </w:rPr>
        <w:t>DISPOSITIONS GÉNÉRALES ET FINALES</w:t>
      </w:r>
      <w:r>
        <w:rPr>
          <w:noProof/>
          <w:sz w:val="24"/>
          <w:szCs w:val="24"/>
        </w:rPr>
        <w:br/>
      </w:r>
    </w:p>
    <w:p>
      <w:pPr>
        <w:pStyle w:val="Default"/>
        <w:jc w:val="center"/>
        <w:rPr>
          <w:b/>
          <w:noProof/>
          <w:color w:val="auto"/>
        </w:rPr>
      </w:pPr>
      <w:r>
        <w:rPr>
          <w:i/>
          <w:noProof/>
          <w:color w:val="auto"/>
        </w:rPr>
        <w:t>Article 6</w:t>
      </w:r>
    </w:p>
    <w:p>
      <w:pPr>
        <w:rPr>
          <w:noProof/>
        </w:rPr>
      </w:pPr>
      <w:r>
        <w:rPr>
          <w:noProof/>
        </w:rPr>
        <w:t>Le présent protocole et ses annexes font partie intégrante de l'ASA.</w:t>
      </w:r>
      <w:r>
        <w:rPr>
          <w:noProof/>
        </w:rPr>
        <w:br/>
      </w:r>
    </w:p>
    <w:p>
      <w:pPr>
        <w:jc w:val="center"/>
        <w:rPr>
          <w:i/>
          <w:noProof/>
        </w:rPr>
      </w:pPr>
      <w:r>
        <w:rPr>
          <w:i/>
          <w:noProof/>
        </w:rPr>
        <w:t>Article 7</w:t>
      </w:r>
    </w:p>
    <w:p>
      <w:pPr>
        <w:rPr>
          <w:noProof/>
        </w:rPr>
      </w:pPr>
      <w:r>
        <w:rPr>
          <w:noProof/>
        </w:rPr>
        <w:t>1. Le présent protocole est approuvé par l’Union européenne et ses États membres, ainsi que par la Bosnie</w:t>
      </w:r>
      <w:r>
        <w:rPr>
          <w:noProof/>
        </w:rPr>
        <w:noBreakHyphen/>
        <w:t xml:space="preserve">Herzégovine, selon les procédures qui leur sont propres. </w:t>
      </w:r>
    </w:p>
    <w:p>
      <w:pPr>
        <w:rPr>
          <w:noProof/>
        </w:rPr>
      </w:pPr>
      <w:r>
        <w:rPr>
          <w:noProof/>
        </w:rPr>
        <w:t>2. Les parties se notifient mutuellement l'accomplissement des procédures correspondantes visées au paragraphe 1. Les instruments d’approbation sont déposés auprès du Secrétariat général du Conseil de l’Union européenne.</w:t>
      </w:r>
    </w:p>
    <w:p>
      <w:pPr>
        <w:rPr>
          <w:noProof/>
        </w:rPr>
      </w:pPr>
    </w:p>
    <w:p>
      <w:pPr>
        <w:jc w:val="center"/>
        <w:rPr>
          <w:i/>
          <w:noProof/>
        </w:rPr>
      </w:pPr>
      <w:r>
        <w:rPr>
          <w:i/>
          <w:noProof/>
        </w:rPr>
        <w:t>Article 8</w:t>
      </w:r>
    </w:p>
    <w:p>
      <w:pPr>
        <w:rPr>
          <w:noProof/>
        </w:rPr>
      </w:pPr>
      <w:r>
        <w:rPr>
          <w:noProof/>
        </w:rPr>
        <w:t>1. Le présent protocole entre en vigueur le premier jour du premier mois suivant la date de dépôt du dernier instrument d'approbation.</w:t>
      </w:r>
    </w:p>
    <w:p>
      <w:pPr>
        <w:rPr>
          <w:noProof/>
        </w:rPr>
      </w:pPr>
      <w:r>
        <w:rPr>
          <w:noProof/>
        </w:rPr>
        <w:t xml:space="preserve">2. Si les instruments d’approbation du présent protocole n’ont pas tous été déposés avant le premier jour du deuxième mois suivant la date de signature, le présent protocole s'applique à titre provisoire. La date d'application provisoire est le premier jour du deuxième mois suivant la date de signature. </w:t>
      </w:r>
    </w:p>
    <w:p>
      <w:pPr>
        <w:rPr>
          <w:noProof/>
        </w:rPr>
      </w:pPr>
    </w:p>
    <w:p>
      <w:pPr>
        <w:jc w:val="center"/>
        <w:rPr>
          <w:i/>
          <w:noProof/>
        </w:rPr>
      </w:pPr>
      <w:r>
        <w:rPr>
          <w:i/>
          <w:noProof/>
        </w:rPr>
        <w:t>Article 9</w:t>
      </w:r>
    </w:p>
    <w:p>
      <w:pPr>
        <w:rPr>
          <w:noProof/>
        </w:rPr>
      </w:pPr>
      <w:r>
        <w:rPr>
          <w:noProof/>
        </w:rPr>
        <w:t>Le présent protocole est établi en double exemplaire en langues allemande, anglaise, bulgare, croate, danoise, espagnole, estonienne, finnoise, française, grecque, hongroise, irlandaise, italienne, lettone, lituanienne, maltaise, néerlandaise, polonaise, portugaise, roumaine, slovaque, slovène, suédoise et tchèque, ainsi qu'en langues bosniaque et serbe, chacun de ces textes faisant également foi.</w:t>
      </w:r>
    </w:p>
    <w:p>
      <w:pPr>
        <w:rPr>
          <w:noProof/>
        </w:rPr>
      </w:pPr>
      <w:r>
        <w:rPr>
          <w:noProof/>
        </w:rPr>
        <w:br w:type="page"/>
      </w:r>
    </w:p>
    <w:p>
      <w:pPr>
        <w:rPr>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b/>
          <w:noProof/>
          <w:szCs w:val="24"/>
        </w:rPr>
      </w:pPr>
      <w:r>
        <w:rPr>
          <w:b/>
          <w:noProof/>
        </w:rPr>
        <w:t>ANNEXES</w:t>
      </w:r>
    </w:p>
    <w:p>
      <w:pPr>
        <w:rPr>
          <w:noProof/>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t>ANNEXE I</w:t>
      </w:r>
      <w:r>
        <w:rPr>
          <w:rStyle w:val="Corpsdutexte9"/>
          <w:rFonts w:eastAsiaTheme="minorHAnsi"/>
          <w:b/>
          <w:noProof/>
          <w:sz w:val="20"/>
        </w:rPr>
        <w:br/>
      </w:r>
      <w:r>
        <w:rPr>
          <w:rStyle w:val="Corpsdutexte9"/>
          <w:rFonts w:eastAsiaTheme="minorHAnsi"/>
          <w:b/>
          <w:noProof/>
          <w:sz w:val="20"/>
        </w:rPr>
        <w:br/>
      </w:r>
    </w:p>
    <w:p>
      <w:pPr>
        <w:spacing w:after="0"/>
        <w:ind w:left="180"/>
        <w:jc w:val="center"/>
        <w:rPr>
          <w:rStyle w:val="Corpsdutexte9"/>
          <w:rFonts w:eastAsiaTheme="minorHAnsi"/>
          <w:b/>
          <w:noProof/>
          <w:sz w:val="20"/>
        </w:rPr>
      </w:pPr>
    </w:p>
    <w:p>
      <w:pPr>
        <w:spacing w:after="0"/>
        <w:ind w:left="180"/>
        <w:jc w:val="center"/>
        <w:rPr>
          <w:rStyle w:val="Corpsdutexte9"/>
          <w:rFonts w:eastAsiaTheme="minorHAnsi"/>
          <w:i/>
          <w:noProof/>
          <w:sz w:val="20"/>
        </w:rPr>
      </w:pPr>
      <w:r>
        <w:rPr>
          <w:rStyle w:val="Corpsdutexte9"/>
          <w:rFonts w:eastAsiaTheme="minorHAnsi"/>
          <w:i/>
          <w:noProof/>
          <w:sz w:val="20"/>
        </w:rPr>
        <w:t>«ANNEXE III f)</w:t>
      </w:r>
    </w:p>
    <w:p>
      <w:pPr>
        <w:spacing w:after="0"/>
        <w:ind w:left="180"/>
        <w:jc w:val="center"/>
        <w:rPr>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CONCESSIONS TARIFAIRES DE LA BOSNIE</w:t>
      </w:r>
      <w:r>
        <w:rPr>
          <w:noProof/>
        </w:rPr>
        <w:noBreakHyphen/>
      </w:r>
      <w:r>
        <w:rPr>
          <w:rStyle w:val="Corpsdutexte4"/>
          <w:rFonts w:eastAsiaTheme="minorHAnsi"/>
          <w:b/>
          <w:noProof/>
          <w:sz w:val="20"/>
        </w:rPr>
        <w:t>HERZÉGOVINE POUR LES PRODUITS AGRICOLES PRIMAIRES ORIGINAIRES DE L'UNION EUROPÉENNE</w:t>
      </w:r>
    </w:p>
    <w:p>
      <w:pPr>
        <w:spacing w:after="0"/>
        <w:ind w:left="180"/>
        <w:jc w:val="center"/>
        <w:rPr>
          <w:b/>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(visées à l’article 27, paragraphe 4</w:t>
      </w:r>
      <w:r>
        <w:rPr>
          <w:rStyle w:val="Corpsdutexte4"/>
          <w:rFonts w:eastAsiaTheme="minorHAnsi"/>
          <w:b/>
          <w:i/>
          <w:noProof/>
          <w:sz w:val="20"/>
        </w:rPr>
        <w:t>bis</w:t>
      </w:r>
      <w:r>
        <w:rPr>
          <w:rStyle w:val="Corpsdutexte4"/>
          <w:rFonts w:eastAsiaTheme="minorHAnsi"/>
          <w:b/>
          <w:noProof/>
          <w:sz w:val="20"/>
        </w:rPr>
        <w:t>, de l’ASA)</w:t>
      </w:r>
    </w:p>
    <w:p>
      <w:pPr>
        <w:spacing w:after="0"/>
        <w:ind w:left="180"/>
        <w:rPr>
          <w:rStyle w:val="Corpsdutexte4"/>
          <w:rFonts w:eastAsiaTheme="minorHAnsi"/>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Dès la date d’entrée en vigueur ou d’application provisoire du protocole visant à tenir compte de l’adhésion de la Croatie à l’Union européenne, les droits sont supprimés pour les produits ci</w:t>
            </w:r>
            <w:r>
              <w:rPr>
                <w:noProof/>
              </w:rPr>
              <w:noBreakHyphen/>
            </w:r>
            <w:r>
              <w:rPr>
                <w:noProof/>
                <w:sz w:val="20"/>
              </w:rPr>
              <w:t>après dans les limites des quantités de contingents tarifaires indiquées ci</w:t>
            </w:r>
            <w:r>
              <w:rPr>
                <w:noProof/>
              </w:rPr>
              <w:noBreakHyphen/>
            </w:r>
            <w:r>
              <w:rPr>
                <w:noProof/>
                <w:sz w:val="20"/>
              </w:rPr>
              <w:t>dessous. Pour les importations hors contingent, le taux de droit NPF s’applique. Pour l’année 2017, le montant intégral du contingent s’applique, indépendamment de la date d’entrée en vigueur ou d’application provisoire du protocole.</w:t>
            </w:r>
          </w:p>
        </w:tc>
      </w:tr>
    </w:tbl>
    <w:p>
      <w:pPr>
        <w:spacing w:after="0"/>
        <w:ind w:left="40" w:right="200"/>
        <w:rPr>
          <w:noProof/>
          <w:sz w:val="20"/>
        </w:rPr>
      </w:pPr>
    </w:p>
    <w:tbl>
      <w:tblPr>
        <w:tblW w:w="9039" w:type="dxa"/>
        <w:tblCellSpacing w:w="0" w:type="dxa"/>
        <w:tblInd w:w="9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0"/>
        <w:gridCol w:w="6583"/>
        <w:gridCol w:w="1516"/>
      </w:tblGrid>
      <w:tr>
        <w:trPr>
          <w:trHeight w:val="227"/>
          <w:tblHeader/>
          <w:tblCellSpacing w:w="0" w:type="dxa"/>
        </w:trPr>
        <w:tc>
          <w:tcPr>
            <w:tcW w:w="0" w:type="auto"/>
            <w:tcBorders>
              <w:top w:val="single" w:sz="12" w:space="0" w:color="auto"/>
              <w:left w:val="nil"/>
              <w:bottom w:val="single" w:sz="12" w:space="0" w:color="auto"/>
              <w:right w:val="single" w:sz="12" w:space="0" w:color="auto"/>
            </w:tcBorders>
            <w:shd w:val="clear" w:color="auto" w:fill="C0C0C0"/>
            <w:vAlign w:val="center"/>
          </w:tcPr>
          <w:p>
            <w:pPr>
              <w:spacing w:before="40" w:after="40"/>
              <w:jc w:val="center"/>
              <w:rPr>
                <w:b/>
                <w:bCs/>
                <w:noProof/>
                <w:sz w:val="20"/>
              </w:rPr>
            </w:pPr>
            <w:r>
              <w:rPr>
                <w:b/>
                <w:noProof/>
                <w:sz w:val="20"/>
              </w:rPr>
              <w:t>Code NC</w:t>
            </w:r>
          </w:p>
        </w:tc>
        <w:tc>
          <w:tcPr>
            <w:tcW w:w="0" w:type="auto"/>
            <w:tcBorders>
              <w:top w:val="single" w:sz="12" w:space="0" w:color="auto"/>
              <w:left w:val="single" w:sz="12" w:space="0" w:color="auto"/>
              <w:bottom w:val="single" w:sz="12" w:space="0" w:color="auto"/>
              <w:right w:val="single" w:sz="12" w:space="0" w:color="auto"/>
            </w:tcBorders>
            <w:shd w:val="clear" w:color="auto" w:fill="C0C0C0"/>
            <w:vAlign w:val="center"/>
          </w:tcPr>
          <w:p>
            <w:pPr>
              <w:spacing w:before="40" w:after="40"/>
              <w:jc w:val="center"/>
              <w:rPr>
                <w:b/>
                <w:bCs/>
                <w:noProof/>
                <w:sz w:val="20"/>
              </w:rPr>
            </w:pPr>
            <w:r>
              <w:rPr>
                <w:b/>
                <w:noProof/>
                <w:sz w:val="20"/>
              </w:rPr>
              <w:t>Désignation des marchandises</w:t>
            </w:r>
          </w:p>
        </w:tc>
        <w:tc>
          <w:tcPr>
            <w:tcW w:w="0" w:type="auto"/>
            <w:tcBorders>
              <w:top w:val="single" w:sz="12" w:space="0" w:color="auto"/>
              <w:left w:val="single" w:sz="12" w:space="0" w:color="auto"/>
              <w:bottom w:val="single" w:sz="12" w:space="0" w:color="auto"/>
              <w:right w:val="nil"/>
            </w:tcBorders>
            <w:shd w:val="clear" w:color="auto" w:fill="C0C0C0"/>
          </w:tcPr>
          <w:p>
            <w:pPr>
              <w:spacing w:before="40" w:after="40"/>
              <w:jc w:val="center"/>
              <w:rPr>
                <w:b/>
                <w:bCs/>
                <w:noProof/>
                <w:sz w:val="20"/>
              </w:rPr>
            </w:pPr>
            <w:r>
              <w:rPr>
                <w:b/>
                <w:noProof/>
                <w:sz w:val="20"/>
              </w:rPr>
              <w:t>Contingent tarifaire (tonnes)</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0102</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Animaux vivants de l’espèce bovine:</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bovins domestiques: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0102 29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autres: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autres: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d'un poids excédant 300 kg:</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vaches: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0102 29 61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 destinées à la boucherie</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1 935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autres: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0102 29 91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 destinés à la boucherie</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190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0103</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Animaux vivants de l'espèce porcine:</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autres: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0103 92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d'un poids égal ou supérieur à 50 kg:</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des espèces domestiques: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0103 92 11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Truies ayant mis bas au moins une fois et d'un poids minimal de 160 kg</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575</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0103 92 19</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autres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1 755</w:t>
            </w: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0103 92 90</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autres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195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0105</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Coqs, poules, canards, oies, dindons et pintades, vivants, des espèces domestiques:</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autres: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0105 94 00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Coqs et poules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1 455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0207</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Viandes et abats comestibles, frais, réfrigérés ou congelés, des volailles du n° 0105:</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de coqs et de poules: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non découpés en morceaux, congelés: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0207 12 90</w:t>
            </w:r>
          </w:p>
        </w:tc>
        <w:tc>
          <w:tcPr>
            <w:tcW w:w="0" w:type="auto"/>
            <w:tcBorders>
              <w:top w:val="nil"/>
              <w:left w:val="single" w:sz="4" w:space="0" w:color="auto"/>
              <w:bottom w:val="nil"/>
              <w:right w:val="single" w:sz="4" w:space="0" w:color="auto"/>
            </w:tcBorders>
            <w:shd w:val="clear" w:color="auto" w:fill="FFFFFF"/>
            <w:hideMark/>
          </w:tcPr>
          <w:p>
            <w:pPr>
              <w:spacing w:before="40" w:after="40"/>
              <w:ind w:left="375" w:hanging="375"/>
              <w:jc w:val="left"/>
              <w:rPr>
                <w:noProof/>
                <w:sz w:val="20"/>
              </w:rPr>
            </w:pPr>
            <w:r>
              <w:rPr>
                <w:noProof/>
                <w:sz w:val="20"/>
              </w:rPr>
              <w:t>- - - présentés plumés, vidés, sans la tête ni les pattes et sans le cou, le cœur, le foie et le gésier, dénommés «poulets 65 %», ou autrement présentés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80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Morceaux et abats, frais ou réfrigérés: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Morceaux:</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désossés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90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non désossés: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0207 13 30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Ailes entières, même sans la pointe</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0207 13 60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Cuisses et morceaux de cuisses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320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Abats: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autres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25</w:t>
            </w:r>
          </w:p>
        </w:tc>
      </w:tr>
      <w:tr>
        <w:trPr>
          <w:tblCellSpacing w:w="0" w:type="dxa"/>
        </w:trPr>
        <w:tc>
          <w:tcPr>
            <w:tcW w:w="0" w:type="auto"/>
            <w:tcBorders>
              <w:top w:val="nil"/>
              <w:left w:val="nil"/>
              <w:bottom w:val="nil"/>
              <w:right w:val="single" w:sz="4" w:space="0" w:color="auto"/>
            </w:tcBorders>
            <w:shd w:val="clear" w:color="auto" w:fill="FFFFFF"/>
            <w:hideMark/>
          </w:tcPr>
          <w:p>
            <w:pPr>
              <w:keepLines/>
              <w:spacing w:before="40" w:after="40"/>
              <w:rPr>
                <w:noProof/>
                <w:sz w:val="20"/>
              </w:rPr>
            </w:pPr>
            <w:r>
              <w:rPr>
                <w:noProof/>
                <w:sz w:val="20"/>
              </w:rPr>
              <w:t>0207 14</w:t>
            </w:r>
          </w:p>
        </w:tc>
        <w:tc>
          <w:tcPr>
            <w:tcW w:w="0" w:type="auto"/>
            <w:tcBorders>
              <w:top w:val="nil"/>
              <w:left w:val="single" w:sz="4" w:space="0" w:color="auto"/>
              <w:bottom w:val="nil"/>
              <w:right w:val="single" w:sz="4" w:space="0" w:color="auto"/>
            </w:tcBorders>
            <w:shd w:val="clear" w:color="auto" w:fill="FFFFFF"/>
            <w:hideMark/>
          </w:tcPr>
          <w:p>
            <w:pPr>
              <w:keepLines/>
              <w:spacing w:before="40" w:after="40"/>
              <w:jc w:val="left"/>
              <w:rPr>
                <w:noProof/>
                <w:sz w:val="20"/>
              </w:rPr>
            </w:pPr>
            <w:r>
              <w:rPr>
                <w:noProof/>
                <w:sz w:val="20"/>
              </w:rPr>
              <w:t>- - Morceaux et abats, congelés:</w:t>
            </w:r>
          </w:p>
        </w:tc>
        <w:tc>
          <w:tcPr>
            <w:tcW w:w="0" w:type="auto"/>
            <w:tcBorders>
              <w:top w:val="nil"/>
              <w:left w:val="single" w:sz="4" w:space="0" w:color="auto"/>
              <w:bottom w:val="nil"/>
              <w:right w:val="nil"/>
            </w:tcBorders>
            <w:shd w:val="clear" w:color="auto" w:fill="FFFFFF"/>
          </w:tcPr>
          <w:p>
            <w:pPr>
              <w:keepLines/>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keepLines/>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keepLines/>
              <w:spacing w:before="40" w:after="40"/>
              <w:jc w:val="left"/>
              <w:rPr>
                <w:noProof/>
                <w:sz w:val="20"/>
              </w:rPr>
            </w:pPr>
            <w:r>
              <w:rPr>
                <w:noProof/>
                <w:sz w:val="20"/>
              </w:rPr>
              <w:t>- - - morceaux:</w:t>
            </w:r>
          </w:p>
        </w:tc>
        <w:tc>
          <w:tcPr>
            <w:tcW w:w="0" w:type="auto"/>
            <w:tcBorders>
              <w:top w:val="nil"/>
              <w:left w:val="single" w:sz="4" w:space="0" w:color="auto"/>
              <w:bottom w:val="nil"/>
              <w:right w:val="nil"/>
            </w:tcBorders>
            <w:shd w:val="clear" w:color="auto" w:fill="FFFFFF"/>
          </w:tcPr>
          <w:p>
            <w:pPr>
              <w:keepLines/>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non désossés: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0207 14 20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Demis ou quarts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0207 14 60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Cuisses et morceaux de cuisses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Abats: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0207 14 99</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autres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50</w:t>
            </w: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Lait et crème de lait, non concentrés ni additionnés de sucre ou d'autres édulcorants:</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0401 40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d'une teneur en poids de matières grasses excédant 6 % mais n'excédant pas 10 %:</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0401 40 10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en emballages immédiats d’un contenu net n’excédant pas 2 l</w:t>
            </w:r>
          </w:p>
        </w:tc>
        <w:tc>
          <w:tcPr>
            <w:tcW w:w="0" w:type="auto"/>
            <w:tcBorders>
              <w:top w:val="nil"/>
              <w:left w:val="single" w:sz="4" w:space="0" w:color="auto"/>
              <w:right w:val="nil"/>
            </w:tcBorders>
            <w:shd w:val="clear" w:color="auto" w:fill="FFFFFF"/>
          </w:tcPr>
          <w:p>
            <w:pPr>
              <w:spacing w:before="40" w:after="40"/>
              <w:jc w:val="right"/>
              <w:rPr>
                <w:noProof/>
                <w:sz w:val="20"/>
              </w:rPr>
            </w:pPr>
            <w:r>
              <w:rPr>
                <w:noProof/>
                <w:sz w:val="20"/>
              </w:rPr>
              <w:t>80</w:t>
            </w: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0401 50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d’une teneur en poids de matières grasses excédant 10 %:</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n’excédant pas 21 %:</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bottom w:val="single" w:sz="6" w:space="0" w:color="auto"/>
              <w:right w:val="single" w:sz="4" w:space="0" w:color="auto"/>
            </w:tcBorders>
            <w:shd w:val="clear" w:color="auto" w:fill="FFFFFF"/>
          </w:tcPr>
          <w:p>
            <w:pPr>
              <w:spacing w:before="40" w:after="40"/>
              <w:rPr>
                <w:noProof/>
                <w:sz w:val="20"/>
              </w:rPr>
            </w:pPr>
            <w:r>
              <w:rPr>
                <w:noProof/>
                <w:sz w:val="20"/>
              </w:rPr>
              <w:t>0401 50 11</w:t>
            </w:r>
          </w:p>
        </w:tc>
        <w:tc>
          <w:tcPr>
            <w:tcW w:w="0" w:type="auto"/>
            <w:tcBorders>
              <w:top w:val="nil"/>
              <w:left w:val="single" w:sz="4" w:space="0" w:color="auto"/>
              <w:bottom w:val="single" w:sz="6" w:space="0" w:color="auto"/>
              <w:right w:val="single" w:sz="4" w:space="0" w:color="auto"/>
            </w:tcBorders>
            <w:shd w:val="clear" w:color="auto" w:fill="FFFFFF"/>
          </w:tcPr>
          <w:p>
            <w:pPr>
              <w:spacing w:before="40" w:after="40"/>
              <w:jc w:val="left"/>
              <w:rPr>
                <w:noProof/>
                <w:sz w:val="20"/>
              </w:rPr>
            </w:pPr>
            <w:r>
              <w:rPr>
                <w:noProof/>
                <w:sz w:val="20"/>
              </w:rPr>
              <w:t>- - - en emballages immédiats d’un contenu net n’excédant pas 2 l</w:t>
            </w:r>
          </w:p>
        </w:tc>
        <w:tc>
          <w:tcPr>
            <w:tcW w:w="0" w:type="auto"/>
            <w:tcBorders>
              <w:top w:val="nil"/>
              <w:left w:val="single" w:sz="4" w:space="0" w:color="auto"/>
              <w:bottom w:val="single" w:sz="6" w:space="0" w:color="auto"/>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Lait et crème de lait, concentrés ou additionnés de sucre ou d'autres édulcorants: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ind w:left="91" w:hanging="91"/>
              <w:jc w:val="left"/>
              <w:rPr>
                <w:noProof/>
                <w:sz w:val="20"/>
              </w:rPr>
            </w:pPr>
            <w:r>
              <w:rPr>
                <w:noProof/>
                <w:sz w:val="20"/>
              </w:rPr>
              <w:t>- en poudre, en granulés ou sous d'autres formes solides, d'une teneur en poids de matières grasses excédant 1,5 %: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0402 21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sans addition de sucre ou d'autres édulcorants: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d'une teneur en poids de matières grasses n'excédant pas 27 %: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0402 21 18</w:t>
            </w:r>
          </w:p>
        </w:tc>
        <w:tc>
          <w:tcPr>
            <w:tcW w:w="0" w:type="auto"/>
            <w:tcBorders>
              <w:top w:val="nil"/>
              <w:left w:val="single" w:sz="4" w:space="0" w:color="auto"/>
              <w:bottom w:val="single" w:sz="12" w:space="0" w:color="auto"/>
              <w:right w:val="single" w:sz="4" w:space="0" w:color="auto"/>
            </w:tcBorders>
            <w:shd w:val="clear" w:color="auto" w:fill="FFFFFF"/>
            <w:hideMark/>
          </w:tcPr>
          <w:p>
            <w:pPr>
              <w:spacing w:before="40" w:after="40"/>
              <w:jc w:val="left"/>
              <w:rPr>
                <w:noProof/>
                <w:sz w:val="20"/>
              </w:rPr>
            </w:pPr>
            <w:r>
              <w:rPr>
                <w:noProof/>
                <w:sz w:val="20"/>
              </w:rPr>
              <w:t>- - - - autres</w:t>
            </w:r>
          </w:p>
        </w:tc>
        <w:tc>
          <w:tcPr>
            <w:tcW w:w="0" w:type="auto"/>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25</w:t>
            </w: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Babeurre, lait et crème caillés, yoghourt, képhir et autres laits et crèmes fermentés ou acidifiés, même concentrés ou additionnés de sucre ou d'autres édulcorants ou aromatisés ou additionnés de fruits ou de cacao:</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0403 90</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autres:</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non aromatisés ni additionnés de fruits ou de cacao:</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 autres:</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ind w:left="419" w:hanging="419"/>
              <w:jc w:val="left"/>
              <w:rPr>
                <w:noProof/>
                <w:sz w:val="20"/>
              </w:rPr>
            </w:pPr>
            <w:r>
              <w:rPr>
                <w:noProof/>
                <w:sz w:val="20"/>
              </w:rPr>
              <w:t>- - - - sans addition de sucre ou d'autres édulcorants, d'une teneur en poids de matières grasses:</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0403 90 51</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 - - n’excédant pas 3 %</w:t>
            </w:r>
          </w:p>
        </w:tc>
        <w:tc>
          <w:tcPr>
            <w:tcW w:w="0" w:type="auto"/>
            <w:tcBorders>
              <w:top w:val="nil"/>
              <w:left w:val="single" w:sz="4" w:space="0" w:color="auto"/>
              <w:right w:val="nil"/>
            </w:tcBorders>
            <w:shd w:val="clear" w:color="auto" w:fill="FFFFFF"/>
          </w:tcPr>
          <w:p>
            <w:pPr>
              <w:keepLines/>
              <w:spacing w:before="40" w:after="40"/>
              <w:jc w:val="right"/>
              <w:rPr>
                <w:noProof/>
                <w:sz w:val="20"/>
              </w:rPr>
            </w:pPr>
            <w:r>
              <w:rPr>
                <w:noProof/>
                <w:sz w:val="20"/>
              </w:rPr>
              <w:t>500</w:t>
            </w:r>
          </w:p>
        </w:tc>
      </w:tr>
      <w:tr>
        <w:trPr>
          <w:trHeight w:val="283"/>
          <w:tblCellSpacing w:w="0" w:type="dxa"/>
        </w:trPr>
        <w:tc>
          <w:tcPr>
            <w:tcW w:w="0" w:type="auto"/>
            <w:tcBorders>
              <w:left w:val="nil"/>
              <w:right w:val="single" w:sz="4" w:space="0" w:color="auto"/>
            </w:tcBorders>
            <w:shd w:val="clear" w:color="auto" w:fill="FFFFFF"/>
          </w:tcPr>
          <w:p>
            <w:pPr>
              <w:spacing w:before="40" w:after="40"/>
              <w:rPr>
                <w:noProof/>
                <w:sz w:val="20"/>
              </w:rPr>
            </w:pPr>
            <w:r>
              <w:rPr>
                <w:noProof/>
                <w:sz w:val="20"/>
              </w:rPr>
              <w:t>0403 90 53</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 - - excédant 3 % mais n’excédant pas 6 %</w:t>
            </w:r>
          </w:p>
        </w:tc>
        <w:tc>
          <w:tcPr>
            <w:tcW w:w="0" w:type="auto"/>
            <w:tcBorders>
              <w:top w:val="nil"/>
              <w:left w:val="single" w:sz="4" w:space="0" w:color="auto"/>
              <w:right w:val="nil"/>
            </w:tcBorders>
            <w:shd w:val="clear" w:color="auto" w:fill="FFFFFF"/>
          </w:tcPr>
          <w:p>
            <w:pPr>
              <w:spacing w:before="40" w:after="40"/>
              <w:jc w:val="right"/>
              <w:rPr>
                <w:noProof/>
                <w:sz w:val="20"/>
              </w:rPr>
            </w:pPr>
            <w:r>
              <w:rPr>
                <w:noProof/>
                <w:sz w:val="20"/>
              </w:rPr>
              <w:t>290</w:t>
            </w:r>
          </w:p>
        </w:tc>
      </w:tr>
      <w:tr>
        <w:trPr>
          <w:tblCellSpacing w:w="0" w:type="dxa"/>
        </w:trPr>
        <w:tc>
          <w:tcPr>
            <w:tcW w:w="0" w:type="auto"/>
            <w:tcBorders>
              <w:top w:val="single" w:sz="12" w:space="0" w:color="auto"/>
              <w:left w:val="nil"/>
              <w:bottom w:val="nil"/>
              <w:right w:val="single" w:sz="4" w:space="0" w:color="auto"/>
            </w:tcBorders>
            <w:shd w:val="clear" w:color="auto" w:fill="FFFFFF"/>
            <w:hideMark/>
          </w:tcPr>
          <w:p>
            <w:pPr>
              <w:spacing w:before="40" w:after="40"/>
              <w:rPr>
                <w:noProof/>
                <w:sz w:val="20"/>
              </w:rPr>
            </w:pPr>
            <w:r>
              <w:rPr>
                <w:noProof/>
                <w:sz w:val="20"/>
              </w:rPr>
              <w:t>0405</w:t>
            </w:r>
          </w:p>
        </w:tc>
        <w:tc>
          <w:tcPr>
            <w:tcW w:w="0" w:type="auto"/>
            <w:tcBorders>
              <w:top w:val="single" w:sz="12"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Beurre et autres matières grasses provenant du lait; pâtes à tartiner laitières:</w:t>
            </w:r>
          </w:p>
        </w:tc>
        <w:tc>
          <w:tcPr>
            <w:tcW w:w="0" w:type="auto"/>
            <w:tcBorders>
              <w:top w:val="single" w:sz="12"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0405 10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beurre: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d'une teneur en poids de matières grasses n'excédant pas 85 %: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Beurre naturel:</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0405 10 11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en emballages immédiats d’un contenu net n’excédant pas 1 kg</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160</w:t>
            </w: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0405 10 19</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autre</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200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Fromages et caillebotte:</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0406 10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Fromages frais (non affinés), y compris le fromage de lactosérum, et caillebotte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d'une teneur en poids de matières grasses n'excédant pas 40 %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single" w:sz="4" w:space="0" w:color="auto"/>
              <w:left w:val="nil"/>
              <w:bottom w:val="nil"/>
              <w:right w:val="single" w:sz="4" w:space="0" w:color="auto"/>
            </w:tcBorders>
            <w:shd w:val="clear" w:color="auto" w:fill="FFFFFF"/>
          </w:tcPr>
          <w:p>
            <w:pPr>
              <w:spacing w:before="40" w:after="40"/>
              <w:rPr>
                <w:noProof/>
                <w:sz w:val="20"/>
              </w:rPr>
            </w:pPr>
            <w:r>
              <w:rPr>
                <w:noProof/>
                <w:sz w:val="20"/>
              </w:rPr>
              <w:t>0406 10 30</w:t>
            </w:r>
          </w:p>
        </w:tc>
        <w:tc>
          <w:tcPr>
            <w:tcW w:w="0" w:type="auto"/>
            <w:tcBorders>
              <w:top w:val="single" w:sz="4" w:space="0" w:color="auto"/>
              <w:left w:val="single" w:sz="4" w:space="0" w:color="auto"/>
              <w:bottom w:val="nil"/>
              <w:right w:val="single" w:sz="4" w:space="0" w:color="auto"/>
            </w:tcBorders>
            <w:shd w:val="clear" w:color="auto" w:fill="FFFFFF"/>
          </w:tcPr>
          <w:p>
            <w:pPr>
              <w:spacing w:before="40" w:after="40"/>
              <w:jc w:val="left"/>
              <w:rPr>
                <w:noProof/>
                <w:sz w:val="20"/>
              </w:rPr>
            </w:pPr>
            <w:r>
              <w:rPr>
                <w:noProof/>
                <w:sz w:val="20"/>
              </w:rPr>
              <w:t>- - - Mozzarella, même dans un liquide</w:t>
            </w:r>
          </w:p>
        </w:tc>
        <w:tc>
          <w:tcPr>
            <w:tcW w:w="0" w:type="auto"/>
            <w:vMerge w:val="restart"/>
            <w:tcBorders>
              <w:top w:val="single" w:sz="4" w:space="0" w:color="auto"/>
              <w:left w:val="single" w:sz="4" w:space="0" w:color="auto"/>
              <w:bottom w:val="nil"/>
              <w:right w:val="nil"/>
            </w:tcBorders>
            <w:shd w:val="clear" w:color="auto" w:fill="FFFFFF"/>
            <w:vAlign w:val="center"/>
          </w:tcPr>
          <w:p>
            <w:pPr>
              <w:spacing w:before="40" w:after="40"/>
              <w:jc w:val="right"/>
              <w:rPr>
                <w:noProof/>
                <w:sz w:val="20"/>
              </w:rPr>
            </w:pPr>
            <w:r>
              <w:rPr>
                <w:noProof/>
                <w:sz w:val="20"/>
              </w:rPr>
              <w:t>355</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0406 10 50</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autres</w:t>
            </w:r>
          </w:p>
        </w:tc>
        <w:tc>
          <w:tcPr>
            <w:tcW w:w="0" w:type="auto"/>
            <w:vMerge/>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single" w:sz="4" w:space="0" w:color="auto"/>
              <w:left w:val="nil"/>
              <w:bottom w:val="single" w:sz="4" w:space="0" w:color="auto"/>
              <w:right w:val="single" w:sz="4" w:space="0" w:color="auto"/>
            </w:tcBorders>
            <w:shd w:val="clear" w:color="auto" w:fill="FFFFFF"/>
          </w:tcPr>
          <w:p>
            <w:pPr>
              <w:spacing w:before="40" w:after="40"/>
              <w:rPr>
                <w:noProof/>
                <w:sz w:val="20"/>
              </w:rPr>
            </w:pPr>
            <w:r>
              <w:rPr>
                <w:noProof/>
                <w:sz w:val="20"/>
              </w:rPr>
              <w:t>0406 10 80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autres:</w:t>
            </w:r>
          </w:p>
        </w:tc>
        <w:tc>
          <w:tcPr>
            <w:tcW w:w="0" w:type="auto"/>
            <w:tcBorders>
              <w:top w:val="single" w:sz="4" w:space="0" w:color="auto"/>
              <w:left w:val="single" w:sz="4" w:space="0" w:color="auto"/>
              <w:bottom w:val="single" w:sz="4" w:space="0" w:color="auto"/>
              <w:right w:val="nil"/>
            </w:tcBorders>
            <w:shd w:val="clear" w:color="auto" w:fill="FFFFFF"/>
          </w:tcPr>
          <w:p>
            <w:pPr>
              <w:spacing w:before="40" w:after="40"/>
              <w:jc w:val="right"/>
              <w:rPr>
                <w:noProof/>
                <w:sz w:val="20"/>
              </w:rPr>
            </w:pPr>
            <w:r>
              <w:rPr>
                <w:noProof/>
                <w:sz w:val="20"/>
              </w:rPr>
              <w:t>165</w:t>
            </w:r>
          </w:p>
        </w:tc>
      </w:tr>
      <w:tr>
        <w:trPr>
          <w:tblCellSpacing w:w="0" w:type="dxa"/>
        </w:trPr>
        <w:tc>
          <w:tcPr>
            <w:tcW w:w="0" w:type="auto"/>
            <w:tcBorders>
              <w:top w:val="single" w:sz="4" w:space="0" w:color="auto"/>
              <w:left w:val="nil"/>
              <w:bottom w:val="single" w:sz="4" w:space="0" w:color="auto"/>
              <w:right w:val="single" w:sz="4" w:space="0" w:color="auto"/>
            </w:tcBorders>
            <w:shd w:val="clear" w:color="auto" w:fill="FFFFFF"/>
            <w:hideMark/>
          </w:tcPr>
          <w:p>
            <w:pPr>
              <w:spacing w:before="40" w:after="40"/>
              <w:rPr>
                <w:noProof/>
                <w:sz w:val="20"/>
              </w:rPr>
            </w:pPr>
            <w:r>
              <w:rPr>
                <w:noProof/>
                <w:sz w:val="20"/>
              </w:rPr>
              <w:t>0409 00 00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Miel naturel</w:t>
            </w:r>
          </w:p>
        </w:tc>
        <w:tc>
          <w:tcPr>
            <w:tcW w:w="0" w:type="auto"/>
            <w:tcBorders>
              <w:top w:val="single" w:sz="4" w:space="0" w:color="auto"/>
              <w:left w:val="single" w:sz="4" w:space="0" w:color="auto"/>
              <w:bottom w:val="single" w:sz="4" w:space="0" w:color="auto"/>
              <w:right w:val="nil"/>
            </w:tcBorders>
            <w:shd w:val="clear" w:color="auto" w:fill="FFFFFF"/>
          </w:tcPr>
          <w:p>
            <w:pPr>
              <w:spacing w:before="40" w:after="40"/>
              <w:jc w:val="right"/>
              <w:rPr>
                <w:noProof/>
                <w:sz w:val="20"/>
              </w:rPr>
            </w:pPr>
            <w:r>
              <w:rPr>
                <w:noProof/>
                <w:sz w:val="20"/>
              </w:rPr>
              <w:t>165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Pommes de terre, à l'état frais ou réfrigéré:</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autres: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autres: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0701 90 50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de primeurs, du 1</w:t>
            </w:r>
            <w:r>
              <w:rPr>
                <w:noProof/>
                <w:sz w:val="20"/>
                <w:vertAlign w:val="superscript"/>
              </w:rPr>
              <w:t>er</w:t>
            </w:r>
            <w:r>
              <w:rPr>
                <w:noProof/>
                <w:sz w:val="20"/>
              </w:rPr>
              <w:t> janvier au 30 juin</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50</w:t>
            </w: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0701 90 90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autres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1 265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0704</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Choux, choux</w:t>
            </w:r>
            <w:r>
              <w:rPr>
                <w:noProof/>
              </w:rPr>
              <w:noBreakHyphen/>
            </w:r>
            <w:r>
              <w:rPr>
                <w:noProof/>
                <w:sz w:val="20"/>
              </w:rPr>
              <w:t>fleurs, choux frisés, choux-raves et produits comestibles similaires du genre Brassica, à l'état frais ou réfrigéré:</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0704 90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autres: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0704 90 10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Choux blancs et choux rouges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280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Carottes, navets, betteraves à salade, salsifis, céleris-raves, radis et racines comestibles similaires, à l'état frais ou réfrigéré:</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0706 10 00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Carottes et navets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Raisins, frais ou secs:</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0806 10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frais: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0806 10 10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de table</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45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0809</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Abricots, cerises, pêches (y compris les brugnons et nectarines), prunes et prunelles, frais:</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Cerises: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0809 21 00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Cerises acides (</w:t>
            </w:r>
            <w:r>
              <w:rPr>
                <w:i/>
                <w:noProof/>
                <w:sz w:val="20"/>
              </w:rPr>
              <w:t>Prunus cerasus</w:t>
            </w:r>
            <w:r>
              <w:rPr>
                <w:noProof/>
                <w:sz w:val="20"/>
              </w:rPr>
              <w:t>)</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410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0811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Fruits, non cuits ou cuits à l'eau ou à la vapeur, congelés, même additionnés de sucre ou d'autres édulcorants:</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0811 90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autres: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autres: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cerises: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0811 90 75</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Cerises acides (</w:t>
            </w:r>
            <w:r>
              <w:rPr>
                <w:i/>
                <w:noProof/>
                <w:sz w:val="20"/>
              </w:rPr>
              <w:t>Prunus cerasus</w:t>
            </w:r>
            <w:r>
              <w:rPr>
                <w:noProof/>
                <w:sz w:val="20"/>
              </w:rPr>
              <w:t>)</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70</w:t>
            </w:r>
          </w:p>
        </w:tc>
      </w:tr>
      <w:tr>
        <w:trPr>
          <w:trHeight w:val="227"/>
          <w:tblCellSpacing w:w="0" w:type="dxa"/>
        </w:trPr>
        <w:tc>
          <w:tcPr>
            <w:tcW w:w="0" w:type="auto"/>
            <w:tcBorders>
              <w:top w:val="single" w:sz="4" w:space="0" w:color="auto"/>
              <w:left w:val="nil"/>
              <w:bottom w:val="nil"/>
              <w:right w:val="single" w:sz="4" w:space="0" w:color="auto"/>
            </w:tcBorders>
            <w:shd w:val="clear" w:color="auto" w:fill="FFFFFF"/>
          </w:tcPr>
          <w:p>
            <w:pPr>
              <w:spacing w:before="40" w:after="40"/>
              <w:rPr>
                <w:noProof/>
                <w:sz w:val="20"/>
              </w:rPr>
            </w:pPr>
            <w:r>
              <w:rPr>
                <w:noProof/>
                <w:sz w:val="20"/>
              </w:rPr>
              <w:t>1601</w:t>
            </w:r>
          </w:p>
        </w:tc>
        <w:tc>
          <w:tcPr>
            <w:tcW w:w="0" w:type="auto"/>
            <w:tcBorders>
              <w:top w:val="single" w:sz="4" w:space="0" w:color="auto"/>
              <w:left w:val="single" w:sz="4" w:space="0" w:color="auto"/>
              <w:bottom w:val="nil"/>
              <w:right w:val="single" w:sz="4" w:space="0" w:color="auto"/>
            </w:tcBorders>
            <w:shd w:val="clear" w:color="auto" w:fill="FFFFFF"/>
          </w:tcPr>
          <w:p>
            <w:pPr>
              <w:spacing w:before="40" w:after="40"/>
              <w:jc w:val="left"/>
              <w:rPr>
                <w:noProof/>
                <w:sz w:val="20"/>
              </w:rPr>
            </w:pPr>
            <w:r>
              <w:rPr>
                <w:noProof/>
                <w:sz w:val="20"/>
              </w:rPr>
              <w:t>Saucisses, saucissons et produits similaires, de viande, d'abats ou de sang; préparations alimentaires à base de ces produits:</w:t>
            </w:r>
          </w:p>
        </w:tc>
        <w:tc>
          <w:tcPr>
            <w:tcW w:w="0" w:type="auto"/>
            <w:tcBorders>
              <w:top w:val="single" w:sz="4" w:space="0" w:color="auto"/>
              <w:left w:val="single" w:sz="4" w:space="0" w:color="auto"/>
              <w:bottom w:val="nil"/>
              <w:right w:val="nil"/>
            </w:tcBorders>
            <w:shd w:val="clear" w:color="auto" w:fill="FFFFFF"/>
          </w:tcPr>
          <w:p>
            <w:pPr>
              <w:spacing w:before="40" w:after="40"/>
              <w:jc w:val="right"/>
              <w:rPr>
                <w:noProof/>
                <w:sz w:val="20"/>
              </w:rPr>
            </w:pPr>
          </w:p>
        </w:tc>
      </w:tr>
      <w:tr>
        <w:trPr>
          <w:trHeight w:val="227"/>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autres: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rHeight w:val="227"/>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1601 00 91</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Saucisses et saucissons, secs ou à tartiner, non cuits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285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1602</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Autres préparations et conserves de viande, d’abats ou de sang:</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1602 10 00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Préparations homogénéisées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75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1602 20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de foies de tous animaux:</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1602 20 90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autres: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140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de volailles du n° 0105:</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de dinde: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contenant en poids 57 % ou plus de viande ou d’abats de volailles: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1602 31 19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autres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40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de coqs ou de poules: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de porcins: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contenant en poids 57 % ou plus de viande ou d’abats de volailles: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1602 32 11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non cuits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1602 32 19</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autres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1602 32 30</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contenant en poids 25 % ou plus mais moins de 57 % de viande ou d’abats de volailles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170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1602 32 90</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autres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jambons et leurs morceaux:</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1602 41 10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de l'espèce porcine domestique:</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360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autres, y compris les mélanges: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de l'espèce porcine domestique: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contenant en poids 80 % ou plus de viande ou d'abats, de toutes espèces, y compris le lard et les graisses de toute nature ou origine: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1602 49 15</w:t>
            </w:r>
          </w:p>
        </w:tc>
        <w:tc>
          <w:tcPr>
            <w:tcW w:w="0" w:type="auto"/>
            <w:tcBorders>
              <w:top w:val="nil"/>
              <w:left w:val="single" w:sz="4" w:space="0" w:color="auto"/>
              <w:bottom w:val="nil"/>
              <w:right w:val="single" w:sz="4" w:space="0" w:color="auto"/>
            </w:tcBorders>
            <w:shd w:val="clear" w:color="auto" w:fill="FFFFFF"/>
            <w:hideMark/>
          </w:tcPr>
          <w:p>
            <w:pPr>
              <w:spacing w:before="40" w:after="40"/>
              <w:ind w:left="561" w:hanging="561"/>
              <w:jc w:val="left"/>
              <w:rPr>
                <w:noProof/>
                <w:sz w:val="20"/>
              </w:rPr>
            </w:pPr>
            <w:r>
              <w:rPr>
                <w:noProof/>
                <w:sz w:val="20"/>
              </w:rPr>
              <w:t>- - - - - autres mélanges contenant jambons, épaules, longes ou échines et leurs morceaux</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150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1602 49 30</w:t>
            </w: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contenant en poids 40 % ou plus mais moins de 80 % de viande ou d'abats, de toutes espèces, y compris le lard et les graisses de toute nature ou origine</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445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1602 49 50</w:t>
            </w: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contenant en poids moins de 40 % de viande ou d'abats, de toutes espèces, y compris le lard et les graisses de toute nature ou origine</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60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de l'espèce bovine: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autres: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1602 50 31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Corned beef, en récipients hermétiquement clos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70</w:t>
            </w: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1602 50 95</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autres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295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1701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Sucres de canne ou de betterave et saccharose chimiquement pur, à l'état solide:</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autres: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1701 91 00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additionnés d'aromatisants ou de colorants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1701 99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autres: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1701 99 10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Sucres blancs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3 470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2001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Légumes, fruits et autres parties comestibles de plantes, préparés ou conservés au vinaigre ou à l’acide acétique:</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2001 10 00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Concombres et cornichons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265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autres: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2001 90 70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Piments doux ou poivrons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70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2005</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Autres légumes préparés ou conservés autrement qu'au vinaigre ou à l'acide acétique, non congelés, autres que les produits du n° 2006:</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autres légumes et mélanges de légumes: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2005 99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autres: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2005 99 50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Mélanges de légumes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245</w:t>
            </w:r>
          </w:p>
        </w:tc>
      </w:tr>
      <w:tr>
        <w:trPr>
          <w:tblCellSpacing w:w="0" w:type="dxa"/>
        </w:trPr>
        <w:tc>
          <w:tcPr>
            <w:tcW w:w="0" w:type="auto"/>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2005 99 60</w:t>
            </w:r>
          </w:p>
        </w:tc>
        <w:tc>
          <w:tcPr>
            <w:tcW w:w="0" w:type="auto"/>
            <w:tcBorders>
              <w:top w:val="nil"/>
              <w:left w:val="single" w:sz="4" w:space="0" w:color="auto"/>
              <w:bottom w:val="single" w:sz="12" w:space="0" w:color="auto"/>
              <w:right w:val="single" w:sz="4" w:space="0" w:color="auto"/>
            </w:tcBorders>
            <w:shd w:val="clear" w:color="auto" w:fill="FFFFFF"/>
            <w:hideMark/>
          </w:tcPr>
          <w:p>
            <w:pPr>
              <w:spacing w:before="40" w:after="40"/>
              <w:jc w:val="left"/>
              <w:rPr>
                <w:noProof/>
                <w:sz w:val="20"/>
              </w:rPr>
            </w:pPr>
            <w:r>
              <w:rPr>
                <w:noProof/>
                <w:sz w:val="20"/>
              </w:rPr>
              <w:t>- - - Choucroute</w:t>
            </w:r>
          </w:p>
        </w:tc>
        <w:tc>
          <w:tcPr>
            <w:tcW w:w="0" w:type="auto"/>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40</w:t>
            </w:r>
          </w:p>
        </w:tc>
      </w:tr>
    </w:tbl>
    <w:p>
      <w:pPr>
        <w:rPr>
          <w:noProof/>
          <w:sz w:val="20"/>
        </w:rPr>
      </w:pPr>
    </w:p>
    <w:p>
      <w:pPr>
        <w:rPr>
          <w:noProof/>
        </w:rPr>
      </w:pPr>
      <w:r>
        <w:rPr>
          <w:noProof/>
        </w:rPr>
        <w:br w:type="page"/>
      </w:r>
    </w:p>
    <w:p>
      <w:pPr>
        <w:rPr>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139"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4801"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Les importations en Bosnie</w:t>
            </w:r>
            <w:r>
              <w:rPr>
                <w:noProof/>
              </w:rPr>
              <w:noBreakHyphen/>
            </w:r>
            <w:r>
              <w:rPr>
                <w:noProof/>
                <w:sz w:val="20"/>
              </w:rPr>
              <w:t>Herzégovine des produits suivants bénéficient des concessions ci-après. Pour les importations hors contingent, le taux de droit NPF s’applique. Pour l’année 2017, le montant intégral du contingent s’applique, indépendamment de la date d’entrée en vigueur ou d’application provisoire du protocole.</w:t>
            </w:r>
          </w:p>
        </w:tc>
      </w:tr>
    </w:tbl>
    <w:p>
      <w:pPr>
        <w:rPr>
          <w:noProof/>
          <w:sz w:val="20"/>
        </w:rPr>
      </w:pPr>
    </w:p>
    <w:tbl>
      <w:tblPr>
        <w:tblW w:w="0" w:type="auto"/>
        <w:tblCellSpacing w:w="0" w:type="dxa"/>
        <w:tblInd w:w="9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8"/>
        <w:gridCol w:w="5107"/>
        <w:gridCol w:w="960"/>
        <w:gridCol w:w="960"/>
        <w:gridCol w:w="1014"/>
      </w:tblGrid>
      <w:tr>
        <w:trPr>
          <w:cantSplit/>
          <w:tblHeader/>
          <w:tblCellSpacing w:w="0" w:type="dxa"/>
        </w:trPr>
        <w:tc>
          <w:tcPr>
            <w:tcW w:w="998" w:type="dxa"/>
            <w:vMerge w:val="restart"/>
            <w:tcBorders>
              <w:top w:val="outset" w:sz="6" w:space="0" w:color="000000"/>
              <w:left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Code NC</w:t>
            </w:r>
          </w:p>
        </w:tc>
        <w:tc>
          <w:tcPr>
            <w:tcW w:w="5107" w:type="dxa"/>
            <w:vMerge w:val="restart"/>
            <w:tcBorders>
              <w:top w:val="outset" w:sz="6" w:space="0" w:color="000000"/>
              <w:left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Désignation des marchandises</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Contingent tarifaire (tonnes)</w:t>
            </w:r>
          </w:p>
        </w:tc>
      </w:tr>
      <w:tr>
        <w:trPr>
          <w:cantSplit/>
          <w:tblHeader/>
          <w:tblCellSpacing w:w="0" w:type="dxa"/>
        </w:trPr>
        <w:tc>
          <w:tcPr>
            <w:tcW w:w="998" w:type="dxa"/>
            <w:vMerge/>
            <w:tcBorders>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p>
        </w:tc>
        <w:tc>
          <w:tcPr>
            <w:tcW w:w="5107" w:type="dxa"/>
            <w:vMerge/>
            <w:tcBorders>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p>
        </w:tc>
        <w:tc>
          <w:tcPr>
            <w:tcW w:w="960"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À partir du 1.1.2017</w:t>
            </w:r>
          </w:p>
        </w:tc>
        <w:tc>
          <w:tcPr>
            <w:tcW w:w="960"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À partir du 1.1.2018</w:t>
            </w:r>
          </w:p>
        </w:tc>
        <w:tc>
          <w:tcPr>
            <w:tcW w:w="1014"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noProof/>
                <w:sz w:val="20"/>
              </w:rPr>
              <w:t>À partir du 1.1.2019</w:t>
            </w:r>
          </w:p>
        </w:tc>
      </w:tr>
      <w:tr>
        <w:trPr>
          <w:cantSplit/>
          <w:tblCellSpacing w:w="0" w:type="dxa"/>
        </w:trPr>
        <w:tc>
          <w:tcPr>
            <w:tcW w:w="998"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0401</w:t>
            </w:r>
          </w:p>
        </w:tc>
        <w:tc>
          <w:tcPr>
            <w:tcW w:w="510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Lait et crème de lait, non concentrés ni additionnés de sucre ou d'autres édulcorants:</w:t>
            </w: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0401 20</w:t>
            </w:r>
          </w:p>
        </w:tc>
        <w:tc>
          <w:tcPr>
            <w:tcW w:w="5107" w:type="dxa"/>
            <w:tcBorders>
              <w:top w:val="nil"/>
              <w:left w:val="single" w:sz="4" w:space="0" w:color="auto"/>
              <w:bottom w:val="nil"/>
              <w:right w:val="single" w:sz="4" w:space="0" w:color="auto"/>
            </w:tcBorders>
            <w:shd w:val="clear" w:color="auto" w:fill="FFFFFF"/>
            <w:hideMark/>
          </w:tcPr>
          <w:p>
            <w:pPr>
              <w:spacing w:before="40" w:after="40"/>
              <w:ind w:left="190" w:hanging="190"/>
              <w:jc w:val="left"/>
              <w:rPr>
                <w:noProof/>
                <w:sz w:val="20"/>
              </w:rPr>
            </w:pPr>
            <w:r>
              <w:rPr>
                <w:noProof/>
                <w:sz w:val="20"/>
              </w:rPr>
              <w:t>- d'une teneur en poids de matières grasses excédant 1 % mais n'excédant pas 6 %:</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n’excédant pas 3 %:</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0401 20 11</w:t>
            </w:r>
          </w:p>
        </w:tc>
        <w:tc>
          <w:tcPr>
            <w:tcW w:w="5107" w:type="dxa"/>
            <w:tcBorders>
              <w:top w:val="nil"/>
              <w:left w:val="single" w:sz="4" w:space="0" w:color="auto"/>
              <w:bottom w:val="nil"/>
              <w:right w:val="single" w:sz="4" w:space="0" w:color="auto"/>
            </w:tcBorders>
            <w:shd w:val="clear" w:color="auto" w:fill="FFFFFF"/>
            <w:hideMark/>
          </w:tcPr>
          <w:p>
            <w:pPr>
              <w:spacing w:before="40" w:after="40"/>
              <w:ind w:left="332" w:hanging="332"/>
              <w:jc w:val="left"/>
              <w:rPr>
                <w:noProof/>
                <w:sz w:val="20"/>
              </w:rPr>
            </w:pPr>
            <w:r>
              <w:rPr>
                <w:noProof/>
                <w:sz w:val="20"/>
              </w:rPr>
              <w:t>- - - en emballages immédiats d’un contenu net n’excédant pas 2 l</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5 432</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9 506</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13 580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excédant 3 %:</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0401 20 91</w:t>
            </w:r>
          </w:p>
        </w:tc>
        <w:tc>
          <w:tcPr>
            <w:tcW w:w="5107" w:type="dxa"/>
            <w:tcBorders>
              <w:top w:val="nil"/>
              <w:left w:val="single" w:sz="4" w:space="0" w:color="auto"/>
              <w:bottom w:val="single" w:sz="12" w:space="0" w:color="auto"/>
              <w:right w:val="single" w:sz="4" w:space="0" w:color="auto"/>
            </w:tcBorders>
            <w:shd w:val="clear" w:color="auto" w:fill="FFFFFF"/>
            <w:hideMark/>
          </w:tcPr>
          <w:p>
            <w:pPr>
              <w:spacing w:before="40" w:after="40"/>
              <w:ind w:left="332" w:hanging="332"/>
              <w:jc w:val="left"/>
              <w:rPr>
                <w:noProof/>
                <w:sz w:val="20"/>
              </w:rPr>
            </w:pPr>
            <w:r>
              <w:rPr>
                <w:noProof/>
                <w:sz w:val="20"/>
              </w:rPr>
              <w:t>- - - en emballages immédiats d’un contenu net n’excédant pas 2 l</w:t>
            </w:r>
          </w:p>
        </w:tc>
        <w:tc>
          <w:tcPr>
            <w:tcW w:w="960" w:type="dxa"/>
            <w:tcBorders>
              <w:top w:val="nil"/>
              <w:left w:val="single" w:sz="4" w:space="0" w:color="auto"/>
              <w:bottom w:val="single" w:sz="12" w:space="0" w:color="auto"/>
              <w:right w:val="single" w:sz="4" w:space="0" w:color="auto"/>
            </w:tcBorders>
            <w:shd w:val="clear" w:color="auto" w:fill="FFFFFF"/>
          </w:tcPr>
          <w:p>
            <w:pPr>
              <w:spacing w:before="40" w:after="40"/>
              <w:jc w:val="right"/>
              <w:rPr>
                <w:noProof/>
                <w:sz w:val="20"/>
              </w:rPr>
            </w:pPr>
            <w:r>
              <w:rPr>
                <w:noProof/>
                <w:sz w:val="20"/>
              </w:rPr>
              <w:t>720</w:t>
            </w:r>
          </w:p>
        </w:tc>
        <w:tc>
          <w:tcPr>
            <w:tcW w:w="960" w:type="dxa"/>
            <w:tcBorders>
              <w:top w:val="nil"/>
              <w:left w:val="single" w:sz="4" w:space="0" w:color="auto"/>
              <w:bottom w:val="single" w:sz="12" w:space="0" w:color="auto"/>
              <w:right w:val="single" w:sz="4" w:space="0" w:color="auto"/>
            </w:tcBorders>
            <w:shd w:val="clear" w:color="auto" w:fill="FFFFFF"/>
          </w:tcPr>
          <w:p>
            <w:pPr>
              <w:spacing w:before="40" w:after="40"/>
              <w:jc w:val="right"/>
              <w:rPr>
                <w:noProof/>
                <w:sz w:val="20"/>
              </w:rPr>
            </w:pPr>
            <w:r>
              <w:rPr>
                <w:noProof/>
                <w:sz w:val="20"/>
              </w:rPr>
              <w:t>1 440</w:t>
            </w:r>
          </w:p>
        </w:tc>
        <w:tc>
          <w:tcPr>
            <w:tcW w:w="1014" w:type="dxa"/>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1 440</w:t>
            </w:r>
          </w:p>
        </w:tc>
      </w:tr>
      <w:tr>
        <w:trPr>
          <w:cantSplit/>
          <w:tblCellSpacing w:w="0" w:type="dxa"/>
        </w:trPr>
        <w:tc>
          <w:tcPr>
            <w:tcW w:w="998" w:type="dxa"/>
            <w:tcBorders>
              <w:top w:val="single" w:sz="12" w:space="0" w:color="auto"/>
              <w:left w:val="nil"/>
              <w:bottom w:val="nil"/>
              <w:right w:val="single" w:sz="4" w:space="0" w:color="auto"/>
            </w:tcBorders>
            <w:shd w:val="clear" w:color="auto" w:fill="FFFFFF"/>
            <w:hideMark/>
          </w:tcPr>
          <w:p>
            <w:pPr>
              <w:spacing w:before="40" w:after="40"/>
              <w:rPr>
                <w:noProof/>
                <w:sz w:val="20"/>
              </w:rPr>
            </w:pPr>
            <w:r>
              <w:rPr>
                <w:noProof/>
                <w:sz w:val="20"/>
              </w:rPr>
              <w:t>0403</w:t>
            </w:r>
          </w:p>
        </w:tc>
        <w:tc>
          <w:tcPr>
            <w:tcW w:w="5107" w:type="dxa"/>
            <w:tcBorders>
              <w:top w:val="single" w:sz="12"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Babeurre, lait et crème caillés, yoghourt, képhir et autres laits et crèmes fermentés ou acidifiés, même concentrés ou additionnés de sucre ou d'autres édulcorants ou aromatisés ou additionnés de fruits ou de cacao:</w:t>
            </w:r>
          </w:p>
        </w:tc>
        <w:tc>
          <w:tcPr>
            <w:tcW w:w="960" w:type="dxa"/>
            <w:tcBorders>
              <w:top w:val="single" w:sz="12"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12"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12"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Yoghourts:</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non aromatisés ni additionnés de fruits ou de cacao:</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ind w:left="332" w:hanging="332"/>
              <w:jc w:val="left"/>
              <w:rPr>
                <w:noProof/>
                <w:sz w:val="20"/>
              </w:rPr>
            </w:pPr>
            <w:r>
              <w:rPr>
                <w:noProof/>
                <w:sz w:val="20"/>
              </w:rPr>
              <w:t>- - - sans addition de sucre ou d'autres édulcorants, d'une teneur en poids de matières grasses:</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0403 10 11</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n’excédant pas 3 %</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1 515</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3 030</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3 030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0403 10 13</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excédant 3 % mais n’excédant pas 6 %</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1 520</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3 040</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3 040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autres:</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non aromatisés ni additionnés de fruits ou de cacao:</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autres:</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ind w:left="474" w:hanging="474"/>
              <w:jc w:val="left"/>
              <w:rPr>
                <w:noProof/>
                <w:sz w:val="20"/>
              </w:rPr>
            </w:pPr>
            <w:r>
              <w:rPr>
                <w:noProof/>
                <w:sz w:val="20"/>
              </w:rPr>
              <w:t>- - - - sans addition de sucre ou d'autres édulcorants, d'une teneur en poids de matières grasses:</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0403 90 59</w:t>
            </w:r>
          </w:p>
        </w:tc>
        <w:tc>
          <w:tcPr>
            <w:tcW w:w="510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 excédant 6 %</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1 762,5</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3 525</w:t>
            </w:r>
          </w:p>
        </w:tc>
        <w:tc>
          <w:tcPr>
            <w:tcW w:w="1014"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3 525</w:t>
            </w:r>
          </w:p>
        </w:tc>
      </w:tr>
      <w:tr>
        <w:trPr>
          <w:cantSplit/>
          <w:tblCellSpacing w:w="0" w:type="dxa"/>
        </w:trPr>
        <w:tc>
          <w:tcPr>
            <w:tcW w:w="998"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1601</w:t>
            </w:r>
          </w:p>
        </w:tc>
        <w:tc>
          <w:tcPr>
            <w:tcW w:w="510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Saucisses, saucissons et produits similaires, de viande, d'abats ou de sang; préparations alimentaires à base de ces produits:</w:t>
            </w: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autres:</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1601 00 99</w:t>
            </w:r>
          </w:p>
        </w:tc>
        <w:tc>
          <w:tcPr>
            <w:tcW w:w="510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autres:</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1 692,5</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3 385</w:t>
            </w:r>
          </w:p>
        </w:tc>
        <w:tc>
          <w:tcPr>
            <w:tcW w:w="1014"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3 385</w:t>
            </w:r>
          </w:p>
        </w:tc>
      </w:tr>
    </w:tbl>
    <w:p>
      <w:pPr>
        <w:rPr>
          <w:noProof/>
          <w:sz w:val="20"/>
        </w:rPr>
      </w:pPr>
    </w:p>
    <w:p>
      <w:pPr>
        <w:spacing w:before="0" w:after="200" w:line="276" w:lineRule="auto"/>
        <w:jc w:val="left"/>
        <w:rPr>
          <w:rStyle w:val="Corpsdutexte9"/>
          <w:rFonts w:eastAsiaTheme="minorHAnsi"/>
          <w:b/>
          <w:noProof/>
          <w:sz w:val="20"/>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t>ANNEXE II</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9"/>
          <w:rFonts w:eastAsiaTheme="minorHAnsi"/>
          <w:b/>
          <w:noProof/>
          <w:sz w:val="20"/>
        </w:rPr>
      </w:pPr>
      <w:r>
        <w:rPr>
          <w:rStyle w:val="Corpsdutexte9"/>
          <w:rFonts w:eastAsiaTheme="minorHAnsi"/>
          <w:i/>
          <w:noProof/>
          <w:sz w:val="20"/>
        </w:rPr>
        <w:t>«ANNEXE IV</w:t>
      </w:r>
      <w:r>
        <w:rPr>
          <w:rStyle w:val="Corpsdutexte9"/>
          <w:rFonts w:eastAsiaTheme="minorHAnsi"/>
          <w:b/>
          <w:i/>
          <w:noProof/>
          <w:sz w:val="20"/>
        </w:rPr>
        <w:t>bis</w:t>
      </w:r>
      <w:r>
        <w:rPr>
          <w:rStyle w:val="Corpsdutexte9"/>
          <w:rFonts w:eastAsiaTheme="minorHAnsi"/>
          <w:i/>
          <w:noProof/>
          <w:sz w:val="20"/>
        </w:rPr>
        <w:br/>
      </w:r>
      <w:r>
        <w:rPr>
          <w:rStyle w:val="Corpsdutexte9"/>
          <w:rFonts w:eastAsiaTheme="minorHAnsi"/>
          <w:b/>
          <w:noProof/>
          <w:sz w:val="20"/>
        </w:rPr>
        <w:br/>
      </w:r>
      <w:r>
        <w:rPr>
          <w:rStyle w:val="Corpsdutexte9"/>
          <w:rFonts w:eastAsiaTheme="minorHAnsi"/>
          <w:i/>
          <w:noProof/>
          <w:sz w:val="20"/>
        </w:rPr>
        <w:br/>
      </w:r>
      <w:r>
        <w:rPr>
          <w:rStyle w:val="Corpsdutexte9"/>
          <w:rFonts w:eastAsiaTheme="minorHAnsi"/>
          <w:b/>
          <w:noProof/>
          <w:sz w:val="20"/>
        </w:rPr>
        <w:t>DROITS APPLICABLES AUX IMPORTATIONS DANS L’UNION EUROPÉENNE DE PRODUITS ORIGINAIRES DE BOSNIE</w:t>
      </w:r>
      <w:r>
        <w:rPr>
          <w:noProof/>
        </w:rPr>
        <w:noBreakHyphen/>
      </w:r>
      <w:r>
        <w:rPr>
          <w:rStyle w:val="Corpsdutexte9"/>
          <w:rFonts w:eastAsiaTheme="minorHAnsi"/>
          <w:b/>
          <w:noProof/>
          <w:sz w:val="20"/>
        </w:rPr>
        <w:t>HERZÉGOVINE</w:t>
      </w:r>
    </w:p>
    <w:p>
      <w:pPr>
        <w:spacing w:after="0"/>
        <w:ind w:left="180"/>
        <w:jc w:val="center"/>
        <w:rPr>
          <w:rStyle w:val="Corpsdutexte9"/>
          <w:rFonts w:eastAsiaTheme="minorHAnsi"/>
          <w:b/>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(visés à l’article 28, paragraphe 1a, de l’ASA)</w:t>
      </w:r>
    </w:p>
    <w:p>
      <w:pPr>
        <w:spacing w:after="0"/>
        <w:ind w:left="180"/>
        <w:jc w:val="center"/>
        <w:rPr>
          <w:rStyle w:val="Corpsdutexte4"/>
          <w:rFonts w:eastAsiaTheme="minorHAnsi"/>
          <w:b/>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b/>
                <w:noProof/>
                <w:sz w:val="20"/>
              </w:rPr>
            </w:pPr>
            <w:r>
              <w:rPr>
                <w:noProof/>
                <w:sz w:val="20"/>
              </w:rPr>
              <w:t>Dès la date d’entrée en vigueur ou d’application provisoire du protocole visant à tenir compte de l’adhésion de la Croatie à l’Union européenne, les importations dans l'Union européenne en provenance de Bosnie</w:t>
            </w:r>
            <w:r>
              <w:rPr>
                <w:noProof/>
              </w:rPr>
              <w:noBreakHyphen/>
            </w:r>
            <w:r>
              <w:rPr>
                <w:noProof/>
                <w:sz w:val="20"/>
              </w:rPr>
              <w:t>Herzégovine bénéficient des concessions ci-après. Pour l’année 2017, le montant intégral du contingent s’applique, indépendamment de la date d’entrée en vigueur ou d’application provisoire du protocole.</w:t>
            </w:r>
          </w:p>
        </w:tc>
      </w:tr>
    </w:tbl>
    <w:p>
      <w:pPr>
        <w:spacing w:after="0"/>
        <w:rPr>
          <w:noProof/>
          <w:sz w:val="20"/>
        </w:rPr>
      </w:pPr>
    </w:p>
    <w:tbl>
      <w:tblPr>
        <w:tblW w:w="500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49"/>
        <w:gridCol w:w="3081"/>
        <w:gridCol w:w="1609"/>
        <w:gridCol w:w="1609"/>
        <w:gridCol w:w="1606"/>
      </w:tblGrid>
      <w:tr>
        <w:tc>
          <w:tcPr>
            <w:tcW w:w="682" w:type="pct"/>
            <w:tcBorders>
              <w:top w:val="single" w:sz="6" w:space="0" w:color="000000"/>
              <w:left w:val="nil"/>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rPr>
            </w:pPr>
            <w:r>
              <w:rPr>
                <w:b/>
                <w:noProof/>
                <w:sz w:val="20"/>
              </w:rPr>
              <w:t>Codes NC</w:t>
            </w:r>
          </w:p>
        </w:tc>
        <w:tc>
          <w:tcPr>
            <w:tcW w:w="1683"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rPr>
            </w:pPr>
            <w:r>
              <w:rPr>
                <w:b/>
                <w:noProof/>
                <w:sz w:val="20"/>
              </w:rPr>
              <w:t>Désignation des marchandises</w:t>
            </w:r>
          </w:p>
        </w:tc>
        <w:tc>
          <w:tcPr>
            <w:tcW w:w="879"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rPr>
            </w:pPr>
            <w:r>
              <w:rPr>
                <w:b/>
                <w:noProof/>
                <w:sz w:val="20"/>
              </w:rPr>
              <w:t>Volume du contingent tarifaire (en tonnes)</w:t>
            </w:r>
          </w:p>
        </w:tc>
        <w:tc>
          <w:tcPr>
            <w:tcW w:w="879" w:type="pct"/>
            <w:tcBorders>
              <w:top w:val="single" w:sz="6" w:space="0" w:color="000000"/>
              <w:left w:val="single" w:sz="6" w:space="0" w:color="000000"/>
              <w:bottom w:val="single" w:sz="6" w:space="0" w:color="000000"/>
              <w:right w:val="single" w:sz="6" w:space="0" w:color="000000"/>
            </w:tcBorders>
            <w:shd w:val="pct25" w:color="auto" w:fill="FFFFFF"/>
            <w:vAlign w:val="center"/>
          </w:tcPr>
          <w:p>
            <w:pPr>
              <w:spacing w:after="0"/>
              <w:jc w:val="center"/>
              <w:rPr>
                <w:b/>
                <w:bCs/>
                <w:noProof/>
                <w:sz w:val="20"/>
              </w:rPr>
            </w:pPr>
            <w:r>
              <w:rPr>
                <w:b/>
                <w:noProof/>
                <w:sz w:val="20"/>
              </w:rPr>
              <w:t xml:space="preserve">Taux des droits </w:t>
            </w:r>
            <w:r>
              <w:rPr>
                <w:b/>
                <w:bCs/>
                <w:noProof/>
                <w:sz w:val="20"/>
              </w:rPr>
              <w:br/>
            </w:r>
            <w:r>
              <w:rPr>
                <w:b/>
                <w:noProof/>
                <w:sz w:val="20"/>
              </w:rPr>
              <w:t>dans les limites du contingent</w:t>
            </w:r>
          </w:p>
        </w:tc>
        <w:tc>
          <w:tcPr>
            <w:tcW w:w="877" w:type="pct"/>
            <w:tcBorders>
              <w:top w:val="single" w:sz="6" w:space="0" w:color="000000"/>
              <w:left w:val="single" w:sz="6" w:space="0" w:color="000000"/>
              <w:bottom w:val="single" w:sz="6" w:space="0" w:color="000000"/>
              <w:right w:val="nil"/>
            </w:tcBorders>
            <w:shd w:val="pct25" w:color="auto" w:fill="FFFFFF"/>
            <w:vAlign w:val="center"/>
          </w:tcPr>
          <w:p>
            <w:pPr>
              <w:spacing w:after="0"/>
              <w:jc w:val="center"/>
              <w:rPr>
                <w:b/>
                <w:bCs/>
                <w:noProof/>
                <w:sz w:val="20"/>
              </w:rPr>
            </w:pPr>
            <w:r>
              <w:rPr>
                <w:b/>
                <w:noProof/>
                <w:sz w:val="20"/>
              </w:rPr>
              <w:t xml:space="preserve">Taux des droits </w:t>
            </w:r>
            <w:r>
              <w:rPr>
                <w:b/>
                <w:bCs/>
                <w:noProof/>
                <w:sz w:val="20"/>
              </w:rPr>
              <w:br/>
            </w:r>
            <w:r>
              <w:rPr>
                <w:b/>
                <w:noProof/>
                <w:sz w:val="20"/>
              </w:rPr>
              <w:t>en excédent du contingent</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0301 91 00</w:t>
            </w:r>
          </w:p>
          <w:p>
            <w:pPr>
              <w:spacing w:after="0"/>
              <w:jc w:val="right"/>
              <w:rPr>
                <w:noProof/>
                <w:sz w:val="20"/>
              </w:rPr>
            </w:pPr>
            <w:r>
              <w:rPr>
                <w:noProof/>
                <w:sz w:val="20"/>
              </w:rPr>
              <w:t>0302 11 00</w:t>
            </w:r>
          </w:p>
          <w:p>
            <w:pPr>
              <w:spacing w:after="0"/>
              <w:jc w:val="right"/>
              <w:rPr>
                <w:noProof/>
                <w:sz w:val="20"/>
              </w:rPr>
            </w:pPr>
            <w:r>
              <w:rPr>
                <w:noProof/>
                <w:sz w:val="20"/>
              </w:rPr>
              <w:t>0303 14 00</w:t>
            </w:r>
          </w:p>
          <w:p>
            <w:pPr>
              <w:spacing w:after="0"/>
              <w:jc w:val="right"/>
              <w:rPr>
                <w:noProof/>
                <w:sz w:val="20"/>
              </w:rPr>
            </w:pPr>
            <w:r>
              <w:rPr>
                <w:noProof/>
                <w:sz w:val="20"/>
              </w:rPr>
              <w:t>0304 42 00</w:t>
            </w:r>
          </w:p>
          <w:p>
            <w:pPr>
              <w:spacing w:after="0"/>
              <w:jc w:val="right"/>
              <w:rPr>
                <w:noProof/>
                <w:sz w:val="20"/>
              </w:rPr>
            </w:pPr>
            <w:r>
              <w:rPr>
                <w:noProof/>
                <w:sz w:val="20"/>
              </w:rPr>
              <w:t>ex 0304 52 00</w:t>
            </w:r>
          </w:p>
          <w:p>
            <w:pPr>
              <w:spacing w:after="0"/>
              <w:jc w:val="right"/>
              <w:rPr>
                <w:noProof/>
                <w:sz w:val="20"/>
              </w:rPr>
            </w:pPr>
            <w:r>
              <w:rPr>
                <w:noProof/>
                <w:sz w:val="20"/>
              </w:rPr>
              <w:t>0304 82 00</w:t>
            </w:r>
          </w:p>
          <w:p>
            <w:pPr>
              <w:spacing w:after="0"/>
              <w:jc w:val="right"/>
              <w:rPr>
                <w:noProof/>
                <w:sz w:val="20"/>
              </w:rPr>
            </w:pPr>
            <w:r>
              <w:rPr>
                <w:noProof/>
                <w:sz w:val="20"/>
              </w:rPr>
              <w:t>ex 0304 99 21</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0305 43 00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Truites (</w:t>
            </w:r>
            <w:r>
              <w:rPr>
                <w:i/>
                <w:noProof/>
                <w:sz w:val="20"/>
              </w:rPr>
              <w:t>Salmo trutta</w:t>
            </w:r>
            <w:r>
              <w:rPr>
                <w:noProof/>
                <w:sz w:val="20"/>
              </w:rPr>
              <w:t xml:space="preserve">, </w:t>
            </w:r>
            <w:r>
              <w:rPr>
                <w:i/>
                <w:noProof/>
                <w:sz w:val="20"/>
              </w:rPr>
              <w:t>Oncorhynchus mykiss, 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et </w:t>
            </w:r>
            <w:r>
              <w:rPr>
                <w:i/>
                <w:noProof/>
                <w:sz w:val="20"/>
              </w:rPr>
              <w:t>Oncorhynchus chrysogaster</w:t>
            </w:r>
            <w:r>
              <w:rPr>
                <w:noProof/>
                <w:sz w:val="20"/>
              </w:rPr>
              <w:t>): vivantes; fraîches ou réfrigérées; congelées; séchées, salées ou en saumure, fumées; filets et autre chair de poissons; farines, poudres et agglomérés sous forme de pellets, propres à l’alimentation humaine</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500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70 %</w:t>
            </w:r>
            <w:r>
              <w:rPr>
                <w:noProof/>
                <w:sz w:val="20"/>
              </w:rPr>
              <w:br/>
              <w:t>du droit NPF</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0301 93 00</w:t>
            </w:r>
          </w:p>
          <w:p>
            <w:pPr>
              <w:spacing w:after="0"/>
              <w:jc w:val="right"/>
              <w:rPr>
                <w:noProof/>
                <w:sz w:val="20"/>
              </w:rPr>
            </w:pPr>
            <w:r>
              <w:rPr>
                <w:noProof/>
                <w:sz w:val="20"/>
              </w:rPr>
              <w:t>0302 73 00</w:t>
            </w:r>
          </w:p>
          <w:p>
            <w:pPr>
              <w:spacing w:after="0"/>
              <w:jc w:val="right"/>
              <w:rPr>
                <w:noProof/>
                <w:sz w:val="20"/>
              </w:rPr>
            </w:pPr>
            <w:r>
              <w:rPr>
                <w:noProof/>
                <w:sz w:val="20"/>
              </w:rPr>
              <w:t>0303 25 00</w:t>
            </w:r>
          </w:p>
          <w:p>
            <w:pPr>
              <w:spacing w:after="0"/>
              <w:jc w:val="right"/>
              <w:rPr>
                <w:noProof/>
                <w:sz w:val="20"/>
              </w:rPr>
            </w:pPr>
            <w:r>
              <w:rPr>
                <w:noProof/>
                <w:sz w:val="20"/>
              </w:rPr>
              <w:t>ex 0304 39 00</w:t>
            </w:r>
          </w:p>
          <w:p>
            <w:pPr>
              <w:spacing w:after="0"/>
              <w:jc w:val="right"/>
              <w:rPr>
                <w:noProof/>
                <w:sz w:val="20"/>
              </w:rPr>
            </w:pPr>
            <w:r>
              <w:rPr>
                <w:noProof/>
                <w:sz w:val="20"/>
              </w:rPr>
              <w:t>ex 0304 51 00</w:t>
            </w:r>
          </w:p>
          <w:p>
            <w:pPr>
              <w:spacing w:after="0"/>
              <w:jc w:val="right"/>
              <w:rPr>
                <w:noProof/>
                <w:sz w:val="20"/>
              </w:rPr>
            </w:pPr>
            <w:r>
              <w:rPr>
                <w:noProof/>
                <w:sz w:val="20"/>
              </w:rPr>
              <w:t>ex 0304 69 00</w:t>
            </w:r>
          </w:p>
          <w:p>
            <w:pPr>
              <w:spacing w:after="0"/>
              <w:jc w:val="right"/>
              <w:rPr>
                <w:noProof/>
                <w:sz w:val="20"/>
              </w:rPr>
            </w:pPr>
            <w:r>
              <w:rPr>
                <w:noProof/>
                <w:sz w:val="20"/>
              </w:rPr>
              <w:t>ex 0304 93 90</w:t>
            </w:r>
          </w:p>
          <w:p>
            <w:pPr>
              <w:spacing w:after="0"/>
              <w:jc w:val="right"/>
              <w:rPr>
                <w:noProof/>
                <w:sz w:val="20"/>
              </w:rPr>
            </w:pPr>
            <w:r>
              <w:rPr>
                <w:noProof/>
                <w:sz w:val="20"/>
              </w:rPr>
              <w:t>ex 0305 10 00</w:t>
            </w:r>
          </w:p>
          <w:p>
            <w:pPr>
              <w:spacing w:after="0"/>
              <w:jc w:val="right"/>
              <w:rPr>
                <w:noProof/>
                <w:sz w:val="20"/>
              </w:rPr>
            </w:pPr>
            <w:r>
              <w:rPr>
                <w:noProof/>
                <w:sz w:val="20"/>
              </w:rPr>
              <w:t>ex 0305 31 00</w:t>
            </w:r>
          </w:p>
          <w:p>
            <w:pPr>
              <w:spacing w:after="0"/>
              <w:jc w:val="right"/>
              <w:rPr>
                <w:noProof/>
                <w:sz w:val="20"/>
              </w:rPr>
            </w:pPr>
            <w:r>
              <w:rPr>
                <w:noProof/>
                <w:sz w:val="20"/>
              </w:rPr>
              <w:t>ex 0305 44 90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Cirrhinus</w:t>
            </w:r>
            <w:r>
              <w:rPr>
                <w:noProof/>
                <w:sz w:val="20"/>
              </w:rPr>
              <w:t xml:space="preserve"> spp., </w:t>
            </w:r>
            <w:r>
              <w:rPr>
                <w:i/>
                <w:noProof/>
                <w:sz w:val="20"/>
              </w:rPr>
              <w:t>Mylopharyngodon piceus</w:t>
            </w:r>
            <w:r>
              <w:rPr>
                <w:noProof/>
                <w:sz w:val="20"/>
              </w:rPr>
              <w:t>): vivantes; fraîches ou réfrigérées; congelées; séchées, salées ou en saumure, fumées; filets et autre chair de poissons; farines, poudres et agglomérés sous forme de pellets, propres à l’alimentation humaine</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140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70 %</w:t>
            </w:r>
            <w:r>
              <w:rPr>
                <w:noProof/>
                <w:sz w:val="20"/>
              </w:rPr>
              <w:br/>
              <w:t>du droit NPF</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hideMark/>
          </w:tcPr>
          <w:p>
            <w:pPr>
              <w:spacing w:after="0"/>
              <w:jc w:val="right"/>
              <w:rPr>
                <w:noProof/>
                <w:sz w:val="20"/>
              </w:rPr>
            </w:pPr>
            <w:r>
              <w:rPr>
                <w:noProof/>
                <w:sz w:val="20"/>
              </w:rPr>
              <w:t>ex 0301 99 85</w:t>
            </w:r>
          </w:p>
          <w:p>
            <w:pPr>
              <w:spacing w:after="0"/>
              <w:jc w:val="right"/>
              <w:rPr>
                <w:noProof/>
                <w:sz w:val="20"/>
              </w:rPr>
            </w:pPr>
            <w:r>
              <w:rPr>
                <w:noProof/>
                <w:sz w:val="20"/>
              </w:rPr>
              <w:t>0302 85 10</w:t>
            </w:r>
          </w:p>
          <w:p>
            <w:pPr>
              <w:spacing w:after="0"/>
              <w:jc w:val="right"/>
              <w:rPr>
                <w:noProof/>
                <w:sz w:val="20"/>
              </w:rPr>
            </w:pPr>
            <w:r>
              <w:rPr>
                <w:noProof/>
                <w:sz w:val="20"/>
              </w:rPr>
              <w:t>0303 89 50</w:t>
            </w:r>
          </w:p>
          <w:p>
            <w:pPr>
              <w:spacing w:after="0"/>
              <w:jc w:val="right"/>
              <w:rPr>
                <w:noProof/>
                <w:sz w:val="20"/>
              </w:rPr>
            </w:pPr>
            <w:r>
              <w:rPr>
                <w:noProof/>
                <w:sz w:val="20"/>
              </w:rPr>
              <w:t>ex 0304 49 90</w:t>
            </w:r>
          </w:p>
          <w:p>
            <w:pPr>
              <w:spacing w:after="0"/>
              <w:jc w:val="right"/>
              <w:rPr>
                <w:noProof/>
                <w:sz w:val="20"/>
              </w:rPr>
            </w:pPr>
            <w:r>
              <w:rPr>
                <w:noProof/>
                <w:sz w:val="20"/>
              </w:rPr>
              <w:t>ex 0304 59 90</w:t>
            </w:r>
          </w:p>
          <w:p>
            <w:pPr>
              <w:spacing w:after="0"/>
              <w:jc w:val="right"/>
              <w:rPr>
                <w:noProof/>
                <w:sz w:val="20"/>
              </w:rPr>
            </w:pPr>
            <w:r>
              <w:rPr>
                <w:noProof/>
                <w:sz w:val="20"/>
              </w:rPr>
              <w:t>ex 0304 89 90</w:t>
            </w:r>
          </w:p>
          <w:p>
            <w:pPr>
              <w:spacing w:after="0"/>
              <w:jc w:val="right"/>
              <w:rPr>
                <w:noProof/>
                <w:sz w:val="20"/>
              </w:rPr>
            </w:pPr>
            <w:r>
              <w:rPr>
                <w:noProof/>
                <w:sz w:val="20"/>
              </w:rPr>
              <w:t>ex 0304 99 99</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ex 0305 49 80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Dorades de mer (</w:t>
            </w:r>
            <w:r>
              <w:rPr>
                <w:i/>
                <w:noProof/>
                <w:sz w:val="20"/>
              </w:rPr>
              <w:t>Dentex dentex</w:t>
            </w:r>
            <w:r>
              <w:rPr>
                <w:noProof/>
                <w:sz w:val="20"/>
              </w:rPr>
              <w:t xml:space="preserve"> et </w:t>
            </w:r>
            <w:r>
              <w:rPr>
                <w:i/>
                <w:noProof/>
                <w:sz w:val="20"/>
              </w:rPr>
              <w:t>Pagellus</w:t>
            </w:r>
            <w:r>
              <w:rPr>
                <w:noProof/>
                <w:sz w:val="20"/>
              </w:rPr>
              <w:t xml:space="preserve"> spp.): vivantes; fraîches ou réfrigérées; congelées; séchées, salées ou en saumure, fumées; filets et autre chair de poissons; farines, poudres et agglomérés sous forme de pellets, propres à l'alimentation humaine</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30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30 %</w:t>
            </w:r>
            <w:r>
              <w:rPr>
                <w:noProof/>
                <w:sz w:val="20"/>
              </w:rPr>
              <w:br/>
              <w:t>du droit NPF</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ex 0301 99 85</w:t>
            </w:r>
          </w:p>
          <w:p>
            <w:pPr>
              <w:spacing w:after="0"/>
              <w:jc w:val="right"/>
              <w:rPr>
                <w:noProof/>
                <w:sz w:val="20"/>
              </w:rPr>
            </w:pPr>
            <w:r>
              <w:rPr>
                <w:noProof/>
                <w:sz w:val="20"/>
              </w:rPr>
              <w:t>0302 84 10</w:t>
            </w:r>
          </w:p>
          <w:p>
            <w:pPr>
              <w:spacing w:after="0"/>
              <w:jc w:val="right"/>
              <w:rPr>
                <w:noProof/>
                <w:sz w:val="20"/>
              </w:rPr>
            </w:pPr>
            <w:r>
              <w:rPr>
                <w:noProof/>
                <w:sz w:val="20"/>
              </w:rPr>
              <w:t>0303 84 10</w:t>
            </w:r>
          </w:p>
          <w:p>
            <w:pPr>
              <w:spacing w:after="0"/>
              <w:jc w:val="right"/>
              <w:rPr>
                <w:noProof/>
                <w:sz w:val="20"/>
              </w:rPr>
            </w:pPr>
            <w:r>
              <w:rPr>
                <w:noProof/>
                <w:sz w:val="20"/>
              </w:rPr>
              <w:t>ex 0304 49 90</w:t>
            </w:r>
          </w:p>
          <w:p>
            <w:pPr>
              <w:spacing w:after="0"/>
              <w:jc w:val="right"/>
              <w:rPr>
                <w:noProof/>
                <w:sz w:val="20"/>
              </w:rPr>
            </w:pPr>
            <w:r>
              <w:rPr>
                <w:noProof/>
                <w:sz w:val="20"/>
              </w:rPr>
              <w:t>ex 0304 59 90</w:t>
            </w:r>
          </w:p>
          <w:p>
            <w:pPr>
              <w:spacing w:after="0"/>
              <w:jc w:val="right"/>
              <w:rPr>
                <w:noProof/>
                <w:sz w:val="20"/>
              </w:rPr>
            </w:pPr>
            <w:r>
              <w:rPr>
                <w:noProof/>
                <w:sz w:val="20"/>
              </w:rPr>
              <w:t>ex 0304 89 90</w:t>
            </w:r>
          </w:p>
          <w:p>
            <w:pPr>
              <w:spacing w:after="0"/>
              <w:jc w:val="right"/>
              <w:rPr>
                <w:noProof/>
                <w:sz w:val="20"/>
              </w:rPr>
            </w:pPr>
            <w:r>
              <w:rPr>
                <w:noProof/>
                <w:sz w:val="20"/>
              </w:rPr>
              <w:t>ex 0304 99 99</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ex 0305 49 80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Bars (loups) (</w:t>
            </w:r>
            <w:r>
              <w:rPr>
                <w:i/>
                <w:noProof/>
                <w:sz w:val="20"/>
              </w:rPr>
              <w:t>Dicentrarchus labrax</w:t>
            </w:r>
            <w:r>
              <w:rPr>
                <w:noProof/>
                <w:sz w:val="20"/>
              </w:rPr>
              <w:t>): vivants; frais ou réfrigérés; congelés; séchés, salés ou en saumure, fumés; filets et autre chair de poissons; farines, poudres et agglomérés sous forme de pellets, propres à l'alimentation humaine</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30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30 %</w:t>
            </w:r>
            <w:r>
              <w:rPr>
                <w:noProof/>
                <w:sz w:val="20"/>
              </w:rPr>
              <w:br/>
              <w:t>du droit NPF</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right"/>
              <w:rPr>
                <w:noProof/>
                <w:sz w:val="20"/>
              </w:rPr>
            </w:pPr>
            <w:r>
              <w:rPr>
                <w:noProof/>
                <w:sz w:val="20"/>
              </w:rPr>
              <w:t>1604 13 11</w:t>
            </w:r>
          </w:p>
          <w:p>
            <w:pPr>
              <w:spacing w:after="0"/>
              <w:jc w:val="right"/>
              <w:rPr>
                <w:noProof/>
                <w:sz w:val="20"/>
              </w:rPr>
            </w:pPr>
            <w:r>
              <w:rPr>
                <w:noProof/>
                <w:sz w:val="20"/>
              </w:rPr>
              <w:t>1604 13 19</w:t>
            </w:r>
          </w:p>
          <w:p>
            <w:pPr>
              <w:spacing w:after="0"/>
              <w:jc w:val="right"/>
              <w:rPr>
                <w:noProof/>
                <w:sz w:val="20"/>
              </w:rPr>
            </w:pPr>
            <w:r>
              <w:rPr>
                <w:noProof/>
                <w:sz w:val="20"/>
              </w:rPr>
              <w:t>ex 1604 20 50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rPr>
                <w:noProof/>
                <w:sz w:val="20"/>
              </w:rPr>
            </w:pPr>
            <w:r>
              <w:rPr>
                <w:noProof/>
                <w:sz w:val="20"/>
              </w:rPr>
              <w:t>Préparations et conserves de sardines</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center"/>
              <w:rPr>
                <w:noProof/>
                <w:sz w:val="20"/>
              </w:rPr>
            </w:pPr>
            <w:r>
              <w:rPr>
                <w:noProof/>
                <w:sz w:val="20"/>
              </w:rPr>
              <w:t>50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6 %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100 %</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right"/>
              <w:rPr>
                <w:noProof/>
                <w:sz w:val="20"/>
              </w:rPr>
            </w:pPr>
            <w:r>
              <w:rPr>
                <w:noProof/>
                <w:sz w:val="20"/>
              </w:rPr>
              <w:t>1604 16 00</w:t>
            </w:r>
          </w:p>
          <w:p>
            <w:pPr>
              <w:spacing w:after="0"/>
              <w:jc w:val="right"/>
              <w:rPr>
                <w:noProof/>
                <w:sz w:val="20"/>
              </w:rPr>
            </w:pPr>
            <w:r>
              <w:rPr>
                <w:noProof/>
                <w:sz w:val="20"/>
              </w:rPr>
              <w:t>1604 20 40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rPr>
                <w:noProof/>
                <w:sz w:val="20"/>
              </w:rPr>
            </w:pPr>
            <w:r>
              <w:rPr>
                <w:noProof/>
                <w:sz w:val="20"/>
              </w:rPr>
              <w:t>Préparations et conserves d'anchois</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center"/>
              <w:rPr>
                <w:noProof/>
                <w:sz w:val="20"/>
              </w:rPr>
            </w:pPr>
            <w:r>
              <w:rPr>
                <w:noProof/>
                <w:sz w:val="20"/>
              </w:rPr>
              <w:t>70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12,5 %</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100 %</w:t>
            </w:r>
          </w:p>
        </w:tc>
      </w:tr>
    </w:tbl>
    <w:p>
      <w:pPr>
        <w:spacing w:after="0"/>
        <w:rPr>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spacing w:after="0"/>
              <w:rPr>
                <w:noProof/>
                <w:sz w:val="20"/>
              </w:rPr>
            </w:pPr>
            <w:r>
              <w:rPr>
                <w:noProof/>
                <w:sz w:val="20"/>
              </w:rPr>
              <w:t xml:space="preserve">Le taux de droit applicable à tous les produits de la position du SH 1604, à l'exception des préparations et conserves de sardines et des préparations et conserves d'anchois, est ramené à 70 % du taux de droit NPF. </w:t>
            </w:r>
          </w:p>
          <w:p>
            <w:pPr>
              <w:rPr>
                <w:noProof/>
                <w:sz w:val="20"/>
              </w:rPr>
            </w:pPr>
          </w:p>
        </w:tc>
      </w:tr>
    </w:tbl>
    <w:p>
      <w:pPr>
        <w:spacing w:before="0" w:after="200" w:line="276" w:lineRule="auto"/>
        <w:jc w:val="left"/>
        <w:rPr>
          <w:noProof/>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t>ANNEXE III</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4"/>
          <w:rFonts w:eastAsiaTheme="minorHAnsi"/>
          <w:b/>
          <w:noProof/>
          <w:sz w:val="20"/>
        </w:rPr>
      </w:pPr>
      <w:r>
        <w:rPr>
          <w:rStyle w:val="Corpsdutexte4"/>
          <w:rFonts w:eastAsiaTheme="minorHAnsi"/>
          <w:i/>
          <w:noProof/>
          <w:sz w:val="20"/>
        </w:rPr>
        <w:t>«ANNEXE III AU PROTOCOLE N° 1</w:t>
      </w:r>
      <w:r>
        <w:rPr>
          <w:rStyle w:val="Corpsdutexte4"/>
          <w:rFonts w:eastAsiaTheme="minorHAnsi"/>
          <w:i/>
          <w:noProof/>
          <w:sz w:val="20"/>
        </w:rPr>
        <w:br/>
      </w:r>
      <w:r>
        <w:rPr>
          <w:rStyle w:val="Corpsdutexte4"/>
          <w:rFonts w:eastAsiaTheme="minorHAnsi"/>
          <w:b/>
          <w:noProof/>
          <w:sz w:val="20"/>
        </w:rPr>
        <w:br/>
      </w:r>
      <w:r>
        <w:rPr>
          <w:rStyle w:val="Corpsdutexte4"/>
          <w:rFonts w:eastAsiaTheme="minorHAnsi"/>
          <w:b/>
          <w:noProof/>
          <w:sz w:val="20"/>
        </w:rPr>
        <w:br/>
      </w:r>
      <w:r>
        <w:rPr>
          <w:rStyle w:val="Corpsdutexte4"/>
          <w:rFonts w:eastAsiaTheme="minorHAnsi"/>
          <w:i/>
          <w:noProof/>
          <w:sz w:val="20"/>
        </w:rPr>
        <w:br/>
      </w:r>
      <w:r>
        <w:rPr>
          <w:rStyle w:val="Corpsdutexte4"/>
          <w:rFonts w:eastAsiaTheme="minorHAnsi"/>
          <w:b/>
          <w:noProof/>
          <w:sz w:val="20"/>
        </w:rPr>
        <w:br/>
        <w:t>CONCESSIONS TARIFAIRES DE LA BOSNIE</w:t>
      </w:r>
      <w:r>
        <w:rPr>
          <w:noProof/>
        </w:rPr>
        <w:noBreakHyphen/>
      </w:r>
      <w:r>
        <w:rPr>
          <w:rStyle w:val="Corpsdutexte4"/>
          <w:rFonts w:eastAsiaTheme="minorHAnsi"/>
          <w:b/>
          <w:noProof/>
          <w:sz w:val="20"/>
        </w:rPr>
        <w:t>HERZÉGOVINE POUR LES PRODUITS AGRICOLES TRANSFORMÉS ORIGINAIRES DE L'UNION EUROPÉENNE</w:t>
      </w:r>
    </w:p>
    <w:p>
      <w:pPr>
        <w:spacing w:after="0"/>
        <w:ind w:left="180"/>
        <w:jc w:val="center"/>
        <w:rPr>
          <w:b/>
          <w:noProof/>
          <w:sz w:val="20"/>
        </w:rPr>
      </w:pPr>
      <w:r>
        <w:rPr>
          <w:noProof/>
          <w:sz w:val="20"/>
        </w:rPr>
        <w:br/>
      </w:r>
      <w:r>
        <w:rPr>
          <w:b/>
          <w:noProof/>
          <w:sz w:val="20"/>
        </w:rPr>
        <w:t>(visées à l’article 25 de l’ASA)</w:t>
      </w:r>
    </w:p>
    <w:p>
      <w:pPr>
        <w:spacing w:after="0"/>
        <w:ind w:left="180"/>
        <w:rPr>
          <w:noProof/>
          <w:sz w:val="20"/>
        </w:rPr>
      </w:pPr>
    </w:p>
    <w:p>
      <w:pPr>
        <w:spacing w:after="0"/>
        <w:ind w:left="40" w:right="200"/>
        <w:rPr>
          <w:noProof/>
          <w:sz w:val="20"/>
        </w:rPr>
      </w:pPr>
      <w:r>
        <w:rPr>
          <w:rStyle w:val="Corpsdutexte"/>
          <w:rFonts w:eastAsiaTheme="minorHAnsi"/>
          <w:noProof/>
          <w:sz w:val="20"/>
        </w:rPr>
        <w:t>Dès la date d’entrée en vigueur ou d’application provisoire du protocole visant à tenir compte de l’adhésion de la Croatie à l’Union européenne, les droits à l’importation sont supprimés dans les limites des quantités de contingents tarifaires indiquées ci</w:t>
      </w:r>
      <w:r>
        <w:rPr>
          <w:noProof/>
        </w:rPr>
        <w:noBreakHyphen/>
      </w:r>
      <w:r>
        <w:rPr>
          <w:rStyle w:val="Corpsdutexte"/>
          <w:rFonts w:eastAsiaTheme="minorHAnsi"/>
          <w:noProof/>
          <w:sz w:val="20"/>
        </w:rPr>
        <w:t>dessous. Pour les importations hors contingent, le taux de droit NPF s’applique.</w:t>
      </w:r>
      <w:r>
        <w:rPr>
          <w:noProof/>
          <w:sz w:val="20"/>
        </w:rPr>
        <w:t xml:space="preserve"> Pour l’année 2017, le montant intégral du contingent s’applique, indépendamment de la date d’entrée en vigueur ou d’application provisoire du protocole.</w:t>
      </w:r>
    </w:p>
    <w:p>
      <w:pPr>
        <w:rPr>
          <w:i/>
          <w:noProof/>
          <w:sz w:val="20"/>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9"/>
        <w:gridCol w:w="1276"/>
        <w:gridCol w:w="6237"/>
        <w:gridCol w:w="1305"/>
      </w:tblGrid>
      <w:tr>
        <w:trPr>
          <w:tblHeader/>
          <w:tblCellSpacing w:w="0" w:type="dxa"/>
        </w:trPr>
        <w:tc>
          <w:tcPr>
            <w:tcW w:w="1575"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Code NC</w:t>
            </w:r>
          </w:p>
        </w:tc>
        <w:tc>
          <w:tcPr>
            <w:tcW w:w="623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r>
              <w:rPr>
                <w:b/>
                <w:noProof/>
                <w:sz w:val="20"/>
              </w:rPr>
              <w:t>Désignation des marchandises</w:t>
            </w:r>
          </w:p>
        </w:tc>
        <w:tc>
          <w:tcPr>
            <w:tcW w:w="1305" w:type="dxa"/>
            <w:tcBorders>
              <w:top w:val="outset" w:sz="6" w:space="0" w:color="000000"/>
              <w:left w:val="outset" w:sz="6" w:space="0" w:color="000000"/>
              <w:bottom w:val="outset" w:sz="6" w:space="0" w:color="000000"/>
              <w:right w:val="outset" w:sz="6" w:space="0" w:color="000000"/>
            </w:tcBorders>
            <w:shd w:val="clear" w:color="auto" w:fill="C0C0C0"/>
            <w:vAlign w:val="center"/>
          </w:tcPr>
          <w:p>
            <w:pPr>
              <w:spacing w:before="40" w:after="40"/>
              <w:jc w:val="center"/>
              <w:rPr>
                <w:b/>
                <w:bCs/>
                <w:noProof/>
                <w:sz w:val="20"/>
              </w:rPr>
            </w:pPr>
            <w:r>
              <w:rPr>
                <w:b/>
                <w:noProof/>
                <w:sz w:val="20"/>
              </w:rPr>
              <w:t>Contingent tarifaire (tonnes)</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0403</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Babeurre, lait et crème caillés, yoghourt, képhir et autres laits et crèmes fermentés ou acidifiés, même concentrés ou additionnés de sucre ou d'autres édulcorants ou aromatisés ou additionnés de fruits ou de cacao:</w:t>
            </w:r>
          </w:p>
        </w:tc>
        <w:tc>
          <w:tcPr>
            <w:tcW w:w="1305" w:type="dxa"/>
            <w:tcBorders>
              <w:top w:val="single" w:sz="4" w:space="0" w:color="auto"/>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Yoghourts: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aromatisés ou additionnés de fruits ou de cacao:</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autres, d’une teneur en poids de matières grasses provenant du lait:</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n’excédant pas 3 %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480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0403 10 93</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excédant 3 % mais n’excédant pas 6 %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excédant 6 %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25</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autres: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aromatisés ou additionnés de fruits ou de cacao:</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autres, d’une teneur en poids de matières grasses provenant du lait:</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0403 90 91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n’excédant pas 3 %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530</w:t>
            </w: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outset" w:sz="6" w:space="0" w:color="EEECE1"/>
              <w:right w:val="single" w:sz="4" w:space="0" w:color="auto"/>
            </w:tcBorders>
            <w:shd w:val="clear" w:color="auto" w:fill="FFFFFF"/>
            <w:hideMark/>
          </w:tcPr>
          <w:p>
            <w:pPr>
              <w:spacing w:before="40" w:after="40"/>
              <w:rPr>
                <w:noProof/>
                <w:sz w:val="20"/>
              </w:rPr>
            </w:pPr>
            <w:r>
              <w:rPr>
                <w:noProof/>
                <w:sz w:val="20"/>
              </w:rPr>
              <w:t>0403 90 93</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excédant 3 % mais n’excédant pas 6 %</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55</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1905</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Biscuits additionnés d’édulcorants; gaufres et gaufrettes:</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Biscuits additionnés d’édulcorants:</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ind w:left="542" w:hanging="542"/>
              <w:jc w:val="left"/>
              <w:rPr>
                <w:noProof/>
                <w:sz w:val="20"/>
              </w:rPr>
            </w:pPr>
            <w:r>
              <w:rPr>
                <w:noProof/>
                <w:sz w:val="20"/>
              </w:rPr>
              <w:t>- - - entièrement ou partiellement enrobés ou recouverts de chocolat ou d'autres préparations contenant du cacao:</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1905 31 19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autres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365</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autres: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autres: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1905 31 99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autres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600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1905 32</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Gaufres et gaufrettes: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autres: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tcPr>
          <w:p>
            <w:pPr>
              <w:spacing w:before="40" w:after="40"/>
              <w:ind w:left="683" w:hanging="683"/>
              <w:jc w:val="left"/>
              <w:rPr>
                <w:noProof/>
                <w:sz w:val="20"/>
              </w:rPr>
            </w:pPr>
            <w:r>
              <w:rPr>
                <w:noProof/>
                <w:sz w:val="20"/>
              </w:rPr>
              <w:t>- - - - entièrement ou partiellement enrobées ou recouvertes de chocolat ou d'autres préparations contenant du cacao:</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r>
              <w:rPr>
                <w:noProof/>
                <w:sz w:val="20"/>
              </w:rPr>
              <w:t>1905 32 19</w:t>
            </w: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autres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300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1905 90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autres:</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autres:</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1905 90 45</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Biscuits</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35</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2208</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Alcool éthylique non dénaturé d’un titre alcoométrique volumique de moins de 80 % vol; eaux-de-vie, liqueurs et autres boissons spiritueuses:</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2208 20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Eaux-de-vie de vin ou de marc de raisins:</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présentées en récipients d'une contenance n'excédant pas 2 l</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2208 20 29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autres:</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r>
              <w:rPr>
                <w:noProof/>
                <w:sz w:val="20"/>
              </w:rPr>
              <w:t>ex</w:t>
            </w:r>
          </w:p>
        </w:tc>
        <w:tc>
          <w:tcPr>
            <w:tcW w:w="1276" w:type="dxa"/>
            <w:tcBorders>
              <w:top w:val="nil"/>
              <w:left w:val="nil"/>
              <w:bottom w:val="nil"/>
              <w:right w:val="single" w:sz="4" w:space="0" w:color="auto"/>
            </w:tcBorders>
            <w:shd w:val="clear" w:color="auto" w:fill="FFFFFF"/>
          </w:tcPr>
          <w:p>
            <w:pPr>
              <w:spacing w:before="40" w:after="40"/>
              <w:rPr>
                <w:noProof/>
                <w:sz w:val="20"/>
              </w:rPr>
            </w:pPr>
            <w:r>
              <w:rPr>
                <w:noProof/>
                <w:sz w:val="20"/>
              </w:rPr>
              <w:t>2208 20 29</w:t>
            </w: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Eau-de-vie de vin et de marc de raisin</w:t>
            </w:r>
          </w:p>
        </w:tc>
        <w:tc>
          <w:tcPr>
            <w:tcW w:w="1305" w:type="dxa"/>
            <w:vMerge w:val="restart"/>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85</w:t>
            </w: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r>
              <w:rPr>
                <w:noProof/>
                <w:sz w:val="20"/>
              </w:rPr>
              <w:t>ex</w:t>
            </w:r>
          </w:p>
        </w:tc>
        <w:tc>
          <w:tcPr>
            <w:tcW w:w="1276" w:type="dxa"/>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2208 20 29</w:t>
            </w:r>
          </w:p>
        </w:tc>
        <w:tc>
          <w:tcPr>
            <w:tcW w:w="6237" w:type="dxa"/>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 autres</w:t>
            </w:r>
          </w:p>
        </w:tc>
        <w:tc>
          <w:tcPr>
            <w:tcW w:w="1305" w:type="dxa"/>
            <w:vMerge/>
            <w:tcBorders>
              <w:top w:val="single" w:sz="4" w:space="0" w:color="auto"/>
              <w:left w:val="single" w:sz="4" w:space="0" w:color="auto"/>
              <w:bottom w:val="single" w:sz="4" w:space="0" w:color="auto"/>
              <w:right w:val="nil"/>
            </w:tcBorders>
            <w:shd w:val="clear" w:color="auto" w:fill="FFFFFF"/>
          </w:tcPr>
          <w:p>
            <w:pPr>
              <w:spacing w:before="40" w:after="40"/>
              <w:rPr>
                <w:noProof/>
                <w:sz w:val="20"/>
              </w:rPr>
            </w:pP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2402</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Cigares (y compris ceux à bouts coupés), cigarillos et cigarettes, en tabac ou en succédanés de tabac:</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2402 20</w:t>
            </w:r>
          </w:p>
        </w:tc>
        <w:tc>
          <w:tcPr>
            <w:tcW w:w="6237" w:type="dxa"/>
            <w:tcBorders>
              <w:top w:val="nil"/>
              <w:left w:val="single" w:sz="4" w:space="0" w:color="auto"/>
              <w:bottom w:val="nil"/>
              <w:right w:val="single" w:sz="4" w:space="0" w:color="auto"/>
            </w:tcBorders>
            <w:shd w:val="clear" w:color="auto" w:fill="FFFFFF"/>
            <w:hideMark/>
          </w:tcPr>
          <w:p>
            <w:pPr>
              <w:spacing w:before="40" w:after="40"/>
              <w:rPr>
                <w:noProof/>
                <w:sz w:val="20"/>
              </w:rPr>
            </w:pPr>
            <w:r>
              <w:rPr>
                <w:noProof/>
                <w:sz w:val="20"/>
              </w:rPr>
              <w:t>- Cigarettes contenant du tabac:</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2402 20 90</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rPr>
                <w:noProof/>
                <w:sz w:val="20"/>
              </w:rPr>
            </w:pPr>
            <w:r>
              <w:rPr>
                <w:noProof/>
                <w:sz w:val="20"/>
              </w:rPr>
              <w:t>- - autres:</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3 200</w:t>
            </w:r>
          </w:p>
        </w:tc>
      </w:tr>
    </w:tbl>
    <w:p>
      <w:pPr>
        <w:rPr>
          <w:noProof/>
          <w:sz w:val="20"/>
        </w:rPr>
      </w:pPr>
    </w:p>
    <w:p>
      <w:pPr>
        <w:spacing w:before="0" w:after="200" w:line="276" w:lineRule="auto"/>
        <w:jc w:val="left"/>
        <w:rPr>
          <w:noProof/>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t>ANNEXE IV</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4"/>
          <w:rFonts w:eastAsiaTheme="minorHAnsi"/>
          <w:i/>
          <w:noProof/>
          <w:sz w:val="20"/>
        </w:rPr>
      </w:pPr>
      <w:r>
        <w:rPr>
          <w:rStyle w:val="Corpsdutexte4"/>
          <w:rFonts w:eastAsiaTheme="minorHAnsi"/>
          <w:i/>
          <w:noProof/>
          <w:sz w:val="20"/>
        </w:rPr>
        <w:t>«MODIFICATIONS DE L 'ANNEXE I DU PROTOCOLE N° 7</w:t>
      </w:r>
    </w:p>
    <w:p>
      <w:pPr>
        <w:spacing w:after="0"/>
        <w:ind w:left="180"/>
        <w:jc w:val="center"/>
        <w:rPr>
          <w:rStyle w:val="Corpsdutexte4"/>
          <w:rFonts w:eastAsiaTheme="minorHAnsi"/>
          <w:b/>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Le tableau figurant au point 1 de l’annexe I du protocole n° 7 sur les importations de vins dans l’Union européenne est remplacé par le tableau ci-dessous:</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95"/>
              <w:gridCol w:w="3217"/>
              <w:gridCol w:w="1346"/>
              <w:gridCol w:w="1243"/>
              <w:gridCol w:w="1689"/>
            </w:tblGrid>
            <w:tr>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Code NC</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Désignation des marchandises</w:t>
                  </w:r>
                  <w:r>
                    <w:rPr>
                      <w:b/>
                      <w:bCs/>
                      <w:noProof/>
                      <w:sz w:val="20"/>
                    </w:rPr>
                    <w:br/>
                  </w:r>
                  <w:r>
                    <w:rPr>
                      <w:b/>
                      <w:noProof/>
                      <w:sz w:val="20"/>
                    </w:rPr>
                    <w:t>[conformément à l'article 2, paragraphe 1, point b), du protocole n° 7]</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Droit applicable</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Quantités (hl)</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noProof/>
                      <w:sz w:val="20"/>
                    </w:rPr>
                    <w:t>Dispositions spécifiques</w:t>
                  </w: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Vins mousseux de qualité</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exemption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25 500</w:t>
                  </w:r>
                </w:p>
              </w:tc>
              <w:tc>
                <w:tcPr>
                  <w:tcW w:w="0" w:type="auto"/>
                  <w:vMerge w:val="restart"/>
                  <w:tcBorders>
                    <w:top w:val="single" w:sz="6" w:space="0" w:color="000000"/>
                    <w:left w:val="single" w:sz="6" w:space="0" w:color="000000"/>
                    <w:right w:val="single" w:sz="6" w:space="0" w:color="000000"/>
                  </w:tcBorders>
                  <w:shd w:val="clear" w:color="auto" w:fill="FFFFFF"/>
                  <w:tcMar>
                    <w:top w:w="30" w:type="dxa"/>
                    <w:left w:w="75" w:type="dxa"/>
                    <w:bottom w:w="30" w:type="dxa"/>
                    <w:right w:w="30" w:type="dxa"/>
                  </w:tcMar>
                  <w:vAlign w:val="center"/>
                </w:tcPr>
                <w:p>
                  <w:pPr>
                    <w:jc w:val="center"/>
                    <w:rPr>
                      <w:noProof/>
                      <w:sz w:val="20"/>
                    </w:rPr>
                  </w:pPr>
                  <w:r>
                    <w:rPr>
                      <w:noProof/>
                      <w:sz w:val="20"/>
                    </w:rPr>
                    <w:t>(</w:t>
                  </w:r>
                  <w:r>
                    <w:rPr>
                      <w:noProof/>
                      <w:sz w:val="20"/>
                      <w:vertAlign w:val="superscript"/>
                    </w:rPr>
                    <w:t>1</w:t>
                  </w:r>
                  <w:r>
                    <w:rPr>
                      <w:noProof/>
                      <w:sz w:val="20"/>
                    </w:rPr>
                    <w:t>)  </w:t>
                  </w: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Vins de raisins frais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jc w:val="center"/>
                    <w:rPr>
                      <w:noProof/>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jc w:val="center"/>
                    <w:rPr>
                      <w:noProof/>
                      <w:sz w:val="20"/>
                    </w:rPr>
                  </w:pPr>
                </w:p>
              </w:tc>
              <w:tc>
                <w:tcPr>
                  <w:tcW w:w="0" w:type="auto"/>
                  <w:vMerge/>
                  <w:tcBorders>
                    <w:left w:val="single" w:sz="6" w:space="0" w:color="000000"/>
                    <w:bottom w:val="single" w:sz="4" w:space="0" w:color="auto"/>
                    <w:right w:val="single" w:sz="6" w:space="0" w:color="000000"/>
                  </w:tcBorders>
                  <w:shd w:val="clear" w:color="auto" w:fill="FFFFFF"/>
                  <w:vAlign w:val="center"/>
                  <w:hideMark/>
                </w:tcPr>
                <w:p>
                  <w:pPr>
                    <w:jc w:val="center"/>
                    <w:rPr>
                      <w:noProof/>
                      <w:sz w:val="20"/>
                    </w:rPr>
                  </w:pP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Vins de raisins frais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exemption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15 100</w:t>
                  </w:r>
                </w:p>
              </w:tc>
              <w:tc>
                <w:tcPr>
                  <w:tcW w:w="0" w:type="auto"/>
                  <w:tcBorders>
                    <w:top w:val="nil"/>
                    <w:left w:val="single" w:sz="6" w:space="0" w:color="000000"/>
                    <w:bottom w:val="single" w:sz="4" w:space="0" w:color="auto"/>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w:t>
                  </w:r>
                  <w:r>
                    <w:rPr>
                      <w:noProof/>
                      <w:sz w:val="20"/>
                      <w:vertAlign w:val="superscript"/>
                    </w:rPr>
                    <w:t>1</w:t>
                  </w:r>
                  <w:r>
                    <w:rPr>
                      <w:noProof/>
                      <w:sz w:val="20"/>
                    </w:rPr>
                    <w:t>)  </w:t>
                  </w:r>
                </w:p>
              </w:tc>
            </w:tr>
            <w:t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pPr>
                    <w:rPr>
                      <w:b/>
                      <w:noProof/>
                      <w:sz w:val="20"/>
                    </w:rPr>
                  </w:pPr>
                  <w:r>
                    <w:rPr>
                      <w:noProof/>
                      <w:sz w:val="20"/>
                    </w:rPr>
                    <w:t>(</w:t>
                  </w:r>
                  <w:r>
                    <w:rPr>
                      <w:noProof/>
                      <w:sz w:val="20"/>
                      <w:vertAlign w:val="superscript"/>
                    </w:rPr>
                    <w:t>1</w:t>
                  </w:r>
                  <w:r>
                    <w:rPr>
                      <w:noProof/>
                      <w:sz w:val="20"/>
                    </w:rPr>
                    <w:t>)  Des consultations à la demande de l'une des parties peuvent être organisées pour adapter les contingents par le transfert de quantités du contingent applicable à la position ex 2204 29 au contingent applicable aux positions ex 2204 10 et ex 2204 21. Pour l’année 2017, le montant intégral du contingent s’applique, indépendamment de la date d’entrée en vigueur ou d’application provisoire du protocole.</w:t>
                  </w:r>
                  <w:r>
                    <w:rPr>
                      <w:b/>
                      <w:noProof/>
                      <w:sz w:val="20"/>
                    </w:rPr>
                    <w:t xml:space="preserve"> </w:t>
                  </w:r>
                </w:p>
              </w:tc>
            </w:tr>
          </w:tbl>
          <w:p>
            <w:pPr>
              <w:rPr>
                <w:noProof/>
                <w:sz w:val="20"/>
              </w:rPr>
            </w:pPr>
          </w:p>
        </w:tc>
      </w:tr>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Le tableau figurant au point 3 de l’annexe I du protocole n° 7 sur les importations de vins en Bosnie</w:t>
            </w:r>
            <w:r>
              <w:rPr>
                <w:noProof/>
              </w:rPr>
              <w:noBreakHyphen/>
            </w:r>
            <w:r>
              <w:rPr>
                <w:noProof/>
                <w:sz w:val="20"/>
              </w:rPr>
              <w:t>Herzégovine est remplacé par le tableau ci</w:t>
            </w:r>
            <w:r>
              <w:rPr>
                <w:noProof/>
              </w:rPr>
              <w:noBreakHyphen/>
            </w:r>
            <w:r>
              <w:rPr>
                <w:noProof/>
                <w:sz w:val="20"/>
              </w:rPr>
              <w:t>dessous:</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18"/>
              <w:gridCol w:w="1937"/>
              <w:gridCol w:w="1020"/>
              <w:gridCol w:w="1299"/>
              <w:gridCol w:w="1308"/>
              <w:gridCol w:w="1308"/>
            </w:tblGrid>
            <w:tr>
              <w:tc>
                <w:tcPr>
                  <w:tcW w:w="1014"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Code tarifaire de la Bosnie</w:t>
                  </w:r>
                  <w:r>
                    <w:rPr>
                      <w:noProof/>
                    </w:rPr>
                    <w:noBreakHyphen/>
                  </w:r>
                  <w:r>
                    <w:rPr>
                      <w:b/>
                      <w:noProof/>
                      <w:sz w:val="20"/>
                    </w:rPr>
                    <w:t>Herzégovine</w:t>
                  </w:r>
                </w:p>
              </w:tc>
              <w:tc>
                <w:tcPr>
                  <w:tcW w:w="1121"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Désignation des marchandises [conformément à l'article 2, paragraphe 1, point a), du protocole n° 7]</w:t>
                  </w:r>
                </w:p>
              </w:tc>
              <w:tc>
                <w:tcPr>
                  <w:tcW w:w="593"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Droit applicable</w:t>
                  </w:r>
                </w:p>
              </w:tc>
              <w:tc>
                <w:tcPr>
                  <w:tcW w:w="754"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Quantités à compter du 1.1.2017 (hl)</w:t>
                  </w:r>
                </w:p>
              </w:tc>
              <w:tc>
                <w:tcPr>
                  <w:tcW w:w="759"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noProof/>
                      <w:sz w:val="20"/>
                    </w:rPr>
                    <w:t xml:space="preserve">Quantités à compter du 1.1.2018 </w:t>
                  </w:r>
                  <w:r>
                    <w:rPr>
                      <w:b/>
                      <w:bCs/>
                      <w:noProof/>
                      <w:sz w:val="20"/>
                    </w:rPr>
                    <w:br/>
                  </w:r>
                  <w:r>
                    <w:rPr>
                      <w:b/>
                      <w:noProof/>
                      <w:sz w:val="20"/>
                    </w:rPr>
                    <w:t>(hl)</w:t>
                  </w:r>
                </w:p>
              </w:tc>
              <w:tc>
                <w:tcPr>
                  <w:tcW w:w="759" w:type="pct"/>
                  <w:tcBorders>
                    <w:top w:val="single" w:sz="6" w:space="0" w:color="000000"/>
                    <w:left w:val="single" w:sz="6" w:space="0" w:color="000000"/>
                    <w:bottom w:val="single" w:sz="6" w:space="0" w:color="000000"/>
                    <w:right w:val="single" w:sz="6" w:space="0" w:color="000000"/>
                  </w:tcBorders>
                  <w:shd w:val="pct25" w:color="auto" w:fill="FFFFFF"/>
                </w:tcPr>
                <w:p>
                  <w:pPr>
                    <w:jc w:val="center"/>
                    <w:rPr>
                      <w:b/>
                      <w:bCs/>
                      <w:noProof/>
                      <w:sz w:val="20"/>
                    </w:rPr>
                  </w:pPr>
                  <w:r>
                    <w:rPr>
                      <w:b/>
                      <w:noProof/>
                      <w:sz w:val="20"/>
                    </w:rPr>
                    <w:t>Dispositions spécifiques</w:t>
                  </w:r>
                </w:p>
              </w:tc>
            </w:tr>
            <w:tr>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ex 2204 10</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Vins mousseux de qualité</w:t>
                  </w:r>
                </w:p>
              </w:tc>
              <w:tc>
                <w:tcPr>
                  <w:tcW w:w="5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exemption</w:t>
                  </w: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jc w:val="center"/>
                    <w:rPr>
                      <w:noProof/>
                      <w:sz w:val="20"/>
                    </w:rPr>
                  </w:pPr>
                  <w:r>
                    <w:rPr>
                      <w:noProof/>
                      <w:sz w:val="20"/>
                    </w:rPr>
                    <w:t>13 765</w:t>
                  </w:r>
                </w:p>
              </w:tc>
              <w:tc>
                <w:tcPr>
                  <w:tcW w:w="759"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jc w:val="center"/>
                    <w:rPr>
                      <w:noProof/>
                      <w:sz w:val="20"/>
                    </w:rPr>
                  </w:pPr>
                  <w:r>
                    <w:rPr>
                      <w:noProof/>
                      <w:sz w:val="20"/>
                    </w:rPr>
                    <w:t>19 530</w:t>
                  </w:r>
                </w:p>
              </w:tc>
              <w:tc>
                <w:tcPr>
                  <w:tcW w:w="759" w:type="pct"/>
                  <w:vMerge w:val="restart"/>
                  <w:tcBorders>
                    <w:top w:val="single" w:sz="6" w:space="0" w:color="000000"/>
                    <w:left w:val="single" w:sz="6" w:space="0" w:color="000000"/>
                    <w:right w:val="single" w:sz="6" w:space="0" w:color="000000"/>
                  </w:tcBorders>
                  <w:shd w:val="clear" w:color="auto" w:fill="FFFFFF"/>
                  <w:vAlign w:val="center"/>
                </w:tcPr>
                <w:p>
                  <w:pPr>
                    <w:jc w:val="center"/>
                    <w:rPr>
                      <w:noProof/>
                      <w:sz w:val="20"/>
                    </w:rPr>
                  </w:pPr>
                  <w:r>
                    <w:rPr>
                      <w:noProof/>
                      <w:sz w:val="20"/>
                    </w:rPr>
                    <w:t>(</w:t>
                  </w:r>
                  <w:r>
                    <w:rPr>
                      <w:noProof/>
                      <w:sz w:val="20"/>
                      <w:vertAlign w:val="superscript"/>
                    </w:rPr>
                    <w:t>2</w:t>
                  </w:r>
                  <w:r>
                    <w:rPr>
                      <w:noProof/>
                      <w:sz w:val="20"/>
                    </w:rPr>
                    <w:t>)</w:t>
                  </w:r>
                </w:p>
              </w:tc>
            </w:tr>
            <w:tr>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ex 2204 21</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Vins de raisins frais</w:t>
                  </w:r>
                </w:p>
              </w:tc>
              <w:tc>
                <w:tcPr>
                  <w:tcW w:w="593"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4"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9"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9" w:type="pct"/>
                  <w:vMerge/>
                  <w:tcBorders>
                    <w:left w:val="single" w:sz="6" w:space="0" w:color="000000"/>
                    <w:bottom w:val="single" w:sz="6" w:space="0" w:color="000000"/>
                    <w:right w:val="single" w:sz="6" w:space="0" w:color="000000"/>
                  </w:tcBorders>
                </w:tcPr>
                <w:p>
                  <w:pPr>
                    <w:rPr>
                      <w:noProof/>
                      <w:sz w:val="20"/>
                    </w:rPr>
                  </w:pPr>
                </w:p>
              </w:tc>
            </w:tr>
            <w:tr>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pPr>
                    <w:rPr>
                      <w:noProof/>
                      <w:sz w:val="20"/>
                    </w:rPr>
                  </w:pPr>
                  <w:r>
                    <w:rPr>
                      <w:noProof/>
                      <w:sz w:val="20"/>
                    </w:rPr>
                    <w:t>(</w:t>
                  </w:r>
                  <w:r>
                    <w:rPr>
                      <w:noProof/>
                      <w:sz w:val="20"/>
                      <w:vertAlign w:val="superscript"/>
                    </w:rPr>
                    <w:t>2</w:t>
                  </w:r>
                  <w:r>
                    <w:rPr>
                      <w:noProof/>
                      <w:sz w:val="20"/>
                    </w:rPr>
                    <w:t xml:space="preserve">)  Pour l’année 2017, le montant intégral du contingent s’applique, indépendamment de la date d’entrée en vigueur ou d’application provisoire du protocole. </w:t>
                  </w:r>
                </w:p>
              </w:tc>
            </w:tr>
          </w:tbl>
          <w:p>
            <w:pPr>
              <w:rPr>
                <w:noProof/>
                <w:sz w:val="20"/>
              </w:rPr>
            </w:pPr>
          </w:p>
        </w:tc>
      </w:tr>
    </w:tbl>
    <w:p>
      <w:pPr>
        <w:rPr>
          <w:i/>
          <w:noProof/>
        </w:rPr>
      </w:pPr>
    </w:p>
    <w:p>
      <w:pPr>
        <w:spacing w:before="0" w:after="240"/>
        <w:jc w:val="center"/>
        <w:rPr>
          <w:noProof/>
        </w:rPr>
      </w:pPr>
    </w:p>
    <w:p>
      <w:pPr>
        <w:pStyle w:val="Typedudocument"/>
        <w:rPr>
          <w:noProof/>
        </w:rPr>
      </w:pP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325C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EA22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66BE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5CDA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067E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826D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C62C0E"/>
    <w:lvl w:ilvl="0">
      <w:start w:val="1"/>
      <w:numFmt w:val="decimal"/>
      <w:pStyle w:val="ListNumber"/>
      <w:lvlText w:val="%1."/>
      <w:lvlJc w:val="left"/>
      <w:pPr>
        <w:tabs>
          <w:tab w:val="num" w:pos="360"/>
        </w:tabs>
        <w:ind w:left="360" w:hanging="360"/>
      </w:pPr>
    </w:lvl>
  </w:abstractNum>
  <w:abstractNum w:abstractNumId="7">
    <w:nsid w:val="FFFFFF89"/>
    <w:multiLevelType w:val="singleLevel"/>
    <w:tmpl w:val="9F1689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0E0429"/>
    <w:multiLevelType w:val="multilevel"/>
    <w:tmpl w:val="28B89D12"/>
    <w:name w:val="List Dash"/>
    <w:lvl w:ilvl="0">
      <w:start w:val="1"/>
      <w:numFmt w:val="decimal"/>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 w:numId="6">
    <w:abstractNumId w:val="3"/>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5 10:21: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0"/>
    <w:docVar w:name="DQCResult_StructureCheck" w:val="0;0"/>
    <w:docVar w:name="DQCResult_SuperfluousWhitespace" w:val="0;48"/>
    <w:docVar w:name="DQCResult_UnknownFonts" w:val="0;0"/>
    <w:docVar w:name="DQCResult_UnknownStyles" w:val="0;1"/>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0DFFA36516CD464D8D3BEBA88A0475D5"/>
    <w:docVar w:name="LW_CROSSREFERENCE" w:val="&lt;UNUSED&gt;"/>
    <w:docVar w:name="LW_DocType" w:val="ANNEX"/>
    <w:docVar w:name="LW_EMISSION" w:val="6.10.2016"/>
    <w:docVar w:name="LW_EMISSION_ISODATE" w:val="2016-10-06"/>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approuvant la conclusion, par la Commission européenne,_x000b_au nom de la Communauté européenne de l'énergie atomique,_x000b_du protocole à l'accord de stabilisation et d'association entre_x000b_les Communautés européennes et leurs États membres, d'une part,_x000b_et la Bosnie-Herzégovine, d'autre part,_x000b_visant à tenir compte de l'adhésion de la République de Croatie à l'Union européenne"/>
    <w:docVar w:name="LW_PART_NBR" w:val="1"/>
    <w:docVar w:name="LW_PART_NBR_TOTAL" w:val="1"/>
    <w:docVar w:name="LW_REF.INST.NEW" w:val="COM"/>
    <w:docVar w:name="LW_REF.INST.NEW_ADOPTED" w:val="final"/>
    <w:docVar w:name="LW_REF.INST.NEW_TEXT" w:val="(2016) 642"/>
    <w:docVar w:name="LW_REF.INTERNE" w:val="&lt;UNUSED&gt;"/>
    <w:docVar w:name="LW_SUPERTITRE" w:val="&lt;UNUSED&gt;"/>
    <w:docVar w:name="LW_TITRE.OBJ.CP" w:val="&lt;UNUSED&gt;"/>
    <w:docVar w:name="LW_TYPE.DOC.CP" w:val="ANNEXE"/>
    <w:docVar w:name="LW_TYPEACTEPRINCIPAL.CP" w:val="recommandation de_x000b_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pPr>
      <w:numPr>
        <w:numId w:val="2"/>
      </w:numPr>
      <w:tabs>
        <w:tab w:val="clear" w:pos="360"/>
        <w:tab w:val="num" w:pos="709"/>
      </w:tabs>
      <w:ind w:left="709" w:hanging="709"/>
    </w:pPr>
    <w:rPr>
      <w:rFonts w:eastAsia="Times New Roman"/>
      <w:szCs w:val="20"/>
    </w:rPr>
  </w:style>
  <w:style w:type="paragraph" w:customStyle="1" w:styleId="ListNumberLevel2">
    <w:name w:val="List Number (Level 2)"/>
    <w:basedOn w:val="Normal"/>
    <w:pPr>
      <w:numPr>
        <w:ilvl w:val="1"/>
        <w:numId w:val="1"/>
      </w:numPr>
    </w:pPr>
    <w:rPr>
      <w:rFonts w:eastAsia="Times New Roman"/>
      <w:szCs w:val="20"/>
    </w:rPr>
  </w:style>
  <w:style w:type="paragraph" w:customStyle="1" w:styleId="ListNumberLevel3">
    <w:name w:val="List Number (Level 3)"/>
    <w:basedOn w:val="Normal"/>
    <w:pPr>
      <w:numPr>
        <w:ilvl w:val="2"/>
        <w:numId w:val="1"/>
      </w:numPr>
    </w:pPr>
    <w:rPr>
      <w:rFonts w:eastAsia="Times New Roman"/>
      <w:szCs w:val="20"/>
    </w:rPr>
  </w:style>
  <w:style w:type="paragraph" w:customStyle="1" w:styleId="ListNumberLevel4">
    <w:name w:val="List Number (Level 4)"/>
    <w:basedOn w:val="Normal"/>
    <w:pPr>
      <w:numPr>
        <w:ilvl w:val="3"/>
        <w:numId w:val="1"/>
      </w:numPr>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fr-FR" w:eastAsia="fr-FR"/>
    </w:rPr>
  </w:style>
  <w:style w:type="paragraph" w:customStyle="1" w:styleId="Annexetitreglobale">
    <w:name w:val="Annexe titre (globale)"/>
    <w:basedOn w:val="Normal"/>
    <w:next w:val="Normal"/>
    <w:pPr>
      <w:jc w:val="center"/>
    </w:pPr>
    <w:rPr>
      <w:rFonts w:eastAsia="Times New Roman"/>
      <w:b/>
      <w:szCs w:val="20"/>
      <w:u w:val="single"/>
    </w:rPr>
  </w:style>
  <w:style w:type="paragraph" w:styleId="ListParagraph">
    <w:name w:val="List Paragraph"/>
    <w:basedOn w:val="Normal"/>
    <w:uiPriority w:val="34"/>
    <w:qFormat/>
    <w:pPr>
      <w:ind w:left="720"/>
      <w:contextualSpacing/>
    </w:pPr>
    <w:rPr>
      <w:rFonts w:eastAsia="Times New Roman"/>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NormalWeb">
    <w:name w:val="Normal (Web)"/>
    <w:basedOn w:val="Normal"/>
    <w:uiPriority w:val="99"/>
    <w:unhideWhenUsed/>
    <w:pPr>
      <w:spacing w:before="100" w:beforeAutospacing="1" w:after="100" w:afterAutospacing="1"/>
      <w:jc w:val="left"/>
    </w:pPr>
    <w:rPr>
      <w:szCs w:val="24"/>
    </w:rPr>
  </w:style>
  <w:style w:type="numbering" w:customStyle="1" w:styleId="NoList1">
    <w:name w:val="No List1"/>
    <w:next w:val="NoList"/>
    <w:uiPriority w:val="99"/>
    <w:semiHidden/>
    <w:unhideWhenUsed/>
  </w:style>
  <w:style w:type="character" w:styleId="Hyperlink">
    <w:name w:val="Hyperlink"/>
    <w:uiPriority w:val="99"/>
    <w:rPr>
      <w:color w:val="0000FF"/>
      <w:u w:val="single"/>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fr-FR"/>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Arial Unicode MS" w:eastAsia="Arial Unicode MS" w:hAnsi="Arial Unicode MS" w:cs="Arial Unicode MS"/>
      <w:color w:val="000000"/>
      <w:sz w:val="22"/>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Cs w:val="24"/>
    </w:rPr>
  </w:style>
  <w:style w:type="paragraph" w:customStyle="1" w:styleId="xl77">
    <w:name w:val="xl77"/>
    <w:basedOn w:val="Normal"/>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8">
    <w:name w:val="xl78"/>
    <w:basedOn w:val="Normal"/>
    <w:pPr>
      <w:pBdr>
        <w:top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9">
    <w:name w:val="xl79"/>
    <w:basedOn w:val="Normal"/>
    <w:pPr>
      <w:pBdr>
        <w:top w:val="single" w:sz="4" w:space="0" w:color="auto"/>
        <w:bottom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80">
    <w:name w:val="xl8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82">
    <w:name w:val="xl82"/>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 w:val="20"/>
      <w:szCs w:val="20"/>
    </w:rPr>
  </w:style>
  <w:style w:type="paragraph" w:customStyle="1" w:styleId="xl88">
    <w:name w:val="xl88"/>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90">
    <w:name w:val="xl90"/>
    <w:basedOn w:val="Normal"/>
    <w:pPr>
      <w:pBdr>
        <w:top w:val="single" w:sz="4" w:space="0" w:color="auto"/>
        <w:left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1">
    <w:name w:val="xl91"/>
    <w:basedOn w:val="Normal"/>
    <w:pPr>
      <w:pBdr>
        <w:top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2">
    <w:name w:val="xl92"/>
    <w:basedOn w:val="Normal"/>
    <w:pPr>
      <w:pBdr>
        <w:top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3">
    <w:name w:val="xl93"/>
    <w:basedOn w:val="Normal"/>
    <w:pPr>
      <w:pBdr>
        <w:top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4">
    <w:name w:val="xl94"/>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95">
    <w:name w:val="xl95"/>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6">
    <w:name w:val="xl96"/>
    <w:basedOn w:val="Normal"/>
    <w:pPr>
      <w:shd w:val="clear" w:color="000000" w:fill="FFFFFF"/>
      <w:spacing w:before="100" w:beforeAutospacing="1" w:after="100" w:afterAutospacing="1"/>
      <w:jc w:val="center"/>
      <w:textAlignment w:val="center"/>
    </w:pPr>
    <w:rPr>
      <w:rFonts w:ascii="Arial" w:eastAsia="Times New Roman" w:hAnsi="Arial" w:cs="Arial"/>
      <w:b/>
      <w:bCs/>
      <w:szCs w:val="24"/>
    </w:rPr>
  </w:style>
  <w:style w:type="paragraph" w:customStyle="1" w:styleId="xl97">
    <w:name w:val="xl9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0">
    <w:name w:val="xl100"/>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4">
    <w:name w:val="xl104"/>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6">
    <w:name w:val="xl106"/>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09">
    <w:name w:val="xl109"/>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0">
    <w:name w:val="xl110"/>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1">
    <w:name w:val="xl111"/>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2">
    <w:name w:val="xl11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3">
    <w:name w:val="xl11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4">
    <w:name w:val="xl11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5">
    <w:name w:val="xl11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6">
    <w:name w:val="xl116"/>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7">
    <w:name w:val="xl117"/>
    <w:basedOn w:val="Norma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8">
    <w:name w:val="xl118"/>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19">
    <w:name w:val="xl119"/>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2">
    <w:name w:val="xl12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3">
    <w:name w:val="xl12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4">
    <w:name w:val="xl12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5">
    <w:name w:val="xl125"/>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6">
    <w:name w:val="xl126"/>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7">
    <w:name w:val="xl127"/>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8">
    <w:name w:val="xl1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9">
    <w:name w:val="xl12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0">
    <w:name w:val="xl130"/>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1">
    <w:name w:val="xl13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2">
    <w:name w:val="xl13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3">
    <w:name w:val="xl13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4">
    <w:name w:val="xl134"/>
    <w:basedOn w:val="Normal"/>
    <w:pPr>
      <w:pBdr>
        <w:top w:val="single" w:sz="4"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5">
    <w:name w:val="xl135"/>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36">
    <w:name w:val="xl136"/>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7">
    <w:name w:val="xl13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8">
    <w:name w:val="xl1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9">
    <w:name w:val="xl13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0">
    <w:name w:val="xl140"/>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1">
    <w:name w:val="xl141"/>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2">
    <w:name w:val="xl142"/>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4">
    <w:name w:val="xl144"/>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45">
    <w:name w:val="xl145"/>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6">
    <w:name w:val="xl146"/>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7">
    <w:name w:val="xl147"/>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48">
    <w:name w:val="xl14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9">
    <w:name w:val="xl14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0">
    <w:name w:val="xl150"/>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1">
    <w:name w:val="xl151"/>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2">
    <w:name w:val="xl152"/>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3">
    <w:name w:val="xl153"/>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4">
    <w:name w:val="xl154"/>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5">
    <w:name w:val="xl155"/>
    <w:basedOn w:val="Normal"/>
    <w:pPr>
      <w:pBdr>
        <w:top w:val="single" w:sz="8"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56">
    <w:name w:val="xl156"/>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57">
    <w:name w:val="xl157"/>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58">
    <w:name w:val="xl158"/>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9">
    <w:name w:val="xl159"/>
    <w:basedOn w:val="Normal"/>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0">
    <w:name w:val="xl160"/>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1">
    <w:name w:val="xl161"/>
    <w:basedOn w:val="Normal"/>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2">
    <w:name w:val="xl162"/>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63">
    <w:name w:val="xl16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64">
    <w:name w:val="xl164"/>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5">
    <w:name w:val="xl165"/>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6">
    <w:name w:val="xl166"/>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7">
    <w:name w:val="xl167"/>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8">
    <w:name w:val="xl168"/>
    <w:basedOn w:val="Normal"/>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9">
    <w:name w:val="xl16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70">
    <w:name w:val="xl170"/>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71">
    <w:name w:val="xl171"/>
    <w:basedOn w:val="Normal"/>
    <w:pPr>
      <w:pBdr>
        <w:lef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72">
    <w:name w:val="xl172"/>
    <w:basedOn w:val="Normal"/>
    <w:pP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73">
    <w:name w:val="xl173"/>
    <w:basedOn w:val="Normal"/>
    <w:pPr>
      <w:pBdr>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4">
    <w:name w:val="xl17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75">
    <w:name w:val="xl17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76">
    <w:name w:val="xl17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7">
    <w:name w:val="xl177"/>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8">
    <w:name w:val="xl178"/>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9">
    <w:name w:val="xl17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80">
    <w:name w:val="xl18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1">
    <w:name w:val="xl181"/>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2">
    <w:name w:val="xl18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83">
    <w:name w:val="xl18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84">
    <w:name w:val="xl184"/>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Narrow" w:eastAsia="Times New Roman" w:hAnsi="Arial Narrow"/>
      <w:szCs w:val="24"/>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Narrow" w:eastAsia="Times New Roman" w:hAnsi="Arial Narrow"/>
      <w:sz w:val="20"/>
      <w:szCs w:val="20"/>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9">
    <w:name w:val="xl189"/>
    <w:basedOn w:val="Normal"/>
    <w:pP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2">
    <w:name w:val="xl192"/>
    <w:basedOn w:val="Normal"/>
    <w:pPr>
      <w:pBdr>
        <w:top w:val="single" w:sz="8"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3">
    <w:name w:val="xl19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4">
    <w:name w:val="xl1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5">
    <w:name w:val="xl195"/>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6">
    <w:name w:val="xl196"/>
    <w:basedOn w:val="Normal"/>
    <w:pPr>
      <w:pBdr>
        <w:top w:val="single" w:sz="4"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7">
    <w:name w:val="xl197"/>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8">
    <w:name w:val="xl19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0">
    <w:name w:val="xl200"/>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2">
    <w:name w:val="xl202"/>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3">
    <w:name w:val="xl203"/>
    <w:basedOn w:val="Normal"/>
    <w:pPr>
      <w:pBdr>
        <w:top w:val="single" w:sz="8"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4">
    <w:name w:val="xl2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5">
    <w:name w:val="xl205"/>
    <w:basedOn w:val="Normal"/>
    <w:pPr>
      <w:pBdr>
        <w:top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6">
    <w:name w:val="xl206"/>
    <w:basedOn w:val="Normal"/>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7">
    <w:name w:val="xl207"/>
    <w:basedOn w:val="Normal"/>
    <w:pPr>
      <w:pBdr>
        <w:top w:val="single" w:sz="4" w:space="0" w:color="auto"/>
        <w:left w:val="single" w:sz="8" w:space="0" w:color="auto"/>
        <w:bottom w:val="single" w:sz="8"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8">
    <w:name w:val="xl20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9">
    <w:name w:val="xl209"/>
    <w:basedOn w:val="Normal"/>
    <w:pPr>
      <w:pBdr>
        <w:top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10">
    <w:name w:val="xl21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2">
    <w:name w:val="xl21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3">
    <w:name w:val="xl213"/>
    <w:basedOn w:val="Normal"/>
    <w:pPr>
      <w:pBdr>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4">
    <w:name w:val="xl214"/>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5">
    <w:name w:val="xl215"/>
    <w:basedOn w:val="Normal"/>
    <w:pPr>
      <w:pBdr>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6">
    <w:name w:val="xl216"/>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17">
    <w:name w:val="xl217"/>
    <w:basedOn w:val="Normal"/>
    <w:pPr>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9">
    <w:name w:val="xl219"/>
    <w:basedOn w:val="Normal"/>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21">
    <w:name w:val="xl221"/>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Cs w:val="24"/>
    </w:rPr>
  </w:style>
  <w:style w:type="paragraph" w:customStyle="1" w:styleId="xl222">
    <w:name w:val="xl222"/>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rPr>
  </w:style>
  <w:style w:type="paragraph" w:customStyle="1" w:styleId="xl223">
    <w:name w:val="xl223"/>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4">
    <w:name w:val="xl224"/>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5">
    <w:name w:val="xl225"/>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6">
    <w:name w:val="xl226"/>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7">
    <w:name w:val="xl227"/>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0"/>
      <w:szCs w:val="20"/>
    </w:rPr>
  </w:style>
  <w:style w:type="paragraph" w:customStyle="1" w:styleId="xl229">
    <w:name w:val="xl22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20"/>
      <w:szCs w:val="20"/>
    </w:rPr>
  </w:style>
  <w:style w:type="paragraph" w:customStyle="1" w:styleId="xl230">
    <w:name w:val="xl230"/>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1">
    <w:name w:val="xl231"/>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2">
    <w:name w:val="xl232"/>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3">
    <w:name w:val="xl233"/>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4">
    <w:name w:val="xl234"/>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5">
    <w:name w:val="xl235"/>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6">
    <w:name w:val="xl236"/>
    <w:basedOn w:val="Normal"/>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7">
    <w:name w:val="xl23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8">
    <w:name w:val="xl238"/>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39">
    <w:name w:val="xl23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40">
    <w:name w:val="xl240"/>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1">
    <w:name w:val="xl24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2">
    <w:name w:val="xl24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3">
    <w:name w:val="xl243"/>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4">
    <w:name w:val="xl244"/>
    <w:basedOn w:val="Normal"/>
    <w:pPr>
      <w:pBdr>
        <w:top w:val="single" w:sz="8" w:space="0" w:color="auto"/>
        <w:lef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5">
    <w:name w:val="xl245"/>
    <w:basedOn w:val="Normal"/>
    <w:pPr>
      <w:pBdr>
        <w:top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6">
    <w:name w:val="xl246"/>
    <w:basedOn w:val="Normal"/>
    <w:pPr>
      <w:pBdr>
        <w:top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7">
    <w:name w:val="xl24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248">
    <w:name w:val="xl248"/>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4"/>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251">
    <w:name w:val="xl251"/>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3">
    <w:name w:val="xl253"/>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4">
    <w:name w:val="xl25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5">
    <w:name w:val="xl2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6">
    <w:name w:val="xl25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7">
    <w:name w:val="xl25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9">
    <w:name w:val="xl25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60">
    <w:name w:val="xl260"/>
    <w:basedOn w:val="Normal"/>
    <w:pPr>
      <w:pBdr>
        <w:top w:val="single" w:sz="4" w:space="0" w:color="auto"/>
        <w:left w:val="single" w:sz="4" w:space="0" w:color="auto"/>
        <w:right w:val="single" w:sz="8"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61">
    <w:name w:val="xl261"/>
    <w:basedOn w:val="Normal"/>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2">
    <w:name w:val="xl262"/>
    <w:basedOn w:val="Normal"/>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3">
    <w:name w:val="xl263"/>
    <w:basedOn w:val="Normal"/>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4">
    <w:name w:val="xl26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5">
    <w:name w:val="xl265"/>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6">
    <w:name w:val="xl26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7">
    <w:name w:val="xl267"/>
    <w:basedOn w:val="Normal"/>
    <w:pPr>
      <w:pBdr>
        <w:top w:val="single" w:sz="8"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8">
    <w:name w:val="xl268"/>
    <w:basedOn w:val="Normal"/>
    <w:pPr>
      <w:pBdr>
        <w:top w:val="single" w:sz="8" w:space="0" w:color="auto"/>
        <w:left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69">
    <w:name w:val="xl269"/>
    <w:basedOn w:val="Normal"/>
    <w:pPr>
      <w:pBdr>
        <w:top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0">
    <w:name w:val="xl270"/>
    <w:basedOn w:val="Normal"/>
    <w:pPr>
      <w:pBdr>
        <w:top w:val="single" w:sz="8" w:space="0" w:color="auto"/>
        <w:bottom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1">
    <w:name w:val="xl271"/>
    <w:basedOn w:val="Normal"/>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2">
    <w:name w:val="xl272"/>
    <w:basedOn w:val="Normal"/>
    <w:pPr>
      <w:pBdr>
        <w:top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3">
    <w:name w:val="xl273"/>
    <w:basedOn w:val="Normal"/>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4">
    <w:name w:val="xl274"/>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5">
    <w:name w:val="xl275"/>
    <w:basedOn w:val="Normal"/>
    <w:pPr>
      <w:pBdr>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6">
    <w:name w:val="xl276"/>
    <w:basedOn w:val="Normal"/>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styleId="Revision">
    <w:name w:val="Revision"/>
    <w:hidden/>
    <w:uiPriority w:val="99"/>
    <w:semiHidden/>
    <w:pPr>
      <w:spacing w:after="0" w:line="240" w:lineRule="auto"/>
    </w:p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rPr>
  </w:style>
  <w:style w:type="character" w:customStyle="1" w:styleId="Corpsdutexte9">
    <w:name w:val="Corps du texte (9)"/>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rPr>
  </w:style>
  <w:style w:type="character" w:customStyle="1" w:styleId="Corpsdutexte4">
    <w:name w:val="Corps du texte (4)"/>
    <w:basedOn w:val="DefaultParagraphFon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pPr>
      <w:numPr>
        <w:numId w:val="2"/>
      </w:numPr>
      <w:tabs>
        <w:tab w:val="clear" w:pos="360"/>
        <w:tab w:val="num" w:pos="709"/>
      </w:tabs>
      <w:ind w:left="709" w:hanging="709"/>
    </w:pPr>
    <w:rPr>
      <w:rFonts w:eastAsia="Times New Roman"/>
      <w:szCs w:val="20"/>
    </w:rPr>
  </w:style>
  <w:style w:type="paragraph" w:customStyle="1" w:styleId="ListNumberLevel2">
    <w:name w:val="List Number (Level 2)"/>
    <w:basedOn w:val="Normal"/>
    <w:pPr>
      <w:numPr>
        <w:ilvl w:val="1"/>
        <w:numId w:val="1"/>
      </w:numPr>
    </w:pPr>
    <w:rPr>
      <w:rFonts w:eastAsia="Times New Roman"/>
      <w:szCs w:val="20"/>
    </w:rPr>
  </w:style>
  <w:style w:type="paragraph" w:customStyle="1" w:styleId="ListNumberLevel3">
    <w:name w:val="List Number (Level 3)"/>
    <w:basedOn w:val="Normal"/>
    <w:pPr>
      <w:numPr>
        <w:ilvl w:val="2"/>
        <w:numId w:val="1"/>
      </w:numPr>
    </w:pPr>
    <w:rPr>
      <w:rFonts w:eastAsia="Times New Roman"/>
      <w:szCs w:val="20"/>
    </w:rPr>
  </w:style>
  <w:style w:type="paragraph" w:customStyle="1" w:styleId="ListNumberLevel4">
    <w:name w:val="List Number (Level 4)"/>
    <w:basedOn w:val="Normal"/>
    <w:pPr>
      <w:numPr>
        <w:ilvl w:val="3"/>
        <w:numId w:val="1"/>
      </w:numPr>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fr-FR" w:eastAsia="fr-FR"/>
    </w:rPr>
  </w:style>
  <w:style w:type="paragraph" w:customStyle="1" w:styleId="Annexetitreglobale">
    <w:name w:val="Annexe titre (globale)"/>
    <w:basedOn w:val="Normal"/>
    <w:next w:val="Normal"/>
    <w:pPr>
      <w:jc w:val="center"/>
    </w:pPr>
    <w:rPr>
      <w:rFonts w:eastAsia="Times New Roman"/>
      <w:b/>
      <w:szCs w:val="20"/>
      <w:u w:val="single"/>
    </w:rPr>
  </w:style>
  <w:style w:type="paragraph" w:styleId="ListParagraph">
    <w:name w:val="List Paragraph"/>
    <w:basedOn w:val="Normal"/>
    <w:uiPriority w:val="34"/>
    <w:qFormat/>
    <w:pPr>
      <w:ind w:left="720"/>
      <w:contextualSpacing/>
    </w:pPr>
    <w:rPr>
      <w:rFonts w:eastAsia="Times New Roman"/>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NormalWeb">
    <w:name w:val="Normal (Web)"/>
    <w:basedOn w:val="Normal"/>
    <w:uiPriority w:val="99"/>
    <w:unhideWhenUsed/>
    <w:pPr>
      <w:spacing w:before="100" w:beforeAutospacing="1" w:after="100" w:afterAutospacing="1"/>
      <w:jc w:val="left"/>
    </w:pPr>
    <w:rPr>
      <w:szCs w:val="24"/>
    </w:rPr>
  </w:style>
  <w:style w:type="numbering" w:customStyle="1" w:styleId="NoList1">
    <w:name w:val="No List1"/>
    <w:next w:val="NoList"/>
    <w:uiPriority w:val="99"/>
    <w:semiHidden/>
    <w:unhideWhenUsed/>
  </w:style>
  <w:style w:type="character" w:styleId="Hyperlink">
    <w:name w:val="Hyperlink"/>
    <w:uiPriority w:val="99"/>
    <w:rPr>
      <w:color w:val="0000FF"/>
      <w:u w:val="single"/>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fr-FR"/>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Arial Unicode MS" w:eastAsia="Arial Unicode MS" w:hAnsi="Arial Unicode MS" w:cs="Arial Unicode MS"/>
      <w:color w:val="000000"/>
      <w:sz w:val="22"/>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Cs w:val="24"/>
    </w:rPr>
  </w:style>
  <w:style w:type="paragraph" w:customStyle="1" w:styleId="xl77">
    <w:name w:val="xl77"/>
    <w:basedOn w:val="Normal"/>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8">
    <w:name w:val="xl78"/>
    <w:basedOn w:val="Normal"/>
    <w:pPr>
      <w:pBdr>
        <w:top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79">
    <w:name w:val="xl79"/>
    <w:basedOn w:val="Normal"/>
    <w:pPr>
      <w:pBdr>
        <w:top w:val="single" w:sz="4" w:space="0" w:color="auto"/>
        <w:bottom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rPr>
  </w:style>
  <w:style w:type="paragraph" w:customStyle="1" w:styleId="xl80">
    <w:name w:val="xl8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82">
    <w:name w:val="xl82"/>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 w:val="20"/>
      <w:szCs w:val="20"/>
    </w:rPr>
  </w:style>
  <w:style w:type="paragraph" w:customStyle="1" w:styleId="xl88">
    <w:name w:val="xl88"/>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90">
    <w:name w:val="xl90"/>
    <w:basedOn w:val="Normal"/>
    <w:pPr>
      <w:pBdr>
        <w:top w:val="single" w:sz="4" w:space="0" w:color="auto"/>
        <w:left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1">
    <w:name w:val="xl91"/>
    <w:basedOn w:val="Normal"/>
    <w:pPr>
      <w:pBdr>
        <w:top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rPr>
  </w:style>
  <w:style w:type="paragraph" w:customStyle="1" w:styleId="xl92">
    <w:name w:val="xl92"/>
    <w:basedOn w:val="Normal"/>
    <w:pPr>
      <w:pBdr>
        <w:top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3">
    <w:name w:val="xl93"/>
    <w:basedOn w:val="Normal"/>
    <w:pPr>
      <w:pBdr>
        <w:top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rPr>
  </w:style>
  <w:style w:type="paragraph" w:customStyle="1" w:styleId="xl94">
    <w:name w:val="xl94"/>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95">
    <w:name w:val="xl95"/>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6">
    <w:name w:val="xl96"/>
    <w:basedOn w:val="Normal"/>
    <w:pPr>
      <w:shd w:val="clear" w:color="000000" w:fill="FFFFFF"/>
      <w:spacing w:before="100" w:beforeAutospacing="1" w:after="100" w:afterAutospacing="1"/>
      <w:jc w:val="center"/>
      <w:textAlignment w:val="center"/>
    </w:pPr>
    <w:rPr>
      <w:rFonts w:ascii="Arial" w:eastAsia="Times New Roman" w:hAnsi="Arial" w:cs="Arial"/>
      <w:b/>
      <w:bCs/>
      <w:szCs w:val="24"/>
    </w:rPr>
  </w:style>
  <w:style w:type="paragraph" w:customStyle="1" w:styleId="xl97">
    <w:name w:val="xl9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0">
    <w:name w:val="xl100"/>
    <w:basedOn w:val="Normal"/>
    <w:pP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2">
    <w:name w:val="xl102"/>
    <w:basedOn w:val="Normal"/>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04">
    <w:name w:val="xl104"/>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6">
    <w:name w:val="xl106"/>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09">
    <w:name w:val="xl109"/>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0">
    <w:name w:val="xl110"/>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1">
    <w:name w:val="xl111"/>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2">
    <w:name w:val="xl11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13">
    <w:name w:val="xl11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14">
    <w:name w:val="xl11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5">
    <w:name w:val="xl11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16">
    <w:name w:val="xl116"/>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7">
    <w:name w:val="xl117"/>
    <w:basedOn w:val="Norma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18">
    <w:name w:val="xl118"/>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19">
    <w:name w:val="xl119"/>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2">
    <w:name w:val="xl12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3">
    <w:name w:val="xl12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4">
    <w:name w:val="xl12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5">
    <w:name w:val="xl125"/>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26">
    <w:name w:val="xl126"/>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27">
    <w:name w:val="xl127"/>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8">
    <w:name w:val="xl1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29">
    <w:name w:val="xl12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0">
    <w:name w:val="xl130"/>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1">
    <w:name w:val="xl13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32">
    <w:name w:val="xl13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3">
    <w:name w:val="xl13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4">
    <w:name w:val="xl134"/>
    <w:basedOn w:val="Normal"/>
    <w:pPr>
      <w:pBdr>
        <w:top w:val="single" w:sz="4"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5">
    <w:name w:val="xl135"/>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36">
    <w:name w:val="xl136"/>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37">
    <w:name w:val="xl13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8">
    <w:name w:val="xl1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39">
    <w:name w:val="xl13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0">
    <w:name w:val="xl140"/>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1">
    <w:name w:val="xl141"/>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2">
    <w:name w:val="xl142"/>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44">
    <w:name w:val="xl144"/>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45">
    <w:name w:val="xl145"/>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6">
    <w:name w:val="xl146"/>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47">
    <w:name w:val="xl147"/>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48">
    <w:name w:val="xl14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49">
    <w:name w:val="xl14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0">
    <w:name w:val="xl150"/>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1">
    <w:name w:val="xl151"/>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2">
    <w:name w:val="xl152"/>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3">
    <w:name w:val="xl153"/>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4">
    <w:name w:val="xl154"/>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55">
    <w:name w:val="xl155"/>
    <w:basedOn w:val="Normal"/>
    <w:pPr>
      <w:pBdr>
        <w:top w:val="single" w:sz="8"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56">
    <w:name w:val="xl156"/>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57">
    <w:name w:val="xl157"/>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58">
    <w:name w:val="xl158"/>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59">
    <w:name w:val="xl159"/>
    <w:basedOn w:val="Normal"/>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0">
    <w:name w:val="xl160"/>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1">
    <w:name w:val="xl161"/>
    <w:basedOn w:val="Normal"/>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2">
    <w:name w:val="xl162"/>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63">
    <w:name w:val="xl16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64">
    <w:name w:val="xl164"/>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5">
    <w:name w:val="xl165"/>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6">
    <w:name w:val="xl166"/>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7">
    <w:name w:val="xl167"/>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68">
    <w:name w:val="xl168"/>
    <w:basedOn w:val="Normal"/>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69">
    <w:name w:val="xl16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rPr>
  </w:style>
  <w:style w:type="paragraph" w:customStyle="1" w:styleId="xl170">
    <w:name w:val="xl170"/>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rPr>
  </w:style>
  <w:style w:type="paragraph" w:customStyle="1" w:styleId="xl171">
    <w:name w:val="xl171"/>
    <w:basedOn w:val="Normal"/>
    <w:pPr>
      <w:pBdr>
        <w:lef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72">
    <w:name w:val="xl172"/>
    <w:basedOn w:val="Normal"/>
    <w:pPr>
      <w:shd w:val="clear" w:color="000000" w:fill="FFFFFF"/>
      <w:spacing w:before="100" w:beforeAutospacing="1" w:after="100" w:afterAutospacing="1"/>
      <w:jc w:val="center"/>
      <w:textAlignment w:val="center"/>
    </w:pPr>
    <w:rPr>
      <w:rFonts w:ascii="Arial" w:eastAsia="Times New Roman" w:hAnsi="Arial" w:cs="Arial"/>
      <w:szCs w:val="24"/>
    </w:rPr>
  </w:style>
  <w:style w:type="paragraph" w:customStyle="1" w:styleId="xl173">
    <w:name w:val="xl173"/>
    <w:basedOn w:val="Normal"/>
    <w:pPr>
      <w:pBdr>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4">
    <w:name w:val="xl17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75">
    <w:name w:val="xl17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76">
    <w:name w:val="xl17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7">
    <w:name w:val="xl177"/>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78">
    <w:name w:val="xl178"/>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79">
    <w:name w:val="xl17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180">
    <w:name w:val="xl18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1">
    <w:name w:val="xl181"/>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182">
    <w:name w:val="xl18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183">
    <w:name w:val="xl18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84">
    <w:name w:val="xl184"/>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Narrow" w:eastAsia="Times New Roman" w:hAnsi="Arial Narrow"/>
      <w:szCs w:val="24"/>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Narrow" w:eastAsia="Times New Roman" w:hAnsi="Arial Narrow"/>
      <w:sz w:val="20"/>
      <w:szCs w:val="20"/>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rPr>
  </w:style>
  <w:style w:type="paragraph" w:customStyle="1" w:styleId="xl189">
    <w:name w:val="xl189"/>
    <w:basedOn w:val="Normal"/>
    <w:pP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2">
    <w:name w:val="xl192"/>
    <w:basedOn w:val="Normal"/>
    <w:pPr>
      <w:pBdr>
        <w:top w:val="single" w:sz="8"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3">
    <w:name w:val="xl19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4">
    <w:name w:val="xl1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rPr>
  </w:style>
  <w:style w:type="paragraph" w:customStyle="1" w:styleId="xl195">
    <w:name w:val="xl195"/>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6">
    <w:name w:val="xl196"/>
    <w:basedOn w:val="Normal"/>
    <w:pPr>
      <w:pBdr>
        <w:top w:val="single" w:sz="4"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Arial Narrow" w:eastAsia="Times New Roman" w:hAnsi="Arial Narrow"/>
      <w:szCs w:val="24"/>
    </w:rPr>
  </w:style>
  <w:style w:type="paragraph" w:customStyle="1" w:styleId="xl197">
    <w:name w:val="xl197"/>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rPr>
  </w:style>
  <w:style w:type="paragraph" w:customStyle="1" w:styleId="xl198">
    <w:name w:val="xl19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0">
    <w:name w:val="xl200"/>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2">
    <w:name w:val="xl202"/>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3">
    <w:name w:val="xl203"/>
    <w:basedOn w:val="Normal"/>
    <w:pPr>
      <w:pBdr>
        <w:top w:val="single" w:sz="8"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4">
    <w:name w:val="xl2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5">
    <w:name w:val="xl205"/>
    <w:basedOn w:val="Normal"/>
    <w:pPr>
      <w:pBdr>
        <w:top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6">
    <w:name w:val="xl206"/>
    <w:basedOn w:val="Normal"/>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7">
    <w:name w:val="xl207"/>
    <w:basedOn w:val="Normal"/>
    <w:pPr>
      <w:pBdr>
        <w:top w:val="single" w:sz="4" w:space="0" w:color="auto"/>
        <w:left w:val="single" w:sz="8" w:space="0" w:color="auto"/>
        <w:bottom w:val="single" w:sz="8"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08">
    <w:name w:val="xl20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rPr>
  </w:style>
  <w:style w:type="paragraph" w:customStyle="1" w:styleId="xl209">
    <w:name w:val="xl209"/>
    <w:basedOn w:val="Normal"/>
    <w:pPr>
      <w:pBdr>
        <w:top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rPr>
  </w:style>
  <w:style w:type="paragraph" w:customStyle="1" w:styleId="xl210">
    <w:name w:val="xl21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2">
    <w:name w:val="xl21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13">
    <w:name w:val="xl213"/>
    <w:basedOn w:val="Normal"/>
    <w:pPr>
      <w:pBdr>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4">
    <w:name w:val="xl214"/>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5">
    <w:name w:val="xl215"/>
    <w:basedOn w:val="Normal"/>
    <w:pPr>
      <w:pBdr>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6">
    <w:name w:val="xl216"/>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17">
    <w:name w:val="xl217"/>
    <w:basedOn w:val="Normal"/>
    <w:pPr>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rPr>
  </w:style>
  <w:style w:type="paragraph" w:customStyle="1" w:styleId="xl219">
    <w:name w:val="xl219"/>
    <w:basedOn w:val="Normal"/>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21">
    <w:name w:val="xl221"/>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Cs w:val="24"/>
    </w:rPr>
  </w:style>
  <w:style w:type="paragraph" w:customStyle="1" w:styleId="xl222">
    <w:name w:val="xl222"/>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rPr>
  </w:style>
  <w:style w:type="paragraph" w:customStyle="1" w:styleId="xl223">
    <w:name w:val="xl223"/>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4">
    <w:name w:val="xl224"/>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5">
    <w:name w:val="xl225"/>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6">
    <w:name w:val="xl226"/>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7">
    <w:name w:val="xl227"/>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0"/>
      <w:szCs w:val="20"/>
    </w:rPr>
  </w:style>
  <w:style w:type="paragraph" w:customStyle="1" w:styleId="xl229">
    <w:name w:val="xl22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20"/>
      <w:szCs w:val="20"/>
    </w:rPr>
  </w:style>
  <w:style w:type="paragraph" w:customStyle="1" w:styleId="xl230">
    <w:name w:val="xl230"/>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1">
    <w:name w:val="xl231"/>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2">
    <w:name w:val="xl232"/>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3">
    <w:name w:val="xl233"/>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4">
    <w:name w:val="xl234"/>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5">
    <w:name w:val="xl235"/>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6">
    <w:name w:val="xl236"/>
    <w:basedOn w:val="Normal"/>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37">
    <w:name w:val="xl23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38">
    <w:name w:val="xl238"/>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39">
    <w:name w:val="xl23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Cs w:val="24"/>
    </w:rPr>
  </w:style>
  <w:style w:type="paragraph" w:customStyle="1" w:styleId="xl240">
    <w:name w:val="xl240"/>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1">
    <w:name w:val="xl24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2">
    <w:name w:val="xl24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3">
    <w:name w:val="xl243"/>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44">
    <w:name w:val="xl244"/>
    <w:basedOn w:val="Normal"/>
    <w:pPr>
      <w:pBdr>
        <w:top w:val="single" w:sz="8" w:space="0" w:color="auto"/>
        <w:lef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5">
    <w:name w:val="xl245"/>
    <w:basedOn w:val="Normal"/>
    <w:pPr>
      <w:pBdr>
        <w:top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6">
    <w:name w:val="xl246"/>
    <w:basedOn w:val="Normal"/>
    <w:pPr>
      <w:pBdr>
        <w:top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47">
    <w:name w:val="xl247"/>
    <w:basedOn w:val="Normal"/>
    <w:pPr>
      <w:shd w:val="clear" w:color="000000" w:fill="FFFFFF"/>
      <w:spacing w:before="100" w:beforeAutospacing="1" w:after="100" w:afterAutospacing="1"/>
      <w:jc w:val="left"/>
    </w:pPr>
    <w:rPr>
      <w:rFonts w:ascii="Arial" w:eastAsia="Times New Roman" w:hAnsi="Arial" w:cs="Arial"/>
      <w:b/>
      <w:bCs/>
      <w:szCs w:val="24"/>
    </w:rPr>
  </w:style>
  <w:style w:type="paragraph" w:customStyle="1" w:styleId="xl248">
    <w:name w:val="xl248"/>
    <w:basedOn w:val="Normal"/>
    <w:pPr>
      <w:shd w:val="clear" w:color="000000" w:fill="FFFFFF"/>
      <w:spacing w:before="100" w:beforeAutospacing="1" w:after="100" w:afterAutospacing="1"/>
      <w:jc w:val="left"/>
      <w:textAlignment w:val="top"/>
    </w:pPr>
    <w:rPr>
      <w:rFonts w:ascii="Arial" w:eastAsia="Times New Roman" w:hAnsi="Arial" w:cs="Arial"/>
      <w:b/>
      <w:bCs/>
      <w:szCs w:val="24"/>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4"/>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rPr>
  </w:style>
  <w:style w:type="paragraph" w:customStyle="1" w:styleId="xl251">
    <w:name w:val="xl251"/>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3">
    <w:name w:val="xl253"/>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54">
    <w:name w:val="xl25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5">
    <w:name w:val="xl2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6">
    <w:name w:val="xl25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7">
    <w:name w:val="xl25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59">
    <w:name w:val="xl25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rPr>
  </w:style>
  <w:style w:type="paragraph" w:customStyle="1" w:styleId="xl260">
    <w:name w:val="xl260"/>
    <w:basedOn w:val="Normal"/>
    <w:pPr>
      <w:pBdr>
        <w:top w:val="single" w:sz="4" w:space="0" w:color="auto"/>
        <w:left w:val="single" w:sz="4" w:space="0" w:color="auto"/>
        <w:right w:val="single" w:sz="8" w:space="0" w:color="auto"/>
      </w:pBdr>
      <w:spacing w:before="100" w:beforeAutospacing="1" w:after="100" w:afterAutospacing="1"/>
      <w:jc w:val="center"/>
      <w:textAlignment w:val="top"/>
    </w:pPr>
    <w:rPr>
      <w:rFonts w:ascii="Arial Narrow" w:eastAsia="Times New Roman" w:hAnsi="Arial Narrow"/>
      <w:szCs w:val="24"/>
    </w:rPr>
  </w:style>
  <w:style w:type="paragraph" w:customStyle="1" w:styleId="xl261">
    <w:name w:val="xl261"/>
    <w:basedOn w:val="Normal"/>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2">
    <w:name w:val="xl262"/>
    <w:basedOn w:val="Normal"/>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Cs w:val="24"/>
    </w:rPr>
  </w:style>
  <w:style w:type="paragraph" w:customStyle="1" w:styleId="xl263">
    <w:name w:val="xl263"/>
    <w:basedOn w:val="Normal"/>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4">
    <w:name w:val="xl26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5">
    <w:name w:val="xl265"/>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6">
    <w:name w:val="xl26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267">
    <w:name w:val="xl267"/>
    <w:basedOn w:val="Normal"/>
    <w:pPr>
      <w:pBdr>
        <w:top w:val="single" w:sz="8"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rPr>
  </w:style>
  <w:style w:type="paragraph" w:customStyle="1" w:styleId="xl268">
    <w:name w:val="xl268"/>
    <w:basedOn w:val="Normal"/>
    <w:pPr>
      <w:pBdr>
        <w:top w:val="single" w:sz="8" w:space="0" w:color="auto"/>
        <w:left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69">
    <w:name w:val="xl269"/>
    <w:basedOn w:val="Normal"/>
    <w:pPr>
      <w:pBdr>
        <w:top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0">
    <w:name w:val="xl270"/>
    <w:basedOn w:val="Normal"/>
    <w:pPr>
      <w:pBdr>
        <w:top w:val="single" w:sz="8" w:space="0" w:color="auto"/>
        <w:bottom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1">
    <w:name w:val="xl271"/>
    <w:basedOn w:val="Normal"/>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2">
    <w:name w:val="xl272"/>
    <w:basedOn w:val="Normal"/>
    <w:pPr>
      <w:pBdr>
        <w:top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3">
    <w:name w:val="xl273"/>
    <w:basedOn w:val="Normal"/>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rPr>
  </w:style>
  <w:style w:type="paragraph" w:customStyle="1" w:styleId="xl274">
    <w:name w:val="xl274"/>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5">
    <w:name w:val="xl275"/>
    <w:basedOn w:val="Normal"/>
    <w:pPr>
      <w:pBdr>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customStyle="1" w:styleId="xl276">
    <w:name w:val="xl276"/>
    <w:basedOn w:val="Normal"/>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rPr>
  </w:style>
  <w:style w:type="paragraph" w:styleId="Revision">
    <w:name w:val="Revision"/>
    <w:hidden/>
    <w:uiPriority w:val="99"/>
    <w:semiHidden/>
    <w:pPr>
      <w:spacing w:after="0" w:line="240" w:lineRule="auto"/>
    </w:p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rPr>
  </w:style>
  <w:style w:type="character" w:customStyle="1" w:styleId="Corpsdutexte9">
    <w:name w:val="Corps du texte (9)"/>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rPr>
  </w:style>
  <w:style w:type="character" w:customStyle="1" w:styleId="Corpsdutexte4">
    <w:name w:val="Corps du texte (4)"/>
    <w:basedOn w:val="DefaultParagraphFon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19</Pages>
  <Words>4528</Words>
  <Characters>20921</Characters>
  <Application>Microsoft Office Word</Application>
  <DocSecurity>0</DocSecurity>
  <Lines>1230</Lines>
  <Paragraphs>795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KRETTEK Heike (ELARG)</dc:creator>
  <cp:lastModifiedBy>DIGIT/A3</cp:lastModifiedBy>
  <cp:revision>7</cp:revision>
  <dcterms:created xsi:type="dcterms:W3CDTF">2016-09-26T19:27:00Z</dcterms:created>
  <dcterms:modified xsi:type="dcterms:W3CDTF">2016-10-05T08:21:00Z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