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6" type="#_x0000_t75" alt="95B3C2C5DFFE43BDBCDE5EEDD1757C0B" style="width:450.75pt;height:407.25pt">
            <v:imagedata r:id="rId9" o:title=""/>
          </v:shape>
        </w:pict>
      </w:r>
    </w:p>
    <w:p>
      <w:pPr>
        <w:rPr>
          <w:noProof/>
        </w:rPr>
        <w:sectPr>
          <w:footerReference w:type="default" r:id="rId10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Exposdesmotifstitre"/>
        <w:rPr>
          <w:noProof/>
        </w:rPr>
      </w:pPr>
      <w:bookmarkStart w:id="0" w:name="_GoBack"/>
      <w:bookmarkEnd w:id="0"/>
      <w:r>
        <w:rPr>
          <w:noProof/>
        </w:rPr>
        <w:lastRenderedPageBreak/>
        <w:t>ОБЯСНИТЕЛЕН МЕМОРАНДУМ</w:t>
      </w:r>
    </w:p>
    <w:p>
      <w:pPr>
        <w:rPr>
          <w:rFonts w:eastAsia="Calibri"/>
          <w:noProof/>
        </w:rPr>
      </w:pPr>
      <w:r>
        <w:rPr>
          <w:noProof/>
        </w:rPr>
        <w:t>Приложеното предложение представлява правният инструмент за сключването на Протокол към Споразумението за стабилизиране и асоцииране между Европейските общности и техните държави членки, от една страна, и Босна и Херцеговина, от друга страна, с оглед на присъединяването на Република Хърватия към Европейския съюз (наричан по-нататък „Протоколът“).</w:t>
      </w:r>
    </w:p>
    <w:p>
      <w:pPr>
        <w:rPr>
          <w:rFonts w:eastAsia="Calibri"/>
          <w:noProof/>
        </w:rPr>
      </w:pPr>
      <w:r>
        <w:rPr>
          <w:noProof/>
        </w:rPr>
        <w:t>Съгласно Акта за присъединяване Хърватия се присъединява към международните споразумения, които са подписани или сключени от Европейския съюз и неговите държави членки, посредством протокол към тези споразумения.</w:t>
      </w:r>
    </w:p>
    <w:p>
      <w:pPr>
        <w:rPr>
          <w:rFonts w:eastAsia="Calibri"/>
          <w:noProof/>
        </w:rPr>
      </w:pPr>
      <w:r>
        <w:rPr>
          <w:noProof/>
        </w:rPr>
        <w:t>Споразумението за стабилизиране и асоцииране между Европейските общности и техните държави членки, от една страна, и Босна и Херцеговина, от друга страна, наричано по-нататък „ССА“, бе подписано в Люксембург на 16 юни 2008 г. и влезе в сила на 1 юни 2015 г.</w:t>
      </w:r>
    </w:p>
    <w:p>
      <w:pPr>
        <w:rPr>
          <w:rFonts w:eastAsia="Calibri"/>
          <w:noProof/>
        </w:rPr>
      </w:pPr>
      <w:r>
        <w:rPr>
          <w:noProof/>
        </w:rPr>
        <w:t>На 24 септември 2012 г. Съветът упълномощи Комисията да започне преговори с Босна и Херцеговина от името на Европейския съюз и неговите държави членки и Република Хърватия за сключване на Протокол към Споразумението за стабилизиране и асоцииране между Европейските общности и техните държави членки, от една страна, и Босна и Херцеговина, от друга страна, с оглед на присъединяването на Република Хърватия към Европейския съюз.</w:t>
      </w:r>
    </w:p>
    <w:p>
      <w:pPr>
        <w:rPr>
          <w:rFonts w:eastAsia="Calibri"/>
          <w:noProof/>
        </w:rPr>
      </w:pPr>
      <w:r>
        <w:rPr>
          <w:noProof/>
        </w:rPr>
        <w:t>Няколко кръга от преговори бяха проведени между 13 декември 2012 г. и 28 април 2016 г. След допълнителни технически консултации и кореспонденция Протоколът бе парафиран от Комисията и от Босна и Херцеговина на 18 юли 2016 г.</w:t>
      </w:r>
    </w:p>
    <w:p>
      <w:pPr>
        <w:rPr>
          <w:noProof/>
          <w:szCs w:val="20"/>
        </w:rPr>
      </w:pPr>
      <w:r>
        <w:rPr>
          <w:noProof/>
        </w:rPr>
        <w:t xml:space="preserve">Комисията предлага Съветът да вземе решение за сключването на Протокола от името на Европейския съюз и неговите държави членки. Подписването и временното прилагане на Протокола са предмет на предложение за отделно решение на Съвета. Сключването на Протокола от името на Европейската общност за атомна енергия (Евратом) подлежи на отделна процедура, в рамките на която Комисията препоръчва Съветът да даде своето одобрение съгласно член 101 от Договора за създаване на Евратом. </w:t>
      </w:r>
    </w:p>
    <w:p>
      <w:pPr>
        <w:spacing w:before="0" w:after="200"/>
        <w:rPr>
          <w:rFonts w:eastAsia="Calibri"/>
          <w:noProof/>
        </w:rPr>
      </w:pPr>
      <w:r>
        <w:rPr>
          <w:noProof/>
        </w:rPr>
        <w:t>Приложеното предложение е за решение на Съвета за сключването на Протокола. Комисията предлага Съветът:</w:t>
      </w:r>
    </w:p>
    <w:p>
      <w:pPr>
        <w:pStyle w:val="Tiret0"/>
        <w:numPr>
          <w:ilvl w:val="0"/>
          <w:numId w:val="1"/>
        </w:numPr>
        <w:rPr>
          <w:rFonts w:eastAsia="Arial Unicode MS"/>
          <w:noProof/>
          <w:color w:val="008000"/>
        </w:rPr>
      </w:pPr>
      <w:r>
        <w:rPr>
          <w:noProof/>
        </w:rPr>
        <w:t>да сключи Протокола от името на Европейския съюз и неговите държави членки.</w:t>
      </w:r>
    </w:p>
    <w:p>
      <w:pPr>
        <w:rPr>
          <w:noProof/>
        </w:rPr>
        <w:sectPr>
          <w:footerReference w:type="default" r:id="rId11"/>
          <w:footerReference w:type="first" r:id="rId12"/>
          <w:pgSz w:w="11907" w:h="16839"/>
          <w:pgMar w:top="1134" w:right="1417" w:bottom="1134" w:left="1417" w:header="709" w:footer="709" w:gutter="0"/>
          <w:cols w:space="708"/>
          <w:docGrid w:linePitch="360"/>
        </w:sectPr>
      </w:pPr>
    </w:p>
    <w:p>
      <w:pPr>
        <w:pStyle w:val="Rfrenceinterinstitutionnelle"/>
        <w:rPr>
          <w:noProof/>
        </w:rPr>
      </w:pPr>
      <w:r>
        <w:rPr>
          <w:noProof/>
        </w:rPr>
        <w:t>2016/0311 (NLE)</w:t>
      </w:r>
    </w:p>
    <w:p>
      <w:pPr>
        <w:pStyle w:val="Statut"/>
        <w:rPr>
          <w:noProof/>
        </w:rPr>
      </w:pPr>
      <w:r>
        <w:rPr>
          <w:noProof/>
        </w:rPr>
        <w:t>Предложение за</w:t>
      </w:r>
    </w:p>
    <w:p>
      <w:pPr>
        <w:pStyle w:val="Typedudocument"/>
        <w:rPr>
          <w:noProof/>
        </w:rPr>
      </w:pPr>
      <w:r>
        <w:rPr>
          <w:noProof/>
        </w:rPr>
        <w:t>РЕШЕНИЕ НА СЪВЕТА</w:t>
      </w:r>
    </w:p>
    <w:p>
      <w:pPr>
        <w:pStyle w:val="Titreobjet"/>
        <w:rPr>
          <w:noProof/>
        </w:rPr>
      </w:pPr>
      <w:r>
        <w:rPr>
          <w:noProof/>
        </w:rPr>
        <w:t>за сключването, от името на Европейския съюз и неговите държави членки,</w:t>
      </w:r>
      <w:r>
        <w:rPr>
          <w:noProof/>
        </w:rPr>
        <w:br/>
        <w:t>на Протокола към Споразумението за стабилизиране и асоцииране между</w:t>
      </w:r>
      <w:r>
        <w:rPr>
          <w:noProof/>
        </w:rPr>
        <w:br/>
        <w:t>Европейските общности и техните държави членки, от една страна, и</w:t>
      </w:r>
      <w:r>
        <w:rPr>
          <w:noProof/>
        </w:rPr>
        <w:br/>
        <w:t>Босна и Херцеговина, от друга страна, с оглед на</w:t>
      </w:r>
      <w:r>
        <w:rPr>
          <w:noProof/>
        </w:rPr>
        <w:br/>
        <w:t>присъединяването на Република Хърватия към Европейския съюз</w:t>
      </w:r>
      <w:r>
        <w:rPr>
          <w:noProof/>
        </w:rPr>
        <w:br/>
      </w:r>
    </w:p>
    <w:p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217 във връзка с член 218, параграф 6, втора алинея, буква а), подточка i) и член 218, параграф 8, втора алинея от него,</w:t>
      </w:r>
    </w:p>
    <w:p>
      <w:pPr>
        <w:rPr>
          <w:noProof/>
        </w:rPr>
      </w:pPr>
      <w:r>
        <w:rPr>
          <w:noProof/>
        </w:rPr>
        <w:t>като взе предвид Акта за присъединяването на Република Хърватия, и по-специално член 6, параграф 2, втора алинея от него,</w:t>
      </w:r>
    </w:p>
    <w:p>
      <w:pPr>
        <w:rPr>
          <w:noProof/>
        </w:rPr>
      </w:pPr>
      <w:r>
        <w:rPr>
          <w:noProof/>
        </w:rPr>
        <w:t>като взе предвид предложението на Европейската комисия,</w:t>
      </w:r>
    </w:p>
    <w:p>
      <w:pPr>
        <w:rPr>
          <w:noProof/>
        </w:rPr>
      </w:pPr>
      <w:r>
        <w:rPr>
          <w:noProof/>
        </w:rPr>
        <w:t>като взе предвид одобрението на Европейския парламент,</w:t>
      </w:r>
    </w:p>
    <w:p>
      <w:pPr>
        <w:rPr>
          <w:noProof/>
        </w:rPr>
      </w:pPr>
      <w:r>
        <w:rPr>
          <w:noProof/>
        </w:rPr>
        <w:t>като има предвид, че:</w:t>
      </w:r>
    </w:p>
    <w:p>
      <w:pPr>
        <w:pStyle w:val="ManualConsidrant"/>
        <w:rPr>
          <w:noProof/>
        </w:rPr>
      </w:pPr>
      <w:r>
        <w:t>(1)</w:t>
      </w:r>
      <w:r>
        <w:tab/>
      </w:r>
      <w:r>
        <w:rPr>
          <w:noProof/>
        </w:rPr>
        <w:t>В съответствие с Решение 2016/…/ЕС на Съвета</w:t>
      </w:r>
      <w:r>
        <w:rPr>
          <w:rStyle w:val="FootnoteReference"/>
          <w:noProof/>
        </w:rPr>
        <w:footnoteReference w:id="1"/>
      </w:r>
      <w:r>
        <w:rPr>
          <w:rStyle w:val="FootnoteReference"/>
          <w:rFonts w:eastAsia="Calibri"/>
          <w:noProof/>
        </w:rPr>
        <w:sym w:font="Symbol" w:char="F02A"/>
      </w:r>
      <w:r>
        <w:rPr>
          <w:noProof/>
        </w:rPr>
        <w:t xml:space="preserve"> Протоколът към Споразумението за стабилизиране и асоцииране между Европейските общности и техните държави членки, от една страна, и Босна и Херцеговина, от друга страна, с оглед на присъединяването на Република Хърватия към Европейския съюз („Протоколът“) бе подписан на […] , при условие че бъде сключен на по-късна дата. </w:t>
      </w:r>
    </w:p>
    <w:p>
      <w:pPr>
        <w:pStyle w:val="ManualConsidrant"/>
        <w:rPr>
          <w:noProof/>
        </w:rPr>
      </w:pPr>
      <w:r>
        <w:t>(2)</w:t>
      </w:r>
      <w:r>
        <w:tab/>
      </w:r>
      <w:r>
        <w:rPr>
          <w:noProof/>
        </w:rPr>
        <w:footnoteReference w:customMarkFollows="1" w:id="2"/>
        <w:t>Подписването и сключването на Протокола подлежи на отделна процедура във връзка с въпросите, попадащи в приложното поле на Договора за създаване на Европейската общност за атомна енергия.</w:t>
      </w:r>
    </w:p>
    <w:p>
      <w:pPr>
        <w:pStyle w:val="ManualConsidrant"/>
        <w:rPr>
          <w:noProof/>
        </w:rPr>
      </w:pPr>
      <w:r>
        <w:t>(3)</w:t>
      </w:r>
      <w:r>
        <w:tab/>
      </w:r>
      <w:r>
        <w:rPr>
          <w:noProof/>
        </w:rPr>
        <w:t>Протоколът следва да бъде одобрен,</w:t>
      </w:r>
    </w:p>
    <w:p>
      <w:pPr>
        <w:pStyle w:val="Formuledadoption"/>
        <w:rPr>
          <w:noProof/>
        </w:rPr>
      </w:pPr>
      <w:r>
        <w:rPr>
          <w:noProof/>
        </w:rPr>
        <w:t xml:space="preserve">ПРИЕ НАСТОЯЩОТО РЕШЕНИЕ: </w:t>
      </w:r>
    </w:p>
    <w:p>
      <w:pPr>
        <w:rPr>
          <w:noProof/>
        </w:rPr>
      </w:pPr>
      <w:r>
        <w:rPr>
          <w:noProof/>
        </w:rPr>
        <w:br w:type="page"/>
      </w:r>
    </w:p>
    <w:p>
      <w:pPr>
        <w:pStyle w:val="Titrearticle"/>
        <w:rPr>
          <w:noProof/>
        </w:rPr>
      </w:pPr>
      <w:r>
        <w:rPr>
          <w:noProof/>
        </w:rPr>
        <w:t>Член 1</w:t>
      </w:r>
    </w:p>
    <w:p>
      <w:pPr>
        <w:rPr>
          <w:noProof/>
        </w:rPr>
      </w:pPr>
      <w:r>
        <w:rPr>
          <w:noProof/>
        </w:rPr>
        <w:t>Протоколът към Споразумението за стабилизиране и асоцииране между Европейските общности и техните държави членки, от една страна, и Босна и Херцеговина, от друга страна, с оглед на присъединяването на Република Хърватия към Европейския съюз се одобрява от името на Съюза и неговите държави членки</w:t>
      </w:r>
      <w:r>
        <w:rPr>
          <w:rStyle w:val="FootnoteReference"/>
          <w:noProof/>
        </w:rPr>
        <w:footnoteReference w:id="3"/>
      </w:r>
      <w:r>
        <w:rPr>
          <w:noProof/>
        </w:rPr>
        <w:t xml:space="preserve">. </w:t>
      </w:r>
    </w:p>
    <w:p>
      <w:pPr>
        <w:pStyle w:val="Titrearticle"/>
        <w:rPr>
          <w:noProof/>
        </w:rPr>
      </w:pPr>
      <w:r>
        <w:rPr>
          <w:noProof/>
        </w:rPr>
        <w:t>Член 2</w:t>
      </w:r>
    </w:p>
    <w:p>
      <w:pPr>
        <w:rPr>
          <w:noProof/>
        </w:rPr>
      </w:pPr>
      <w:r>
        <w:rPr>
          <w:noProof/>
        </w:rPr>
        <w:t xml:space="preserve">Председателят на Съвета посочва лицето или лицата, упълномощени от името на Европейския съюз и неговите държави членки да депозират инструмента за одобрение, предвиден в член 4, параграф 7 от Протокола. </w:t>
      </w:r>
    </w:p>
    <w:p>
      <w:pPr>
        <w:pStyle w:val="Titrearticle"/>
        <w:rPr>
          <w:noProof/>
        </w:rPr>
      </w:pPr>
      <w:r>
        <w:rPr>
          <w:noProof/>
        </w:rPr>
        <w:t>Член 3</w:t>
      </w:r>
    </w:p>
    <w:p>
      <w:pPr>
        <w:rPr>
          <w:noProof/>
        </w:rPr>
      </w:pPr>
      <w:r>
        <w:rPr>
          <w:noProof/>
        </w:rPr>
        <w:t xml:space="preserve">Настоящото решение влиза в сила в деня на приемането му. </w:t>
      </w:r>
    </w:p>
    <w:p>
      <w:pPr>
        <w:pStyle w:val="Fait"/>
        <w:rPr>
          <w:noProof/>
        </w:rPr>
      </w:pPr>
      <w:r>
        <w:rPr>
          <w:noProof/>
        </w:rPr>
        <w:t>Съставено в Брюксел на  година.</w:t>
      </w:r>
    </w:p>
    <w:p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4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footnoteRef/>
      </w:r>
      <w:r>
        <w:tab/>
        <w:t>[Решение 2016/…/EС на Съвета от […2016 г.] за подписване, от името на Европейския съюз и неговите държави членки, и временно прилагане на Протокола към Споразумението за стабилизиране и асоцииране между Европейските общности и техните държави членки, от една страна, и Босна и Херцеговина, от друга страна, с оглед на присъединяването на Република Хърватия към Европейския съюз (OВ L […], […], стp.[…]). ]</w:t>
      </w:r>
      <w:r>
        <w:tab/>
      </w:r>
    </w:p>
  </w:footnote>
  <w:footnote w:id="2">
    <w:p>
      <w:pPr>
        <w:pStyle w:val="FootnoteText"/>
      </w:pPr>
    </w:p>
  </w:footnote>
  <w:footnote w:id="3">
    <w:p>
      <w:pPr>
        <w:pStyle w:val="FootnoteText"/>
      </w:pPr>
      <w:r>
        <w:rPr>
          <w:rStyle w:val="FootnoteReference"/>
        </w:rPr>
        <w:footnoteRef/>
      </w:r>
      <w:r>
        <w:tab/>
        <w:t>Текстът на Протокола е публикуван заедно с решението за подписването му (вж. страница [..] от настоящия брой на Официален вестник)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3A2823C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984AC7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A57E3CB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8EC23AC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EF7CFA9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EB7A5EA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CC28CAF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57D8626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18"/>
    <w:lvlOverride w:ilvl="0">
      <w:startOverride w:val="1"/>
    </w:lvlOverride>
  </w:num>
  <w:num w:numId="2">
    <w:abstractNumId w:val="21"/>
    <w:lvlOverride w:ilvl="0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10"/>
  <w:hideSpellingErrors/>
  <w:hideGrammaticalErrors/>
  <w:attachedTemplate r:id="rId1"/>
  <w:revisionView w:markup="0"/>
  <w:defaultTabStop w:val="720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6-10-05 10:17:54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1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3"/>
    <w:docVar w:name="DQCWithWarnings" w:val="0"/>
    <w:docVar w:name="LW_CONFIDENCE" w:val=" "/>
    <w:docVar w:name="LW_CONST_RESTREINT_UE" w:val="RESTREINT UE"/>
    <w:docVar w:name="LW_CORRIGENDUM" w:val="&lt;UNUSED&gt;"/>
    <w:docVar w:name="LW_COVERPAGE_GUID" w:val="95B3C2C5DFFE43BDBCDE5EEDD1757C0B"/>
    <w:docVar w:name="LW_CROSSREFERENCE" w:val="&lt;UNUSED&gt;"/>
    <w:docVar w:name="LW_DocType" w:val="COM"/>
    <w:docVar w:name="LW_EMISSION" w:val="6.10.2016"/>
    <w:docVar w:name="LW_EMISSION_ISODATE" w:val="2016-10-06"/>
    <w:docVar w:name="LW_EMISSION_LOCATION" w:val="BRX"/>
    <w:docVar w:name="LW_EMISSION_PREFIX" w:val="Брюксел, "/>
    <w:docVar w:name="LW_EMISSION_SUFFIX" w:val=" \u1075?."/>
    <w:docVar w:name="LW_ID_DOCMODEL" w:val="SJ-019"/>
    <w:docVar w:name="LW_ID_DOCSIGNATURE" w:val="SJ-019"/>
    <w:docVar w:name="LW_ID_DOCSTRUCTURE" w:val="COM/PL/ORG"/>
    <w:docVar w:name="LW_ID_DOCTYPE" w:val="SJ-019"/>
    <w:docVar w:name="LW_ID_STATUT" w:val="SJ-019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NLE"/>
    <w:docVar w:name="LW_REF.II.NEW.CP_NUMBER" w:val="0311"/>
    <w:docVar w:name="LW_REF.II.NEW.CP_YEAR" w:val="2016"/>
    <w:docVar w:name="LW_REF.INST.NEW" w:val="COM"/>
    <w:docVar w:name="LW_REF.INST.NEW_ADOPTED" w:val="final"/>
    <w:docVar w:name="LW_REF.INST.NEW_TEXT" w:val="(2016) 640"/>
    <w:docVar w:name="LW_REF.INTERNE" w:val="&lt;UNUSED&gt;"/>
    <w:docVar w:name="LW_SOUS.TITRE.OBJ.CP" w:val="&lt;UNUSED&gt;"/>
    <w:docVar w:name="LW_STATUT.CP" w:val="\u1055?\u1088?\u1077?\u1076?\u1083?\u1086?\u1078?\u1077?\u1085?\u1080?\u1077? \u1079?\u1072?"/>
    <w:docVar w:name="LW_SUPERTITRE" w:val="&lt;UNUSED&gt;"/>
    <w:docVar w:name="LW_TITRE.OBJ.CP" w:val="\u1079?\u1072? \u1089?\u1082?\u1083?\u1102?\u1095?\u1074?\u1072?\u1085?\u1077?\u1090?\u1086?, \u1086?\u1090? \u1080?\u1084?\u1077?\u1090?\u1086? \u1085?\u1072? \u1045?\u1074?\u1088?\u1086?\u1087?\u1077?\u1081?\u1089?\u1082?\u1080?\u1103? \u1089?\u1098?\u1102?\u1079? \u1080? \u1085?\u1077?\u1075?\u1086?\u1074?\u1080?\u1090?\u1077? \u1076?\u1098?\u1088?\u1078?\u1072?\u1074?\u1080? \u1095?\u1083?\u1077?\u1085?\u1082?\u1080?,_x000b_\u1085?\u1072? \u1055?\u1088?\u1086?\u1090?\u1086?\u1082?\u1086?\u1083?\u1072? \u1082?\u1098?\u1084? \u1057?\u1087?\u1086?\u1088?\u1072?\u1079?\u1091?\u1084?\u1077?\u1085?\u1080?\u1077?\u1090?\u1086? \u1079?\u1072? \u1089?\u1090?\u1072?\u1073?\u1080?\u1083?\u1080?\u1079?\u1080?\u1088?\u1072?\u1085?\u1077? \u1080? \u1072?\u1089?\u1086?\u1094?\u1080?\u1080?\u1088?\u1072?\u1085?\u1077? \u1084?\u1077?\u1078?\u1076?\u1091?_x000b_\u1045?\u1074?\u1088?\u1086?\u1087?\u1077?\u1081?\u1089?\u1082?\u1080?\u1090?\u1077? \u1086?\u1073?\u1097?\u1085?\u1086?\u1089?\u1090?\u1080? \u1080? \u1090?\u1077?\u1093?\u1085?\u1080?\u1090?\u1077? \u1076?\u1098?\u1088?\u1078?\u1072?\u1074?\u1080? \u1095?\u1083?\u1077?\u1085?\u1082?\u1080?, \u1086?\u1090? \u1077?\u1076?\u1085?\u1072? \u1089?\u1090?\u1088?\u1072?\u1085?\u1072?, \u1080?_x000b_\u1041?\u1086?\u1089?\u1085?\u1072? \u1080? \u1061?\u1077?\u1088?\u1094?\u1077?\u1075?\u1086?\u1074?\u1080?\u1085?\u1072?, \u1086?\u1090? \u1076?\u1088?\u1091?\u1075?\u1072? \u1089?\u1090?\u1088?\u1072?\u1085?\u1072?, \u1089? \u1086?\u1075?\u1083?\u1077?\u1076? \u1085?\u1072?_x000b_\u1087?\u1088?\u1080?\u1089?\u1098?\u1077?\u1076?\u1080?\u1085?\u1103?\u1074?\u1072?\u1085?\u1077?\u1090?\u1086? \u1085?\u1072? \u1056?\u1077?\u1087?\u1091?\u1073?\u1083?\u1080?\u1082?\u1072? \u1061?\u1098?\u1088?\u1074?\u1072?\u1090?\u1080?\u1103? \u1082?\u1098?\u1084? \u1045?\u1074?\u1088?\u1086?\u1087?\u1077?\u1081?\u1089?\u1082?\u1080?\u1103? \u1089?\u1098?\u1102?\u1079?_x000b_"/>
    <w:docVar w:name="LW_TYPE.DOC.CP" w:val="\u1056?\u1045?\u1064?\u1045?\u1053?\u1048?\u1045? \u1053?\u1040? \u1057?\u1066?\u1042?\u1045?\u1058?\u1040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7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7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7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7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gnefinal">
    <w:name w:val="Ligne final"/>
    <w:basedOn w:val="Normal"/>
    <w:next w:val="Normal"/>
    <w:pPr>
      <w:pBdr>
        <w:bottom w:val="single" w:sz="4" w:space="0" w:color="000000"/>
      </w:pBdr>
      <w:spacing w:before="360" w:line="360" w:lineRule="auto"/>
      <w:ind w:left="3400" w:right="3400"/>
      <w:jc w:val="center"/>
    </w:pPr>
    <w:rPr>
      <w:rFonts w:eastAsia="Times New Roman"/>
      <w:b/>
      <w:szCs w:val="24"/>
    </w:rPr>
  </w:style>
  <w:style w:type="character" w:styleId="CommentReference">
    <w:name w:val="annotation reference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11"/>
      </w:numPr>
    </w:pPr>
  </w:style>
  <w:style w:type="paragraph" w:customStyle="1" w:styleId="Tiret1">
    <w:name w:val="Tiret 1"/>
    <w:basedOn w:val="Point1"/>
    <w:pPr>
      <w:numPr>
        <w:numId w:val="12"/>
      </w:numPr>
    </w:pPr>
  </w:style>
  <w:style w:type="paragraph" w:customStyle="1" w:styleId="Tiret2">
    <w:name w:val="Tiret 2"/>
    <w:basedOn w:val="Point2"/>
    <w:pPr>
      <w:numPr>
        <w:numId w:val="13"/>
      </w:numPr>
    </w:pPr>
  </w:style>
  <w:style w:type="paragraph" w:customStyle="1" w:styleId="Tiret3">
    <w:name w:val="Tiret 3"/>
    <w:basedOn w:val="Point3"/>
    <w:pPr>
      <w:numPr>
        <w:numId w:val="14"/>
      </w:numPr>
    </w:pPr>
  </w:style>
  <w:style w:type="paragraph" w:customStyle="1" w:styleId="Tiret4">
    <w:name w:val="Tiret 4"/>
    <w:basedOn w:val="Point4"/>
    <w:pPr>
      <w:numPr>
        <w:numId w:val="15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6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6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6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6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8"/>
      </w:numPr>
    </w:pPr>
  </w:style>
  <w:style w:type="paragraph" w:customStyle="1" w:styleId="Point1number">
    <w:name w:val="Point 1 (number)"/>
    <w:basedOn w:val="Normal"/>
    <w:pPr>
      <w:numPr>
        <w:ilvl w:val="2"/>
        <w:numId w:val="18"/>
      </w:numPr>
    </w:pPr>
  </w:style>
  <w:style w:type="paragraph" w:customStyle="1" w:styleId="Point2number">
    <w:name w:val="Point 2 (number)"/>
    <w:basedOn w:val="Normal"/>
    <w:pPr>
      <w:numPr>
        <w:ilvl w:val="4"/>
        <w:numId w:val="18"/>
      </w:numPr>
    </w:pPr>
  </w:style>
  <w:style w:type="paragraph" w:customStyle="1" w:styleId="Point3number">
    <w:name w:val="Point 3 (number)"/>
    <w:basedOn w:val="Normal"/>
    <w:pPr>
      <w:numPr>
        <w:ilvl w:val="6"/>
        <w:numId w:val="18"/>
      </w:numPr>
    </w:pPr>
  </w:style>
  <w:style w:type="paragraph" w:customStyle="1" w:styleId="Point0letter">
    <w:name w:val="Point 0 (letter)"/>
    <w:basedOn w:val="Normal"/>
    <w:pPr>
      <w:numPr>
        <w:ilvl w:val="1"/>
        <w:numId w:val="18"/>
      </w:numPr>
    </w:pPr>
  </w:style>
  <w:style w:type="paragraph" w:customStyle="1" w:styleId="Point1letter">
    <w:name w:val="Point 1 (letter)"/>
    <w:basedOn w:val="Normal"/>
    <w:pPr>
      <w:numPr>
        <w:ilvl w:val="3"/>
        <w:numId w:val="18"/>
      </w:numPr>
    </w:pPr>
  </w:style>
  <w:style w:type="paragraph" w:customStyle="1" w:styleId="Point2letter">
    <w:name w:val="Point 2 (letter)"/>
    <w:basedOn w:val="Normal"/>
    <w:pPr>
      <w:numPr>
        <w:ilvl w:val="5"/>
        <w:numId w:val="18"/>
      </w:numPr>
    </w:pPr>
  </w:style>
  <w:style w:type="paragraph" w:customStyle="1" w:styleId="Point3letter">
    <w:name w:val="Point 3 (letter)"/>
    <w:basedOn w:val="Normal"/>
    <w:pPr>
      <w:numPr>
        <w:ilvl w:val="7"/>
        <w:numId w:val="18"/>
      </w:numPr>
    </w:pPr>
  </w:style>
  <w:style w:type="paragraph" w:customStyle="1" w:styleId="Point4letter">
    <w:name w:val="Point 4 (letter)"/>
    <w:basedOn w:val="Normal"/>
    <w:pPr>
      <w:numPr>
        <w:ilvl w:val="8"/>
        <w:numId w:val="18"/>
      </w:numPr>
    </w:pPr>
  </w:style>
  <w:style w:type="paragraph" w:customStyle="1" w:styleId="Bullet0">
    <w:name w:val="Bullet 0"/>
    <w:basedOn w:val="Normal"/>
    <w:pPr>
      <w:numPr>
        <w:numId w:val="19"/>
      </w:numPr>
    </w:pPr>
  </w:style>
  <w:style w:type="paragraph" w:customStyle="1" w:styleId="Bullet1">
    <w:name w:val="Bullet 1"/>
    <w:basedOn w:val="Normal"/>
    <w:pPr>
      <w:numPr>
        <w:numId w:val="20"/>
      </w:numPr>
    </w:pPr>
  </w:style>
  <w:style w:type="paragraph" w:customStyle="1" w:styleId="Bullet2">
    <w:name w:val="Bullet 2"/>
    <w:basedOn w:val="Normal"/>
    <w:pPr>
      <w:numPr>
        <w:numId w:val="21"/>
      </w:numPr>
    </w:pPr>
  </w:style>
  <w:style w:type="paragraph" w:customStyle="1" w:styleId="Bullet3">
    <w:name w:val="Bullet 3"/>
    <w:basedOn w:val="Normal"/>
    <w:pPr>
      <w:numPr>
        <w:numId w:val="22"/>
      </w:numPr>
    </w:pPr>
  </w:style>
  <w:style w:type="paragraph" w:customStyle="1" w:styleId="Bullet4">
    <w:name w:val="Bullet 4"/>
    <w:basedOn w:val="Normal"/>
    <w:pPr>
      <w:numPr>
        <w:numId w:val="23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4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D9D0E-03C7-426F-9B34-A5C3E5EE4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1</TotalTime>
  <Pages>4</Pages>
  <Words>637</Words>
  <Characters>3650</Characters>
  <Application>Microsoft Office Word</Application>
  <DocSecurity>0</DocSecurity>
  <Lines>81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DIGIT/A3</cp:lastModifiedBy>
  <cp:revision>18</cp:revision>
  <dcterms:created xsi:type="dcterms:W3CDTF">2016-10-03T07:41:00Z</dcterms:created>
  <dcterms:modified xsi:type="dcterms:W3CDTF">2016-10-05T08:17:00Z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COM/PL/ORG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Part">
    <vt:lpwstr>1</vt:lpwstr>
  </property>
  <property fmtid="{D5CDD505-2E9C-101B-9397-08002B2CF9AE}" pid="8" name="Total parts">
    <vt:lpwstr>1</vt:lpwstr>
  </property>
  <property fmtid="{D5CDD505-2E9C-101B-9397-08002B2CF9AE}" pid="9" name="LWTemplateID">
    <vt:lpwstr>SJ-019</vt:lpwstr>
  </property>
  <property fmtid="{D5CDD505-2E9C-101B-9397-08002B2CF9AE}" pid="10" name="DQCStatus">
    <vt:lpwstr>Green (DQC version 03)</vt:lpwstr>
  </property>
</Properties>
</file>