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A1BF3DD8164B14B45B6E8A12B4022A" style="width:450.75pt;height:407.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rFonts w:eastAsia="Calibri"/>
          <w:noProof/>
        </w:rPr>
      </w:pPr>
      <w:r>
        <w:rPr>
          <w:noProof/>
        </w:rPr>
        <w:t>La proposition ci-jointe constitue l'instrument juridique pour la conclusion d'un protocole à l'accord de stabilisation et d'association entre les Communautés européennes et leurs États membres, d’une part, et la Bosnie</w:t>
      </w:r>
      <w:r>
        <w:rPr>
          <w:noProof/>
        </w:rPr>
        <w:noBreakHyphen/>
        <w:t>Herzégovine, d'autre part, visant à tenir compte de l’adhésion de la République de Croatie à l’Union européenne (ci-après le «protocole»).</w:t>
      </w:r>
    </w:p>
    <w:p>
      <w:pPr>
        <w:rPr>
          <w:rFonts w:eastAsia="Calibri"/>
          <w:noProof/>
        </w:rPr>
      </w:pPr>
      <w:r>
        <w:rPr>
          <w:noProof/>
        </w:rPr>
        <w:t>Conformément à son acte d’adhésion, la Croatie adhère aux accords internationaux signés ou conclus par l’Union européenne et ses États membres au moyen d’un protocole à ces accords.</w:t>
      </w:r>
    </w:p>
    <w:p>
      <w:pPr>
        <w:rPr>
          <w:rFonts w:eastAsia="Calibri"/>
          <w:noProof/>
        </w:rPr>
      </w:pPr>
      <w:r>
        <w:rPr>
          <w:noProof/>
        </w:rPr>
        <w:t>L'accord de stabilisation et d'association entre les Communautés européennes et leurs États membres, d'une part, et la Bosnie</w:t>
      </w:r>
      <w:r>
        <w:rPr>
          <w:noProof/>
        </w:rPr>
        <w:noBreakHyphen/>
        <w:t>Herzégovine, d'autre part (ci-après l'«accord»), a été signé à Luxembourg le 16 juin 2008 et est entré en vigueur le 1</w:t>
      </w:r>
      <w:r>
        <w:rPr>
          <w:noProof/>
          <w:vertAlign w:val="superscript"/>
        </w:rPr>
        <w:t>er</w:t>
      </w:r>
      <w:r>
        <w:rPr>
          <w:noProof/>
        </w:rPr>
        <w:t> juin 2015.</w:t>
      </w:r>
    </w:p>
    <w:p>
      <w:pPr>
        <w:rPr>
          <w:rFonts w:eastAsia="Calibri"/>
          <w:noProof/>
        </w:rPr>
      </w:pPr>
      <w:r>
        <w:rPr>
          <w:noProof/>
        </w:rPr>
        <w:t>Le 24 septembre 2012, le Conseil a autorisé la Commission à ouvrir des négociations avec la Bosnie</w:t>
      </w:r>
      <w:r>
        <w:rPr>
          <w:noProof/>
        </w:rPr>
        <w:noBreakHyphen/>
        <w:t>Herzégovine, au nom de l'Union européenne, de ses États membres et de la République de Croatie, en vue de conclure un protocole à l'accord de stabilisation et d'association entre les Communautés européennes et leurs États membres, d'une part, et la Bosnie</w:t>
      </w:r>
      <w:r>
        <w:rPr>
          <w:noProof/>
        </w:rPr>
        <w:noBreakHyphen/>
        <w:t>Herzégovine, d'autre part, afin de tenir compte de l'adhésion de la République de Croatie à l'Union européenne.</w:t>
      </w:r>
    </w:p>
    <w:p>
      <w:pPr>
        <w:rPr>
          <w:rFonts w:eastAsia="Calibri"/>
          <w:noProof/>
        </w:rPr>
      </w:pPr>
      <w:r>
        <w:rPr>
          <w:noProof/>
        </w:rPr>
        <w:t>Plusieurs cycles de négociations ont eu lieu entre le 13 décembre 2012 et le 28 avril 2016. À la suite de nouvelles consultations techniques et d'un nouvel échange de correspondance, le protocole a été paraphé par la Commission et la Bosnie</w:t>
      </w:r>
      <w:r>
        <w:rPr>
          <w:noProof/>
        </w:rPr>
        <w:noBreakHyphen/>
        <w:t>Herzégovine le 18 juillet 2016.</w:t>
      </w:r>
    </w:p>
    <w:p>
      <w:pPr>
        <w:rPr>
          <w:noProof/>
          <w:szCs w:val="20"/>
        </w:rPr>
      </w:pPr>
      <w:r>
        <w:rPr>
          <w:noProof/>
        </w:rPr>
        <w:t xml:space="preserve">La Commission propose au Conseil d'adopter une décision relative à la conclusion du protocole au nom de l'Union européenne et de ses États membres. La signature et l’application provisoire du protocole font l’objet d’une proposition de décision distincte du Conseil. La conclusion du protocole au nom de la Communauté européenne de l'énergie atomique (CEEA) suit une procédure distincte, par laquelle la Commission recommande que le Conseil donne son approbation, conformément à l'article 101, deuxième alinéa, du traité instituant la CEEA. </w:t>
      </w:r>
    </w:p>
    <w:p>
      <w:pPr>
        <w:spacing w:before="0" w:after="200"/>
        <w:rPr>
          <w:rFonts w:eastAsia="Calibri"/>
          <w:noProof/>
        </w:rPr>
      </w:pPr>
      <w:r>
        <w:rPr>
          <w:noProof/>
        </w:rPr>
        <w:t>La proposition ci</w:t>
      </w:r>
      <w:r>
        <w:rPr>
          <w:noProof/>
        </w:rPr>
        <w:noBreakHyphen/>
        <w:t>jointe porte sur une décision du Conseil relative à la conclusion du protocole. La Commission propose au Conseil:</w:t>
      </w:r>
    </w:p>
    <w:p>
      <w:pPr>
        <w:pStyle w:val="Tiret0"/>
        <w:numPr>
          <w:ilvl w:val="0"/>
          <w:numId w:val="1"/>
        </w:numPr>
        <w:rPr>
          <w:rFonts w:eastAsia="Arial Unicode MS"/>
          <w:noProof/>
          <w:color w:val="008000"/>
        </w:rPr>
      </w:pPr>
      <w:r>
        <w:rPr>
          <w:noProof/>
        </w:rPr>
        <w:t>de conclure le protocole au nom de l'Union européenne et de ses États membres.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w:t>
      </w:r>
      <w:r>
        <w:rPr>
          <w:noProof/>
        </w:rPr>
        <w:br/>
        <w:t>du protocole à l'accord de stabilisation et d'association entre</w:t>
      </w:r>
      <w:r>
        <w:rPr>
          <w:noProof/>
        </w:rPr>
        <w:br/>
        <w:t>les Communautés européennes et leurs États membres, d'une part, et</w:t>
      </w:r>
      <w:r>
        <w:rPr>
          <w:noProof/>
        </w:rPr>
        <w:br/>
        <w:t>la Bosnie</w:t>
      </w:r>
      <w:r>
        <w:rPr>
          <w:noProof/>
        </w:rPr>
        <w:noBreakHyphen/>
        <w:t>Herzégovine, d'autre part, visant à tenir compte</w:t>
      </w:r>
      <w:r>
        <w:rPr>
          <w:noProof/>
        </w:rPr>
        <w:br/>
        <w:t>de l'adhésion de la République de Croatie à l'Union européenne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217, en liaison avec l’article 218, paragraphe 6, deuxième alinéa, point a) i), et l’article 218, paragraphe 8, deuxième alinéa,</w:t>
      </w:r>
    </w:p>
    <w:p>
      <w:pPr>
        <w:rPr>
          <w:noProof/>
        </w:rPr>
      </w:pPr>
      <w:r>
        <w:rPr>
          <w:noProof/>
        </w:rPr>
        <w:t>vu l'acte d'adhésion de la République de Croatie, et notamment son article 6, paragraphe 2, deuxième alinéa,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2016/…/UE</w:t>
      </w:r>
      <w:r>
        <w:rPr>
          <w:rStyle w:val="FootnoteReference"/>
          <w:noProof/>
        </w:rPr>
        <w:footnoteReference w:id="1"/>
      </w:r>
      <w:r>
        <w:rPr>
          <w:rStyle w:val="FootnoteReference"/>
          <w:rFonts w:eastAsia="Calibri"/>
          <w:noProof/>
        </w:rPr>
        <w:sym w:font="Symbol" w:char="F02A"/>
      </w:r>
      <w:r>
        <w:rPr>
          <w:noProof/>
        </w:rPr>
        <w:t xml:space="preserve"> du Conseil, le protocole à l'accord de stabilisation et d'association entre les Communautés européennes et leurs États membres, d'une part, et la Bosnie</w:t>
      </w:r>
      <w:r>
        <w:rPr>
          <w:noProof/>
        </w:rPr>
        <w:noBreakHyphen/>
        <w:t xml:space="preserve">Herzégovine, d'autre part, visant à tenir compte de l'adhésion de la République de Croatie à l'Union européenne (ci-après le «protocole»), a été signé le […], sous réserve de sa conclusion à une date ultérieure. </w:t>
      </w:r>
    </w:p>
    <w:p>
      <w:pPr>
        <w:pStyle w:val="ManualConsidrant"/>
        <w:rPr>
          <w:noProof/>
        </w:rPr>
      </w:pPr>
      <w:r>
        <w:t>(2)</w:t>
      </w:r>
      <w:r>
        <w:tab/>
      </w:r>
      <w:r>
        <w:rPr>
          <w:noProof/>
        </w:rPr>
        <w:footnoteReference w:customMarkFollows="1" w:id="2"/>
        <w:t>La conclusion du protocole fait l'objet d'une procédure distincte pour ce qui est des questions relevant du traité instituant la Communauté européenne de l’énergie atomique.</w:t>
      </w:r>
    </w:p>
    <w:p>
      <w:pPr>
        <w:pStyle w:val="ManualConsidrant"/>
        <w:rPr>
          <w:noProof/>
        </w:rPr>
      </w:pPr>
      <w:r>
        <w:t>(3)</w:t>
      </w:r>
      <w:r>
        <w:tab/>
      </w:r>
      <w:r>
        <w:rPr>
          <w:noProof/>
        </w:rPr>
        <w:t>Il convient d'approuver le protocole,</w:t>
      </w:r>
    </w:p>
    <w:p>
      <w:pPr>
        <w:pStyle w:val="Formuledadoption"/>
        <w:rPr>
          <w:noProof/>
        </w:rPr>
      </w:pPr>
      <w:r>
        <w:rPr>
          <w:noProof/>
        </w:rPr>
        <w:t xml:space="preserve">A ADOPTÉ LA PRÉSENTE DÉCISION: </w:t>
      </w:r>
    </w:p>
    <w:p>
      <w:pPr>
        <w:rPr>
          <w:noProof/>
        </w:rPr>
      </w:pPr>
      <w:r>
        <w:rPr>
          <w:noProof/>
        </w:rPr>
        <w:br w:type="page"/>
      </w:r>
    </w:p>
    <w:p>
      <w:pPr>
        <w:pStyle w:val="Titrearticle"/>
        <w:rPr>
          <w:noProof/>
        </w:rPr>
      </w:pPr>
      <w:r>
        <w:rPr>
          <w:noProof/>
        </w:rPr>
        <w:t>Article premier</w:t>
      </w:r>
    </w:p>
    <w:p>
      <w:pPr>
        <w:rPr>
          <w:noProof/>
        </w:rPr>
      </w:pPr>
      <w:r>
        <w:rPr>
          <w:noProof/>
        </w:rPr>
        <w:t>Le protocole à l'accord de stabilisation et d'association entre les Communautés européennes et leurs États membres, d'une part, et la Bosnie</w:t>
      </w:r>
      <w:r>
        <w:rPr>
          <w:noProof/>
        </w:rPr>
        <w:noBreakHyphen/>
        <w:t>Herzégovine, d'autre part, visant à tenir compte de l'adhésion de la République de Croatie à l'Union européenne, est approuvé au nom de l'Union et de ses États membres</w:t>
      </w:r>
      <w:r>
        <w:rPr>
          <w:rStyle w:val="FootnoteReference"/>
          <w:noProof/>
        </w:rPr>
        <w:footnoteReference w:id="3"/>
      </w:r>
      <w:r>
        <w:rPr>
          <w:noProof/>
        </w:rPr>
        <w:t xml:space="preserve">. </w:t>
      </w:r>
    </w:p>
    <w:p>
      <w:pPr>
        <w:pStyle w:val="Titrearticle"/>
        <w:rPr>
          <w:noProof/>
        </w:rPr>
      </w:pPr>
      <w:r>
        <w:rPr>
          <w:noProof/>
        </w:rPr>
        <w:t>Article 2</w:t>
      </w:r>
    </w:p>
    <w:p>
      <w:pPr>
        <w:rPr>
          <w:noProof/>
        </w:rPr>
      </w:pPr>
      <w:r>
        <w:rPr>
          <w:noProof/>
        </w:rPr>
        <w:t xml:space="preserve">Le président du Conseil désigne la ou les personnes habilitées à procéder, au nom de l'Union et de ses États membres, au dépôt de l'instrument d'approbation prévu à l'article 7 du protocole. </w:t>
      </w:r>
    </w:p>
    <w:p>
      <w:pPr>
        <w:pStyle w:val="Titrearticle"/>
        <w:rPr>
          <w:noProof/>
        </w:rPr>
      </w:pPr>
      <w:r>
        <w:rPr>
          <w:noProof/>
        </w:rPr>
        <w:t>Article 3</w:t>
      </w:r>
    </w:p>
    <w:p>
      <w:pPr>
        <w:rPr>
          <w:noProof/>
        </w:rPr>
      </w:pPr>
      <w:r>
        <w:rPr>
          <w:noProof/>
        </w:rPr>
        <w:t xml:space="preserve">La présente décision entre en vigueur le jour de son adoption.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2016/…/EU du Conseil du […2016] relative à la signature, au nom de l'Union européenne et de ses États membres, et à l'application provisoire du protocole à l'accord de stabilisation et d'association entre les Communautés européennes et leurs États membres, d'une part, et la Bosnie</w:t>
      </w:r>
      <w:r>
        <w:rPr>
          <w:lang w:val="fr-BE"/>
        </w:rPr>
        <w:noBreakHyphen/>
        <w:t>Herzégovine, d'autre part, visant à tenir compte de l'adhésion de la République de Croatie à l'Union européenne (JO L […] du […], p. […].] ]</w:t>
      </w:r>
      <w:r>
        <w:rPr>
          <w:lang w:val="fr-BE"/>
        </w:rPr>
        <w:tab/>
      </w:r>
    </w:p>
  </w:footnote>
  <w:footnote w:id="2">
    <w:p>
      <w:pPr>
        <w:pStyle w:val="FootnoteText"/>
        <w:rPr>
          <w:lang w:val="fr-BE"/>
        </w:rPr>
      </w:pPr>
    </w:p>
  </w:footnote>
  <w:footnote w:id="3">
    <w:p>
      <w:pPr>
        <w:pStyle w:val="FootnoteText"/>
        <w:rPr>
          <w:lang w:val="fr-BE"/>
        </w:rPr>
      </w:pPr>
      <w:r>
        <w:rPr>
          <w:rStyle w:val="FootnoteReference"/>
        </w:rPr>
        <w:footnoteRef/>
      </w:r>
      <w:r>
        <w:rPr>
          <w:lang w:val="fr-BE"/>
        </w:rPr>
        <w:tab/>
        <w:t>Le texte du protocole a été publié avec la décision relative à sa signature (voir page [..] du présent Journal officiel).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A282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4AC7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7E3C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C23A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7CF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7A5E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28CAF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D862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17:1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FA1BF3DD8164B14B45B6E8A12B4022A"/>
    <w:docVar w:name="LW_CROSSREFERENCE" w:val="&lt;UNUSED&gt;"/>
    <w:docVar w:name="LW_DocType" w:val="COM"/>
    <w:docVar w:name="LW_EMISSION" w:val="6.10.2016"/>
    <w:docVar w:name="LW_EMISSION_ISODATE" w:val="2016-10-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1"/>
    <w:docVar w:name="LW_REF.II.NEW.CP_YEAR" w:val="2016"/>
    <w:docVar w:name="LW_REF.INST.NEW" w:val="COM"/>
    <w:docVar w:name="LW_REF.INST.NEW_ADOPTED" w:val="final"/>
    <w:docVar w:name="LW_REF.INST.NEW_TEXT" w:val="(2016) 640"/>
    <w:docVar w:name="LW_REF.INTERNE" w:val="&lt;UNUSED&gt;"/>
    <w:docVar w:name="LW_SOUS.TITRE.OBJ.CP" w:val="&lt;UNUSED&gt;"/>
    <w:docVar w:name="LW_STATUT.CP" w:val="Proposition de"/>
    <w:docVar w:name="LW_SUPERTITRE" w:val="&lt;UNUSED&gt;"/>
    <w:docVar w:name="LW_TITRE.OBJ.CP" w:val="relative à la conclusion, au nom de l'Union européenne et de ses États membres,_x000b_du protocole à l'accord de stabilisation et d'association entre_x000b_les Communautés européennes et leurs États membres, d'une part, et_x000b_la Bosnie_x001e_Herzégovine, d'autre part, visant à tenir compte_x000b_de l'adhésion de la République de Croatie à l'Union européenn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character" w:styleId="CommentReference">
    <w:name w:val="annotation reference"/>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character" w:styleId="CommentReference">
    <w:name w:val="annotation reference"/>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689</Words>
  <Characters>3795</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2016-09-26T14:25:00Z</cp:lastPrinted>
  <dcterms:created xsi:type="dcterms:W3CDTF">2016-09-26T14:44:00Z</dcterms:created>
  <dcterms:modified xsi:type="dcterms:W3CDTF">2016-10-05T08:17:00Z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