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bg-BG"/>
        </w:rPr>
      </w:pPr>
      <w:bookmarkStart w:id="0" w:name="LW_BM_COVERPAGE"/>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D137424D936436BA5D891579845E55D" style="width:450.75pt;height:324.75pt">
            <v:imagedata r:id="rId9" o:title=""/>
          </v:shape>
        </w:pict>
      </w:r>
    </w:p>
    <w:bookmarkEnd w:id="0"/>
    <w:p>
      <w:pPr>
        <w:rPr>
          <w:noProof/>
          <w:lang w:val="bg-BG"/>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before="120" w:after="120"/>
        <w:jc w:val="both"/>
        <w:rPr>
          <w:rFonts w:ascii="Times New Roman" w:hAnsi="Times New Roman" w:cs="Times New Roman"/>
          <w:noProof/>
          <w:sz w:val="24"/>
          <w:szCs w:val="24"/>
          <w:lang w:val="bg-BG"/>
        </w:rPr>
      </w:pPr>
      <w:bookmarkStart w:id="1" w:name="_GoBack"/>
      <w:bookmarkEnd w:id="1"/>
    </w:p>
    <w:p>
      <w:pPr>
        <w:spacing w:before="120" w:after="120"/>
        <w:jc w:val="both"/>
        <w:rPr>
          <w:rFonts w:ascii="Times New Roman" w:hAnsi="Times New Roman" w:cs="Times New Roman"/>
          <w:noProof/>
          <w:sz w:val="24"/>
          <w:szCs w:val="24"/>
          <w:lang w:val="bg-BG"/>
        </w:rPr>
      </w:pPr>
      <w:r>
        <w:rPr>
          <w:rFonts w:ascii="Times New Roman" w:hAnsi="Times New Roman"/>
          <w:noProof/>
          <w:sz w:val="24"/>
          <w:lang w:val="bg-BG"/>
        </w:rPr>
        <w:t>ЕВРОПЕЙСКИЯТ ПАРЛАМЕНТ, СЪВЕТЪТ НА ЕВРОПЕЙСКИЯ СЪЮЗ И ЕВРОПЕЙСКАТА КОМИСИЯ,</w:t>
      </w:r>
    </w:p>
    <w:p>
      <w:pPr>
        <w:jc w:val="both"/>
        <w:rPr>
          <w:rFonts w:ascii="Times New Roman" w:hAnsi="Times New Roman" w:cs="Times New Roman"/>
          <w:noProof/>
          <w:sz w:val="24"/>
          <w:szCs w:val="24"/>
          <w:lang w:val="bg-BG"/>
        </w:rPr>
      </w:pPr>
      <w:r>
        <w:rPr>
          <w:rFonts w:ascii="Times New Roman" w:hAnsi="Times New Roman"/>
          <w:noProof/>
          <w:sz w:val="24"/>
          <w:lang w:val="bg-BG"/>
        </w:rPr>
        <w:t>като взеха предвид Договора за функционирането на Европейския съюз (ДФЕС), и по-специално член 295 от него, и Договора за създаване на Европейската общност за атомна енергия (ЕВРАТОМ), и по-специално член 106а от него,</w:t>
      </w:r>
    </w:p>
    <w:p>
      <w:pPr>
        <w:jc w:val="both"/>
        <w:rPr>
          <w:rFonts w:ascii="Times New Roman" w:hAnsi="Times New Roman" w:cs="Times New Roman"/>
          <w:noProof/>
          <w:sz w:val="24"/>
          <w:szCs w:val="24"/>
          <w:lang w:val="bg-BG"/>
        </w:rPr>
      </w:pPr>
      <w:r>
        <w:rPr>
          <w:rFonts w:ascii="Times New Roman" w:hAnsi="Times New Roman"/>
          <w:noProof/>
          <w:sz w:val="24"/>
          <w:lang w:val="bg-BG"/>
        </w:rPr>
        <w:t>като имат предвид, че:</w:t>
      </w:r>
    </w:p>
    <w:p>
      <w:pPr>
        <w:jc w:val="both"/>
        <w:rPr>
          <w:rFonts w:ascii="Times New Roman" w:hAnsi="Times New Roman" w:cs="Times New Roman"/>
          <w:noProof/>
          <w:sz w:val="24"/>
          <w:szCs w:val="24"/>
          <w:lang w:val="bg-BG"/>
        </w:rPr>
      </w:pPr>
      <w:r>
        <w:rPr>
          <w:rFonts w:ascii="Times New Roman" w:hAnsi="Times New Roman"/>
          <w:noProof/>
          <w:sz w:val="24"/>
          <w:lang w:val="bg-BG"/>
        </w:rPr>
        <w:t>(1) Европейският парламент, Съветът на Европейския съюз и Европейската комисия („трите институции“) поддържат отворен, прозрачен и постоянен диалог с представителни сдружения и гражданското общество в съответствие с Договора за Европейския съюз (ДЕС), и по-специално член 11, параграфи 1 и 2 от него.</w:t>
      </w:r>
    </w:p>
    <w:p>
      <w:pPr>
        <w:jc w:val="both"/>
        <w:rPr>
          <w:rFonts w:ascii="Times New Roman" w:hAnsi="Times New Roman" w:cs="Times New Roman"/>
          <w:noProof/>
          <w:sz w:val="24"/>
          <w:szCs w:val="24"/>
          <w:lang w:val="bg-BG"/>
        </w:rPr>
      </w:pPr>
      <w:r>
        <w:rPr>
          <w:rFonts w:ascii="Times New Roman" w:hAnsi="Times New Roman"/>
          <w:noProof/>
          <w:sz w:val="24"/>
          <w:lang w:val="bg-BG"/>
        </w:rPr>
        <w:t>(2) Тази откритост дава възможност на всички заинтересовани страни да представят своите становища относно решенията, които могат да окажат влияние върху тях, и по този начин ефективно да допринасят за базата от доказателства, въз основа на която се изготвят предложенията за политики. Сътрудничеството със заинтересованите страни повишава качеството при вземането на решения чрез предоставянето на канали за приноса на външни становища и експертни знания.</w:t>
      </w:r>
    </w:p>
    <w:p>
      <w:pPr>
        <w:jc w:val="both"/>
        <w:rPr>
          <w:rFonts w:ascii="Times New Roman" w:hAnsi="Times New Roman" w:cs="Times New Roman"/>
          <w:noProof/>
          <w:sz w:val="24"/>
          <w:szCs w:val="24"/>
          <w:lang w:val="bg-BG"/>
        </w:rPr>
      </w:pPr>
      <w:r>
        <w:rPr>
          <w:rFonts w:ascii="Times New Roman" w:hAnsi="Times New Roman"/>
          <w:noProof/>
          <w:sz w:val="24"/>
          <w:lang w:val="bg-BG"/>
        </w:rPr>
        <w:t>(3) Трите институции потвърждават, че прозрачността и отчетността са от основно значение за поддържане на доверието на европейските граждани в законността на политическите, законодателните и административните процеси в Съюза.</w:t>
      </w:r>
    </w:p>
    <w:p>
      <w:pPr>
        <w:jc w:val="both"/>
        <w:rPr>
          <w:rFonts w:ascii="Times New Roman" w:hAnsi="Times New Roman" w:cs="Times New Roman"/>
          <w:noProof/>
          <w:sz w:val="24"/>
          <w:szCs w:val="24"/>
          <w:lang w:val="bg-BG"/>
        </w:rPr>
      </w:pPr>
      <w:r>
        <w:rPr>
          <w:rFonts w:ascii="Times New Roman" w:hAnsi="Times New Roman"/>
          <w:noProof/>
          <w:sz w:val="24"/>
          <w:lang w:val="bg-BG"/>
        </w:rPr>
        <w:t>(4) Прозрачността на представителството на интереси е особено важна, за да могат гражданите да следят дейностите и потенциалното влияние на представителите на интереси.</w:t>
      </w:r>
      <w:r>
        <w:rPr>
          <w:noProof/>
          <w:lang w:val="bg-BG"/>
        </w:rPr>
        <w:t xml:space="preserve"> </w:t>
      </w:r>
      <w:r>
        <w:rPr>
          <w:rFonts w:ascii="Times New Roman" w:hAnsi="Times New Roman"/>
          <w:noProof/>
          <w:sz w:val="24"/>
          <w:lang w:val="bg-BG"/>
        </w:rPr>
        <w:t>Трите институции считат, че тази прозрачност се гарантира най-добре с Кодекс за поведение, който съдържа правилата и принципите, приложими спрямо представителите на интереси, записали се регистъра за прозрачност, а по този начин приели и Кодекса.</w:t>
      </w:r>
    </w:p>
    <w:p>
      <w:pPr>
        <w:jc w:val="both"/>
        <w:rPr>
          <w:rFonts w:ascii="Times New Roman" w:hAnsi="Times New Roman" w:cs="Times New Roman"/>
          <w:noProof/>
          <w:sz w:val="24"/>
          <w:szCs w:val="24"/>
          <w:lang w:val="bg-BG"/>
        </w:rPr>
      </w:pPr>
      <w:r>
        <w:rPr>
          <w:rFonts w:ascii="Times New Roman" w:hAnsi="Times New Roman"/>
          <w:noProof/>
          <w:sz w:val="24"/>
          <w:lang w:val="bg-BG"/>
        </w:rPr>
        <w:t>(5) С оглед на положителния опит с Регистъра за прозрачност за организации и самостоятелно заети физически лица, които участват в изготвянето и прилагането на политиките на ЕС, създаден със споразумението между Европейския парламент и Европейската комисия от 16 април 2014 г.</w:t>
      </w:r>
      <w:r>
        <w:rPr>
          <w:rFonts w:ascii="Times New Roman" w:hAnsi="Times New Roman"/>
          <w:noProof/>
          <w:sz w:val="24"/>
          <w:vertAlign w:val="superscript"/>
          <w:lang w:val="bg-BG"/>
        </w:rPr>
        <w:footnoteReference w:id="1"/>
      </w:r>
      <w:r>
        <w:rPr>
          <w:rFonts w:ascii="Times New Roman" w:hAnsi="Times New Roman"/>
          <w:noProof/>
          <w:sz w:val="24"/>
          <w:lang w:val="bg-BG"/>
        </w:rPr>
        <w:t>, трите институции считат, че това споразумение следва да бъде разширено по подходящ начин.</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(6) Трите институции признават необходимостта от създаването на задължителен Регистър за прозрачност („Регистърът“) посредством обвързването на определени видове взаимодействия с тях с условието за предварителна регистрация, с което регистрацията става </w:t>
      </w:r>
      <w:r>
        <w:rPr>
          <w:rFonts w:ascii="Times New Roman" w:hAnsi="Times New Roman"/>
          <w:i/>
          <w:noProof/>
          <w:sz w:val="24"/>
          <w:lang w:val="bg-BG"/>
        </w:rPr>
        <w:t>de facto</w:t>
      </w:r>
      <w:r>
        <w:rPr>
          <w:rFonts w:ascii="Times New Roman" w:hAnsi="Times New Roman"/>
          <w:noProof/>
          <w:sz w:val="24"/>
          <w:lang w:val="bg-BG"/>
        </w:rPr>
        <w:t xml:space="preserve"> предварително условие за представителството на интереси и с което се гарантира, че това представителство се осъществява съгласно правилата и принципите, залегнали в Кодекса за поведение.</w:t>
      </w:r>
    </w:p>
    <w:p>
      <w:pPr>
        <w:jc w:val="both"/>
        <w:rPr>
          <w:rFonts w:ascii="Times New Roman" w:hAnsi="Times New Roman" w:cs="Times New Roman"/>
          <w:noProof/>
          <w:sz w:val="24"/>
          <w:szCs w:val="24"/>
          <w:lang w:val="bg-BG"/>
        </w:rPr>
      </w:pPr>
      <w:r>
        <w:rPr>
          <w:rFonts w:ascii="Times New Roman" w:hAnsi="Times New Roman"/>
          <w:noProof/>
          <w:sz w:val="24"/>
          <w:lang w:val="bg-BG"/>
        </w:rPr>
        <w:t>(7) С настоящото предложение трите институции отговарят на нуждата от възможно най-бързо приемане на междуинституционално споразумение за създаване на задължителен регистър в съответствие с резолюцията на Европейския парламент от 28 април 2016 г. относно публичния достъп до документи</w:t>
      </w:r>
      <w:r>
        <w:rPr>
          <w:rStyle w:val="FootnoteReference"/>
          <w:rFonts w:ascii="Times New Roman" w:hAnsi="Times New Roman"/>
          <w:noProof/>
          <w:sz w:val="24"/>
          <w:lang w:val="bg-BG"/>
        </w:rPr>
        <w:footnoteReference w:id="2"/>
      </w:r>
      <w:r>
        <w:rPr>
          <w:rFonts w:ascii="Times New Roman" w:hAnsi="Times New Roman"/>
          <w:noProof/>
          <w:sz w:val="24"/>
          <w:lang w:val="bg-BG"/>
        </w:rPr>
        <w:t>.</w:t>
      </w:r>
    </w:p>
    <w:p>
      <w:pPr>
        <w:jc w:val="both"/>
        <w:rPr>
          <w:rFonts w:ascii="Times New Roman" w:hAnsi="Times New Roman" w:cs="Times New Roman"/>
          <w:noProof/>
          <w:sz w:val="24"/>
          <w:szCs w:val="24"/>
          <w:lang w:val="bg-BG"/>
        </w:rPr>
      </w:pPr>
      <w:r>
        <w:rPr>
          <w:rFonts w:ascii="Times New Roman" w:hAnsi="Times New Roman"/>
          <w:noProof/>
          <w:sz w:val="24"/>
          <w:lang w:val="bg-BG"/>
        </w:rPr>
        <w:t>(8) Функционирането на Регистъра не засяга компетентностите на никоя от трите институции, нито съответните им вътрешни организационни правомощия, както и не засяга споразумението, което ще сключат по отношение на условията за техния принос към административните и финансовите ресурси на Секретариата на Регистъра.</w:t>
      </w:r>
    </w:p>
    <w:p>
      <w:pPr>
        <w:jc w:val="both"/>
        <w:rPr>
          <w:rFonts w:ascii="Times New Roman" w:hAnsi="Times New Roman" w:cs="Times New Roman"/>
          <w:noProof/>
          <w:sz w:val="24"/>
          <w:szCs w:val="24"/>
          <w:lang w:val="bg-BG"/>
        </w:rPr>
      </w:pPr>
      <w:r>
        <w:rPr>
          <w:rFonts w:ascii="Times New Roman" w:hAnsi="Times New Roman"/>
          <w:noProof/>
          <w:sz w:val="24"/>
          <w:lang w:val="bg-BG"/>
        </w:rPr>
        <w:t>(9) При изпълнението на настоящото споразумение трите институции действат при лоялно взаимно сътрудничество.</w:t>
      </w:r>
    </w:p>
    <w:p>
      <w:pPr>
        <w:jc w:val="both"/>
        <w:rPr>
          <w:rFonts w:ascii="Times New Roman" w:hAnsi="Times New Roman" w:cs="Times New Roman"/>
          <w:noProof/>
          <w:sz w:val="24"/>
          <w:szCs w:val="24"/>
          <w:lang w:val="bg-BG"/>
        </w:rPr>
      </w:pPr>
      <w:r>
        <w:rPr>
          <w:rFonts w:ascii="Times New Roman" w:hAnsi="Times New Roman"/>
          <w:noProof/>
          <w:sz w:val="24"/>
          <w:lang w:val="bg-BG"/>
        </w:rPr>
        <w:t>(10) Всяка от трите институции може да прилага други политики на добро управление и прозрачност извън рамките на това споразумение, доколкото такива политики не засягат изпълнението и целите, преследвани с настоящото споразумение.</w:t>
      </w:r>
    </w:p>
    <w:p>
      <w:pPr>
        <w:jc w:val="both"/>
        <w:rPr>
          <w:rFonts w:ascii="Times New Roman" w:hAnsi="Times New Roman" w:cs="Times New Roman"/>
          <w:noProof/>
          <w:sz w:val="24"/>
          <w:szCs w:val="24"/>
          <w:lang w:val="bg-BG"/>
        </w:rPr>
      </w:pPr>
      <w:r>
        <w:rPr>
          <w:rFonts w:ascii="Times New Roman" w:hAnsi="Times New Roman"/>
          <w:noProof/>
          <w:sz w:val="24"/>
          <w:lang w:val="bg-BG"/>
        </w:rPr>
        <w:t>(11) Споразумението не засяга упражняването на правата по член 11, параграф 4 от Договора за Европейския съюз (ДЕС) (Европейската гражданска инициатива) и по член 227 от ДФЕС (правото на отправяне на петиции до Европейския парламент),</w:t>
      </w:r>
    </w:p>
    <w:p>
      <w:pPr>
        <w:rPr>
          <w:rFonts w:ascii="Times New Roman" w:hAnsi="Times New Roman" w:cs="Times New Roman"/>
          <w:noProof/>
          <w:sz w:val="24"/>
          <w:szCs w:val="24"/>
          <w:lang w:val="bg-BG"/>
        </w:rPr>
      </w:pPr>
      <w:r>
        <w:rPr>
          <w:rFonts w:ascii="Times New Roman" w:hAnsi="Times New Roman"/>
          <w:noProof/>
          <w:sz w:val="24"/>
          <w:lang w:val="bg-BG"/>
        </w:rPr>
        <w:t>СЕ СПОРАЗУМЯВАТ ЗА СЛЕДНОТО:</w:t>
      </w:r>
    </w:p>
    <w:p>
      <w:pPr>
        <w:pStyle w:val="article"/>
        <w:rPr>
          <w:noProof/>
          <w:lang w:val="bg-BG"/>
        </w:rPr>
      </w:pPr>
      <w:r>
        <w:rPr>
          <w:noProof/>
          <w:lang w:val="bg-BG"/>
        </w:rPr>
        <w:t>Член 1</w:t>
      </w:r>
    </w:p>
    <w:p>
      <w:pPr>
        <w:jc w:val="center"/>
        <w:rPr>
          <w:rFonts w:ascii="Times New Roman" w:hAnsi="Times New Roman" w:cs="Times New Roman"/>
          <w:b/>
          <w:noProof/>
          <w:sz w:val="24"/>
          <w:szCs w:val="24"/>
          <w:lang w:val="bg-BG"/>
        </w:rPr>
      </w:pPr>
      <w:r>
        <w:rPr>
          <w:rFonts w:ascii="Times New Roman" w:hAnsi="Times New Roman"/>
          <w:b/>
          <w:noProof/>
          <w:sz w:val="24"/>
          <w:lang w:val="bg-BG"/>
        </w:rPr>
        <w:t>Цел и обхват на междуинституционалното споразумение</w:t>
      </w:r>
    </w:p>
    <w:p>
      <w:pPr>
        <w:jc w:val="both"/>
        <w:rPr>
          <w:rFonts w:ascii="Times New Roman" w:hAnsi="Times New Roman" w:cs="Times New Roman"/>
          <w:noProof/>
          <w:spacing w:val="-4"/>
          <w:sz w:val="24"/>
          <w:szCs w:val="24"/>
          <w:lang w:val="bg-BG"/>
        </w:rPr>
      </w:pPr>
      <w:r>
        <w:rPr>
          <w:rFonts w:ascii="Times New Roman" w:hAnsi="Times New Roman"/>
          <w:noProof/>
          <w:spacing w:val="-4"/>
          <w:sz w:val="24"/>
          <w:lang w:val="bg-BG"/>
        </w:rPr>
        <w:t xml:space="preserve">С настоящото междуинституционално споразумение се създава рамка за прозрачно и етично взаимодействие между представителите на интереси, които извършват дейности, попадащи в обхвата на настоящото споразумение, и която и да е от трите институции. </w:t>
      </w:r>
    </w:p>
    <w:p>
      <w:pPr>
        <w:jc w:val="center"/>
        <w:rPr>
          <w:rFonts w:ascii="Times New Roman" w:hAnsi="Times New Roman" w:cs="Times New Roman"/>
          <w:noProof/>
          <w:sz w:val="24"/>
          <w:szCs w:val="24"/>
          <w:lang w:val="bg-BG"/>
        </w:rPr>
      </w:pPr>
      <w:r>
        <w:rPr>
          <w:rFonts w:ascii="Times New Roman" w:hAnsi="Times New Roman"/>
          <w:noProof/>
          <w:sz w:val="24"/>
          <w:lang w:val="bg-BG"/>
        </w:rPr>
        <w:t>Член 2</w:t>
      </w:r>
    </w:p>
    <w:p>
      <w:pPr>
        <w:jc w:val="center"/>
        <w:rPr>
          <w:rFonts w:ascii="Times New Roman" w:hAnsi="Times New Roman" w:cs="Times New Roman"/>
          <w:noProof/>
          <w:color w:val="0070C0"/>
          <w:sz w:val="24"/>
          <w:szCs w:val="24"/>
          <w:lang w:val="bg-BG"/>
        </w:rPr>
      </w:pPr>
      <w:r>
        <w:rPr>
          <w:rFonts w:ascii="Times New Roman" w:hAnsi="Times New Roman"/>
          <w:b/>
          <w:noProof/>
          <w:sz w:val="24"/>
          <w:lang w:val="bg-BG"/>
        </w:rPr>
        <w:t>Определения</w:t>
      </w:r>
    </w:p>
    <w:p>
      <w:pPr>
        <w:jc w:val="both"/>
        <w:rPr>
          <w:rFonts w:ascii="Times New Roman" w:hAnsi="Times New Roman" w:cs="Times New Roman"/>
          <w:noProof/>
          <w:sz w:val="24"/>
          <w:szCs w:val="24"/>
          <w:lang w:val="bg-BG"/>
        </w:rPr>
      </w:pPr>
      <w:r>
        <w:rPr>
          <w:rFonts w:ascii="Times New Roman" w:hAnsi="Times New Roman"/>
          <w:noProof/>
          <w:sz w:val="24"/>
          <w:lang w:val="bg-BG"/>
        </w:rPr>
        <w:t>За целите на настоящото междуинституционално споразумение се прилагат следните определения:</w:t>
      </w:r>
    </w:p>
    <w:p>
      <w:pPr>
        <w:jc w:val="both"/>
        <w:rPr>
          <w:rFonts w:ascii="Times New Roman" w:hAnsi="Times New Roman" w:cs="Times New Roman"/>
          <w:noProof/>
          <w:sz w:val="24"/>
          <w:szCs w:val="24"/>
          <w:lang w:val="bg-BG"/>
        </w:rPr>
      </w:pPr>
      <w:r>
        <w:rPr>
          <w:rFonts w:ascii="Times New Roman" w:hAnsi="Times New Roman"/>
          <w:noProof/>
          <w:sz w:val="24"/>
          <w:lang w:val="bg-BG"/>
        </w:rPr>
        <w:t>а) „</w:t>
      </w:r>
      <w:r>
        <w:rPr>
          <w:rFonts w:ascii="Times New Roman" w:hAnsi="Times New Roman"/>
          <w:i/>
          <w:noProof/>
          <w:sz w:val="24"/>
          <w:lang w:val="bg-BG"/>
        </w:rPr>
        <w:t>представители на интереси</w:t>
      </w:r>
      <w:r>
        <w:rPr>
          <w:rFonts w:ascii="Times New Roman" w:hAnsi="Times New Roman"/>
          <w:noProof/>
          <w:sz w:val="24"/>
          <w:lang w:val="bg-BG"/>
        </w:rPr>
        <w:t xml:space="preserve">“ означава всяко физическо или юридическо лице, или техни официални/неофициални групи, сдружения или мрежи, които извършват попадащите в обхвата на настоящото споразумение дейности; </w:t>
      </w:r>
    </w:p>
    <w:p>
      <w:pPr>
        <w:jc w:val="both"/>
        <w:rPr>
          <w:rFonts w:ascii="Times New Roman" w:hAnsi="Times New Roman" w:cs="Times New Roman"/>
          <w:noProof/>
          <w:sz w:val="24"/>
          <w:szCs w:val="24"/>
          <w:lang w:val="bg-BG"/>
        </w:rPr>
      </w:pPr>
      <w:r>
        <w:rPr>
          <w:rFonts w:ascii="Times New Roman" w:hAnsi="Times New Roman"/>
          <w:noProof/>
          <w:sz w:val="24"/>
          <w:lang w:val="bg-BG"/>
        </w:rPr>
        <w:t>б) „</w:t>
      </w:r>
      <w:r>
        <w:rPr>
          <w:rFonts w:ascii="Times New Roman" w:hAnsi="Times New Roman"/>
          <w:i/>
          <w:noProof/>
          <w:sz w:val="24"/>
          <w:lang w:val="bg-BG"/>
        </w:rPr>
        <w:t>заявител</w:t>
      </w:r>
      <w:r>
        <w:rPr>
          <w:rFonts w:ascii="Times New Roman" w:hAnsi="Times New Roman"/>
          <w:noProof/>
          <w:sz w:val="24"/>
          <w:lang w:val="bg-BG"/>
        </w:rPr>
        <w:t>“ е всеки представител на интереси, който подава заявление за включване в Регистъра;</w:t>
      </w:r>
    </w:p>
    <w:p>
      <w:pPr>
        <w:jc w:val="both"/>
        <w:rPr>
          <w:rFonts w:ascii="Times New Roman" w:hAnsi="Times New Roman" w:cs="Times New Roman"/>
          <w:noProof/>
          <w:sz w:val="24"/>
          <w:szCs w:val="24"/>
          <w:lang w:val="bg-BG"/>
        </w:rPr>
      </w:pPr>
      <w:r>
        <w:rPr>
          <w:rFonts w:ascii="Times New Roman" w:hAnsi="Times New Roman"/>
          <w:noProof/>
          <w:sz w:val="24"/>
          <w:lang w:val="bg-BG"/>
        </w:rPr>
        <w:t>в) „</w:t>
      </w:r>
      <w:r>
        <w:rPr>
          <w:rFonts w:ascii="Times New Roman" w:hAnsi="Times New Roman"/>
          <w:i/>
          <w:noProof/>
          <w:sz w:val="24"/>
          <w:lang w:val="bg-BG"/>
        </w:rPr>
        <w:t>регистрант</w:t>
      </w:r>
      <w:r>
        <w:rPr>
          <w:rFonts w:ascii="Times New Roman" w:hAnsi="Times New Roman"/>
          <w:noProof/>
          <w:sz w:val="24"/>
          <w:lang w:val="bg-BG"/>
        </w:rPr>
        <w:t xml:space="preserve">“ е всеки представител на интереси с действащо вписване в Регистъра; </w:t>
      </w:r>
    </w:p>
    <w:p>
      <w:pPr>
        <w:jc w:val="both"/>
        <w:rPr>
          <w:rFonts w:ascii="Times New Roman" w:hAnsi="Times New Roman" w:cs="Times New Roman"/>
          <w:noProof/>
          <w:sz w:val="24"/>
          <w:szCs w:val="24"/>
          <w:lang w:val="bg-BG"/>
        </w:rPr>
      </w:pPr>
      <w:r>
        <w:rPr>
          <w:rFonts w:ascii="Times New Roman" w:hAnsi="Times New Roman"/>
          <w:noProof/>
          <w:sz w:val="24"/>
          <w:lang w:val="bg-BG"/>
        </w:rPr>
        <w:t>г) „</w:t>
      </w:r>
      <w:r>
        <w:rPr>
          <w:rFonts w:ascii="Times New Roman" w:hAnsi="Times New Roman"/>
          <w:i/>
          <w:noProof/>
          <w:sz w:val="24"/>
          <w:lang w:val="bg-BG"/>
        </w:rPr>
        <w:t>клиент</w:t>
      </w:r>
      <w:r>
        <w:rPr>
          <w:rFonts w:ascii="Times New Roman" w:hAnsi="Times New Roman"/>
          <w:noProof/>
          <w:sz w:val="24"/>
          <w:lang w:val="bg-BG"/>
        </w:rPr>
        <w:t>“ означава представител на интереси, който е разпоредил на посредник да представлява собствените интереси на клиента по отношение на която и да е от трите институции;</w:t>
      </w:r>
    </w:p>
    <w:p>
      <w:pPr>
        <w:jc w:val="both"/>
        <w:rPr>
          <w:rFonts w:ascii="Times New Roman" w:hAnsi="Times New Roman" w:cs="Times New Roman"/>
          <w:noProof/>
          <w:sz w:val="24"/>
          <w:szCs w:val="24"/>
          <w:lang w:val="bg-BG"/>
        </w:rPr>
      </w:pPr>
      <w:r>
        <w:rPr>
          <w:rFonts w:ascii="Times New Roman" w:hAnsi="Times New Roman"/>
          <w:noProof/>
          <w:sz w:val="24"/>
          <w:lang w:val="bg-BG"/>
        </w:rPr>
        <w:t>д) „</w:t>
      </w:r>
      <w:r>
        <w:rPr>
          <w:rFonts w:ascii="Times New Roman" w:hAnsi="Times New Roman"/>
          <w:i/>
          <w:noProof/>
          <w:sz w:val="24"/>
          <w:lang w:val="bg-BG"/>
        </w:rPr>
        <w:t>посредник</w:t>
      </w:r>
      <w:r>
        <w:rPr>
          <w:rFonts w:ascii="Times New Roman" w:hAnsi="Times New Roman"/>
          <w:noProof/>
          <w:sz w:val="24"/>
          <w:lang w:val="bg-BG"/>
        </w:rPr>
        <w:t>“ означава представител на интереси, който представлява интересите на клиент по отношение на която и да е от трите институции;</w:t>
      </w:r>
    </w:p>
    <w:p>
      <w:pPr>
        <w:jc w:val="both"/>
        <w:rPr>
          <w:rFonts w:ascii="Times New Roman" w:hAnsi="Times New Roman" w:cs="Times New Roman"/>
          <w:noProof/>
          <w:sz w:val="24"/>
          <w:szCs w:val="24"/>
          <w:lang w:val="bg-BG"/>
        </w:rPr>
      </w:pPr>
      <w:r>
        <w:rPr>
          <w:rFonts w:ascii="Times New Roman" w:hAnsi="Times New Roman"/>
          <w:noProof/>
          <w:sz w:val="24"/>
          <w:lang w:val="bg-BG"/>
        </w:rPr>
        <w:t>е) „</w:t>
      </w:r>
      <w:r>
        <w:rPr>
          <w:rFonts w:ascii="Times New Roman" w:hAnsi="Times New Roman"/>
          <w:i/>
          <w:noProof/>
          <w:sz w:val="24"/>
          <w:lang w:val="bg-BG"/>
        </w:rPr>
        <w:t>отношение клиент — посредник</w:t>
      </w:r>
      <w:r>
        <w:rPr>
          <w:rFonts w:ascii="Times New Roman" w:hAnsi="Times New Roman"/>
          <w:noProof/>
          <w:sz w:val="24"/>
          <w:lang w:val="bg-BG"/>
        </w:rPr>
        <w:t xml:space="preserve">“ означава всяко договорно отношение между клиент и един или повече (под)доставчици на услуги във връзка с предоставянето на обхваната дейност; </w:t>
      </w:r>
    </w:p>
    <w:p>
      <w:pPr>
        <w:jc w:val="both"/>
        <w:rPr>
          <w:rFonts w:ascii="Times New Roman" w:hAnsi="Times New Roman" w:cs="Times New Roman"/>
          <w:noProof/>
          <w:spacing w:val="-4"/>
          <w:sz w:val="24"/>
          <w:szCs w:val="24"/>
          <w:lang w:val="bg-BG"/>
        </w:rPr>
      </w:pPr>
      <w:r>
        <w:rPr>
          <w:rFonts w:ascii="Times New Roman" w:hAnsi="Times New Roman"/>
          <w:noProof/>
          <w:spacing w:val="-4"/>
          <w:sz w:val="24"/>
          <w:lang w:val="bg-BG"/>
        </w:rPr>
        <w:t>ж) „</w:t>
      </w:r>
      <w:r>
        <w:rPr>
          <w:rFonts w:ascii="Times New Roman" w:hAnsi="Times New Roman"/>
          <w:i/>
          <w:noProof/>
          <w:spacing w:val="-4"/>
          <w:sz w:val="24"/>
          <w:lang w:val="bg-BG"/>
        </w:rPr>
        <w:t>длъжностни лица</w:t>
      </w:r>
      <w:r>
        <w:rPr>
          <w:rFonts w:ascii="Times New Roman" w:hAnsi="Times New Roman"/>
          <w:noProof/>
          <w:spacing w:val="-4"/>
          <w:sz w:val="24"/>
          <w:lang w:val="bg-BG"/>
        </w:rPr>
        <w:t>“ са всички категории персонал на която и да е от трите институции.</w:t>
      </w:r>
    </w:p>
    <w:p>
      <w:pPr>
        <w:spacing w:after="0" w:line="240" w:lineRule="auto"/>
        <w:jc w:val="center"/>
        <w:rPr>
          <w:rFonts w:ascii="Times New Roman" w:hAnsi="Times New Roman" w:cs="Times New Roman"/>
          <w:noProof/>
          <w:sz w:val="24"/>
          <w:szCs w:val="24"/>
          <w:lang w:val="bg-BG"/>
        </w:rPr>
      </w:pPr>
    </w:p>
    <w:p>
      <w:pPr>
        <w:jc w:val="center"/>
        <w:rPr>
          <w:rFonts w:ascii="Times New Roman" w:hAnsi="Times New Roman" w:cs="Times New Roman"/>
          <w:noProof/>
          <w:color w:val="0070C0"/>
          <w:sz w:val="24"/>
          <w:szCs w:val="24"/>
          <w:lang w:val="bg-BG"/>
        </w:rPr>
      </w:pPr>
      <w:r>
        <w:rPr>
          <w:rFonts w:ascii="Times New Roman" w:hAnsi="Times New Roman"/>
          <w:noProof/>
          <w:sz w:val="24"/>
          <w:lang w:val="bg-BG"/>
        </w:rPr>
        <w:t>Член 3</w:t>
      </w:r>
    </w:p>
    <w:p>
      <w:pPr>
        <w:jc w:val="center"/>
        <w:rPr>
          <w:rFonts w:ascii="Times New Roman" w:hAnsi="Times New Roman" w:cs="Times New Roman"/>
          <w:b/>
          <w:noProof/>
          <w:sz w:val="24"/>
          <w:szCs w:val="24"/>
          <w:lang w:val="bg-BG"/>
        </w:rPr>
      </w:pPr>
      <w:r>
        <w:rPr>
          <w:rFonts w:ascii="Times New Roman" w:hAnsi="Times New Roman"/>
          <w:b/>
          <w:noProof/>
          <w:sz w:val="24"/>
          <w:lang w:val="bg-BG"/>
        </w:rPr>
        <w:t>Дейности, попадащи във и извън обхвата на междуинституционалното споразумение</w:t>
      </w:r>
    </w:p>
    <w:p>
      <w:pPr>
        <w:jc w:val="both"/>
        <w:rPr>
          <w:rFonts w:ascii="Times New Roman" w:hAnsi="Times New Roman" w:cs="Times New Roman"/>
          <w:noProof/>
          <w:sz w:val="24"/>
          <w:szCs w:val="24"/>
          <w:lang w:val="bg-BG"/>
        </w:rPr>
      </w:pPr>
      <w:r>
        <w:rPr>
          <w:rFonts w:ascii="Times New Roman" w:hAnsi="Times New Roman"/>
          <w:noProof/>
          <w:sz w:val="24"/>
          <w:lang w:val="bg-BG"/>
        </w:rPr>
        <w:t>1. Настоящото споразумение се прилага за дейностите, които защитават определени интереси чрез осъществяване на взаимодействие с която и да е от трите подписали споразумението институции, техните членове или служители с цел оказване на влияние при създаването или изпълнението на политика или законодателство или при процеса на вземане на решения в тези институции, освен ако не се прилага някое от изключенията, предвидени в параграф 2 или член 4.</w:t>
      </w:r>
    </w:p>
    <w:p>
      <w:pPr>
        <w:jc w:val="both"/>
        <w:rPr>
          <w:rFonts w:ascii="Times New Roman" w:hAnsi="Times New Roman" w:cs="Times New Roman"/>
          <w:noProof/>
          <w:sz w:val="24"/>
          <w:szCs w:val="24"/>
          <w:lang w:val="bg-BG"/>
        </w:rPr>
      </w:pPr>
      <w:r>
        <w:rPr>
          <w:rFonts w:ascii="Times New Roman" w:hAnsi="Times New Roman"/>
          <w:noProof/>
          <w:sz w:val="24"/>
          <w:lang w:val="bg-BG"/>
        </w:rPr>
        <w:t>2. Следните дейности не се считат за дейности по смисъла на параграф 1:</w:t>
      </w:r>
    </w:p>
    <w:p>
      <w:pPr>
        <w:jc w:val="both"/>
        <w:rPr>
          <w:rFonts w:ascii="Times New Roman" w:hAnsi="Times New Roman" w:cs="Times New Roman"/>
          <w:noProof/>
          <w:sz w:val="24"/>
          <w:szCs w:val="24"/>
          <w:lang w:val="bg-BG"/>
        </w:rPr>
      </w:pPr>
      <w:r>
        <w:rPr>
          <w:rFonts w:ascii="Times New Roman" w:hAnsi="Times New Roman"/>
          <w:noProof/>
          <w:sz w:val="24"/>
          <w:lang w:val="bg-BG"/>
        </w:rPr>
        <w:t>а) предоставянето на правни и други професионални консултации в контекста на отношението клиент — посредник, когато:</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 xml:space="preserve">то се изразява в представителство в контекста на помирителна процедура или процедура по медиация, целяща да се предотврати отнасянето на спора за разглеждане от съдебен или административен орган; </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то се изразява в предоставяне на съвети на клиенти, които да им помогнат да гарантират, че дейностите им са в съответствие със съществуващата правна уредба; или</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то е свързано с представляването на клиенти и опазването на техните основни или процедурни права, като например правото да бъдат изслушани, основното право на клиента на справедлив съдебен процес, включително правото на защита в рамките на административни производства, като например дейности, извършвани от адвокати или от други специалисти, които участват в тях;</w:t>
      </w:r>
    </w:p>
    <w:p>
      <w:pPr>
        <w:jc w:val="both"/>
        <w:rPr>
          <w:rFonts w:ascii="Times New Roman" w:hAnsi="Times New Roman" w:cs="Times New Roman"/>
          <w:noProof/>
          <w:sz w:val="24"/>
          <w:szCs w:val="24"/>
          <w:lang w:val="bg-BG"/>
        </w:rPr>
      </w:pPr>
      <w:r>
        <w:rPr>
          <w:rFonts w:ascii="Times New Roman" w:hAnsi="Times New Roman"/>
          <w:noProof/>
          <w:sz w:val="24"/>
          <w:lang w:val="bg-BG"/>
        </w:rPr>
        <w:t>б) предоставянето на становища или друга информация в качеството на страна или трета страна в рамките на правна или административна процедура, установена от правото на ЕС или от международното право, приложимо за Съюза, и представянето на становища или друга информация въз основа на договорно отношение с институцията или въз основа на споразумение за отпускане на безвъзмездни средства, финансирано от фондовете на ЕС;</w:t>
      </w:r>
    </w:p>
    <w:p>
      <w:pPr>
        <w:jc w:val="both"/>
        <w:rPr>
          <w:rFonts w:ascii="Times New Roman" w:hAnsi="Times New Roman" w:cs="Times New Roman"/>
          <w:noProof/>
          <w:sz w:val="24"/>
          <w:szCs w:val="24"/>
          <w:lang w:val="bg-BG"/>
        </w:rPr>
      </w:pPr>
      <w:r>
        <w:rPr>
          <w:rFonts w:ascii="Times New Roman" w:hAnsi="Times New Roman"/>
          <w:noProof/>
          <w:sz w:val="24"/>
          <w:lang w:val="bg-BG"/>
        </w:rPr>
        <w:t>в) дейностите на социалните партньори в качеството им на участници в социалния диалог съгласно член 152 от ДФЕС;</w:t>
      </w:r>
    </w:p>
    <w:p>
      <w:pPr>
        <w:jc w:val="both"/>
        <w:rPr>
          <w:rFonts w:ascii="Times New Roman" w:hAnsi="Times New Roman" w:cs="Times New Roman"/>
          <w:noProof/>
          <w:sz w:val="24"/>
          <w:szCs w:val="24"/>
          <w:lang w:val="bg-BG"/>
        </w:rPr>
      </w:pPr>
      <w:r>
        <w:rPr>
          <w:rFonts w:ascii="Times New Roman" w:hAnsi="Times New Roman"/>
          <w:noProof/>
          <w:sz w:val="24"/>
          <w:lang w:val="bg-BG"/>
        </w:rPr>
        <w:t>г) предоставянето на становища или друга информация в отговор на преки и конкретни искания от която и да е от трите институции, техните членове или длъжностни лица, като например искания за фактическа информация, данни или експертни знания;</w:t>
      </w:r>
    </w:p>
    <w:p>
      <w:pPr>
        <w:jc w:val="both"/>
        <w:rPr>
          <w:rFonts w:ascii="Times New Roman" w:hAnsi="Times New Roman" w:cs="Times New Roman"/>
          <w:noProof/>
          <w:sz w:val="24"/>
          <w:szCs w:val="24"/>
          <w:lang w:val="bg-BG"/>
        </w:rPr>
      </w:pPr>
      <w:r>
        <w:rPr>
          <w:rFonts w:ascii="Times New Roman" w:hAnsi="Times New Roman"/>
          <w:noProof/>
          <w:sz w:val="24"/>
          <w:lang w:val="bg-BG"/>
        </w:rPr>
        <w:t>д) комуникацията от страна на граждани, действащи изцяло от собствено име, с която и да е от трите институции.</w:t>
      </w:r>
    </w:p>
    <w:p>
      <w:pPr>
        <w:jc w:val="center"/>
        <w:rPr>
          <w:rFonts w:ascii="Times New Roman" w:hAnsi="Times New Roman" w:cs="Times New Roman"/>
          <w:noProof/>
          <w:sz w:val="24"/>
          <w:szCs w:val="24"/>
          <w:lang w:val="bg-BG"/>
        </w:rPr>
      </w:pPr>
      <w:r>
        <w:rPr>
          <w:rFonts w:ascii="Times New Roman" w:hAnsi="Times New Roman"/>
          <w:noProof/>
          <w:sz w:val="24"/>
          <w:lang w:val="bg-BG"/>
        </w:rPr>
        <w:t>Член 4</w:t>
      </w:r>
    </w:p>
    <w:p>
      <w:pPr>
        <w:jc w:val="center"/>
        <w:rPr>
          <w:rFonts w:ascii="Times New Roman" w:hAnsi="Times New Roman" w:cs="Times New Roman"/>
          <w:b/>
          <w:noProof/>
          <w:sz w:val="24"/>
          <w:szCs w:val="24"/>
          <w:lang w:val="bg-BG"/>
        </w:rPr>
      </w:pPr>
      <w:r>
        <w:rPr>
          <w:rFonts w:ascii="Times New Roman" w:hAnsi="Times New Roman"/>
          <w:b/>
          <w:noProof/>
          <w:sz w:val="24"/>
          <w:lang w:val="bg-BG"/>
        </w:rPr>
        <w:t>Органи, попадащи извън обхвата на междуинституционалното споразумение</w:t>
      </w:r>
    </w:p>
    <w:p>
      <w:pPr>
        <w:jc w:val="both"/>
        <w:rPr>
          <w:rFonts w:ascii="Times New Roman" w:hAnsi="Times New Roman" w:cs="Times New Roman"/>
          <w:noProof/>
          <w:sz w:val="24"/>
          <w:szCs w:val="24"/>
          <w:lang w:val="bg-BG"/>
        </w:rPr>
      </w:pPr>
      <w:r>
        <w:rPr>
          <w:rFonts w:ascii="Times New Roman" w:hAnsi="Times New Roman"/>
          <w:noProof/>
          <w:sz w:val="24"/>
          <w:lang w:val="bg-BG"/>
        </w:rPr>
        <w:t>1. Политическите партии са освободени от регистрация. Въпреки това не са освободени от регистрация всички създадени или подкрепяни от тях организации, които се занимават с дейности, попадащи в обхвата на настоящото споразумение.</w:t>
      </w:r>
    </w:p>
    <w:p>
      <w:pPr>
        <w:jc w:val="both"/>
        <w:rPr>
          <w:rFonts w:ascii="Times New Roman" w:hAnsi="Times New Roman" w:cs="Times New Roman"/>
          <w:noProof/>
          <w:sz w:val="24"/>
          <w:szCs w:val="24"/>
          <w:lang w:val="bg-BG"/>
        </w:rPr>
      </w:pPr>
      <w:r>
        <w:rPr>
          <w:rFonts w:ascii="Times New Roman" w:hAnsi="Times New Roman"/>
          <w:noProof/>
          <w:sz w:val="24"/>
          <w:lang w:val="bg-BG"/>
        </w:rPr>
        <w:t>2. Църквите и религиозните сдружения или общности, както и философските и неконфесионалните организации, предвидени в член 17 от ДФЕС, са освободени от регистрация. Въпреки това представителствата или правните субекти, бюрата и мрежите, създадени с цел представителство на църкви, религиозни общности или философски и неконфесионални организации в отношенията им с институциите на ЕС, както и техните сдружения, не са освободени от регистрация.</w:t>
      </w:r>
    </w:p>
    <w:p>
      <w:pPr>
        <w:jc w:val="both"/>
        <w:rPr>
          <w:rFonts w:ascii="Times New Roman" w:hAnsi="Times New Roman" w:cs="Times New Roman"/>
          <w:noProof/>
          <w:sz w:val="24"/>
          <w:szCs w:val="24"/>
          <w:lang w:val="bg-BG"/>
        </w:rPr>
      </w:pPr>
      <w:r>
        <w:rPr>
          <w:rFonts w:ascii="Times New Roman" w:hAnsi="Times New Roman"/>
          <w:noProof/>
          <w:sz w:val="24"/>
          <w:lang w:val="bg-BG"/>
        </w:rPr>
        <w:t>3. Публичните органи на държавите членки (включително техните постоянни представителства и посолства) на национално и поднационално равнище са освободени от регистрация, както и всяко сдружение на публични органи на европейско, национално или поднационално равнище, при условие че извършват действия единствено от името на съответните публични органи.</w:t>
      </w:r>
    </w:p>
    <w:p>
      <w:pPr>
        <w:jc w:val="both"/>
        <w:rPr>
          <w:rFonts w:ascii="Times New Roman" w:hAnsi="Times New Roman" w:cs="Times New Roman"/>
          <w:noProof/>
          <w:sz w:val="24"/>
          <w:szCs w:val="24"/>
          <w:lang w:val="bg-BG"/>
        </w:rPr>
      </w:pPr>
      <w:r>
        <w:rPr>
          <w:rFonts w:ascii="Times New Roman" w:hAnsi="Times New Roman"/>
          <w:noProof/>
          <w:sz w:val="24"/>
          <w:lang w:val="bg-BG"/>
        </w:rPr>
        <w:t>4. Публичните органи на трети държави (включително техните дипломатически мисии и посолства) са освободени от регистрация.</w:t>
      </w:r>
    </w:p>
    <w:p>
      <w:pPr>
        <w:jc w:val="both"/>
        <w:rPr>
          <w:rFonts w:ascii="Times New Roman" w:hAnsi="Times New Roman" w:cs="Times New Roman"/>
          <w:noProof/>
          <w:sz w:val="24"/>
          <w:szCs w:val="24"/>
          <w:lang w:val="bg-BG"/>
        </w:rPr>
      </w:pPr>
      <w:r>
        <w:rPr>
          <w:rFonts w:ascii="Times New Roman" w:hAnsi="Times New Roman"/>
          <w:noProof/>
          <w:sz w:val="24"/>
          <w:lang w:val="bg-BG"/>
        </w:rPr>
        <w:t>5. Междуправителствените организации, включително произлизащите от тях агенции и органи, са освободени от регистрация.</w:t>
      </w:r>
    </w:p>
    <w:p>
      <w:pPr>
        <w:jc w:val="center"/>
        <w:rPr>
          <w:rFonts w:ascii="Times New Roman" w:hAnsi="Times New Roman" w:cs="Times New Roman"/>
          <w:b/>
          <w:noProof/>
          <w:sz w:val="24"/>
          <w:szCs w:val="24"/>
          <w:lang w:val="bg-BG"/>
        </w:rPr>
      </w:pPr>
      <w:r>
        <w:rPr>
          <w:rFonts w:ascii="Times New Roman" w:hAnsi="Times New Roman"/>
          <w:noProof/>
          <w:sz w:val="24"/>
          <w:lang w:val="bg-BG"/>
        </w:rPr>
        <w:t>Член 5</w:t>
      </w:r>
    </w:p>
    <w:p>
      <w:pPr>
        <w:jc w:val="center"/>
        <w:rPr>
          <w:rFonts w:ascii="Times New Roman" w:hAnsi="Times New Roman" w:cs="Times New Roman"/>
          <w:b/>
          <w:noProof/>
          <w:sz w:val="24"/>
          <w:szCs w:val="24"/>
          <w:lang w:val="bg-BG"/>
        </w:rPr>
      </w:pPr>
      <w:r>
        <w:rPr>
          <w:rFonts w:ascii="Times New Roman" w:hAnsi="Times New Roman"/>
          <w:b/>
          <w:noProof/>
          <w:sz w:val="24"/>
          <w:lang w:val="bg-BG"/>
        </w:rPr>
        <w:t>Взаимодействия, обвързани с условието да е направена регистрация</w:t>
      </w:r>
    </w:p>
    <w:p>
      <w:pPr>
        <w:jc w:val="both"/>
        <w:rPr>
          <w:rFonts w:ascii="Times New Roman" w:hAnsi="Times New Roman" w:cs="Times New Roman"/>
          <w:noProof/>
          <w:sz w:val="24"/>
          <w:szCs w:val="24"/>
          <w:lang w:val="bg-BG"/>
        </w:rPr>
      </w:pPr>
      <w:r>
        <w:rPr>
          <w:rFonts w:ascii="Times New Roman" w:hAnsi="Times New Roman"/>
          <w:noProof/>
          <w:sz w:val="24"/>
          <w:lang w:val="bg-BG"/>
        </w:rPr>
        <w:t>1. Трите институции се споразумяват да обвържат следните видове взаимодействия с условието за предварителна регистрация на представителите на интереси:</w:t>
      </w:r>
    </w:p>
    <w:p>
      <w:pPr>
        <w:rPr>
          <w:rFonts w:ascii="Times New Roman" w:hAnsi="Times New Roman" w:cs="Times New Roman"/>
          <w:b/>
          <w:noProof/>
          <w:sz w:val="24"/>
          <w:szCs w:val="24"/>
          <w:lang w:val="bg-BG"/>
        </w:rPr>
      </w:pPr>
      <w:r>
        <w:rPr>
          <w:rFonts w:ascii="Times New Roman" w:hAnsi="Times New Roman"/>
          <w:b/>
          <w:noProof/>
          <w:sz w:val="24"/>
          <w:lang w:val="bg-BG"/>
        </w:rPr>
        <w:t xml:space="preserve">в Европейския парламент </w:t>
      </w:r>
    </w:p>
    <w:p>
      <w:pPr>
        <w:pStyle w:val="ListParagraph"/>
        <w:numPr>
          <w:ilvl w:val="0"/>
          <w:numId w:val="14"/>
        </w:numPr>
        <w:jc w:val="both"/>
        <w:rPr>
          <w:rFonts w:ascii="Times New Roman" w:hAnsi="Times New Roman" w:cs="Times New Roman"/>
          <w:i/>
          <w:noProof/>
          <w:sz w:val="24"/>
          <w:szCs w:val="24"/>
          <w:lang w:val="bg-BG"/>
        </w:rPr>
      </w:pPr>
      <w:r>
        <w:rPr>
          <w:rFonts w:ascii="Times New Roman" w:hAnsi="Times New Roman"/>
          <w:noProof/>
          <w:sz w:val="24"/>
          <w:lang w:val="bg-BG"/>
        </w:rPr>
        <w:t>достъп до сградите на Парламента: допустимост за подаване на заявления за издаване на дългосрочни пропуски за достъп до сградите на Европейския парламент за лица, които представляват или работят за представители на интереси;</w:t>
      </w:r>
    </w:p>
    <w:p>
      <w:pPr>
        <w:pStyle w:val="ListParagraph"/>
        <w:jc w:val="both"/>
        <w:rPr>
          <w:rFonts w:ascii="Times New Roman" w:hAnsi="Times New Roman" w:cs="Times New Roman"/>
          <w:noProof/>
          <w:sz w:val="24"/>
          <w:szCs w:val="24"/>
          <w:lang w:val="bg-BG"/>
        </w:rPr>
      </w:pPr>
    </w:p>
    <w:p>
      <w:pPr>
        <w:pStyle w:val="ListParagraph"/>
        <w:numPr>
          <w:ilvl w:val="0"/>
          <w:numId w:val="14"/>
        </w:numPr>
        <w:jc w:val="both"/>
        <w:rPr>
          <w:rFonts w:ascii="Times New Roman" w:hAnsi="Times New Roman" w:cs="Times New Roman"/>
          <w:i/>
          <w:noProof/>
          <w:sz w:val="24"/>
          <w:szCs w:val="24"/>
          <w:lang w:val="bg-BG"/>
        </w:rPr>
      </w:pPr>
      <w:r>
        <w:rPr>
          <w:rFonts w:ascii="Times New Roman" w:hAnsi="Times New Roman"/>
          <w:noProof/>
          <w:sz w:val="24"/>
          <w:lang w:val="bg-BG"/>
        </w:rPr>
        <w:t>публични изслушвания в комисиите: възможност за представителите на интереси да бъдат поканени да говорят на изслушване в комисия като гости, без да се засягат разпоредбите на член 3, параграф 2, буква б);</w:t>
      </w:r>
    </w:p>
    <w:p>
      <w:pPr>
        <w:pStyle w:val="ListParagraph"/>
        <w:jc w:val="both"/>
        <w:rPr>
          <w:rFonts w:ascii="Times New Roman" w:hAnsi="Times New Roman" w:cs="Times New Roman"/>
          <w:noProof/>
          <w:sz w:val="24"/>
          <w:szCs w:val="24"/>
          <w:lang w:val="bg-BG"/>
        </w:rPr>
      </w:pPr>
    </w:p>
    <w:p>
      <w:pPr>
        <w:pStyle w:val="ListParagraph"/>
        <w:numPr>
          <w:ilvl w:val="0"/>
          <w:numId w:val="14"/>
        </w:numPr>
        <w:jc w:val="both"/>
        <w:rPr>
          <w:rFonts w:ascii="Times New Roman" w:hAnsi="Times New Roman" w:cs="Times New Roman"/>
          <w:i/>
          <w:noProof/>
          <w:sz w:val="24"/>
          <w:szCs w:val="24"/>
          <w:lang w:val="bg-BG"/>
        </w:rPr>
      </w:pPr>
      <w:r>
        <w:rPr>
          <w:rFonts w:ascii="Times New Roman" w:hAnsi="Times New Roman"/>
          <w:noProof/>
          <w:sz w:val="24"/>
          <w:lang w:val="bg-BG"/>
        </w:rPr>
        <w:t>патронаж: осигуряване на патронаж за събития, организирани от представители на интереси;</w:t>
      </w:r>
    </w:p>
    <w:p>
      <w:pPr>
        <w:pStyle w:val="ListParagraph"/>
        <w:jc w:val="both"/>
        <w:rPr>
          <w:rFonts w:ascii="Times New Roman" w:hAnsi="Times New Roman" w:cs="Times New Roman"/>
          <w:noProof/>
          <w:sz w:val="24"/>
          <w:szCs w:val="24"/>
          <w:lang w:val="bg-BG"/>
        </w:rPr>
      </w:pPr>
    </w:p>
    <w:p>
      <w:pPr>
        <w:pStyle w:val="ListParagraph"/>
        <w:numPr>
          <w:ilvl w:val="0"/>
          <w:numId w:val="14"/>
        </w:numPr>
        <w:jc w:val="both"/>
        <w:rPr>
          <w:rFonts w:ascii="Times New Roman" w:hAnsi="Times New Roman" w:cs="Times New Roman"/>
          <w:i/>
          <w:noProof/>
          <w:sz w:val="24"/>
          <w:szCs w:val="24"/>
          <w:lang w:val="bg-BG"/>
        </w:rPr>
      </w:pPr>
      <w:r>
        <w:rPr>
          <w:rFonts w:ascii="Times New Roman" w:hAnsi="Times New Roman"/>
          <w:noProof/>
          <w:sz w:val="24"/>
          <w:lang w:val="bg-BG"/>
        </w:rPr>
        <w:t>срещи: срещи между представители на интереси и членове на Европейския парламент („членове на ЕП“), генералния секретар, генерални директори и генерални секретари на политически групи;</w:t>
      </w:r>
    </w:p>
    <w:p>
      <w:pPr>
        <w:pStyle w:val="ListParagraph"/>
        <w:jc w:val="both"/>
        <w:rPr>
          <w:rFonts w:ascii="Times New Roman" w:hAnsi="Times New Roman" w:cs="Times New Roman"/>
          <w:noProof/>
          <w:sz w:val="24"/>
          <w:szCs w:val="24"/>
          <w:lang w:val="bg-BG"/>
        </w:rPr>
      </w:pPr>
    </w:p>
    <w:p>
      <w:pPr>
        <w:pStyle w:val="ListParagraph"/>
        <w:numPr>
          <w:ilvl w:val="0"/>
          <w:numId w:val="14"/>
        </w:numPr>
        <w:jc w:val="both"/>
        <w:rPr>
          <w:rFonts w:ascii="Times New Roman" w:hAnsi="Times New Roman" w:cs="Times New Roman"/>
          <w:noProof/>
          <w:sz w:val="24"/>
          <w:szCs w:val="24"/>
          <w:lang w:val="bg-BG"/>
        </w:rPr>
      </w:pPr>
      <w:r>
        <w:rPr>
          <w:rFonts w:ascii="Times New Roman" w:hAnsi="Times New Roman"/>
          <w:noProof/>
          <w:sz w:val="24"/>
          <w:lang w:val="bg-BG"/>
        </w:rPr>
        <w:t>събития: осигуряване на домакинство на събития, организирани от представители на интереси в сградите на Европейския парламент;</w:t>
      </w:r>
    </w:p>
    <w:p>
      <w:pPr>
        <w:pStyle w:val="ListParagraph"/>
        <w:jc w:val="both"/>
        <w:rPr>
          <w:rFonts w:ascii="Times New Roman" w:hAnsi="Times New Roman" w:cs="Times New Roman"/>
          <w:noProof/>
          <w:sz w:val="24"/>
          <w:szCs w:val="24"/>
          <w:lang w:val="bg-BG"/>
        </w:rPr>
      </w:pPr>
    </w:p>
    <w:p>
      <w:pPr>
        <w:pStyle w:val="ListParagraph"/>
        <w:numPr>
          <w:ilvl w:val="0"/>
          <w:numId w:val="14"/>
        </w:numPr>
        <w:jc w:val="both"/>
        <w:rPr>
          <w:rFonts w:ascii="Times New Roman" w:hAnsi="Times New Roman" w:cs="Times New Roman"/>
          <w:i/>
          <w:noProof/>
          <w:sz w:val="24"/>
          <w:szCs w:val="24"/>
          <w:lang w:val="bg-BG"/>
        </w:rPr>
      </w:pPr>
      <w:r>
        <w:rPr>
          <w:rFonts w:ascii="Times New Roman" w:hAnsi="Times New Roman"/>
          <w:noProof/>
          <w:sz w:val="24"/>
          <w:lang w:val="bg-BG"/>
        </w:rPr>
        <w:t>уведомления: изпращане на автоматични съобщения относно дейностите на Европейския парламент до представителите на интереси;</w:t>
      </w:r>
    </w:p>
    <w:p>
      <w:pPr>
        <w:pStyle w:val="ListParagraph"/>
        <w:jc w:val="both"/>
        <w:rPr>
          <w:rFonts w:ascii="Times New Roman" w:hAnsi="Times New Roman" w:cs="Times New Roman"/>
          <w:noProof/>
          <w:sz w:val="24"/>
          <w:szCs w:val="24"/>
          <w:lang w:val="bg-BG"/>
        </w:rPr>
      </w:pPr>
    </w:p>
    <w:p>
      <w:pPr>
        <w:jc w:val="both"/>
        <w:rPr>
          <w:rFonts w:ascii="Times New Roman" w:hAnsi="Times New Roman" w:cs="Times New Roman"/>
          <w:b/>
          <w:noProof/>
          <w:sz w:val="24"/>
          <w:szCs w:val="24"/>
          <w:lang w:val="bg-BG"/>
        </w:rPr>
      </w:pPr>
      <w:r>
        <w:rPr>
          <w:rFonts w:ascii="Times New Roman" w:hAnsi="Times New Roman"/>
          <w:b/>
          <w:noProof/>
          <w:sz w:val="24"/>
          <w:lang w:val="bg-BG"/>
        </w:rPr>
        <w:t>в Съвета на Европейския съюз</w:t>
      </w:r>
    </w:p>
    <w:p>
      <w:pPr>
        <w:pStyle w:val="ListParagraph"/>
        <w:numPr>
          <w:ilvl w:val="0"/>
          <w:numId w:val="15"/>
        </w:numPr>
        <w:jc w:val="both"/>
        <w:rPr>
          <w:rFonts w:ascii="Times New Roman" w:hAnsi="Times New Roman" w:cs="Times New Roman"/>
          <w:noProof/>
          <w:sz w:val="24"/>
          <w:szCs w:val="24"/>
          <w:lang w:val="bg-BG"/>
        </w:rPr>
      </w:pPr>
      <w:r>
        <w:rPr>
          <w:rFonts w:ascii="Times New Roman" w:hAnsi="Times New Roman"/>
          <w:noProof/>
          <w:sz w:val="24"/>
          <w:lang w:val="bg-BG"/>
        </w:rPr>
        <w:t>срещи: срещи на представителите на интереси с посланика на настоящото или предстоящото председателство на Съвета на ЕС, както и с техните заместници в Комитета на постоянните представители на правителствата на държавите — членки на Европейския съюз, генералния секретар на Съвета и генералните директори;</w:t>
      </w:r>
    </w:p>
    <w:p>
      <w:pPr>
        <w:pStyle w:val="ListParagraph"/>
        <w:jc w:val="both"/>
        <w:rPr>
          <w:rFonts w:ascii="Times New Roman" w:hAnsi="Times New Roman" w:cs="Times New Roman"/>
          <w:noProof/>
          <w:sz w:val="24"/>
          <w:szCs w:val="24"/>
          <w:lang w:val="bg-BG"/>
        </w:rPr>
      </w:pPr>
    </w:p>
    <w:p>
      <w:pPr>
        <w:pStyle w:val="ListParagraph"/>
        <w:numPr>
          <w:ilvl w:val="0"/>
          <w:numId w:val="15"/>
        </w:numPr>
        <w:jc w:val="both"/>
        <w:rPr>
          <w:rFonts w:ascii="Times New Roman" w:hAnsi="Times New Roman" w:cs="Times New Roman"/>
          <w:noProof/>
          <w:sz w:val="24"/>
          <w:szCs w:val="24"/>
          <w:lang w:val="bg-BG"/>
        </w:rPr>
      </w:pPr>
      <w:r>
        <w:rPr>
          <w:rFonts w:ascii="Times New Roman" w:hAnsi="Times New Roman"/>
          <w:noProof/>
          <w:sz w:val="24"/>
          <w:lang w:val="bg-BG"/>
        </w:rPr>
        <w:t>уведомления: изпращане на автоматични съобщения относно дейностите на Съвета до представителите на интереси;</w:t>
      </w:r>
    </w:p>
    <w:p>
      <w:pPr>
        <w:pStyle w:val="ListParagraph"/>
        <w:jc w:val="both"/>
        <w:rPr>
          <w:rFonts w:ascii="Times New Roman" w:hAnsi="Times New Roman" w:cs="Times New Roman"/>
          <w:noProof/>
          <w:sz w:val="24"/>
          <w:szCs w:val="24"/>
          <w:lang w:val="bg-BG"/>
        </w:rPr>
      </w:pPr>
    </w:p>
    <w:p>
      <w:pPr>
        <w:jc w:val="both"/>
        <w:rPr>
          <w:rFonts w:ascii="Times New Roman" w:hAnsi="Times New Roman" w:cs="Times New Roman"/>
          <w:b/>
          <w:noProof/>
          <w:sz w:val="24"/>
          <w:szCs w:val="24"/>
          <w:lang w:val="bg-BG"/>
        </w:rPr>
      </w:pPr>
      <w:r>
        <w:rPr>
          <w:rFonts w:ascii="Times New Roman" w:hAnsi="Times New Roman"/>
          <w:b/>
          <w:noProof/>
          <w:sz w:val="24"/>
          <w:lang w:val="bg-BG"/>
        </w:rPr>
        <w:t xml:space="preserve">в Европейската комисия </w:t>
      </w:r>
    </w:p>
    <w:p>
      <w:pPr>
        <w:pStyle w:val="ListParagraph"/>
        <w:numPr>
          <w:ilvl w:val="0"/>
          <w:numId w:val="16"/>
        </w:numPr>
        <w:jc w:val="both"/>
        <w:rPr>
          <w:rFonts w:ascii="Times New Roman" w:hAnsi="Times New Roman" w:cs="Times New Roman"/>
          <w:i/>
          <w:noProof/>
          <w:sz w:val="24"/>
          <w:szCs w:val="24"/>
          <w:lang w:val="bg-BG"/>
        </w:rPr>
      </w:pPr>
      <w:r>
        <w:rPr>
          <w:rFonts w:ascii="Times New Roman" w:hAnsi="Times New Roman"/>
          <w:noProof/>
          <w:sz w:val="24"/>
          <w:lang w:val="bg-BG"/>
        </w:rPr>
        <w:t>срещи: срещи между представителите на интереси и членове на Комисията, членове на техните кабинети и генерални директори;</w:t>
      </w:r>
    </w:p>
    <w:p>
      <w:pPr>
        <w:pStyle w:val="ListParagraph"/>
        <w:jc w:val="both"/>
        <w:rPr>
          <w:rFonts w:ascii="Times New Roman" w:hAnsi="Times New Roman" w:cs="Times New Roman"/>
          <w:noProof/>
          <w:sz w:val="24"/>
          <w:szCs w:val="24"/>
          <w:lang w:val="bg-BG"/>
        </w:rPr>
      </w:pPr>
    </w:p>
    <w:p>
      <w:pPr>
        <w:pStyle w:val="ListParagraph"/>
        <w:numPr>
          <w:ilvl w:val="0"/>
          <w:numId w:val="16"/>
        </w:numPr>
        <w:jc w:val="both"/>
        <w:rPr>
          <w:rFonts w:ascii="Times New Roman" w:hAnsi="Times New Roman" w:cs="Times New Roman"/>
          <w:i/>
          <w:noProof/>
          <w:sz w:val="24"/>
          <w:szCs w:val="24"/>
          <w:lang w:val="bg-BG"/>
        </w:rPr>
      </w:pPr>
      <w:r>
        <w:rPr>
          <w:rFonts w:ascii="Times New Roman" w:hAnsi="Times New Roman"/>
          <w:noProof/>
          <w:sz w:val="24"/>
          <w:lang w:val="bg-BG"/>
        </w:rPr>
        <w:t>експертни групи: назначаване на определени видове членове на експертни групи</w:t>
      </w:r>
      <w:r>
        <w:rPr>
          <w:rStyle w:val="FootnoteReference"/>
          <w:rFonts w:ascii="Times New Roman" w:hAnsi="Times New Roman"/>
          <w:noProof/>
          <w:sz w:val="24"/>
          <w:lang w:val="bg-BG"/>
        </w:rPr>
        <w:footnoteReference w:id="3"/>
      </w:r>
      <w:r>
        <w:rPr>
          <w:rFonts w:ascii="Times New Roman" w:hAnsi="Times New Roman"/>
          <w:noProof/>
          <w:sz w:val="24"/>
          <w:lang w:val="bg-BG"/>
        </w:rPr>
        <w:t>;</w:t>
      </w:r>
    </w:p>
    <w:p>
      <w:pPr>
        <w:pStyle w:val="ListParagraph"/>
        <w:jc w:val="both"/>
        <w:rPr>
          <w:rFonts w:ascii="Times New Roman" w:hAnsi="Times New Roman" w:cs="Times New Roman"/>
          <w:noProof/>
          <w:sz w:val="24"/>
          <w:szCs w:val="24"/>
          <w:lang w:val="bg-BG"/>
        </w:rPr>
      </w:pPr>
    </w:p>
    <w:p>
      <w:pPr>
        <w:pStyle w:val="ListParagraph"/>
        <w:numPr>
          <w:ilvl w:val="0"/>
          <w:numId w:val="16"/>
        </w:numPr>
        <w:jc w:val="both"/>
        <w:rPr>
          <w:rFonts w:ascii="Times New Roman" w:hAnsi="Times New Roman" w:cs="Times New Roman"/>
          <w:i/>
          <w:noProof/>
          <w:sz w:val="24"/>
          <w:szCs w:val="24"/>
          <w:lang w:val="bg-BG"/>
        </w:rPr>
      </w:pPr>
      <w:r>
        <w:rPr>
          <w:rFonts w:ascii="Times New Roman" w:hAnsi="Times New Roman"/>
          <w:noProof/>
          <w:sz w:val="24"/>
          <w:lang w:val="bg-BG"/>
        </w:rPr>
        <w:t>обществени консултации: изпращане на автоматични известия относно консултациите на Комисията до представителите на интереси; Комисията ще разграничава регистрираните и нерегистрираните образувания, като публикува техния принос поотделно;</w:t>
      </w:r>
    </w:p>
    <w:p>
      <w:pPr>
        <w:pStyle w:val="ListParagraph"/>
        <w:jc w:val="both"/>
        <w:rPr>
          <w:rFonts w:ascii="Times New Roman" w:hAnsi="Times New Roman" w:cs="Times New Roman"/>
          <w:noProof/>
          <w:sz w:val="24"/>
          <w:szCs w:val="24"/>
          <w:lang w:val="bg-BG"/>
        </w:rPr>
      </w:pPr>
    </w:p>
    <w:p>
      <w:pPr>
        <w:pStyle w:val="ListParagraph"/>
        <w:numPr>
          <w:ilvl w:val="0"/>
          <w:numId w:val="16"/>
        </w:numPr>
        <w:jc w:val="both"/>
        <w:rPr>
          <w:rFonts w:ascii="Times New Roman" w:hAnsi="Times New Roman" w:cs="Times New Roman"/>
          <w:i/>
          <w:noProof/>
          <w:sz w:val="24"/>
          <w:szCs w:val="24"/>
          <w:lang w:val="bg-BG"/>
        </w:rPr>
      </w:pPr>
      <w:r>
        <w:rPr>
          <w:rFonts w:ascii="Times New Roman" w:hAnsi="Times New Roman"/>
          <w:noProof/>
          <w:sz w:val="24"/>
          <w:lang w:val="bg-BG"/>
        </w:rPr>
        <w:t>патронаж: осигуряване на патронаж за събития, организирани от представители на интереси;</w:t>
      </w:r>
    </w:p>
    <w:p>
      <w:pPr>
        <w:pStyle w:val="ListParagraph"/>
        <w:jc w:val="both"/>
        <w:rPr>
          <w:rFonts w:ascii="Times New Roman" w:hAnsi="Times New Roman" w:cs="Times New Roman"/>
          <w:noProof/>
          <w:sz w:val="24"/>
          <w:szCs w:val="24"/>
          <w:lang w:val="bg-BG"/>
        </w:rPr>
      </w:pPr>
    </w:p>
    <w:p>
      <w:pPr>
        <w:pStyle w:val="ListParagraph"/>
        <w:numPr>
          <w:ilvl w:val="0"/>
          <w:numId w:val="16"/>
        </w:numPr>
        <w:jc w:val="both"/>
        <w:rPr>
          <w:rFonts w:ascii="Times New Roman" w:hAnsi="Times New Roman" w:cs="Times New Roman"/>
          <w:i/>
          <w:noProof/>
          <w:sz w:val="24"/>
          <w:szCs w:val="24"/>
          <w:lang w:val="bg-BG"/>
        </w:rPr>
      </w:pPr>
      <w:r>
        <w:rPr>
          <w:rFonts w:ascii="Times New Roman" w:hAnsi="Times New Roman"/>
          <w:noProof/>
          <w:sz w:val="24"/>
          <w:lang w:val="bg-BG"/>
        </w:rPr>
        <w:t>адресни списъци: изпращане на известия чрез адресни списъци до представителите на интереси относно определени дейности на Комисията.</w:t>
      </w:r>
    </w:p>
    <w:p>
      <w:pPr>
        <w:jc w:val="both"/>
        <w:rPr>
          <w:rFonts w:ascii="Times New Roman" w:hAnsi="Times New Roman" w:cs="Times New Roman"/>
          <w:i/>
          <w:noProof/>
          <w:sz w:val="24"/>
          <w:szCs w:val="24"/>
          <w:lang w:val="bg-BG"/>
        </w:rPr>
      </w:pPr>
      <w:r>
        <w:rPr>
          <w:rFonts w:ascii="Times New Roman" w:hAnsi="Times New Roman"/>
          <w:noProof/>
          <w:sz w:val="24"/>
          <w:lang w:val="bg-BG"/>
        </w:rPr>
        <w:t xml:space="preserve">2. Всяка от трите институции предприема необходимите вътрешни мерки за привеждане в действие на видовете условия, посочени в параграф 1. </w:t>
      </w:r>
    </w:p>
    <w:p>
      <w:pPr>
        <w:jc w:val="both"/>
        <w:rPr>
          <w:rFonts w:ascii="Times New Roman" w:hAnsi="Times New Roman" w:cs="Times New Roman"/>
          <w:noProof/>
          <w:sz w:val="24"/>
          <w:szCs w:val="24"/>
          <w:lang w:val="bg-BG"/>
        </w:rPr>
      </w:pPr>
      <w:r>
        <w:rPr>
          <w:rFonts w:ascii="Times New Roman" w:hAnsi="Times New Roman"/>
          <w:noProof/>
          <w:sz w:val="24"/>
          <w:lang w:val="bg-BG"/>
        </w:rPr>
        <w:t>3. Всяка институция може да реши да обвърже други видове взаимодействия с условието за регистрация, стига тези допълнителни видове условия да имат за цел да укрепят допълнително настоящата рамка.</w:t>
      </w:r>
    </w:p>
    <w:p>
      <w:pPr>
        <w:jc w:val="both"/>
        <w:rPr>
          <w:rFonts w:ascii="Times New Roman" w:hAnsi="Times New Roman" w:cs="Times New Roman"/>
          <w:noProof/>
          <w:sz w:val="24"/>
          <w:szCs w:val="24"/>
          <w:lang w:val="bg-BG"/>
        </w:rPr>
      </w:pPr>
      <w:r>
        <w:rPr>
          <w:rFonts w:ascii="Times New Roman" w:hAnsi="Times New Roman"/>
          <w:noProof/>
          <w:sz w:val="24"/>
          <w:lang w:val="bg-BG"/>
        </w:rPr>
        <w:t>4. Видовете условия, посочени в параграфи 1 и 3, се оповестяват публично на специална уебстраница на Регистъра.</w:t>
      </w:r>
    </w:p>
    <w:p>
      <w:pPr>
        <w:jc w:val="center"/>
        <w:rPr>
          <w:rFonts w:ascii="Times New Roman" w:hAnsi="Times New Roman" w:cs="Times New Roman"/>
          <w:noProof/>
          <w:sz w:val="24"/>
          <w:szCs w:val="24"/>
          <w:lang w:val="bg-BG"/>
        </w:rPr>
      </w:pPr>
      <w:r>
        <w:rPr>
          <w:rFonts w:ascii="Times New Roman" w:hAnsi="Times New Roman"/>
          <w:noProof/>
          <w:sz w:val="24"/>
          <w:lang w:val="bg-BG"/>
        </w:rPr>
        <w:t>Член 6</w:t>
      </w:r>
    </w:p>
    <w:p>
      <w:pPr>
        <w:jc w:val="center"/>
        <w:rPr>
          <w:rFonts w:ascii="Times New Roman" w:hAnsi="Times New Roman" w:cs="Times New Roman"/>
          <w:noProof/>
          <w:color w:val="0070C0"/>
          <w:sz w:val="24"/>
          <w:szCs w:val="24"/>
          <w:lang w:val="bg-BG"/>
        </w:rPr>
      </w:pPr>
      <w:r>
        <w:rPr>
          <w:rFonts w:ascii="Times New Roman" w:hAnsi="Times New Roman"/>
          <w:b/>
          <w:noProof/>
          <w:sz w:val="24"/>
          <w:lang w:val="bg-BG"/>
        </w:rPr>
        <w:t>Условия за регистрация и регистрация на заявителите</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1. При подаване на заявление за регистрация заявителите трябва да докажат, че изпълняват условията, свързани с извършването на дейностите, попадащи в обхвата на настоящото споразумение. </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2. За тази цел заявителите трябва да предоставят информацията, подробно посочена в приложение II, и да се съгласят тази информация да бъде обществено достояние. </w:t>
      </w:r>
    </w:p>
    <w:p>
      <w:pPr>
        <w:jc w:val="both"/>
        <w:rPr>
          <w:rFonts w:ascii="Times New Roman" w:hAnsi="Times New Roman" w:cs="Times New Roman"/>
          <w:noProof/>
          <w:sz w:val="24"/>
          <w:szCs w:val="24"/>
          <w:lang w:val="bg-BG"/>
        </w:rPr>
      </w:pPr>
      <w:r>
        <w:rPr>
          <w:rFonts w:ascii="Times New Roman" w:hAnsi="Times New Roman"/>
          <w:noProof/>
          <w:sz w:val="24"/>
          <w:lang w:val="bg-BG"/>
        </w:rPr>
        <w:t>3. От заявителите може да бъде поискано да представят удостоверителни документи, доказващи тяхната допустимост и точността на предоставената информация.</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4. Заявителите се вписват в Регистъра като регистранти, след като тяхната допустимост бъде установена и бъде счетено, че регистрацията отговаря на разпоредбите на приложение II относно информацията, която трябва да бъде предоставена. </w:t>
      </w:r>
    </w:p>
    <w:p>
      <w:pPr>
        <w:rPr>
          <w:rFonts w:ascii="Times New Roman" w:hAnsi="Times New Roman" w:cs="Times New Roman"/>
          <w:noProof/>
          <w:sz w:val="24"/>
          <w:szCs w:val="24"/>
          <w:lang w:val="bg-BG"/>
        </w:rPr>
      </w:pPr>
    </w:p>
    <w:p>
      <w:pPr>
        <w:jc w:val="center"/>
        <w:rPr>
          <w:rFonts w:ascii="Times New Roman" w:hAnsi="Times New Roman" w:cs="Times New Roman"/>
          <w:noProof/>
          <w:sz w:val="24"/>
          <w:szCs w:val="24"/>
          <w:lang w:val="bg-BG"/>
        </w:rPr>
      </w:pPr>
      <w:r>
        <w:rPr>
          <w:rFonts w:ascii="Times New Roman" w:hAnsi="Times New Roman"/>
          <w:noProof/>
          <w:sz w:val="24"/>
          <w:lang w:val="bg-BG"/>
        </w:rPr>
        <w:t>Член 7</w:t>
      </w:r>
    </w:p>
    <w:p>
      <w:pPr>
        <w:jc w:val="center"/>
        <w:rPr>
          <w:rFonts w:ascii="Times New Roman" w:hAnsi="Times New Roman" w:cs="Times New Roman"/>
          <w:noProof/>
          <w:color w:val="0070C0"/>
          <w:sz w:val="24"/>
          <w:szCs w:val="24"/>
          <w:lang w:val="bg-BG"/>
        </w:rPr>
      </w:pPr>
      <w:r>
        <w:rPr>
          <w:rFonts w:ascii="Times New Roman" w:hAnsi="Times New Roman"/>
          <w:b/>
          <w:noProof/>
          <w:sz w:val="24"/>
          <w:lang w:val="bg-BG"/>
        </w:rPr>
        <w:t>Кодекс за поведение, приложим за регистрантите, и неговото изпълнение</w:t>
      </w:r>
    </w:p>
    <w:p>
      <w:pPr>
        <w:jc w:val="both"/>
        <w:rPr>
          <w:rFonts w:ascii="Times New Roman" w:hAnsi="Times New Roman" w:cs="Times New Roman"/>
          <w:noProof/>
          <w:sz w:val="24"/>
          <w:szCs w:val="24"/>
          <w:lang w:val="bg-BG"/>
        </w:rPr>
      </w:pPr>
      <w:r>
        <w:rPr>
          <w:rFonts w:ascii="Times New Roman" w:hAnsi="Times New Roman"/>
          <w:noProof/>
          <w:sz w:val="24"/>
          <w:lang w:val="bg-BG"/>
        </w:rPr>
        <w:t>1. Правилата и принципите, които регистрантите трябва да спазват, са установени в Кодекса за поведение, приложен към настоящото споразумение (приложение III). С регистрацията си регистрантите се съгласяват да спазват тези правила и принципи.</w:t>
      </w:r>
    </w:p>
    <w:p>
      <w:pPr>
        <w:jc w:val="both"/>
        <w:rPr>
          <w:rFonts w:ascii="Times New Roman" w:hAnsi="Times New Roman" w:cs="Times New Roman"/>
          <w:noProof/>
          <w:sz w:val="24"/>
          <w:szCs w:val="24"/>
          <w:lang w:val="bg-BG"/>
        </w:rPr>
      </w:pPr>
      <w:r>
        <w:rPr>
          <w:rFonts w:ascii="Times New Roman" w:hAnsi="Times New Roman"/>
          <w:noProof/>
          <w:sz w:val="24"/>
          <w:lang w:val="bg-BG"/>
        </w:rPr>
        <w:t>2. Както е предвидено в Кодекса за поведение, при неспазване на неговите разпоредби може да бъдат проведени разследванията и да бъдат наложени мерките, предвидени в установените в приложение IV към настоящото споразумение процедури.</w:t>
      </w:r>
    </w:p>
    <w:p>
      <w:pPr>
        <w:jc w:val="both"/>
        <w:rPr>
          <w:rFonts w:ascii="Times New Roman" w:hAnsi="Times New Roman" w:cs="Times New Roman"/>
          <w:noProof/>
          <w:sz w:val="24"/>
          <w:szCs w:val="24"/>
          <w:lang w:val="bg-BG"/>
        </w:rPr>
      </w:pPr>
      <w:r>
        <w:rPr>
          <w:rFonts w:ascii="Times New Roman" w:hAnsi="Times New Roman"/>
          <w:noProof/>
          <w:sz w:val="24"/>
          <w:lang w:val="bg-BG"/>
        </w:rPr>
        <w:t>Разследванията могат да се извършват вследствие на получени жалби или по собствена инициатива на Секретариата.</w:t>
      </w:r>
    </w:p>
    <w:p>
      <w:pPr>
        <w:jc w:val="both"/>
        <w:rPr>
          <w:rFonts w:ascii="Times New Roman" w:hAnsi="Times New Roman" w:cs="Times New Roman"/>
          <w:noProof/>
          <w:sz w:val="24"/>
          <w:szCs w:val="24"/>
          <w:lang w:val="bg-BG"/>
        </w:rPr>
      </w:pPr>
      <w:r>
        <w:rPr>
          <w:rFonts w:ascii="Times New Roman" w:hAnsi="Times New Roman"/>
          <w:noProof/>
          <w:sz w:val="24"/>
          <w:lang w:val="bg-BG"/>
        </w:rPr>
        <w:t>Трите институции вземат необходимите вътрешни мерки, за да приложат всички мерки, наложени съгласно приложение IV.</w:t>
      </w:r>
    </w:p>
    <w:p>
      <w:pPr>
        <w:pStyle w:val="ListParagraph"/>
        <w:ind w:left="0"/>
        <w:jc w:val="both"/>
        <w:rPr>
          <w:rFonts w:ascii="Times New Roman" w:hAnsi="Times New Roman" w:cs="Times New Roman"/>
          <w:noProof/>
          <w:sz w:val="24"/>
          <w:szCs w:val="24"/>
          <w:lang w:val="bg-BG"/>
        </w:rPr>
      </w:pPr>
      <w:r>
        <w:rPr>
          <w:rFonts w:ascii="Times New Roman" w:hAnsi="Times New Roman"/>
          <w:noProof/>
          <w:sz w:val="24"/>
          <w:lang w:val="bg-BG"/>
        </w:rPr>
        <w:t>3. Както е предвидено в Кодекса за поведение, регистрантите по-специално:</w:t>
      </w:r>
    </w:p>
    <w:p>
      <w:pPr>
        <w:pStyle w:val="ListParagraph"/>
        <w:ind w:left="0"/>
        <w:jc w:val="both"/>
        <w:rPr>
          <w:rFonts w:ascii="Times New Roman" w:hAnsi="Times New Roman" w:cs="Times New Roman"/>
          <w:noProof/>
          <w:sz w:val="24"/>
          <w:szCs w:val="24"/>
          <w:lang w:val="bg-BG"/>
        </w:rPr>
      </w:pPr>
    </w:p>
    <w:p>
      <w:pPr>
        <w:pStyle w:val="ListParagraph"/>
        <w:numPr>
          <w:ilvl w:val="0"/>
          <w:numId w:val="13"/>
        </w:numPr>
        <w:jc w:val="both"/>
        <w:rPr>
          <w:rFonts w:ascii="Times New Roman" w:hAnsi="Times New Roman" w:cs="Times New Roman"/>
          <w:noProof/>
          <w:sz w:val="24"/>
          <w:szCs w:val="24"/>
          <w:lang w:val="bg-BG"/>
        </w:rPr>
      </w:pPr>
      <w:r>
        <w:rPr>
          <w:rFonts w:ascii="Times New Roman" w:hAnsi="Times New Roman"/>
          <w:noProof/>
          <w:sz w:val="24"/>
          <w:lang w:val="bg-BG"/>
        </w:rPr>
        <w:t>представят при поискване документите и всякакви други удостоверителни материали, които доказват точността на предоставената информация;</w:t>
      </w:r>
    </w:p>
    <w:p>
      <w:pPr>
        <w:pStyle w:val="ListParagraph"/>
        <w:jc w:val="both"/>
        <w:rPr>
          <w:rFonts w:ascii="Times New Roman" w:hAnsi="Times New Roman" w:cs="Times New Roman"/>
          <w:noProof/>
          <w:sz w:val="24"/>
          <w:szCs w:val="24"/>
          <w:lang w:val="bg-BG"/>
        </w:rPr>
      </w:pPr>
    </w:p>
    <w:p>
      <w:pPr>
        <w:pStyle w:val="ListParagraph"/>
        <w:numPr>
          <w:ilvl w:val="0"/>
          <w:numId w:val="13"/>
        </w:numPr>
        <w:jc w:val="both"/>
        <w:rPr>
          <w:rFonts w:ascii="Times New Roman" w:hAnsi="Times New Roman" w:cs="Times New Roman"/>
          <w:noProof/>
          <w:sz w:val="24"/>
          <w:szCs w:val="24"/>
          <w:lang w:val="bg-BG"/>
        </w:rPr>
      </w:pPr>
      <w:r>
        <w:rPr>
          <w:rFonts w:ascii="Times New Roman" w:hAnsi="Times New Roman"/>
          <w:noProof/>
          <w:sz w:val="24"/>
          <w:lang w:val="bg-BG"/>
        </w:rPr>
        <w:t>се съгласяват да оказват лоялно и конструктивно съдействие във връзка с исканията за разяснения и актуална информация;</w:t>
      </w:r>
    </w:p>
    <w:p>
      <w:pPr>
        <w:pStyle w:val="ListParagraph"/>
        <w:jc w:val="both"/>
        <w:rPr>
          <w:rFonts w:ascii="Times New Roman" w:hAnsi="Times New Roman" w:cs="Times New Roman"/>
          <w:noProof/>
          <w:sz w:val="24"/>
          <w:szCs w:val="24"/>
          <w:lang w:val="bg-BG"/>
        </w:rPr>
      </w:pPr>
    </w:p>
    <w:p>
      <w:pPr>
        <w:pStyle w:val="ListParagraph"/>
        <w:numPr>
          <w:ilvl w:val="0"/>
          <w:numId w:val="13"/>
        </w:numPr>
        <w:jc w:val="both"/>
        <w:rPr>
          <w:rFonts w:ascii="Times New Roman" w:hAnsi="Times New Roman" w:cs="Times New Roman"/>
          <w:noProof/>
          <w:sz w:val="24"/>
          <w:szCs w:val="24"/>
          <w:lang w:val="bg-BG"/>
        </w:rPr>
      </w:pPr>
      <w:r>
        <w:rPr>
          <w:rFonts w:ascii="Times New Roman" w:hAnsi="Times New Roman"/>
          <w:noProof/>
          <w:sz w:val="24"/>
          <w:lang w:val="bg-BG"/>
        </w:rPr>
        <w:t>приемат, че спрямо тях може да бъдат образувани процедурите по разследване и, когато е приложимо, да им бъдат налагани мерките, установени в приложение IV.</w:t>
      </w:r>
    </w:p>
    <w:p>
      <w:pPr>
        <w:jc w:val="center"/>
        <w:rPr>
          <w:rFonts w:ascii="Times New Roman" w:hAnsi="Times New Roman" w:cs="Times New Roman"/>
          <w:noProof/>
          <w:sz w:val="24"/>
          <w:szCs w:val="24"/>
          <w:lang w:val="bg-BG"/>
        </w:rPr>
      </w:pPr>
      <w:r>
        <w:rPr>
          <w:rFonts w:ascii="Times New Roman" w:hAnsi="Times New Roman"/>
          <w:noProof/>
          <w:sz w:val="24"/>
          <w:lang w:val="bg-BG"/>
        </w:rPr>
        <w:t>Член 8</w:t>
      </w:r>
    </w:p>
    <w:p>
      <w:pPr>
        <w:jc w:val="center"/>
        <w:rPr>
          <w:rFonts w:ascii="Times New Roman" w:hAnsi="Times New Roman" w:cs="Times New Roman"/>
          <w:b/>
          <w:noProof/>
          <w:sz w:val="24"/>
          <w:szCs w:val="24"/>
          <w:lang w:val="bg-BG"/>
        </w:rPr>
      </w:pPr>
      <w:r>
        <w:rPr>
          <w:rFonts w:ascii="Times New Roman" w:hAnsi="Times New Roman"/>
          <w:b/>
          <w:noProof/>
          <w:sz w:val="24"/>
          <w:lang w:val="bg-BG"/>
        </w:rPr>
        <w:t>Управителен съвет на Регистъра</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1. Управителният съвет на Регистъра се състои от генералните секретари на трите институции. </w:t>
      </w:r>
    </w:p>
    <w:p>
      <w:pPr>
        <w:jc w:val="both"/>
        <w:rPr>
          <w:rFonts w:ascii="Times New Roman" w:hAnsi="Times New Roman" w:cs="Times New Roman"/>
          <w:noProof/>
          <w:sz w:val="24"/>
          <w:szCs w:val="24"/>
          <w:lang w:val="bg-BG"/>
        </w:rPr>
      </w:pPr>
      <w:r>
        <w:rPr>
          <w:rFonts w:ascii="Times New Roman" w:hAnsi="Times New Roman"/>
          <w:noProof/>
          <w:sz w:val="24"/>
          <w:lang w:val="bg-BG"/>
        </w:rPr>
        <w:t>2. Управителният съвет:</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 xml:space="preserve">следи за цялостното изпълнение на настоящото споразумение от Секретариата и за тази цел издава общи указания; </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одобрява правилника за дейността на Секретариата;</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одобрява издаването на насоки, както е предвидено в член 9, параграф 4;</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разглежда и взема решения по подадени от регистрантите мотивирани искания за преразглеждане на решенията на Секретариата, както е предвидено в приложение IV към настоящото споразумение;</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noProof/>
          <w:lang w:val="bg-BG"/>
        </w:rPr>
        <w:tab/>
      </w:r>
      <w:r>
        <w:rPr>
          <w:rFonts w:ascii="Times New Roman" w:hAnsi="Times New Roman"/>
          <w:noProof/>
          <w:sz w:val="24"/>
          <w:lang w:val="bg-BG"/>
        </w:rPr>
        <w:t>приема уведомления за доброволно участие съгласно членове 12 и 13 от споразумението.</w:t>
      </w:r>
    </w:p>
    <w:p>
      <w:pPr>
        <w:jc w:val="both"/>
        <w:rPr>
          <w:rFonts w:ascii="Times New Roman" w:hAnsi="Times New Roman" w:cs="Times New Roman"/>
          <w:noProof/>
          <w:sz w:val="24"/>
          <w:szCs w:val="24"/>
          <w:lang w:val="bg-BG"/>
        </w:rPr>
      </w:pPr>
      <w:r>
        <w:rPr>
          <w:rFonts w:ascii="Times New Roman" w:hAnsi="Times New Roman"/>
          <w:noProof/>
          <w:sz w:val="24"/>
          <w:lang w:val="bg-BG"/>
        </w:rPr>
        <w:t>3. Управителният съвет взема решенията си с консенсус.</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4. Управителният съвет може да приема правилник за дейността си, с който се урежда упражняването на неговите функции. </w:t>
      </w:r>
    </w:p>
    <w:p>
      <w:pPr>
        <w:jc w:val="center"/>
        <w:rPr>
          <w:rFonts w:ascii="Times New Roman" w:hAnsi="Times New Roman" w:cs="Times New Roman"/>
          <w:noProof/>
          <w:sz w:val="24"/>
          <w:szCs w:val="24"/>
          <w:lang w:val="bg-BG"/>
        </w:rPr>
      </w:pPr>
    </w:p>
    <w:p>
      <w:pPr>
        <w:jc w:val="center"/>
        <w:rPr>
          <w:rFonts w:ascii="Times New Roman" w:hAnsi="Times New Roman" w:cs="Times New Roman"/>
          <w:noProof/>
          <w:sz w:val="24"/>
          <w:szCs w:val="24"/>
          <w:lang w:val="bg-BG"/>
        </w:rPr>
      </w:pPr>
      <w:r>
        <w:rPr>
          <w:rFonts w:ascii="Times New Roman" w:hAnsi="Times New Roman"/>
          <w:noProof/>
          <w:sz w:val="24"/>
          <w:lang w:val="bg-BG"/>
        </w:rPr>
        <w:t>Член 9</w:t>
      </w:r>
    </w:p>
    <w:p>
      <w:pPr>
        <w:jc w:val="center"/>
        <w:rPr>
          <w:rFonts w:ascii="Times New Roman" w:hAnsi="Times New Roman" w:cs="Times New Roman"/>
          <w:noProof/>
          <w:color w:val="0070C0"/>
          <w:sz w:val="24"/>
          <w:szCs w:val="24"/>
          <w:lang w:val="bg-BG"/>
        </w:rPr>
      </w:pPr>
      <w:r>
        <w:rPr>
          <w:rFonts w:ascii="Times New Roman" w:hAnsi="Times New Roman"/>
          <w:b/>
          <w:noProof/>
          <w:sz w:val="24"/>
          <w:lang w:val="bg-BG"/>
        </w:rPr>
        <w:t>Секретариат на Регистъра</w:t>
      </w:r>
    </w:p>
    <w:p>
      <w:pPr>
        <w:jc w:val="both"/>
        <w:rPr>
          <w:rFonts w:ascii="Times New Roman" w:hAnsi="Times New Roman" w:cs="Times New Roman"/>
          <w:noProof/>
          <w:sz w:val="24"/>
          <w:szCs w:val="24"/>
          <w:lang w:val="bg-BG"/>
        </w:rPr>
      </w:pPr>
      <w:r>
        <w:rPr>
          <w:rFonts w:ascii="Times New Roman" w:hAnsi="Times New Roman"/>
          <w:noProof/>
          <w:sz w:val="24"/>
          <w:lang w:val="bg-BG"/>
        </w:rPr>
        <w:t>1. Секретариатът е съвместна оперативна структура, съставена от един координатор и членовете на Секретариата, която докладва пряко на Управителния съвет.</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2. Секретариатът работи под координацията на длъжностно лице в Генералния секретариат на Европейската комисия („координатор“). Членовете на Секретариата са служители на Европейския парламент, Съвета и Европейската комисия, командировани в Секретариата от техните съответни институции. </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Координаторът поема цялата отговорност за работата на Секретариата и контролира ежедневните дейности. </w:t>
      </w:r>
    </w:p>
    <w:p>
      <w:pPr>
        <w:jc w:val="both"/>
        <w:rPr>
          <w:rFonts w:ascii="Times New Roman" w:hAnsi="Times New Roman" w:cs="Times New Roman"/>
          <w:noProof/>
          <w:sz w:val="24"/>
          <w:szCs w:val="24"/>
          <w:lang w:val="bg-BG"/>
        </w:rPr>
      </w:pPr>
      <w:r>
        <w:rPr>
          <w:rFonts w:ascii="Times New Roman" w:hAnsi="Times New Roman"/>
          <w:noProof/>
          <w:sz w:val="24"/>
          <w:lang w:val="bg-BG"/>
        </w:rPr>
        <w:t>3. Основните задачи на Секретариата са:</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 xml:space="preserve">изготвя правилника за дейността на Секретариата, който се одобрява от Управителния съвет; </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докладва пред Управителния съвет относно цялостното изпълнение на настоящото споразумение;</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извършва мониторинг на съдържанието на Регистъра и гарантира, че са регистрирани само допустими заявители, с което се цели да се постигне оптимално ниво на качество на данните в Регистъра, при разбирането все пак, че в крайна сметка регистрантите са отговорни за точността на информацията, която са предоставили;</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предоставя подкрепа чрез помощен център за регистрантите, трите институции и всички субекти, участващи на доброволна основа съгласно членове 12 и 13;</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провежда разследвания, заличава регистрации и приема мерки в съответствие с приложение IV към настоящото споразумение;</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организира действия за повишаване на осведомеността;</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изготвя годишен доклад за предходната календарна година;</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 xml:space="preserve">осигурява разработването и поддържането на уебсайта на Регистъра и на онлайн формата за регистрация, както и на други свързани с тях ИТ ресурси; </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noProof/>
          <w:lang w:val="bg-BG"/>
        </w:rPr>
        <w:tab/>
      </w:r>
      <w:r>
        <w:rPr>
          <w:rFonts w:ascii="Times New Roman" w:hAnsi="Times New Roman"/>
          <w:noProof/>
          <w:sz w:val="24"/>
          <w:lang w:val="bg-BG"/>
        </w:rPr>
        <w:t>обменя добри практики и опит с други подобни органи във връзка с прозрачността на представителството на интереси;</w:t>
      </w:r>
    </w:p>
    <w:p>
      <w:pPr>
        <w:ind w:left="709" w:hanging="709"/>
        <w:jc w:val="both"/>
        <w:rPr>
          <w:rFonts w:ascii="Times New Roman" w:hAnsi="Times New Roman" w:cs="Times New Roman"/>
          <w:noProof/>
          <w:sz w:val="24"/>
          <w:szCs w:val="24"/>
          <w:lang w:val="bg-BG"/>
        </w:rPr>
      </w:pPr>
      <w:r>
        <w:rPr>
          <w:rFonts w:ascii="Times New Roman" w:hAnsi="Times New Roman"/>
          <w:noProof/>
          <w:sz w:val="24"/>
          <w:lang w:val="bg-BG"/>
        </w:rPr>
        <w:t>—</w:t>
      </w:r>
      <w:r>
        <w:rPr>
          <w:noProof/>
          <w:lang w:val="bg-BG"/>
        </w:rPr>
        <w:tab/>
      </w:r>
      <w:r>
        <w:rPr>
          <w:rFonts w:ascii="Times New Roman" w:hAnsi="Times New Roman"/>
          <w:noProof/>
          <w:sz w:val="24"/>
          <w:lang w:val="bg-BG"/>
        </w:rPr>
        <w:t>извършва всякакви други дейности, необходими за изпълнението на настоящото споразумение.</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4. Секретариатът може да предложи за одобрение от Управителния съвет насоки за регистрантите, за да се гарантира последователност при прилагането на членове 2—6 (определения, дейности, органи, попадащи извън обхвата на споразумението, взаимодействия, обвързани с условието да е направена регистрация, допустимост и регистрация на заявителите), както и на приложенията към настоящото споразумение. </w:t>
      </w:r>
    </w:p>
    <w:p>
      <w:pPr>
        <w:jc w:val="both"/>
        <w:rPr>
          <w:rFonts w:ascii="Times New Roman" w:hAnsi="Times New Roman" w:cs="Times New Roman"/>
          <w:noProof/>
          <w:sz w:val="24"/>
          <w:szCs w:val="24"/>
          <w:lang w:val="bg-BG"/>
        </w:rPr>
      </w:pPr>
    </w:p>
    <w:p>
      <w:pPr>
        <w:jc w:val="center"/>
        <w:rPr>
          <w:rFonts w:ascii="Times New Roman" w:hAnsi="Times New Roman" w:cs="Times New Roman"/>
          <w:noProof/>
          <w:sz w:val="24"/>
          <w:szCs w:val="24"/>
          <w:lang w:val="bg-BG"/>
        </w:rPr>
      </w:pPr>
      <w:r>
        <w:rPr>
          <w:rFonts w:ascii="Times New Roman" w:hAnsi="Times New Roman"/>
          <w:noProof/>
          <w:sz w:val="24"/>
          <w:lang w:val="bg-BG"/>
        </w:rPr>
        <w:t>Член 10</w:t>
      </w:r>
    </w:p>
    <w:p>
      <w:pPr>
        <w:jc w:val="center"/>
        <w:rPr>
          <w:rFonts w:ascii="Times New Roman" w:hAnsi="Times New Roman" w:cs="Times New Roman"/>
          <w:b/>
          <w:noProof/>
          <w:sz w:val="24"/>
          <w:szCs w:val="24"/>
          <w:lang w:val="bg-BG"/>
        </w:rPr>
      </w:pPr>
      <w:r>
        <w:rPr>
          <w:rFonts w:ascii="Times New Roman" w:hAnsi="Times New Roman"/>
          <w:b/>
          <w:noProof/>
          <w:sz w:val="24"/>
          <w:lang w:val="bg-BG"/>
        </w:rPr>
        <w:t>Решение</w:t>
      </w:r>
    </w:p>
    <w:p>
      <w:pPr>
        <w:jc w:val="both"/>
        <w:rPr>
          <w:rFonts w:ascii="Times New Roman" w:hAnsi="Times New Roman" w:cs="Times New Roman"/>
          <w:noProof/>
          <w:spacing w:val="-4"/>
          <w:sz w:val="24"/>
          <w:szCs w:val="24"/>
          <w:lang w:val="bg-BG"/>
        </w:rPr>
      </w:pPr>
      <w:r>
        <w:rPr>
          <w:rFonts w:ascii="Times New Roman" w:hAnsi="Times New Roman"/>
          <w:noProof/>
          <w:spacing w:val="-4"/>
          <w:sz w:val="24"/>
          <w:lang w:val="bg-BG"/>
        </w:rPr>
        <w:t>Трите институции създават Секретариата и Управителния съвет с отделно решение, прието съвместно от трите институции преди влизането в сила на настоящото споразумение.</w:t>
      </w:r>
    </w:p>
    <w:p>
      <w:pPr>
        <w:jc w:val="center"/>
        <w:rPr>
          <w:rFonts w:ascii="Times New Roman" w:hAnsi="Times New Roman" w:cs="Times New Roman"/>
          <w:noProof/>
          <w:sz w:val="24"/>
          <w:szCs w:val="24"/>
          <w:lang w:val="bg-BG"/>
        </w:rPr>
      </w:pPr>
      <w:r>
        <w:rPr>
          <w:rFonts w:ascii="Times New Roman" w:hAnsi="Times New Roman"/>
          <w:noProof/>
          <w:sz w:val="24"/>
          <w:lang w:val="bg-BG"/>
        </w:rPr>
        <w:t>Член 11</w:t>
      </w:r>
    </w:p>
    <w:p>
      <w:pPr>
        <w:jc w:val="center"/>
        <w:rPr>
          <w:rFonts w:ascii="Times New Roman" w:hAnsi="Times New Roman" w:cs="Times New Roman"/>
          <w:noProof/>
          <w:color w:val="0070C0"/>
          <w:sz w:val="24"/>
          <w:szCs w:val="24"/>
          <w:lang w:val="bg-BG"/>
        </w:rPr>
      </w:pPr>
      <w:r>
        <w:rPr>
          <w:rFonts w:ascii="Times New Roman" w:hAnsi="Times New Roman"/>
          <w:b/>
          <w:noProof/>
          <w:sz w:val="24"/>
          <w:lang w:val="bg-BG"/>
        </w:rPr>
        <w:t>Ресурси</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1. Трите институции гарантират, че Секретариатът разполага с необходимите човешки, административни и финансови ресурси за правилното изпълнение на своите задачи. </w:t>
      </w:r>
    </w:p>
    <w:p>
      <w:pPr>
        <w:jc w:val="both"/>
        <w:rPr>
          <w:rFonts w:ascii="Times New Roman" w:hAnsi="Times New Roman" w:cs="Times New Roman"/>
          <w:noProof/>
          <w:sz w:val="24"/>
          <w:szCs w:val="24"/>
          <w:lang w:val="bg-BG"/>
        </w:rPr>
      </w:pPr>
      <w:r>
        <w:rPr>
          <w:rFonts w:ascii="Times New Roman" w:hAnsi="Times New Roman"/>
          <w:noProof/>
          <w:sz w:val="24"/>
          <w:lang w:val="bg-BG"/>
        </w:rPr>
        <w:t>2. Трите институции предоставят необходимите човешки ресурси на Секретариата, като в случая на Европейския парламент и Съвета на Европейския съюз това става чрез командироване в Комисията съгласно член 37, буква а) и член 38 от Правилника за длъжностните лица на Европейския съюз.</w:t>
      </w:r>
    </w:p>
    <w:p>
      <w:pPr>
        <w:jc w:val="both"/>
        <w:rPr>
          <w:rFonts w:ascii="Times New Roman" w:hAnsi="Times New Roman" w:cs="Times New Roman"/>
          <w:b/>
          <w:i/>
          <w:noProof/>
          <w:spacing w:val="-6"/>
          <w:sz w:val="24"/>
          <w:szCs w:val="24"/>
          <w:lang w:val="bg-BG"/>
        </w:rPr>
      </w:pPr>
      <w:r>
        <w:rPr>
          <w:rFonts w:ascii="Times New Roman" w:hAnsi="Times New Roman"/>
          <w:noProof/>
          <w:spacing w:val="-6"/>
          <w:sz w:val="24"/>
          <w:lang w:val="bg-BG"/>
        </w:rPr>
        <w:t>3. Трите институции допринасят еднакво за функционирането на Секретариата и Регистъра. Те сключват отделно споразумение, в което подробно се описват договореностите относно техния принос към административните и финансовите ресурси на Секретариата.</w:t>
      </w:r>
    </w:p>
    <w:p>
      <w:pPr>
        <w:spacing w:after="0" w:line="240" w:lineRule="auto"/>
        <w:rPr>
          <w:rFonts w:ascii="Times New Roman" w:hAnsi="Times New Roman" w:cs="Times New Roman"/>
          <w:noProof/>
          <w:sz w:val="24"/>
          <w:szCs w:val="24"/>
          <w:lang w:val="bg-BG"/>
        </w:rPr>
      </w:pPr>
    </w:p>
    <w:p>
      <w:pPr>
        <w:jc w:val="center"/>
        <w:rPr>
          <w:rFonts w:ascii="Times New Roman" w:hAnsi="Times New Roman" w:cs="Times New Roman"/>
          <w:noProof/>
          <w:color w:val="0070C0"/>
          <w:sz w:val="24"/>
          <w:szCs w:val="24"/>
          <w:lang w:val="bg-BG"/>
        </w:rPr>
      </w:pPr>
      <w:r>
        <w:rPr>
          <w:rFonts w:ascii="Times New Roman" w:hAnsi="Times New Roman"/>
          <w:noProof/>
          <w:sz w:val="24"/>
          <w:lang w:val="bg-BG"/>
        </w:rPr>
        <w:t>Член 12</w:t>
      </w:r>
    </w:p>
    <w:p>
      <w:pPr>
        <w:jc w:val="center"/>
        <w:rPr>
          <w:rFonts w:ascii="Times New Roman" w:hAnsi="Times New Roman" w:cs="Times New Roman"/>
          <w:b/>
          <w:noProof/>
          <w:sz w:val="24"/>
          <w:szCs w:val="24"/>
          <w:lang w:val="bg-BG"/>
        </w:rPr>
      </w:pPr>
      <w:r>
        <w:rPr>
          <w:rFonts w:ascii="Times New Roman" w:hAnsi="Times New Roman"/>
          <w:b/>
          <w:noProof/>
          <w:sz w:val="24"/>
          <w:lang w:val="bg-BG"/>
        </w:rPr>
        <w:t>Доброволно участие на други институции, органи, служби и агенции на ЕС</w:t>
      </w:r>
    </w:p>
    <w:p>
      <w:pPr>
        <w:jc w:val="both"/>
        <w:rPr>
          <w:rFonts w:ascii="Times New Roman" w:hAnsi="Times New Roman" w:cs="Times New Roman"/>
          <w:noProof/>
          <w:sz w:val="24"/>
          <w:szCs w:val="24"/>
          <w:lang w:val="bg-BG"/>
        </w:rPr>
      </w:pPr>
      <w:r>
        <w:rPr>
          <w:rFonts w:ascii="Times New Roman" w:hAnsi="Times New Roman"/>
          <w:noProof/>
          <w:sz w:val="24"/>
          <w:lang w:val="bg-BG"/>
        </w:rPr>
        <w:t>1. Другите институции, органи, служби и агенции на ЕС се насърчават да използват рамката, създадена с настоящото споразумение, като референтен инструмент за собствените им взаимоотношения с представителите на интереси.</w:t>
      </w:r>
    </w:p>
    <w:p>
      <w:pPr>
        <w:jc w:val="both"/>
        <w:rPr>
          <w:rFonts w:ascii="Times New Roman" w:hAnsi="Times New Roman" w:cs="Times New Roman"/>
          <w:noProof/>
          <w:sz w:val="24"/>
          <w:szCs w:val="24"/>
          <w:lang w:val="bg-BG"/>
        </w:rPr>
      </w:pPr>
      <w:r>
        <w:rPr>
          <w:rFonts w:ascii="Times New Roman" w:hAnsi="Times New Roman"/>
          <w:noProof/>
          <w:sz w:val="24"/>
          <w:lang w:val="bg-BG"/>
        </w:rPr>
        <w:t>2. Други институции, органи, служби и агенции на ЕС могат на доброволна основа да уведомят Секретариата, че искат да обвържат някои взаимодействия с условието за регистрация в Регистъра за прозрачност. Уведомлението съдържа подробни данни за предложените видове взаимодействия и условията за тях.</w:t>
      </w:r>
    </w:p>
    <w:p>
      <w:pPr>
        <w:jc w:val="both"/>
        <w:rPr>
          <w:rFonts w:ascii="Times New Roman" w:hAnsi="Times New Roman" w:cs="Times New Roman"/>
          <w:noProof/>
          <w:sz w:val="24"/>
          <w:szCs w:val="24"/>
          <w:lang w:val="bg-BG"/>
        </w:rPr>
      </w:pPr>
      <w:r>
        <w:rPr>
          <w:rFonts w:ascii="Times New Roman" w:hAnsi="Times New Roman"/>
          <w:noProof/>
          <w:sz w:val="24"/>
          <w:lang w:val="bg-BG"/>
        </w:rPr>
        <w:t>3. Когато Управителният съвет счита, че предложените видове взаимодействия са в съответствие с преследваните чрез Регистъра цели, съответните институции, органи, служби и агенции на ЕС могат да обвържат тези видове взаимодействия с условието за наличие на регистрация и се ползват от помощта на Секретариата и подкрепата, оказвана чрез неговия помощен център, в замяна на пропорционален принос към разходите за функционирането на Секретариата и Регистъра.</w:t>
      </w:r>
    </w:p>
    <w:p>
      <w:pPr>
        <w:jc w:val="both"/>
        <w:rPr>
          <w:rFonts w:ascii="Times New Roman" w:hAnsi="Times New Roman" w:cs="Times New Roman"/>
          <w:noProof/>
          <w:sz w:val="24"/>
          <w:szCs w:val="24"/>
          <w:lang w:val="bg-BG"/>
        </w:rPr>
      </w:pPr>
      <w:r>
        <w:rPr>
          <w:rFonts w:ascii="Times New Roman" w:hAnsi="Times New Roman"/>
          <w:noProof/>
          <w:sz w:val="24"/>
          <w:lang w:val="bg-BG"/>
        </w:rPr>
        <w:t>4. Приемането на уведомлението по предходния параграф не предоставя на уведомяващите институции, органи, служби и агенции на ЕС статута на страна по настоящото междуинституционално споразумение.</w:t>
      </w:r>
    </w:p>
    <w:p>
      <w:pPr>
        <w:jc w:val="both"/>
        <w:rPr>
          <w:rFonts w:ascii="Times New Roman" w:hAnsi="Times New Roman" w:cs="Times New Roman"/>
          <w:noProof/>
          <w:spacing w:val="-6"/>
          <w:sz w:val="24"/>
          <w:szCs w:val="24"/>
          <w:lang w:val="bg-BG"/>
        </w:rPr>
      </w:pPr>
      <w:r>
        <w:rPr>
          <w:rFonts w:ascii="Times New Roman" w:hAnsi="Times New Roman"/>
          <w:noProof/>
          <w:spacing w:val="-6"/>
          <w:sz w:val="24"/>
          <w:lang w:val="bg-BG"/>
        </w:rPr>
        <w:t>5. Видовете условия, приети съгласно параграф 3, се публикуват на уебсайта на Регистъра.</w:t>
      </w:r>
    </w:p>
    <w:p>
      <w:pPr>
        <w:jc w:val="center"/>
        <w:rPr>
          <w:rFonts w:ascii="Times New Roman" w:hAnsi="Times New Roman" w:cs="Times New Roman"/>
          <w:noProof/>
          <w:color w:val="0070C0"/>
          <w:sz w:val="24"/>
          <w:szCs w:val="24"/>
          <w:lang w:val="bg-BG"/>
        </w:rPr>
      </w:pPr>
      <w:r>
        <w:rPr>
          <w:rFonts w:ascii="Times New Roman" w:hAnsi="Times New Roman"/>
          <w:noProof/>
          <w:sz w:val="24"/>
          <w:lang w:val="bg-BG"/>
        </w:rPr>
        <w:t>Член 13</w:t>
      </w:r>
    </w:p>
    <w:p>
      <w:pPr>
        <w:jc w:val="center"/>
        <w:rPr>
          <w:rFonts w:ascii="Times New Roman" w:hAnsi="Times New Roman" w:cs="Times New Roman"/>
          <w:b/>
          <w:noProof/>
          <w:spacing w:val="-6"/>
          <w:sz w:val="24"/>
          <w:szCs w:val="24"/>
          <w:lang w:val="bg-BG"/>
        </w:rPr>
      </w:pPr>
      <w:r>
        <w:rPr>
          <w:rFonts w:ascii="Times New Roman" w:hAnsi="Times New Roman"/>
          <w:b/>
          <w:noProof/>
          <w:spacing w:val="-6"/>
          <w:sz w:val="24"/>
          <w:lang w:val="bg-BG"/>
        </w:rPr>
        <w:t>Доброволно участие на постоянните представителства на държавите членки към ЕС</w:t>
      </w:r>
    </w:p>
    <w:p>
      <w:pPr>
        <w:jc w:val="both"/>
        <w:rPr>
          <w:rFonts w:ascii="Times New Roman" w:hAnsi="Times New Roman" w:cs="Times New Roman"/>
          <w:noProof/>
          <w:sz w:val="24"/>
          <w:szCs w:val="24"/>
          <w:lang w:val="bg-BG"/>
        </w:rPr>
      </w:pPr>
      <w:r>
        <w:rPr>
          <w:rFonts w:ascii="Times New Roman" w:hAnsi="Times New Roman"/>
          <w:noProof/>
          <w:sz w:val="24"/>
          <w:lang w:val="bg-BG"/>
        </w:rPr>
        <w:t>1. Без да се засяга разпоредбата на член 4, параграф 3 от настоящото споразумение, държавите членки могат на доброволна основа да уведомят Секретариата, че искат да обвържат някои взаимодействия на представителите на интереси с техните постоянни представителства към ЕС с условието за регистрация в Регистъра за прозрачност. Уведомлението съдържа подробни данни за предложените видове взаимодействия и условията за тях.</w:t>
      </w:r>
    </w:p>
    <w:p>
      <w:pPr>
        <w:jc w:val="both"/>
        <w:rPr>
          <w:rFonts w:ascii="Times New Roman" w:hAnsi="Times New Roman" w:cs="Times New Roman"/>
          <w:noProof/>
          <w:sz w:val="24"/>
          <w:szCs w:val="24"/>
          <w:lang w:val="bg-BG"/>
        </w:rPr>
      </w:pPr>
      <w:r>
        <w:rPr>
          <w:rFonts w:ascii="Times New Roman" w:hAnsi="Times New Roman"/>
          <w:noProof/>
          <w:sz w:val="24"/>
          <w:lang w:val="bg-BG"/>
        </w:rPr>
        <w:t>2. Когато Управителният съвет счита, че предложените видове взаимодействия са в съответствие с преследваните чрез Регистъра цели, съответното постоянно представителство може да обвърже тези видове взаимодействия с условието за наличие на регистрация и се ползва от помощта на Секретариата и подкрепата, оказвана чрез неговия помощен център, в замяна на пропорционален принос към разходите за функционирането на Секретариата и Регистъра.</w:t>
      </w:r>
    </w:p>
    <w:p>
      <w:pPr>
        <w:jc w:val="both"/>
        <w:rPr>
          <w:rFonts w:ascii="Times New Roman" w:hAnsi="Times New Roman" w:cs="Times New Roman"/>
          <w:noProof/>
          <w:sz w:val="24"/>
          <w:szCs w:val="24"/>
          <w:lang w:val="bg-BG"/>
        </w:rPr>
      </w:pPr>
      <w:r>
        <w:rPr>
          <w:rFonts w:ascii="Times New Roman" w:hAnsi="Times New Roman"/>
          <w:noProof/>
          <w:sz w:val="24"/>
          <w:lang w:val="bg-BG"/>
        </w:rPr>
        <w:t>3. Приемането на уведомлението по предходния параграф не предоставя на уведомяващата държава членка статута на страна по настоящото междуинституционално споразумение.</w:t>
      </w:r>
    </w:p>
    <w:p>
      <w:pPr>
        <w:jc w:val="both"/>
        <w:rPr>
          <w:rFonts w:ascii="Times New Roman" w:hAnsi="Times New Roman" w:cs="Times New Roman"/>
          <w:noProof/>
          <w:spacing w:val="-4"/>
          <w:sz w:val="24"/>
          <w:szCs w:val="24"/>
          <w:lang w:val="bg-BG"/>
        </w:rPr>
      </w:pPr>
      <w:r>
        <w:rPr>
          <w:rFonts w:ascii="Times New Roman" w:hAnsi="Times New Roman"/>
          <w:noProof/>
          <w:spacing w:val="-4"/>
          <w:sz w:val="24"/>
          <w:lang w:val="bg-BG"/>
        </w:rPr>
        <w:t>4. Видовете условия, приети съгласно параграф 2, се публикуват на уебсайта на Регистъра.</w:t>
      </w:r>
    </w:p>
    <w:p>
      <w:pPr>
        <w:jc w:val="center"/>
        <w:rPr>
          <w:rFonts w:ascii="Times New Roman" w:hAnsi="Times New Roman" w:cs="Times New Roman"/>
          <w:noProof/>
          <w:sz w:val="24"/>
          <w:szCs w:val="24"/>
          <w:lang w:val="bg-BG"/>
        </w:rPr>
      </w:pPr>
      <w:r>
        <w:rPr>
          <w:rFonts w:ascii="Times New Roman" w:hAnsi="Times New Roman"/>
          <w:noProof/>
          <w:sz w:val="24"/>
          <w:lang w:val="bg-BG"/>
        </w:rPr>
        <w:t>Член 14</w:t>
      </w:r>
    </w:p>
    <w:p>
      <w:pPr>
        <w:jc w:val="center"/>
        <w:rPr>
          <w:rFonts w:ascii="Times New Roman" w:hAnsi="Times New Roman" w:cs="Times New Roman"/>
          <w:b/>
          <w:noProof/>
          <w:sz w:val="24"/>
          <w:szCs w:val="24"/>
          <w:lang w:val="bg-BG"/>
        </w:rPr>
      </w:pPr>
      <w:r>
        <w:rPr>
          <w:rFonts w:ascii="Times New Roman" w:hAnsi="Times New Roman"/>
          <w:b/>
          <w:noProof/>
          <w:sz w:val="24"/>
          <w:lang w:val="bg-BG"/>
        </w:rPr>
        <w:t>Преходни и заключителни разпоредби</w:t>
      </w:r>
    </w:p>
    <w:p>
      <w:pPr>
        <w:jc w:val="both"/>
        <w:rPr>
          <w:rFonts w:ascii="Times New Roman" w:hAnsi="Times New Roman" w:cs="Times New Roman"/>
          <w:noProof/>
          <w:sz w:val="24"/>
          <w:szCs w:val="24"/>
          <w:lang w:val="bg-BG"/>
        </w:rPr>
      </w:pPr>
      <w:r>
        <w:rPr>
          <w:rFonts w:ascii="Times New Roman" w:hAnsi="Times New Roman"/>
          <w:noProof/>
          <w:sz w:val="24"/>
          <w:lang w:val="bg-BG"/>
        </w:rPr>
        <w:t>1. Настоящото междуинституционално споразумение има задължителен характер за институциите, които са го подписали.</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2. Настоящото споразумение заменя Споразумението между Европейския парламент и Европейската комисия от 16 април 2014 г., чието действие се прекратява на датата, от която започва да се прилага настоящото споразумение. </w:t>
      </w:r>
    </w:p>
    <w:p>
      <w:pPr>
        <w:jc w:val="both"/>
        <w:rPr>
          <w:rFonts w:ascii="Times New Roman" w:hAnsi="Times New Roman" w:cs="Times New Roman"/>
          <w:noProof/>
          <w:sz w:val="24"/>
          <w:szCs w:val="24"/>
          <w:lang w:val="bg-BG"/>
        </w:rPr>
      </w:pPr>
      <w:r>
        <w:rPr>
          <w:rFonts w:ascii="Times New Roman" w:hAnsi="Times New Roman"/>
          <w:noProof/>
          <w:sz w:val="24"/>
          <w:lang w:val="bg-BG"/>
        </w:rPr>
        <w:t xml:space="preserve">3. Настоящото споразумение влиза в сила на двадесетия ден след деня на публикуването му в </w:t>
      </w:r>
      <w:r>
        <w:rPr>
          <w:rFonts w:ascii="Times New Roman" w:hAnsi="Times New Roman"/>
          <w:i/>
          <w:noProof/>
          <w:sz w:val="24"/>
          <w:lang w:val="bg-BG"/>
        </w:rPr>
        <w:t>Официален вестник на Европейския съюз</w:t>
      </w:r>
      <w:r>
        <w:rPr>
          <w:rFonts w:ascii="Times New Roman" w:hAnsi="Times New Roman"/>
          <w:noProof/>
          <w:sz w:val="24"/>
          <w:lang w:val="bg-BG"/>
        </w:rPr>
        <w:t>. То се прилага от [xx xx xxxx г.].</w:t>
      </w:r>
    </w:p>
    <w:p>
      <w:pPr>
        <w:jc w:val="both"/>
        <w:rPr>
          <w:rFonts w:ascii="Times New Roman" w:hAnsi="Times New Roman" w:cs="Times New Roman"/>
          <w:noProof/>
          <w:sz w:val="24"/>
          <w:szCs w:val="24"/>
          <w:lang w:val="bg-BG"/>
        </w:rPr>
      </w:pPr>
      <w:r>
        <w:rPr>
          <w:rFonts w:ascii="Times New Roman" w:hAnsi="Times New Roman"/>
          <w:noProof/>
          <w:sz w:val="24"/>
          <w:lang w:val="bg-BG"/>
        </w:rPr>
        <w:t>4. Представителите на интереси, които вече са регистрирани към датата, от която започва да се прилага настоящото споразумение, е необходимо да изменят своята регистрация в срок от шест месеца след тази дата, за да отговарят на новите изисквания, произтичащи от настоящото споразумение.</w:t>
      </w:r>
    </w:p>
    <w:p>
      <w:pPr>
        <w:jc w:val="both"/>
        <w:rPr>
          <w:rFonts w:ascii="Times New Roman" w:hAnsi="Times New Roman" w:cs="Times New Roman"/>
          <w:noProof/>
          <w:sz w:val="24"/>
          <w:szCs w:val="24"/>
          <w:lang w:val="bg-BG"/>
        </w:rPr>
      </w:pPr>
      <w:r>
        <w:rPr>
          <w:rFonts w:ascii="Times New Roman" w:hAnsi="Times New Roman"/>
          <w:noProof/>
          <w:sz w:val="24"/>
          <w:lang w:val="bg-BG"/>
        </w:rPr>
        <w:t>5. Всички разследвания вследствие на сигнали и жалби, започнати съгласно споразумението между Европейския парламент и Европейската комисия от 16 април 2014 г., се извършват по реда на настоящото споразумение.</w:t>
      </w:r>
    </w:p>
    <w:p>
      <w:pPr>
        <w:jc w:val="both"/>
        <w:rPr>
          <w:rFonts w:ascii="Times New Roman" w:hAnsi="Times New Roman" w:cs="Times New Roman"/>
          <w:noProof/>
          <w:sz w:val="24"/>
          <w:szCs w:val="24"/>
          <w:lang w:val="bg-BG"/>
        </w:rPr>
      </w:pPr>
      <w:r>
        <w:rPr>
          <w:rFonts w:ascii="Times New Roman" w:hAnsi="Times New Roman"/>
          <w:noProof/>
          <w:sz w:val="24"/>
          <w:lang w:val="bg-BG"/>
        </w:rPr>
        <w:t>6. Настоящото споразумение подлежи на преразглеждане четири години след влизането му в сила.</w:t>
      </w:r>
    </w:p>
    <w:p>
      <w:pPr>
        <w:jc w:val="both"/>
        <w:rPr>
          <w:rFonts w:ascii="Times New Roman" w:hAnsi="Times New Roman" w:cs="Times New Roman"/>
          <w:noProof/>
          <w:sz w:val="24"/>
          <w:szCs w:val="24"/>
          <w:lang w:val="bg-BG"/>
        </w:rPr>
      </w:pPr>
    </w:p>
    <w:p>
      <w:pPr>
        <w:rPr>
          <w:rFonts w:ascii="Times New Roman" w:hAnsi="Times New Roman" w:cs="Times New Roman"/>
          <w:noProof/>
          <w:sz w:val="24"/>
          <w:szCs w:val="24"/>
          <w:lang w:val="bg-BG"/>
        </w:rPr>
      </w:pPr>
      <w:r>
        <w:rPr>
          <w:rFonts w:ascii="Times New Roman" w:hAnsi="Times New Roman"/>
          <w:noProof/>
          <w:sz w:val="24"/>
          <w:lang w:val="bg-BG"/>
        </w:rPr>
        <w:t>Съставено в [място] на [дата] година.</w:t>
      </w:r>
    </w:p>
    <w:p>
      <w:pPr>
        <w:spacing w:before="120" w:after="120"/>
        <w:jc w:val="both"/>
        <w:rPr>
          <w:rFonts w:ascii="Times New Roman" w:hAnsi="Times New Roman" w:cs="Times New Roman"/>
          <w:noProof/>
          <w:sz w:val="24"/>
          <w:szCs w:val="24"/>
          <w:lang w:val="bg-BG"/>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25878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lang w:val="en"/>
        </w:rPr>
      </w:pPr>
      <w:r>
        <w:rPr>
          <w:rStyle w:val="FootnoteReference"/>
          <w:rFonts w:ascii="Times New Roman" w:hAnsi="Times New Roman"/>
        </w:rPr>
        <w:footnoteRef/>
      </w:r>
      <w:r>
        <w:rPr>
          <w:rFonts w:ascii="Times New Roman" w:hAnsi="Times New Roman"/>
        </w:rPr>
        <w:t xml:space="preserve"> Споразумение между Европейския парламент и Европейската комисия относно регистъра за прозрачност за организации и самостоятелно заети физически лица, които участват в изготвянето и прилагането на политиките на ЕС (ОВ L 277, 19.9.2014 г., стр. 11).</w:t>
      </w:r>
    </w:p>
  </w:footnote>
  <w:footnote w:id="2">
    <w:p>
      <w:pPr>
        <w:pStyle w:val="FootnoteText"/>
        <w:jc w:val="both"/>
      </w:pPr>
      <w:r>
        <w:rPr>
          <w:rStyle w:val="FootnoteReference"/>
        </w:rPr>
        <w:footnoteRef/>
      </w:r>
      <w:r>
        <w:t xml:space="preserve"> </w:t>
      </w:r>
      <w:r>
        <w:rPr>
          <w:rFonts w:ascii="inherit" w:hAnsi="inherit"/>
          <w:sz w:val="18"/>
        </w:rPr>
        <w:t>Резолюция от 11 март 2014 г. относно публичния достъп до документи (член 104, параграф 7) за периода 2011—2013 г., приет текст P8_TA(2016)0202.</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Имат се предвид лица, назначени да представляват общ интерес, споделян от заинтересовани страни в дадена област на политиката, които не представляват отделна заинтересована страна, а насока на политиката, споделяна от различни организации на заинтересовани страни („членове от вид Б“), както и от организации в широкия смисъл на думата, включително дружества, сдружения, НПО, профсъюзи, университети, научноизследователски институти, адвокатски кантори и консултанти („членове от вид В“), както е предвидено в Решение C(2016) 3301 на Комисията от 30.5.2016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0E270E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854C1D8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71A783F"/>
    <w:multiLevelType w:val="hybridMultilevel"/>
    <w:tmpl w:val="DC8ECEC4"/>
    <w:lvl w:ilvl="0" w:tplc="E08849E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D0DED"/>
    <w:multiLevelType w:val="hybridMultilevel"/>
    <w:tmpl w:val="FFA0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7B1C2B"/>
    <w:multiLevelType w:val="hybridMultilevel"/>
    <w:tmpl w:val="0A469AAC"/>
    <w:lvl w:ilvl="0" w:tplc="CB54CA3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D2A01"/>
    <w:multiLevelType w:val="hybridMultilevel"/>
    <w:tmpl w:val="B136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C407B"/>
    <w:multiLevelType w:val="hybridMultilevel"/>
    <w:tmpl w:val="CCC8930C"/>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BD2AC7"/>
    <w:multiLevelType w:val="hybridMultilevel"/>
    <w:tmpl w:val="E228C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353C3"/>
    <w:multiLevelType w:val="hybridMultilevel"/>
    <w:tmpl w:val="4F98F906"/>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03668F"/>
    <w:multiLevelType w:val="hybridMultilevel"/>
    <w:tmpl w:val="75BC430A"/>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7435CC"/>
    <w:multiLevelType w:val="hybridMultilevel"/>
    <w:tmpl w:val="2D3A5D30"/>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BA0AE1"/>
    <w:multiLevelType w:val="hybridMultilevel"/>
    <w:tmpl w:val="017C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E8444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387673"/>
    <w:multiLevelType w:val="hybridMultilevel"/>
    <w:tmpl w:val="B760633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905EA2"/>
    <w:multiLevelType w:val="hybridMultilevel"/>
    <w:tmpl w:val="D8DE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510AB3"/>
    <w:multiLevelType w:val="hybridMultilevel"/>
    <w:tmpl w:val="2C80B514"/>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11"/>
  </w:num>
  <w:num w:numId="5">
    <w:abstractNumId w:val="14"/>
  </w:num>
  <w:num w:numId="6">
    <w:abstractNumId w:val="13"/>
  </w:num>
  <w:num w:numId="7">
    <w:abstractNumId w:val="12"/>
  </w:num>
  <w:num w:numId="8">
    <w:abstractNumId w:val="7"/>
  </w:num>
  <w:num w:numId="9">
    <w:abstractNumId w:val="5"/>
  </w:num>
  <w:num w:numId="10">
    <w:abstractNumId w:val="4"/>
  </w:num>
  <w:num w:numId="11">
    <w:abstractNumId w:val="9"/>
  </w:num>
  <w:num w:numId="12">
    <w:abstractNumId w:val="2"/>
  </w:num>
  <w:num w:numId="13">
    <w:abstractNumId w:val="6"/>
  </w:num>
  <w:num w:numId="14">
    <w:abstractNumId w:val="8"/>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D137424D936436BA5D891579845E55D"/>
    <w:docVar w:name="LW_CROSSREFERENCE" w:val="&lt;UNUSED&gt;"/>
    <w:docVar w:name="LW_DocType" w:val="NORMAL"/>
    <w:docVar w:name="LW_EMISSION" w:val="28.9.2016"/>
    <w:docVar w:name="LW_EMISSION_ISODATE" w:val="2016-09-28"/>
    <w:docVar w:name="LW_EMISSION_LOCATION" w:val="BRX"/>
    <w:docVar w:name="LW_EMISSION_PREFIX" w:val="Брюксел, "/>
    <w:docVar w:name="LW_EMISSION_SUFFIX" w:val=" \u1075?."/>
    <w:docVar w:name="LW_ID_DOCTYPE_NONLW" w:val="CP-032"/>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627"/>
    <w:docVar w:name="LW_REF.INTERNE" w:val="&lt;UNUSED&gt;"/>
    <w:docVar w:name="LW_SOUS.TITRE.OBJ.CP" w:val="&lt;UNUSED&gt;"/>
    <w:docVar w:name="LW_STATUT" w:val="\u1055?\u1088?\u1077?\u1076?\u1083?\u1086?\u1078?\u1077?\u1085?\u1080?\u1077? \u1079?\u1072?"/>
    <w:docVar w:name="LW_STATUT.CP" w:val="\u1055?\u1088?\u1077?\u1076?\u1083?\u1086?\u1078?\u1077?\u1085?\u1080?\u1077? \u1079?\u1072?"/>
    <w:docVar w:name="LW_SUPERTITRE" w:val="&lt;UNUSED&gt;"/>
    <w:docVar w:name="LW_TITRE.OBJ.CP" w:val="\u1079?\u1072? \u1079?\u1072?\u1076?\u1098?\u1083?\u1078?\u1080?\u1090?\u1077?\u1083?\u1077?\u1085? \u1056?\u1077?\u1075?\u1080?\u1089?\u1090?\u1098?\u1088? \u1079?\u1072? \u1087?\u1088?\u1086?\u1079?\u1088?\u1072?\u1095?\u1085?\u1086?\u1089?\u1090?"/>
    <w:docVar w:name="LW_TYPE.DOC.CP" w:val="\u1052?\u1077?\u1078?\u1076?\u1091?\u1080?\u1085?\u1089?\u1090?\u1080?\u1090?\u1091?\u1094?\u1080?\u1086?\u1085?\u1072?\u1083?\u1085?\u1086? \u1089?\u1087?\u1086?\u1088?\u1072?\u1079?\u1091?\u1084?\u1077?\u1085?\u1080?\u1077?"/>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pPr>
      <w:ind w:left="283" w:hanging="283"/>
      <w:contextualSpacing/>
    </w:pPr>
  </w:style>
  <w:style w:type="paragraph" w:styleId="List2">
    <w:name w:val="List 2"/>
    <w:basedOn w:val="Normal"/>
    <w:uiPriority w:val="99"/>
    <w:unhideWhenUsed/>
    <w:pPr>
      <w:ind w:left="566" w:hanging="283"/>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customStyle="1" w:styleId="Byline">
    <w:name w:val="Byline"/>
    <w:basedOn w:val="BodyText"/>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rPr>
      <w:rFonts w:eastAsiaTheme="minorEastAsia"/>
      <w:lang w:eastAsia="zh-C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Normal"/>
    <w:pPr>
      <w:jc w:val="center"/>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pPr>
      <w:ind w:left="283" w:hanging="283"/>
      <w:contextualSpacing/>
    </w:pPr>
  </w:style>
  <w:style w:type="paragraph" w:styleId="List2">
    <w:name w:val="List 2"/>
    <w:basedOn w:val="Normal"/>
    <w:uiPriority w:val="99"/>
    <w:unhideWhenUsed/>
    <w:pPr>
      <w:ind w:left="566" w:hanging="283"/>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customStyle="1" w:styleId="Byline">
    <w:name w:val="Byline"/>
    <w:basedOn w:val="BodyText"/>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rPr>
      <w:rFonts w:eastAsiaTheme="minorEastAsia"/>
      <w:lang w:eastAsia="zh-C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Normal"/>
    <w:pPr>
      <w:jc w:val="center"/>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137330">
      <w:bodyDiv w:val="1"/>
      <w:marLeft w:val="0"/>
      <w:marRight w:val="0"/>
      <w:marTop w:val="0"/>
      <w:marBottom w:val="0"/>
      <w:divBdr>
        <w:top w:val="none" w:sz="0" w:space="0" w:color="auto"/>
        <w:left w:val="none" w:sz="0" w:space="0" w:color="auto"/>
        <w:bottom w:val="none" w:sz="0" w:space="0" w:color="auto"/>
        <w:right w:val="none" w:sz="0" w:space="0" w:color="auto"/>
      </w:divBdr>
    </w:div>
    <w:div w:id="950666439">
      <w:bodyDiv w:val="1"/>
      <w:marLeft w:val="0"/>
      <w:marRight w:val="0"/>
      <w:marTop w:val="0"/>
      <w:marBottom w:val="0"/>
      <w:divBdr>
        <w:top w:val="none" w:sz="0" w:space="0" w:color="auto"/>
        <w:left w:val="none" w:sz="0" w:space="0" w:color="auto"/>
        <w:bottom w:val="none" w:sz="0" w:space="0" w:color="auto"/>
        <w:right w:val="none" w:sz="0" w:space="0" w:color="auto"/>
      </w:divBdr>
      <w:divsChild>
        <w:div w:id="1024093743">
          <w:marLeft w:val="0"/>
          <w:marRight w:val="0"/>
          <w:marTop w:val="0"/>
          <w:marBottom w:val="0"/>
          <w:divBdr>
            <w:top w:val="none" w:sz="0" w:space="0" w:color="auto"/>
            <w:left w:val="none" w:sz="0" w:space="0" w:color="auto"/>
            <w:bottom w:val="none" w:sz="0" w:space="0" w:color="auto"/>
            <w:right w:val="none" w:sz="0" w:space="0" w:color="auto"/>
          </w:divBdr>
          <w:divsChild>
            <w:div w:id="1807115716">
              <w:marLeft w:val="0"/>
              <w:marRight w:val="0"/>
              <w:marTop w:val="0"/>
              <w:marBottom w:val="0"/>
              <w:divBdr>
                <w:top w:val="none" w:sz="0" w:space="0" w:color="auto"/>
                <w:left w:val="none" w:sz="0" w:space="0" w:color="auto"/>
                <w:bottom w:val="none" w:sz="0" w:space="0" w:color="auto"/>
                <w:right w:val="none" w:sz="0" w:space="0" w:color="auto"/>
              </w:divBdr>
              <w:divsChild>
                <w:div w:id="549729173">
                  <w:marLeft w:val="0"/>
                  <w:marRight w:val="0"/>
                  <w:marTop w:val="0"/>
                  <w:marBottom w:val="0"/>
                  <w:divBdr>
                    <w:top w:val="none" w:sz="0" w:space="0" w:color="auto"/>
                    <w:left w:val="none" w:sz="0" w:space="0" w:color="auto"/>
                    <w:bottom w:val="none" w:sz="0" w:space="0" w:color="auto"/>
                    <w:right w:val="none" w:sz="0" w:space="0" w:color="auto"/>
                  </w:divBdr>
                  <w:divsChild>
                    <w:div w:id="2091151909">
                      <w:marLeft w:val="1"/>
                      <w:marRight w:val="1"/>
                      <w:marTop w:val="0"/>
                      <w:marBottom w:val="0"/>
                      <w:divBdr>
                        <w:top w:val="none" w:sz="0" w:space="0" w:color="auto"/>
                        <w:left w:val="none" w:sz="0" w:space="0" w:color="auto"/>
                        <w:bottom w:val="none" w:sz="0" w:space="0" w:color="auto"/>
                        <w:right w:val="none" w:sz="0" w:space="0" w:color="auto"/>
                      </w:divBdr>
                      <w:divsChild>
                        <w:div w:id="2037270516">
                          <w:marLeft w:val="0"/>
                          <w:marRight w:val="0"/>
                          <w:marTop w:val="0"/>
                          <w:marBottom w:val="0"/>
                          <w:divBdr>
                            <w:top w:val="none" w:sz="0" w:space="0" w:color="auto"/>
                            <w:left w:val="none" w:sz="0" w:space="0" w:color="auto"/>
                            <w:bottom w:val="none" w:sz="0" w:space="0" w:color="auto"/>
                            <w:right w:val="none" w:sz="0" w:space="0" w:color="auto"/>
                          </w:divBdr>
                          <w:divsChild>
                            <w:div w:id="1835298270">
                              <w:marLeft w:val="0"/>
                              <w:marRight w:val="0"/>
                              <w:marTop w:val="0"/>
                              <w:marBottom w:val="360"/>
                              <w:divBdr>
                                <w:top w:val="none" w:sz="0" w:space="0" w:color="auto"/>
                                <w:left w:val="none" w:sz="0" w:space="0" w:color="auto"/>
                                <w:bottom w:val="none" w:sz="0" w:space="0" w:color="auto"/>
                                <w:right w:val="none" w:sz="0" w:space="0" w:color="auto"/>
                              </w:divBdr>
                              <w:divsChild>
                                <w:div w:id="1561743752">
                                  <w:marLeft w:val="0"/>
                                  <w:marRight w:val="0"/>
                                  <w:marTop w:val="0"/>
                                  <w:marBottom w:val="0"/>
                                  <w:divBdr>
                                    <w:top w:val="none" w:sz="0" w:space="0" w:color="auto"/>
                                    <w:left w:val="none" w:sz="0" w:space="0" w:color="auto"/>
                                    <w:bottom w:val="none" w:sz="0" w:space="0" w:color="auto"/>
                                    <w:right w:val="none" w:sz="0" w:space="0" w:color="auto"/>
                                  </w:divBdr>
                                  <w:divsChild>
                                    <w:div w:id="537277906">
                                      <w:marLeft w:val="0"/>
                                      <w:marRight w:val="0"/>
                                      <w:marTop w:val="0"/>
                                      <w:marBottom w:val="0"/>
                                      <w:divBdr>
                                        <w:top w:val="none" w:sz="0" w:space="0" w:color="auto"/>
                                        <w:left w:val="none" w:sz="0" w:space="0" w:color="auto"/>
                                        <w:bottom w:val="none" w:sz="0" w:space="0" w:color="auto"/>
                                        <w:right w:val="none" w:sz="0" w:space="0" w:color="auto"/>
                                      </w:divBdr>
                                      <w:divsChild>
                                        <w:div w:id="2068524399">
                                          <w:marLeft w:val="0"/>
                                          <w:marRight w:val="0"/>
                                          <w:marTop w:val="0"/>
                                          <w:marBottom w:val="0"/>
                                          <w:divBdr>
                                            <w:top w:val="none" w:sz="0" w:space="0" w:color="auto"/>
                                            <w:left w:val="none" w:sz="0" w:space="0" w:color="auto"/>
                                            <w:bottom w:val="none" w:sz="0" w:space="0" w:color="auto"/>
                                            <w:right w:val="none" w:sz="0" w:space="0" w:color="auto"/>
                                          </w:divBdr>
                                          <w:divsChild>
                                            <w:div w:id="1214582528">
                                              <w:marLeft w:val="0"/>
                                              <w:marRight w:val="0"/>
                                              <w:marTop w:val="0"/>
                                              <w:marBottom w:val="0"/>
                                              <w:divBdr>
                                                <w:top w:val="none" w:sz="0" w:space="0" w:color="auto"/>
                                                <w:left w:val="none" w:sz="0" w:space="0" w:color="auto"/>
                                                <w:bottom w:val="none" w:sz="0" w:space="0" w:color="auto"/>
                                                <w:right w:val="none" w:sz="0" w:space="0" w:color="auto"/>
                                              </w:divBdr>
                                              <w:divsChild>
                                                <w:div w:id="9383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803709">
      <w:bodyDiv w:val="1"/>
      <w:marLeft w:val="0"/>
      <w:marRight w:val="0"/>
      <w:marTop w:val="0"/>
      <w:marBottom w:val="0"/>
      <w:divBdr>
        <w:top w:val="none" w:sz="0" w:space="0" w:color="auto"/>
        <w:left w:val="none" w:sz="0" w:space="0" w:color="auto"/>
        <w:bottom w:val="none" w:sz="0" w:space="0" w:color="auto"/>
        <w:right w:val="none" w:sz="0" w:space="0" w:color="auto"/>
      </w:divBdr>
      <w:divsChild>
        <w:div w:id="1326200030">
          <w:marLeft w:val="0"/>
          <w:marRight w:val="0"/>
          <w:marTop w:val="0"/>
          <w:marBottom w:val="0"/>
          <w:divBdr>
            <w:top w:val="none" w:sz="0" w:space="0" w:color="auto"/>
            <w:left w:val="none" w:sz="0" w:space="0" w:color="auto"/>
            <w:bottom w:val="none" w:sz="0" w:space="0" w:color="auto"/>
            <w:right w:val="none" w:sz="0" w:space="0" w:color="auto"/>
          </w:divBdr>
          <w:divsChild>
            <w:div w:id="343822644">
              <w:marLeft w:val="0"/>
              <w:marRight w:val="0"/>
              <w:marTop w:val="0"/>
              <w:marBottom w:val="0"/>
              <w:divBdr>
                <w:top w:val="none" w:sz="0" w:space="0" w:color="auto"/>
                <w:left w:val="none" w:sz="0" w:space="0" w:color="auto"/>
                <w:bottom w:val="none" w:sz="0" w:space="0" w:color="auto"/>
                <w:right w:val="none" w:sz="0" w:space="0" w:color="auto"/>
              </w:divBdr>
              <w:divsChild>
                <w:div w:id="223369666">
                  <w:marLeft w:val="0"/>
                  <w:marRight w:val="0"/>
                  <w:marTop w:val="0"/>
                  <w:marBottom w:val="0"/>
                  <w:divBdr>
                    <w:top w:val="none" w:sz="0" w:space="0" w:color="auto"/>
                    <w:left w:val="none" w:sz="0" w:space="0" w:color="auto"/>
                    <w:bottom w:val="none" w:sz="0" w:space="0" w:color="auto"/>
                    <w:right w:val="none" w:sz="0" w:space="0" w:color="auto"/>
                  </w:divBdr>
                  <w:divsChild>
                    <w:div w:id="365982622">
                      <w:marLeft w:val="1"/>
                      <w:marRight w:val="1"/>
                      <w:marTop w:val="0"/>
                      <w:marBottom w:val="0"/>
                      <w:divBdr>
                        <w:top w:val="none" w:sz="0" w:space="0" w:color="auto"/>
                        <w:left w:val="none" w:sz="0" w:space="0" w:color="auto"/>
                        <w:bottom w:val="none" w:sz="0" w:space="0" w:color="auto"/>
                        <w:right w:val="none" w:sz="0" w:space="0" w:color="auto"/>
                      </w:divBdr>
                      <w:divsChild>
                        <w:div w:id="1459883076">
                          <w:marLeft w:val="0"/>
                          <w:marRight w:val="0"/>
                          <w:marTop w:val="0"/>
                          <w:marBottom w:val="0"/>
                          <w:divBdr>
                            <w:top w:val="none" w:sz="0" w:space="0" w:color="auto"/>
                            <w:left w:val="none" w:sz="0" w:space="0" w:color="auto"/>
                            <w:bottom w:val="none" w:sz="0" w:space="0" w:color="auto"/>
                            <w:right w:val="none" w:sz="0" w:space="0" w:color="auto"/>
                          </w:divBdr>
                          <w:divsChild>
                            <w:div w:id="69814413">
                              <w:marLeft w:val="0"/>
                              <w:marRight w:val="0"/>
                              <w:marTop w:val="0"/>
                              <w:marBottom w:val="360"/>
                              <w:divBdr>
                                <w:top w:val="none" w:sz="0" w:space="0" w:color="auto"/>
                                <w:left w:val="none" w:sz="0" w:space="0" w:color="auto"/>
                                <w:bottom w:val="none" w:sz="0" w:space="0" w:color="auto"/>
                                <w:right w:val="none" w:sz="0" w:space="0" w:color="auto"/>
                              </w:divBdr>
                              <w:divsChild>
                                <w:div w:id="127289579">
                                  <w:marLeft w:val="0"/>
                                  <w:marRight w:val="0"/>
                                  <w:marTop w:val="0"/>
                                  <w:marBottom w:val="0"/>
                                  <w:divBdr>
                                    <w:top w:val="none" w:sz="0" w:space="0" w:color="auto"/>
                                    <w:left w:val="none" w:sz="0" w:space="0" w:color="auto"/>
                                    <w:bottom w:val="none" w:sz="0" w:space="0" w:color="auto"/>
                                    <w:right w:val="none" w:sz="0" w:space="0" w:color="auto"/>
                                  </w:divBdr>
                                  <w:divsChild>
                                    <w:div w:id="1555004451">
                                      <w:marLeft w:val="0"/>
                                      <w:marRight w:val="0"/>
                                      <w:marTop w:val="0"/>
                                      <w:marBottom w:val="0"/>
                                      <w:divBdr>
                                        <w:top w:val="none" w:sz="0" w:space="0" w:color="auto"/>
                                        <w:left w:val="none" w:sz="0" w:space="0" w:color="auto"/>
                                        <w:bottom w:val="none" w:sz="0" w:space="0" w:color="auto"/>
                                        <w:right w:val="none" w:sz="0" w:space="0" w:color="auto"/>
                                      </w:divBdr>
                                      <w:divsChild>
                                        <w:div w:id="981540178">
                                          <w:marLeft w:val="0"/>
                                          <w:marRight w:val="0"/>
                                          <w:marTop w:val="0"/>
                                          <w:marBottom w:val="0"/>
                                          <w:divBdr>
                                            <w:top w:val="none" w:sz="0" w:space="0" w:color="auto"/>
                                            <w:left w:val="none" w:sz="0" w:space="0" w:color="auto"/>
                                            <w:bottom w:val="none" w:sz="0" w:space="0" w:color="auto"/>
                                            <w:right w:val="none" w:sz="0" w:space="0" w:color="auto"/>
                                          </w:divBdr>
                                          <w:divsChild>
                                            <w:div w:id="1197743598">
                                              <w:marLeft w:val="0"/>
                                              <w:marRight w:val="0"/>
                                              <w:marTop w:val="0"/>
                                              <w:marBottom w:val="0"/>
                                              <w:divBdr>
                                                <w:top w:val="none" w:sz="0" w:space="0" w:color="auto"/>
                                                <w:left w:val="none" w:sz="0" w:space="0" w:color="auto"/>
                                                <w:bottom w:val="none" w:sz="0" w:space="0" w:color="auto"/>
                                                <w:right w:val="none" w:sz="0" w:space="0" w:color="auto"/>
                                              </w:divBdr>
                                              <w:divsChild>
                                                <w:div w:id="1143504289">
                                                  <w:marLeft w:val="0"/>
                                                  <w:marRight w:val="0"/>
                                                  <w:marTop w:val="0"/>
                                                  <w:marBottom w:val="0"/>
                                                  <w:divBdr>
                                                    <w:top w:val="none" w:sz="0" w:space="0" w:color="auto"/>
                                                    <w:left w:val="none" w:sz="0" w:space="0" w:color="auto"/>
                                                    <w:bottom w:val="none" w:sz="0" w:space="0" w:color="auto"/>
                                                    <w:right w:val="none" w:sz="0" w:space="0" w:color="auto"/>
                                                  </w:divBdr>
                                                  <w:divsChild>
                                                    <w:div w:id="1083145711">
                                                      <w:marLeft w:val="810"/>
                                                      <w:marRight w:val="810"/>
                                                      <w:marTop w:val="360"/>
                                                      <w:marBottom w:val="0"/>
                                                      <w:divBdr>
                                                        <w:top w:val="none" w:sz="0" w:space="0" w:color="auto"/>
                                                        <w:left w:val="none" w:sz="0" w:space="0" w:color="auto"/>
                                                        <w:bottom w:val="none" w:sz="0" w:space="0" w:color="auto"/>
                                                        <w:right w:val="none" w:sz="0" w:space="0" w:color="auto"/>
                                                      </w:divBdr>
                                                      <w:divsChild>
                                                        <w:div w:id="158547484">
                                                          <w:marLeft w:val="4005"/>
                                                          <w:marRight w:val="810"/>
                                                          <w:marTop w:val="0"/>
                                                          <w:marBottom w:val="0"/>
                                                          <w:divBdr>
                                                            <w:top w:val="none" w:sz="0" w:space="0" w:color="auto"/>
                                                            <w:left w:val="none" w:sz="0" w:space="0" w:color="auto"/>
                                                            <w:bottom w:val="none" w:sz="0" w:space="0" w:color="auto"/>
                                                            <w:right w:val="none" w:sz="0" w:space="0" w:color="auto"/>
                                                          </w:divBdr>
                                                        </w:div>
                                                        <w:div w:id="1648625256">
                                                          <w:marLeft w:val="4005"/>
                                                          <w:marRight w:val="810"/>
                                                          <w:marTop w:val="0"/>
                                                          <w:marBottom w:val="0"/>
                                                          <w:divBdr>
                                                            <w:top w:val="none" w:sz="0" w:space="0" w:color="auto"/>
                                                            <w:left w:val="none" w:sz="0" w:space="0" w:color="auto"/>
                                                            <w:bottom w:val="none" w:sz="0" w:space="0" w:color="auto"/>
                                                            <w:right w:val="none" w:sz="0" w:space="0" w:color="auto"/>
                                                          </w:divBdr>
                                                        </w:div>
                                                      </w:divsChild>
                                                    </w:div>
                                                    <w:div w:id="16298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7217010">
      <w:bodyDiv w:val="1"/>
      <w:marLeft w:val="0"/>
      <w:marRight w:val="0"/>
      <w:marTop w:val="0"/>
      <w:marBottom w:val="0"/>
      <w:divBdr>
        <w:top w:val="none" w:sz="0" w:space="0" w:color="auto"/>
        <w:left w:val="none" w:sz="0" w:space="0" w:color="auto"/>
        <w:bottom w:val="none" w:sz="0" w:space="0" w:color="auto"/>
        <w:right w:val="none" w:sz="0" w:space="0" w:color="auto"/>
      </w:divBdr>
    </w:div>
    <w:div w:id="1457333426">
      <w:bodyDiv w:val="1"/>
      <w:marLeft w:val="0"/>
      <w:marRight w:val="0"/>
      <w:marTop w:val="0"/>
      <w:marBottom w:val="0"/>
      <w:divBdr>
        <w:top w:val="none" w:sz="0" w:space="0" w:color="auto"/>
        <w:left w:val="none" w:sz="0" w:space="0" w:color="auto"/>
        <w:bottom w:val="none" w:sz="0" w:space="0" w:color="auto"/>
        <w:right w:val="none" w:sz="0" w:space="0" w:color="auto"/>
      </w:divBdr>
      <w:divsChild>
        <w:div w:id="779449768">
          <w:marLeft w:val="0"/>
          <w:marRight w:val="0"/>
          <w:marTop w:val="0"/>
          <w:marBottom w:val="0"/>
          <w:divBdr>
            <w:top w:val="none" w:sz="0" w:space="0" w:color="auto"/>
            <w:left w:val="none" w:sz="0" w:space="0" w:color="auto"/>
            <w:bottom w:val="none" w:sz="0" w:space="0" w:color="auto"/>
            <w:right w:val="none" w:sz="0" w:space="0" w:color="auto"/>
          </w:divBdr>
          <w:divsChild>
            <w:div w:id="1455295340">
              <w:marLeft w:val="0"/>
              <w:marRight w:val="0"/>
              <w:marTop w:val="0"/>
              <w:marBottom w:val="0"/>
              <w:divBdr>
                <w:top w:val="none" w:sz="0" w:space="0" w:color="auto"/>
                <w:left w:val="none" w:sz="0" w:space="0" w:color="auto"/>
                <w:bottom w:val="none" w:sz="0" w:space="0" w:color="auto"/>
                <w:right w:val="none" w:sz="0" w:space="0" w:color="auto"/>
              </w:divBdr>
              <w:divsChild>
                <w:div w:id="964776948">
                  <w:marLeft w:val="0"/>
                  <w:marRight w:val="0"/>
                  <w:marTop w:val="0"/>
                  <w:marBottom w:val="0"/>
                  <w:divBdr>
                    <w:top w:val="none" w:sz="0" w:space="0" w:color="auto"/>
                    <w:left w:val="none" w:sz="0" w:space="0" w:color="auto"/>
                    <w:bottom w:val="none" w:sz="0" w:space="0" w:color="auto"/>
                    <w:right w:val="none" w:sz="0" w:space="0" w:color="auto"/>
                  </w:divBdr>
                  <w:divsChild>
                    <w:div w:id="80684676">
                      <w:marLeft w:val="0"/>
                      <w:marRight w:val="0"/>
                      <w:marTop w:val="0"/>
                      <w:marBottom w:val="0"/>
                      <w:divBdr>
                        <w:top w:val="none" w:sz="0" w:space="0" w:color="auto"/>
                        <w:left w:val="none" w:sz="0" w:space="0" w:color="auto"/>
                        <w:bottom w:val="none" w:sz="0" w:space="0" w:color="auto"/>
                        <w:right w:val="none" w:sz="0" w:space="0" w:color="auto"/>
                      </w:divBdr>
                      <w:divsChild>
                        <w:div w:id="825704105">
                          <w:marLeft w:val="0"/>
                          <w:marRight w:val="0"/>
                          <w:marTop w:val="0"/>
                          <w:marBottom w:val="0"/>
                          <w:divBdr>
                            <w:top w:val="none" w:sz="0" w:space="0" w:color="auto"/>
                            <w:left w:val="none" w:sz="0" w:space="0" w:color="auto"/>
                            <w:bottom w:val="none" w:sz="0" w:space="0" w:color="auto"/>
                            <w:right w:val="none" w:sz="0" w:space="0" w:color="auto"/>
                          </w:divBdr>
                          <w:divsChild>
                            <w:div w:id="777528447">
                              <w:marLeft w:val="-225"/>
                              <w:marRight w:val="-225"/>
                              <w:marTop w:val="0"/>
                              <w:marBottom w:val="0"/>
                              <w:divBdr>
                                <w:top w:val="none" w:sz="0" w:space="0" w:color="auto"/>
                                <w:left w:val="none" w:sz="0" w:space="0" w:color="auto"/>
                                <w:bottom w:val="none" w:sz="0" w:space="0" w:color="auto"/>
                                <w:right w:val="none" w:sz="0" w:space="0" w:color="auto"/>
                              </w:divBdr>
                              <w:divsChild>
                                <w:div w:id="1709332841">
                                  <w:marLeft w:val="0"/>
                                  <w:marRight w:val="0"/>
                                  <w:marTop w:val="0"/>
                                  <w:marBottom w:val="0"/>
                                  <w:divBdr>
                                    <w:top w:val="none" w:sz="0" w:space="0" w:color="auto"/>
                                    <w:left w:val="none" w:sz="0" w:space="0" w:color="auto"/>
                                    <w:bottom w:val="none" w:sz="0" w:space="0" w:color="auto"/>
                                    <w:right w:val="none" w:sz="0" w:space="0" w:color="auto"/>
                                  </w:divBdr>
                                  <w:divsChild>
                                    <w:div w:id="208689815">
                                      <w:marLeft w:val="-225"/>
                                      <w:marRight w:val="-225"/>
                                      <w:marTop w:val="0"/>
                                      <w:marBottom w:val="0"/>
                                      <w:divBdr>
                                        <w:top w:val="none" w:sz="0" w:space="0" w:color="auto"/>
                                        <w:left w:val="none" w:sz="0" w:space="0" w:color="auto"/>
                                        <w:bottom w:val="none" w:sz="0" w:space="0" w:color="auto"/>
                                        <w:right w:val="none" w:sz="0" w:space="0" w:color="auto"/>
                                      </w:divBdr>
                                      <w:divsChild>
                                        <w:div w:id="1459256145">
                                          <w:marLeft w:val="0"/>
                                          <w:marRight w:val="0"/>
                                          <w:marTop w:val="0"/>
                                          <w:marBottom w:val="0"/>
                                          <w:divBdr>
                                            <w:top w:val="none" w:sz="0" w:space="0" w:color="auto"/>
                                            <w:left w:val="none" w:sz="0" w:space="0" w:color="auto"/>
                                            <w:bottom w:val="none" w:sz="0" w:space="0" w:color="auto"/>
                                            <w:right w:val="none" w:sz="0" w:space="0" w:color="auto"/>
                                          </w:divBdr>
                                          <w:divsChild>
                                            <w:div w:id="933829229">
                                              <w:marLeft w:val="0"/>
                                              <w:marRight w:val="0"/>
                                              <w:marTop w:val="0"/>
                                              <w:marBottom w:val="0"/>
                                              <w:divBdr>
                                                <w:top w:val="none" w:sz="0" w:space="0" w:color="auto"/>
                                                <w:left w:val="none" w:sz="0" w:space="0" w:color="auto"/>
                                                <w:bottom w:val="none" w:sz="0" w:space="0" w:color="auto"/>
                                                <w:right w:val="none" w:sz="0" w:space="0" w:color="auto"/>
                                              </w:divBdr>
                                              <w:divsChild>
                                                <w:div w:id="704214072">
                                                  <w:marLeft w:val="-225"/>
                                                  <w:marRight w:val="-225"/>
                                                  <w:marTop w:val="0"/>
                                                  <w:marBottom w:val="0"/>
                                                  <w:divBdr>
                                                    <w:top w:val="none" w:sz="0" w:space="0" w:color="auto"/>
                                                    <w:left w:val="none" w:sz="0" w:space="0" w:color="auto"/>
                                                    <w:bottom w:val="none" w:sz="0" w:space="0" w:color="auto"/>
                                                    <w:right w:val="none" w:sz="0" w:space="0" w:color="auto"/>
                                                  </w:divBdr>
                                                  <w:divsChild>
                                                    <w:div w:id="739518054">
                                                      <w:marLeft w:val="0"/>
                                                      <w:marRight w:val="0"/>
                                                      <w:marTop w:val="0"/>
                                                      <w:marBottom w:val="0"/>
                                                      <w:divBdr>
                                                        <w:top w:val="none" w:sz="0" w:space="0" w:color="auto"/>
                                                        <w:left w:val="none" w:sz="0" w:space="0" w:color="auto"/>
                                                        <w:bottom w:val="none" w:sz="0" w:space="0" w:color="auto"/>
                                                        <w:right w:val="none" w:sz="0" w:space="0" w:color="auto"/>
                                                      </w:divBdr>
                                                      <w:divsChild>
                                                        <w:div w:id="1341278835">
                                                          <w:marLeft w:val="-225"/>
                                                          <w:marRight w:val="-225"/>
                                                          <w:marTop w:val="0"/>
                                                          <w:marBottom w:val="0"/>
                                                          <w:divBdr>
                                                            <w:top w:val="none" w:sz="0" w:space="0" w:color="auto"/>
                                                            <w:left w:val="none" w:sz="0" w:space="0" w:color="auto"/>
                                                            <w:bottom w:val="none" w:sz="0" w:space="0" w:color="auto"/>
                                                            <w:right w:val="none" w:sz="0" w:space="0" w:color="auto"/>
                                                          </w:divBdr>
                                                          <w:divsChild>
                                                            <w:div w:id="898442815">
                                                              <w:marLeft w:val="0"/>
                                                              <w:marRight w:val="0"/>
                                                              <w:marTop w:val="0"/>
                                                              <w:marBottom w:val="0"/>
                                                              <w:divBdr>
                                                                <w:top w:val="none" w:sz="0" w:space="0" w:color="auto"/>
                                                                <w:left w:val="none" w:sz="0" w:space="0" w:color="auto"/>
                                                                <w:bottom w:val="none" w:sz="0" w:space="0" w:color="auto"/>
                                                                <w:right w:val="none" w:sz="0" w:space="0" w:color="auto"/>
                                                              </w:divBdr>
                                                              <w:divsChild>
                                                                <w:div w:id="1491288967">
                                                                  <w:marLeft w:val="0"/>
                                                                  <w:marRight w:val="0"/>
                                                                  <w:marTop w:val="0"/>
                                                                  <w:marBottom w:val="0"/>
                                                                  <w:divBdr>
                                                                    <w:top w:val="none" w:sz="0" w:space="0" w:color="auto"/>
                                                                    <w:left w:val="none" w:sz="0" w:space="0" w:color="auto"/>
                                                                    <w:bottom w:val="none" w:sz="0" w:space="0" w:color="auto"/>
                                                                    <w:right w:val="none" w:sz="0" w:space="0" w:color="auto"/>
                                                                  </w:divBdr>
                                                                  <w:divsChild>
                                                                    <w:div w:id="1946306537">
                                                                      <w:marLeft w:val="0"/>
                                                                      <w:marRight w:val="0"/>
                                                                      <w:marTop w:val="0"/>
                                                                      <w:marBottom w:val="0"/>
                                                                      <w:divBdr>
                                                                        <w:top w:val="none" w:sz="0" w:space="0" w:color="auto"/>
                                                                        <w:left w:val="none" w:sz="0" w:space="0" w:color="auto"/>
                                                                        <w:bottom w:val="none" w:sz="0" w:space="0" w:color="auto"/>
                                                                        <w:right w:val="none" w:sz="0" w:space="0" w:color="auto"/>
                                                                      </w:divBdr>
                                                                      <w:divsChild>
                                                                        <w:div w:id="983580709">
                                                                          <w:marLeft w:val="0"/>
                                                                          <w:marRight w:val="0"/>
                                                                          <w:marTop w:val="0"/>
                                                                          <w:marBottom w:val="0"/>
                                                                          <w:divBdr>
                                                                            <w:top w:val="none" w:sz="0" w:space="0" w:color="auto"/>
                                                                            <w:left w:val="none" w:sz="0" w:space="0" w:color="auto"/>
                                                                            <w:bottom w:val="none" w:sz="0" w:space="0" w:color="auto"/>
                                                                            <w:right w:val="none" w:sz="0" w:space="0" w:color="auto"/>
                                                                          </w:divBdr>
                                                                          <w:divsChild>
                                                                            <w:div w:id="2047219915">
                                                                              <w:marLeft w:val="0"/>
                                                                              <w:marRight w:val="0"/>
                                                                              <w:marTop w:val="0"/>
                                                                              <w:marBottom w:val="0"/>
                                                                              <w:divBdr>
                                                                                <w:top w:val="none" w:sz="0" w:space="0" w:color="auto"/>
                                                                                <w:left w:val="none" w:sz="0" w:space="0" w:color="auto"/>
                                                                                <w:bottom w:val="none" w:sz="0" w:space="0" w:color="auto"/>
                                                                                <w:right w:val="none" w:sz="0" w:space="0" w:color="auto"/>
                                                                              </w:divBdr>
                                                                              <w:divsChild>
                                                                                <w:div w:id="1527712598">
                                                                                  <w:marLeft w:val="0"/>
                                                                                  <w:marRight w:val="0"/>
                                                                                  <w:marTop w:val="0"/>
                                                                                  <w:marBottom w:val="0"/>
                                                                                  <w:divBdr>
                                                                                    <w:top w:val="none" w:sz="0" w:space="0" w:color="auto"/>
                                                                                    <w:left w:val="none" w:sz="0" w:space="0" w:color="auto"/>
                                                                                    <w:bottom w:val="none" w:sz="0" w:space="0" w:color="auto"/>
                                                                                    <w:right w:val="none" w:sz="0" w:space="0" w:color="auto"/>
                                                                                  </w:divBdr>
                                                                                  <w:divsChild>
                                                                                    <w:div w:id="1175801557">
                                                                                      <w:marLeft w:val="0"/>
                                                                                      <w:marRight w:val="0"/>
                                                                                      <w:marTop w:val="0"/>
                                                                                      <w:marBottom w:val="0"/>
                                                                                      <w:divBdr>
                                                                                        <w:top w:val="none" w:sz="0" w:space="0" w:color="auto"/>
                                                                                        <w:left w:val="none" w:sz="0" w:space="0" w:color="auto"/>
                                                                                        <w:bottom w:val="none" w:sz="0" w:space="0" w:color="auto"/>
                                                                                        <w:right w:val="none" w:sz="0" w:space="0" w:color="auto"/>
                                                                                      </w:divBdr>
                                                                                      <w:divsChild>
                                                                                        <w:div w:id="309484222">
                                                                                          <w:marLeft w:val="0"/>
                                                                                          <w:marRight w:val="0"/>
                                                                                          <w:marTop w:val="0"/>
                                                                                          <w:marBottom w:val="0"/>
                                                                                          <w:divBdr>
                                                                                            <w:top w:val="none" w:sz="0" w:space="0" w:color="auto"/>
                                                                                            <w:left w:val="none" w:sz="0" w:space="0" w:color="auto"/>
                                                                                            <w:bottom w:val="dotted" w:sz="6" w:space="0" w:color="CCCCCC"/>
                                                                                            <w:right w:val="none" w:sz="0" w:space="0" w:color="auto"/>
                                                                                          </w:divBdr>
                                                                                          <w:divsChild>
                                                                                            <w:div w:id="1988243169">
                                                                                              <w:marLeft w:val="0"/>
                                                                                              <w:marRight w:val="0"/>
                                                                                              <w:marTop w:val="0"/>
                                                                                              <w:marBottom w:val="0"/>
                                                                                              <w:divBdr>
                                                                                                <w:top w:val="none" w:sz="0" w:space="0" w:color="auto"/>
                                                                                                <w:left w:val="none" w:sz="0" w:space="0" w:color="auto"/>
                                                                                                <w:bottom w:val="none" w:sz="0" w:space="0" w:color="auto"/>
                                                                                                <w:right w:val="none" w:sz="0" w:space="0" w:color="auto"/>
                                                                                              </w:divBdr>
                                                                                              <w:divsChild>
                                                                                                <w:div w:id="12348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3B8C-7D54-4885-BD01-1D8D1307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2962</Words>
  <Characters>18401</Characters>
  <Application>Microsoft Office Word</Application>
  <DocSecurity>0</DocSecurity>
  <Lines>368</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2016-09-21T14:57:00Z</cp:lastPrinted>
  <dcterms:created xsi:type="dcterms:W3CDTF">2016-09-23T10:08:00Z</dcterms:created>
  <dcterms:modified xsi:type="dcterms:W3CDTF">2016-10-03T15:19:00Z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