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95712B89A654EF6B0800ECB861B3E69" style="width:450.75pt;height:339.75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ascii="Times New Roman" w:hAnsi="Times New Roman" w:cs="Times New Roman"/>
          <w:b/>
          <w:noProof/>
          <w:sz w:val="24"/>
          <w:szCs w:val="24"/>
          <w:lang w:val="bg-BG"/>
        </w:rPr>
      </w:pPr>
      <w:bookmarkStart w:id="1" w:name="_GoBack"/>
      <w:bookmarkEnd w:id="1"/>
      <w:r>
        <w:rPr>
          <w:rFonts w:ascii="Times New Roman" w:hAnsi="Times New Roman"/>
          <w:b/>
          <w:noProof/>
          <w:sz w:val="24"/>
          <w:lang w:val="bg-BG"/>
        </w:rPr>
        <w:lastRenderedPageBreak/>
        <w:t>ПРИЛОЖЕНИЕ I</w:t>
      </w:r>
    </w:p>
    <w:p>
      <w:pPr>
        <w:rPr>
          <w:rFonts w:ascii="Times New Roman" w:hAnsi="Times New Roman" w:cs="Times New Roman"/>
          <w:noProof/>
          <w:color w:val="0070C0"/>
          <w:sz w:val="24"/>
          <w:szCs w:val="24"/>
          <w:lang w:val="bg-BG"/>
        </w:rPr>
      </w:pPr>
    </w:p>
    <w:p>
      <w:pPr>
        <w:rPr>
          <w:rFonts w:ascii="Times New Roman" w:hAnsi="Times New Roman" w:cs="Times New Roman"/>
          <w:b/>
          <w:noProof/>
          <w:sz w:val="24"/>
          <w:szCs w:val="24"/>
          <w:lang w:val="bg-BG"/>
        </w:rPr>
      </w:pPr>
      <w:r>
        <w:rPr>
          <w:rFonts w:ascii="Times New Roman" w:hAnsi="Times New Roman"/>
          <w:b/>
          <w:noProof/>
          <w:sz w:val="24"/>
          <w:lang w:val="bg-BG"/>
        </w:rPr>
        <w:t>КЛАСИФИКАЦИЯ НА РЕГИСТРАНТИТЕ</w:t>
      </w:r>
    </w:p>
    <w:p>
      <w:pPr>
        <w:rPr>
          <w:rFonts w:ascii="Times New Roman" w:hAnsi="Times New Roman" w:cs="Times New Roman"/>
          <w:b/>
          <w:noProof/>
          <w:sz w:val="24"/>
          <w:szCs w:val="24"/>
          <w:lang w:val="bg-BG"/>
        </w:rPr>
      </w:pPr>
    </w:p>
    <w:p>
      <w:pPr>
        <w:rPr>
          <w:rFonts w:ascii="Times New Roman" w:hAnsi="Times New Roman" w:cs="Times New Roman"/>
          <w:noProof/>
          <w:sz w:val="24"/>
          <w:szCs w:val="24"/>
          <w:lang w:val="bg-BG"/>
        </w:rPr>
      </w:pPr>
      <w:r>
        <w:rPr>
          <w:rFonts w:ascii="Times New Roman" w:hAnsi="Times New Roman"/>
          <w:noProof/>
          <w:sz w:val="24"/>
          <w:lang w:val="bg-BG"/>
        </w:rPr>
        <w:t xml:space="preserve">Секретариатът прилага долупосочената класификация на регистрантите, като той може да я изменя. </w:t>
      </w:r>
    </w:p>
    <w:p>
      <w:pPr>
        <w:rPr>
          <w:rFonts w:ascii="Times New Roman" w:hAnsi="Times New Roman" w:cs="Times New Roman"/>
          <w:noProof/>
          <w:sz w:val="24"/>
          <w:szCs w:val="24"/>
          <w:lang w:val="bg-BG"/>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568"/>
        <w:gridCol w:w="1838"/>
        <w:gridCol w:w="6882"/>
      </w:tblGrid>
      <w:tr>
        <w:tc>
          <w:tcPr>
            <w:tcW w:w="568" w:type="dxa"/>
          </w:tcPr>
          <w:p>
            <w:pPr>
              <w:spacing w:before="120" w:after="120"/>
              <w:rPr>
                <w:rFonts w:ascii="Times New Roman" w:hAnsi="Times New Roman" w:cs="Times New Roman"/>
                <w:b/>
                <w:noProof/>
                <w:sz w:val="24"/>
                <w:szCs w:val="24"/>
                <w:lang w:val="bg-BG"/>
              </w:rPr>
            </w:pPr>
          </w:p>
        </w:tc>
        <w:tc>
          <w:tcPr>
            <w:tcW w:w="8720" w:type="dxa"/>
            <w:gridSpan w:val="2"/>
          </w:tcPr>
          <w:p>
            <w:pPr>
              <w:spacing w:before="120" w:after="120"/>
              <w:rPr>
                <w:rFonts w:ascii="Times New Roman" w:hAnsi="Times New Roman" w:cs="Times New Roman"/>
                <w:b/>
                <w:noProof/>
                <w:sz w:val="24"/>
                <w:szCs w:val="24"/>
                <w:lang w:val="bg-BG"/>
              </w:rPr>
            </w:pPr>
            <w:r>
              <w:rPr>
                <w:rFonts w:ascii="Times New Roman" w:hAnsi="Times New Roman"/>
                <w:b/>
                <w:noProof/>
                <w:sz w:val="24"/>
                <w:lang w:val="bg-BG"/>
              </w:rPr>
              <w:t>Раздели на класификацията на регистрантите</w:t>
            </w:r>
          </w:p>
        </w:tc>
      </w:tr>
      <w:tr>
        <w:tc>
          <w:tcPr>
            <w:tcW w:w="568" w:type="dxa"/>
          </w:tcPr>
          <w:p>
            <w:pPr>
              <w:spacing w:before="120" w:after="120"/>
              <w:rPr>
                <w:rFonts w:ascii="Times New Roman" w:hAnsi="Times New Roman" w:cs="Times New Roman"/>
                <w:b/>
                <w:noProof/>
                <w:sz w:val="24"/>
                <w:szCs w:val="24"/>
                <w:lang w:val="bg-BG"/>
              </w:rPr>
            </w:pPr>
            <w:r>
              <w:rPr>
                <w:rFonts w:ascii="Times New Roman" w:hAnsi="Times New Roman"/>
                <w:b/>
                <w:noProof/>
                <w:sz w:val="24"/>
                <w:lang w:val="bg-BG"/>
              </w:rPr>
              <w:t>I.</w:t>
            </w:r>
          </w:p>
        </w:tc>
        <w:tc>
          <w:tcPr>
            <w:tcW w:w="8720" w:type="dxa"/>
            <w:gridSpan w:val="2"/>
          </w:tcPr>
          <w:p>
            <w:pPr>
              <w:spacing w:before="120" w:after="120"/>
              <w:rPr>
                <w:rFonts w:ascii="Times New Roman" w:hAnsi="Times New Roman" w:cs="Times New Roman"/>
                <w:b/>
                <w:noProof/>
                <w:sz w:val="24"/>
                <w:szCs w:val="24"/>
                <w:lang w:val="bg-BG"/>
              </w:rPr>
            </w:pPr>
            <w:r>
              <w:rPr>
                <w:rFonts w:ascii="Times New Roman" w:hAnsi="Times New Roman"/>
                <w:b/>
                <w:noProof/>
                <w:sz w:val="24"/>
                <w:lang w:val="bg-BG"/>
              </w:rPr>
              <w:t>Професионални консултанти, адвокатски кантори, самостоятелно заети консултанти</w:t>
            </w:r>
          </w:p>
        </w:tc>
      </w:tr>
      <w:tr>
        <w:tc>
          <w:tcPr>
            <w:tcW w:w="568" w:type="dxa"/>
          </w:tcPr>
          <w:p>
            <w:pPr>
              <w:spacing w:before="120" w:after="120"/>
              <w:rPr>
                <w:rFonts w:ascii="Times New Roman" w:hAnsi="Times New Roman" w:cs="Times New Roman"/>
                <w:noProof/>
                <w:sz w:val="24"/>
                <w:szCs w:val="24"/>
                <w:lang w:val="bg-BG"/>
              </w:rPr>
            </w:pPr>
            <w:r>
              <w:rPr>
                <w:rFonts w:ascii="Times New Roman" w:hAnsi="Times New Roman"/>
                <w:noProof/>
                <w:sz w:val="24"/>
                <w:lang w:val="bg-BG"/>
              </w:rPr>
              <w:t>а</w:t>
            </w:r>
          </w:p>
        </w:tc>
        <w:tc>
          <w:tcPr>
            <w:tcW w:w="1838" w:type="dxa"/>
          </w:tcPr>
          <w:p>
            <w:pPr>
              <w:spacing w:before="120" w:after="120"/>
              <w:rPr>
                <w:rFonts w:ascii="Times New Roman" w:hAnsi="Times New Roman" w:cs="Times New Roman"/>
                <w:noProof/>
                <w:sz w:val="24"/>
                <w:szCs w:val="24"/>
                <w:lang w:val="bg-BG"/>
              </w:rPr>
            </w:pPr>
            <w:r>
              <w:rPr>
                <w:rFonts w:ascii="Times New Roman" w:hAnsi="Times New Roman"/>
                <w:noProof/>
                <w:sz w:val="24"/>
                <w:lang w:val="bg-BG"/>
              </w:rPr>
              <w:t xml:space="preserve">Подраздел </w:t>
            </w:r>
          </w:p>
        </w:tc>
        <w:tc>
          <w:tcPr>
            <w:tcW w:w="6882" w:type="dxa"/>
          </w:tcPr>
          <w:p>
            <w:pPr>
              <w:spacing w:before="120" w:after="120"/>
              <w:rPr>
                <w:rFonts w:ascii="Times New Roman" w:hAnsi="Times New Roman" w:cs="Times New Roman"/>
                <w:noProof/>
                <w:sz w:val="24"/>
                <w:szCs w:val="24"/>
                <w:lang w:val="bg-BG"/>
              </w:rPr>
            </w:pPr>
            <w:r>
              <w:rPr>
                <w:rFonts w:ascii="Times New Roman" w:hAnsi="Times New Roman"/>
                <w:noProof/>
                <w:sz w:val="24"/>
                <w:lang w:val="bg-BG"/>
              </w:rPr>
              <w:t>Професионални консултанти</w:t>
            </w:r>
          </w:p>
        </w:tc>
      </w:tr>
      <w:tr>
        <w:tc>
          <w:tcPr>
            <w:tcW w:w="568" w:type="dxa"/>
          </w:tcPr>
          <w:p>
            <w:pPr>
              <w:spacing w:before="120" w:after="120"/>
              <w:rPr>
                <w:rFonts w:ascii="Times New Roman" w:hAnsi="Times New Roman" w:cs="Times New Roman"/>
                <w:noProof/>
                <w:sz w:val="24"/>
                <w:szCs w:val="24"/>
                <w:lang w:val="bg-BG"/>
              </w:rPr>
            </w:pPr>
            <w:r>
              <w:rPr>
                <w:rFonts w:ascii="Times New Roman" w:hAnsi="Times New Roman"/>
                <w:noProof/>
                <w:sz w:val="24"/>
                <w:lang w:val="bg-BG"/>
              </w:rPr>
              <w:t>б</w:t>
            </w:r>
          </w:p>
        </w:tc>
        <w:tc>
          <w:tcPr>
            <w:tcW w:w="1838" w:type="dxa"/>
          </w:tcPr>
          <w:p>
            <w:pPr>
              <w:spacing w:before="120" w:after="120"/>
              <w:rPr>
                <w:rFonts w:ascii="Times New Roman" w:hAnsi="Times New Roman" w:cs="Times New Roman"/>
                <w:noProof/>
                <w:sz w:val="24"/>
                <w:szCs w:val="24"/>
                <w:lang w:val="bg-BG"/>
              </w:rPr>
            </w:pPr>
            <w:r>
              <w:rPr>
                <w:rFonts w:ascii="Times New Roman" w:hAnsi="Times New Roman"/>
                <w:noProof/>
                <w:sz w:val="24"/>
                <w:lang w:val="bg-BG"/>
              </w:rPr>
              <w:t>Подраздел</w:t>
            </w:r>
          </w:p>
        </w:tc>
        <w:tc>
          <w:tcPr>
            <w:tcW w:w="6882" w:type="dxa"/>
          </w:tcPr>
          <w:p>
            <w:pPr>
              <w:spacing w:before="120" w:after="120"/>
              <w:rPr>
                <w:rFonts w:ascii="Times New Roman" w:hAnsi="Times New Roman" w:cs="Times New Roman"/>
                <w:noProof/>
                <w:sz w:val="24"/>
                <w:szCs w:val="24"/>
                <w:lang w:val="bg-BG"/>
              </w:rPr>
            </w:pPr>
            <w:r>
              <w:rPr>
                <w:rFonts w:ascii="Times New Roman" w:hAnsi="Times New Roman"/>
                <w:noProof/>
                <w:sz w:val="24"/>
                <w:lang w:val="bg-BG"/>
              </w:rPr>
              <w:t>Адвокатски кантори</w:t>
            </w:r>
          </w:p>
        </w:tc>
      </w:tr>
      <w:tr>
        <w:tc>
          <w:tcPr>
            <w:tcW w:w="568" w:type="dxa"/>
          </w:tcPr>
          <w:p>
            <w:pPr>
              <w:spacing w:before="120" w:after="120"/>
              <w:rPr>
                <w:rFonts w:ascii="Times New Roman" w:hAnsi="Times New Roman" w:cs="Times New Roman"/>
                <w:noProof/>
                <w:sz w:val="24"/>
                <w:szCs w:val="24"/>
                <w:lang w:val="bg-BG"/>
              </w:rPr>
            </w:pPr>
            <w:r>
              <w:rPr>
                <w:rFonts w:ascii="Times New Roman" w:hAnsi="Times New Roman"/>
                <w:noProof/>
                <w:sz w:val="24"/>
                <w:lang w:val="bg-BG"/>
              </w:rPr>
              <w:t>в</w:t>
            </w:r>
          </w:p>
        </w:tc>
        <w:tc>
          <w:tcPr>
            <w:tcW w:w="1838" w:type="dxa"/>
          </w:tcPr>
          <w:p>
            <w:pPr>
              <w:spacing w:before="120" w:after="120"/>
              <w:rPr>
                <w:rFonts w:ascii="Times New Roman" w:hAnsi="Times New Roman" w:cs="Times New Roman"/>
                <w:noProof/>
                <w:sz w:val="24"/>
                <w:szCs w:val="24"/>
                <w:lang w:val="bg-BG"/>
              </w:rPr>
            </w:pPr>
            <w:r>
              <w:rPr>
                <w:rFonts w:ascii="Times New Roman" w:hAnsi="Times New Roman"/>
                <w:noProof/>
                <w:sz w:val="24"/>
                <w:lang w:val="bg-BG"/>
              </w:rPr>
              <w:t>Подраздел</w:t>
            </w:r>
          </w:p>
        </w:tc>
        <w:tc>
          <w:tcPr>
            <w:tcW w:w="6882" w:type="dxa"/>
          </w:tcPr>
          <w:p>
            <w:pPr>
              <w:spacing w:before="120" w:after="120"/>
              <w:rPr>
                <w:rFonts w:ascii="Times New Roman" w:hAnsi="Times New Roman" w:cs="Times New Roman"/>
                <w:noProof/>
                <w:sz w:val="24"/>
                <w:szCs w:val="24"/>
                <w:lang w:val="bg-BG"/>
              </w:rPr>
            </w:pPr>
            <w:r>
              <w:rPr>
                <w:rFonts w:ascii="Times New Roman" w:hAnsi="Times New Roman"/>
                <w:noProof/>
                <w:sz w:val="24"/>
                <w:lang w:val="bg-BG"/>
              </w:rPr>
              <w:t>Самостоятелно заети консултанти</w:t>
            </w:r>
          </w:p>
        </w:tc>
      </w:tr>
      <w:tr>
        <w:tc>
          <w:tcPr>
            <w:tcW w:w="568" w:type="dxa"/>
          </w:tcPr>
          <w:p>
            <w:pPr>
              <w:spacing w:before="120" w:after="120"/>
              <w:rPr>
                <w:rFonts w:ascii="Times New Roman" w:hAnsi="Times New Roman" w:cs="Times New Roman"/>
                <w:b/>
                <w:noProof/>
                <w:sz w:val="24"/>
                <w:szCs w:val="24"/>
                <w:lang w:val="bg-BG"/>
              </w:rPr>
            </w:pPr>
            <w:r>
              <w:rPr>
                <w:rFonts w:ascii="Times New Roman" w:hAnsi="Times New Roman"/>
                <w:b/>
                <w:noProof/>
                <w:sz w:val="24"/>
                <w:lang w:val="bg-BG"/>
              </w:rPr>
              <w:t>II.</w:t>
            </w:r>
          </w:p>
        </w:tc>
        <w:tc>
          <w:tcPr>
            <w:tcW w:w="8720" w:type="dxa"/>
            <w:gridSpan w:val="2"/>
          </w:tcPr>
          <w:p>
            <w:pPr>
              <w:spacing w:before="120" w:after="120"/>
              <w:rPr>
                <w:rFonts w:ascii="Times New Roman" w:hAnsi="Times New Roman" w:cs="Times New Roman"/>
                <w:b/>
                <w:noProof/>
                <w:sz w:val="24"/>
                <w:szCs w:val="24"/>
                <w:lang w:val="bg-BG"/>
              </w:rPr>
            </w:pPr>
            <w:r>
              <w:rPr>
                <w:rFonts w:ascii="Times New Roman" w:hAnsi="Times New Roman"/>
                <w:b/>
                <w:noProof/>
                <w:sz w:val="24"/>
                <w:lang w:val="bg-BG"/>
              </w:rPr>
              <w:t>Дружества, търговски/стопански сдружения, профсъюзи, професионални сдружения</w:t>
            </w:r>
          </w:p>
        </w:tc>
      </w:tr>
      <w:tr>
        <w:tc>
          <w:tcPr>
            <w:tcW w:w="568" w:type="dxa"/>
          </w:tcPr>
          <w:p>
            <w:pPr>
              <w:spacing w:before="120" w:after="120"/>
              <w:rPr>
                <w:rFonts w:ascii="Times New Roman" w:hAnsi="Times New Roman" w:cs="Times New Roman"/>
                <w:noProof/>
                <w:sz w:val="24"/>
                <w:szCs w:val="24"/>
                <w:lang w:val="bg-BG"/>
              </w:rPr>
            </w:pPr>
            <w:r>
              <w:rPr>
                <w:rFonts w:ascii="Times New Roman" w:hAnsi="Times New Roman"/>
                <w:noProof/>
                <w:sz w:val="24"/>
                <w:lang w:val="bg-BG"/>
              </w:rPr>
              <w:t>а</w:t>
            </w:r>
          </w:p>
        </w:tc>
        <w:tc>
          <w:tcPr>
            <w:tcW w:w="1838" w:type="dxa"/>
          </w:tcPr>
          <w:p>
            <w:pPr>
              <w:spacing w:before="120" w:after="120"/>
              <w:rPr>
                <w:rFonts w:ascii="Times New Roman" w:hAnsi="Times New Roman" w:cs="Times New Roman"/>
                <w:noProof/>
                <w:sz w:val="24"/>
                <w:szCs w:val="24"/>
                <w:lang w:val="bg-BG"/>
              </w:rPr>
            </w:pPr>
            <w:r>
              <w:rPr>
                <w:rFonts w:ascii="Times New Roman" w:hAnsi="Times New Roman"/>
                <w:noProof/>
                <w:sz w:val="24"/>
                <w:lang w:val="bg-BG"/>
              </w:rPr>
              <w:t>Подраздел</w:t>
            </w:r>
          </w:p>
        </w:tc>
        <w:tc>
          <w:tcPr>
            <w:tcW w:w="6882" w:type="dxa"/>
          </w:tcPr>
          <w:p>
            <w:pPr>
              <w:spacing w:before="120" w:after="120"/>
              <w:rPr>
                <w:rFonts w:ascii="Times New Roman" w:hAnsi="Times New Roman" w:cs="Times New Roman"/>
                <w:noProof/>
                <w:sz w:val="24"/>
                <w:szCs w:val="24"/>
                <w:lang w:val="bg-BG"/>
              </w:rPr>
            </w:pPr>
            <w:r>
              <w:rPr>
                <w:rFonts w:ascii="Times New Roman" w:hAnsi="Times New Roman"/>
                <w:noProof/>
                <w:sz w:val="24"/>
                <w:lang w:val="bg-BG"/>
              </w:rPr>
              <w:t>Дружества</w:t>
            </w:r>
          </w:p>
        </w:tc>
      </w:tr>
      <w:tr>
        <w:tc>
          <w:tcPr>
            <w:tcW w:w="568" w:type="dxa"/>
          </w:tcPr>
          <w:p>
            <w:pPr>
              <w:spacing w:before="120" w:after="120"/>
              <w:rPr>
                <w:rFonts w:ascii="Times New Roman" w:hAnsi="Times New Roman" w:cs="Times New Roman"/>
                <w:noProof/>
                <w:sz w:val="24"/>
                <w:szCs w:val="24"/>
                <w:lang w:val="bg-BG"/>
              </w:rPr>
            </w:pPr>
            <w:r>
              <w:rPr>
                <w:rFonts w:ascii="Times New Roman" w:hAnsi="Times New Roman"/>
                <w:noProof/>
                <w:sz w:val="24"/>
                <w:lang w:val="bg-BG"/>
              </w:rPr>
              <w:t>б</w:t>
            </w:r>
          </w:p>
        </w:tc>
        <w:tc>
          <w:tcPr>
            <w:tcW w:w="1838" w:type="dxa"/>
          </w:tcPr>
          <w:p>
            <w:pPr>
              <w:spacing w:before="120" w:after="120"/>
              <w:rPr>
                <w:rFonts w:ascii="Times New Roman" w:hAnsi="Times New Roman" w:cs="Times New Roman"/>
                <w:noProof/>
                <w:sz w:val="24"/>
                <w:szCs w:val="24"/>
                <w:lang w:val="bg-BG"/>
              </w:rPr>
            </w:pPr>
            <w:r>
              <w:rPr>
                <w:rFonts w:ascii="Times New Roman" w:hAnsi="Times New Roman"/>
                <w:noProof/>
                <w:sz w:val="24"/>
                <w:lang w:val="bg-BG"/>
              </w:rPr>
              <w:t>Подраздел</w:t>
            </w:r>
          </w:p>
        </w:tc>
        <w:tc>
          <w:tcPr>
            <w:tcW w:w="6882" w:type="dxa"/>
          </w:tcPr>
          <w:p>
            <w:pPr>
              <w:spacing w:before="120" w:after="120"/>
              <w:rPr>
                <w:rFonts w:ascii="Times New Roman" w:hAnsi="Times New Roman" w:cs="Times New Roman"/>
                <w:noProof/>
                <w:sz w:val="24"/>
                <w:szCs w:val="24"/>
                <w:lang w:val="bg-BG"/>
              </w:rPr>
            </w:pPr>
            <w:r>
              <w:rPr>
                <w:rFonts w:ascii="Times New Roman" w:hAnsi="Times New Roman"/>
                <w:noProof/>
                <w:sz w:val="24"/>
                <w:lang w:val="bg-BG"/>
              </w:rPr>
              <w:t>Търговски и стопански сдружения</w:t>
            </w:r>
          </w:p>
        </w:tc>
      </w:tr>
      <w:tr>
        <w:tc>
          <w:tcPr>
            <w:tcW w:w="568" w:type="dxa"/>
          </w:tcPr>
          <w:p>
            <w:pPr>
              <w:spacing w:before="120" w:after="120"/>
              <w:rPr>
                <w:rFonts w:ascii="Times New Roman" w:hAnsi="Times New Roman" w:cs="Times New Roman"/>
                <w:noProof/>
                <w:sz w:val="24"/>
                <w:szCs w:val="24"/>
                <w:lang w:val="bg-BG"/>
              </w:rPr>
            </w:pPr>
            <w:r>
              <w:rPr>
                <w:rFonts w:ascii="Times New Roman" w:hAnsi="Times New Roman"/>
                <w:noProof/>
                <w:sz w:val="24"/>
                <w:lang w:val="bg-BG"/>
              </w:rPr>
              <w:t>в</w:t>
            </w:r>
          </w:p>
        </w:tc>
        <w:tc>
          <w:tcPr>
            <w:tcW w:w="1838" w:type="dxa"/>
          </w:tcPr>
          <w:p>
            <w:pPr>
              <w:spacing w:before="120" w:after="120"/>
              <w:rPr>
                <w:rFonts w:ascii="Times New Roman" w:hAnsi="Times New Roman" w:cs="Times New Roman"/>
                <w:noProof/>
                <w:sz w:val="24"/>
                <w:szCs w:val="24"/>
                <w:lang w:val="bg-BG"/>
              </w:rPr>
            </w:pPr>
            <w:r>
              <w:rPr>
                <w:rFonts w:ascii="Times New Roman" w:hAnsi="Times New Roman"/>
                <w:noProof/>
                <w:sz w:val="24"/>
                <w:lang w:val="bg-BG"/>
              </w:rPr>
              <w:t>Подраздел</w:t>
            </w:r>
          </w:p>
        </w:tc>
        <w:tc>
          <w:tcPr>
            <w:tcW w:w="6882" w:type="dxa"/>
          </w:tcPr>
          <w:p>
            <w:pPr>
              <w:spacing w:before="120" w:after="120"/>
              <w:rPr>
                <w:rFonts w:ascii="Times New Roman" w:hAnsi="Times New Roman" w:cs="Times New Roman"/>
                <w:noProof/>
                <w:sz w:val="24"/>
                <w:szCs w:val="24"/>
                <w:lang w:val="bg-BG"/>
              </w:rPr>
            </w:pPr>
            <w:r>
              <w:rPr>
                <w:rFonts w:ascii="Times New Roman" w:hAnsi="Times New Roman"/>
                <w:noProof/>
                <w:sz w:val="24"/>
                <w:lang w:val="bg-BG"/>
              </w:rPr>
              <w:t>Профсъюзи и професионални сдружения</w:t>
            </w:r>
          </w:p>
        </w:tc>
      </w:tr>
      <w:tr>
        <w:tc>
          <w:tcPr>
            <w:tcW w:w="568" w:type="dxa"/>
          </w:tcPr>
          <w:p>
            <w:pPr>
              <w:spacing w:before="120" w:after="120"/>
              <w:rPr>
                <w:rFonts w:ascii="Times New Roman" w:hAnsi="Times New Roman" w:cs="Times New Roman"/>
                <w:noProof/>
                <w:sz w:val="24"/>
                <w:szCs w:val="24"/>
                <w:lang w:val="bg-BG"/>
              </w:rPr>
            </w:pPr>
            <w:r>
              <w:rPr>
                <w:rFonts w:ascii="Times New Roman" w:hAnsi="Times New Roman"/>
                <w:noProof/>
                <w:sz w:val="24"/>
                <w:lang w:val="bg-BG"/>
              </w:rPr>
              <w:t>г</w:t>
            </w:r>
          </w:p>
        </w:tc>
        <w:tc>
          <w:tcPr>
            <w:tcW w:w="1838" w:type="dxa"/>
          </w:tcPr>
          <w:p>
            <w:pPr>
              <w:spacing w:before="120" w:after="120"/>
              <w:rPr>
                <w:rFonts w:ascii="Times New Roman" w:hAnsi="Times New Roman" w:cs="Times New Roman"/>
                <w:noProof/>
                <w:sz w:val="24"/>
                <w:szCs w:val="24"/>
                <w:lang w:val="bg-BG"/>
              </w:rPr>
            </w:pPr>
            <w:r>
              <w:rPr>
                <w:rFonts w:ascii="Times New Roman" w:hAnsi="Times New Roman"/>
                <w:noProof/>
                <w:sz w:val="24"/>
                <w:lang w:val="bg-BG"/>
              </w:rPr>
              <w:t>Подраздел</w:t>
            </w:r>
          </w:p>
        </w:tc>
        <w:tc>
          <w:tcPr>
            <w:tcW w:w="6882" w:type="dxa"/>
          </w:tcPr>
          <w:p>
            <w:pPr>
              <w:rPr>
                <w:rFonts w:ascii="Times New Roman" w:hAnsi="Times New Roman" w:cs="Times New Roman"/>
                <w:noProof/>
                <w:sz w:val="24"/>
                <w:szCs w:val="24"/>
                <w:lang w:val="bg-BG"/>
              </w:rPr>
            </w:pPr>
            <w:r>
              <w:rPr>
                <w:rFonts w:ascii="Times New Roman" w:hAnsi="Times New Roman"/>
                <w:noProof/>
                <w:sz w:val="24"/>
                <w:lang w:val="bg-BG"/>
              </w:rPr>
              <w:t xml:space="preserve">Субекти за организиране на събития </w:t>
            </w:r>
          </w:p>
        </w:tc>
      </w:tr>
      <w:tr>
        <w:tc>
          <w:tcPr>
            <w:tcW w:w="568" w:type="dxa"/>
          </w:tcPr>
          <w:p>
            <w:pPr>
              <w:spacing w:before="120" w:after="120"/>
              <w:rPr>
                <w:rFonts w:ascii="Times New Roman" w:hAnsi="Times New Roman" w:cs="Times New Roman"/>
                <w:b/>
                <w:noProof/>
                <w:sz w:val="24"/>
                <w:szCs w:val="24"/>
                <w:lang w:val="bg-BG"/>
              </w:rPr>
            </w:pPr>
            <w:r>
              <w:rPr>
                <w:rFonts w:ascii="Times New Roman" w:hAnsi="Times New Roman"/>
                <w:b/>
                <w:noProof/>
                <w:sz w:val="24"/>
                <w:lang w:val="bg-BG"/>
              </w:rPr>
              <w:t>III.</w:t>
            </w:r>
          </w:p>
        </w:tc>
        <w:tc>
          <w:tcPr>
            <w:tcW w:w="8720" w:type="dxa"/>
            <w:gridSpan w:val="2"/>
          </w:tcPr>
          <w:p>
            <w:pPr>
              <w:spacing w:before="120" w:after="120"/>
              <w:rPr>
                <w:rFonts w:ascii="Times New Roman" w:hAnsi="Times New Roman" w:cs="Times New Roman"/>
                <w:b/>
                <w:noProof/>
                <w:sz w:val="24"/>
                <w:szCs w:val="24"/>
                <w:lang w:val="bg-BG"/>
              </w:rPr>
            </w:pPr>
            <w:r>
              <w:rPr>
                <w:rFonts w:ascii="Times New Roman" w:hAnsi="Times New Roman"/>
                <w:b/>
                <w:noProof/>
                <w:sz w:val="24"/>
                <w:lang w:val="bg-BG"/>
              </w:rPr>
              <w:t>Неправителствени организации (НПО)</w:t>
            </w:r>
          </w:p>
        </w:tc>
      </w:tr>
      <w:tr>
        <w:tc>
          <w:tcPr>
            <w:tcW w:w="568" w:type="dxa"/>
          </w:tcPr>
          <w:p>
            <w:pPr>
              <w:spacing w:before="120" w:after="120"/>
              <w:rPr>
                <w:rFonts w:ascii="Times New Roman" w:hAnsi="Times New Roman" w:cs="Times New Roman"/>
                <w:noProof/>
                <w:sz w:val="24"/>
                <w:szCs w:val="24"/>
                <w:lang w:val="bg-BG"/>
              </w:rPr>
            </w:pPr>
            <w:r>
              <w:rPr>
                <w:rFonts w:ascii="Times New Roman" w:hAnsi="Times New Roman"/>
                <w:noProof/>
                <w:sz w:val="24"/>
                <w:lang w:val="bg-BG"/>
              </w:rPr>
              <w:t>а</w:t>
            </w:r>
          </w:p>
        </w:tc>
        <w:tc>
          <w:tcPr>
            <w:tcW w:w="1838" w:type="dxa"/>
          </w:tcPr>
          <w:p>
            <w:pPr>
              <w:spacing w:before="120" w:after="120"/>
              <w:rPr>
                <w:rFonts w:ascii="Times New Roman" w:hAnsi="Times New Roman" w:cs="Times New Roman"/>
                <w:noProof/>
                <w:sz w:val="24"/>
                <w:szCs w:val="24"/>
                <w:lang w:val="bg-BG"/>
              </w:rPr>
            </w:pPr>
            <w:r>
              <w:rPr>
                <w:rFonts w:ascii="Times New Roman" w:hAnsi="Times New Roman"/>
                <w:noProof/>
                <w:sz w:val="24"/>
                <w:lang w:val="bg-BG"/>
              </w:rPr>
              <w:t>Подраздел</w:t>
            </w:r>
          </w:p>
        </w:tc>
        <w:tc>
          <w:tcPr>
            <w:tcW w:w="6882" w:type="dxa"/>
          </w:tcPr>
          <w:p>
            <w:pPr>
              <w:rPr>
                <w:rFonts w:ascii="Times New Roman" w:hAnsi="Times New Roman" w:cs="Times New Roman"/>
                <w:noProof/>
                <w:spacing w:val="-4"/>
                <w:sz w:val="24"/>
                <w:szCs w:val="24"/>
                <w:lang w:val="bg-BG"/>
              </w:rPr>
            </w:pPr>
            <w:r>
              <w:rPr>
                <w:rFonts w:ascii="Times New Roman" w:hAnsi="Times New Roman"/>
                <w:noProof/>
                <w:spacing w:val="-4"/>
                <w:sz w:val="24"/>
                <w:lang w:val="bg-BG"/>
              </w:rPr>
              <w:t>Неправителствени организации, платформи, мрежи, специални коалиции ad hoc, временни структури и други сходни организации</w:t>
            </w:r>
          </w:p>
        </w:tc>
      </w:tr>
      <w:tr>
        <w:tc>
          <w:tcPr>
            <w:tcW w:w="568" w:type="dxa"/>
          </w:tcPr>
          <w:p>
            <w:pPr>
              <w:spacing w:before="120" w:after="120"/>
              <w:rPr>
                <w:rFonts w:ascii="Times New Roman" w:hAnsi="Times New Roman" w:cs="Times New Roman"/>
                <w:b/>
                <w:noProof/>
                <w:sz w:val="24"/>
                <w:szCs w:val="24"/>
                <w:lang w:val="bg-BG"/>
              </w:rPr>
            </w:pPr>
            <w:r>
              <w:rPr>
                <w:rFonts w:ascii="Times New Roman" w:hAnsi="Times New Roman"/>
                <w:b/>
                <w:noProof/>
                <w:sz w:val="24"/>
                <w:lang w:val="bg-BG"/>
              </w:rPr>
              <w:t>IV.</w:t>
            </w:r>
          </w:p>
        </w:tc>
        <w:tc>
          <w:tcPr>
            <w:tcW w:w="8720" w:type="dxa"/>
            <w:gridSpan w:val="2"/>
          </w:tcPr>
          <w:p>
            <w:pPr>
              <w:spacing w:before="120" w:after="120"/>
              <w:rPr>
                <w:rFonts w:ascii="Times New Roman" w:hAnsi="Times New Roman" w:cs="Times New Roman"/>
                <w:b/>
                <w:noProof/>
                <w:sz w:val="24"/>
                <w:szCs w:val="24"/>
                <w:lang w:val="bg-BG"/>
              </w:rPr>
            </w:pPr>
            <w:r>
              <w:rPr>
                <w:rFonts w:ascii="Times New Roman" w:hAnsi="Times New Roman"/>
                <w:b/>
                <w:noProof/>
                <w:sz w:val="24"/>
                <w:lang w:val="bg-BG"/>
              </w:rPr>
              <w:t>Мозъчни тръстове, научноизследователски и академични институции</w:t>
            </w:r>
          </w:p>
        </w:tc>
      </w:tr>
      <w:tr>
        <w:tc>
          <w:tcPr>
            <w:tcW w:w="568" w:type="dxa"/>
          </w:tcPr>
          <w:p>
            <w:pPr>
              <w:spacing w:before="120" w:after="120"/>
              <w:rPr>
                <w:rFonts w:ascii="Times New Roman" w:hAnsi="Times New Roman" w:cs="Times New Roman"/>
                <w:noProof/>
                <w:sz w:val="24"/>
                <w:szCs w:val="24"/>
                <w:lang w:val="bg-BG"/>
              </w:rPr>
            </w:pPr>
            <w:r>
              <w:rPr>
                <w:rFonts w:ascii="Times New Roman" w:hAnsi="Times New Roman"/>
                <w:noProof/>
                <w:sz w:val="24"/>
                <w:lang w:val="bg-BG"/>
              </w:rPr>
              <w:t>а</w:t>
            </w:r>
          </w:p>
        </w:tc>
        <w:tc>
          <w:tcPr>
            <w:tcW w:w="1838" w:type="dxa"/>
          </w:tcPr>
          <w:p>
            <w:pPr>
              <w:spacing w:before="120" w:after="120"/>
              <w:rPr>
                <w:rFonts w:ascii="Times New Roman" w:hAnsi="Times New Roman" w:cs="Times New Roman"/>
                <w:noProof/>
                <w:sz w:val="24"/>
                <w:szCs w:val="24"/>
                <w:lang w:val="bg-BG"/>
              </w:rPr>
            </w:pPr>
            <w:r>
              <w:rPr>
                <w:rFonts w:ascii="Times New Roman" w:hAnsi="Times New Roman"/>
                <w:noProof/>
                <w:sz w:val="24"/>
                <w:lang w:val="bg-BG"/>
              </w:rPr>
              <w:t>Подраздел</w:t>
            </w:r>
          </w:p>
        </w:tc>
        <w:tc>
          <w:tcPr>
            <w:tcW w:w="6882" w:type="dxa"/>
          </w:tcPr>
          <w:p>
            <w:pPr>
              <w:spacing w:before="120" w:after="120"/>
              <w:rPr>
                <w:rFonts w:ascii="Times New Roman" w:hAnsi="Times New Roman" w:cs="Times New Roman"/>
                <w:noProof/>
                <w:sz w:val="24"/>
                <w:szCs w:val="24"/>
                <w:lang w:val="bg-BG"/>
              </w:rPr>
            </w:pPr>
            <w:r>
              <w:rPr>
                <w:rFonts w:ascii="Times New Roman" w:hAnsi="Times New Roman"/>
                <w:noProof/>
                <w:sz w:val="24"/>
                <w:lang w:val="bg-BG"/>
              </w:rPr>
              <w:t>Мозъчни тръстове и научноизследователски институции</w:t>
            </w:r>
          </w:p>
        </w:tc>
      </w:tr>
      <w:tr>
        <w:tc>
          <w:tcPr>
            <w:tcW w:w="568" w:type="dxa"/>
          </w:tcPr>
          <w:p>
            <w:pPr>
              <w:spacing w:before="120" w:after="120"/>
              <w:rPr>
                <w:rFonts w:ascii="Times New Roman" w:hAnsi="Times New Roman" w:cs="Times New Roman"/>
                <w:noProof/>
                <w:sz w:val="24"/>
                <w:szCs w:val="24"/>
                <w:lang w:val="bg-BG"/>
              </w:rPr>
            </w:pPr>
            <w:r>
              <w:rPr>
                <w:rFonts w:ascii="Times New Roman" w:hAnsi="Times New Roman"/>
                <w:noProof/>
                <w:sz w:val="24"/>
                <w:lang w:val="bg-BG"/>
              </w:rPr>
              <w:t>б</w:t>
            </w:r>
          </w:p>
        </w:tc>
        <w:tc>
          <w:tcPr>
            <w:tcW w:w="1838" w:type="dxa"/>
          </w:tcPr>
          <w:p>
            <w:pPr>
              <w:spacing w:before="120" w:after="120"/>
              <w:rPr>
                <w:rFonts w:ascii="Times New Roman" w:hAnsi="Times New Roman" w:cs="Times New Roman"/>
                <w:noProof/>
                <w:sz w:val="24"/>
                <w:szCs w:val="24"/>
                <w:lang w:val="bg-BG"/>
              </w:rPr>
            </w:pPr>
            <w:r>
              <w:rPr>
                <w:rFonts w:ascii="Times New Roman" w:hAnsi="Times New Roman"/>
                <w:noProof/>
                <w:sz w:val="24"/>
                <w:lang w:val="bg-BG"/>
              </w:rPr>
              <w:t>Подраздел</w:t>
            </w:r>
          </w:p>
        </w:tc>
        <w:tc>
          <w:tcPr>
            <w:tcW w:w="6882" w:type="dxa"/>
          </w:tcPr>
          <w:p>
            <w:pPr>
              <w:spacing w:before="120" w:after="120"/>
              <w:rPr>
                <w:rFonts w:ascii="Times New Roman" w:hAnsi="Times New Roman" w:cs="Times New Roman"/>
                <w:noProof/>
                <w:sz w:val="24"/>
                <w:szCs w:val="24"/>
                <w:lang w:val="bg-BG"/>
              </w:rPr>
            </w:pPr>
            <w:r>
              <w:rPr>
                <w:rFonts w:ascii="Times New Roman" w:hAnsi="Times New Roman"/>
                <w:noProof/>
                <w:sz w:val="24"/>
                <w:lang w:val="bg-BG"/>
              </w:rPr>
              <w:t>Академични институции</w:t>
            </w:r>
          </w:p>
        </w:tc>
      </w:tr>
      <w:tr>
        <w:tc>
          <w:tcPr>
            <w:tcW w:w="568" w:type="dxa"/>
          </w:tcPr>
          <w:p>
            <w:pPr>
              <w:spacing w:before="120" w:after="120"/>
              <w:rPr>
                <w:rFonts w:ascii="Times New Roman" w:hAnsi="Times New Roman" w:cs="Times New Roman"/>
                <w:b/>
                <w:noProof/>
                <w:sz w:val="24"/>
                <w:szCs w:val="24"/>
                <w:lang w:val="bg-BG"/>
              </w:rPr>
            </w:pPr>
            <w:r>
              <w:rPr>
                <w:rFonts w:ascii="Times New Roman" w:hAnsi="Times New Roman"/>
                <w:b/>
                <w:noProof/>
                <w:sz w:val="24"/>
                <w:lang w:val="bg-BG"/>
              </w:rPr>
              <w:t>V.</w:t>
            </w:r>
          </w:p>
        </w:tc>
        <w:tc>
          <w:tcPr>
            <w:tcW w:w="8720" w:type="dxa"/>
            <w:gridSpan w:val="2"/>
          </w:tcPr>
          <w:p>
            <w:pPr>
              <w:spacing w:before="120" w:after="120"/>
              <w:rPr>
                <w:rFonts w:ascii="Times New Roman" w:hAnsi="Times New Roman" w:cs="Times New Roman"/>
                <w:b/>
                <w:noProof/>
                <w:sz w:val="24"/>
                <w:szCs w:val="24"/>
                <w:lang w:val="bg-BG"/>
              </w:rPr>
            </w:pPr>
            <w:r>
              <w:rPr>
                <w:rFonts w:ascii="Times New Roman" w:hAnsi="Times New Roman"/>
                <w:b/>
                <w:noProof/>
                <w:sz w:val="24"/>
                <w:lang w:val="bg-BG"/>
              </w:rPr>
              <w:t>Представители на интереси, които не са обхванати от предходните раздели</w:t>
            </w:r>
          </w:p>
        </w:tc>
      </w:tr>
      <w:tr>
        <w:tc>
          <w:tcPr>
            <w:tcW w:w="568" w:type="dxa"/>
            <w:tcBorders>
              <w:bottom w:val="single" w:sz="4" w:space="0" w:color="auto"/>
            </w:tcBorders>
          </w:tcPr>
          <w:p>
            <w:pPr>
              <w:spacing w:before="120" w:after="120"/>
              <w:rPr>
                <w:rFonts w:ascii="Times New Roman" w:hAnsi="Times New Roman" w:cs="Times New Roman"/>
                <w:noProof/>
                <w:sz w:val="24"/>
                <w:szCs w:val="24"/>
                <w:lang w:val="bg-BG"/>
              </w:rPr>
            </w:pPr>
            <w:r>
              <w:rPr>
                <w:rFonts w:ascii="Times New Roman" w:hAnsi="Times New Roman"/>
                <w:noProof/>
                <w:sz w:val="24"/>
                <w:lang w:val="bg-BG"/>
              </w:rPr>
              <w:t>а</w:t>
            </w:r>
          </w:p>
        </w:tc>
        <w:tc>
          <w:tcPr>
            <w:tcW w:w="1838" w:type="dxa"/>
            <w:tcBorders>
              <w:bottom w:val="single" w:sz="4" w:space="0" w:color="auto"/>
            </w:tcBorders>
          </w:tcPr>
          <w:p>
            <w:pPr>
              <w:spacing w:before="120" w:after="120"/>
              <w:rPr>
                <w:rFonts w:ascii="Times New Roman" w:hAnsi="Times New Roman" w:cs="Times New Roman"/>
                <w:noProof/>
                <w:sz w:val="24"/>
                <w:szCs w:val="24"/>
                <w:lang w:val="bg-BG"/>
              </w:rPr>
            </w:pPr>
            <w:r>
              <w:rPr>
                <w:rFonts w:ascii="Times New Roman" w:hAnsi="Times New Roman"/>
                <w:noProof/>
                <w:sz w:val="24"/>
                <w:lang w:val="bg-BG"/>
              </w:rPr>
              <w:t>Подраздел</w:t>
            </w:r>
          </w:p>
        </w:tc>
        <w:tc>
          <w:tcPr>
            <w:tcW w:w="6882" w:type="dxa"/>
            <w:tcBorders>
              <w:bottom w:val="single" w:sz="4" w:space="0" w:color="auto"/>
            </w:tcBorders>
          </w:tcPr>
          <w:p>
            <w:pPr>
              <w:spacing w:before="120" w:after="120"/>
              <w:rPr>
                <w:rFonts w:ascii="Times New Roman" w:hAnsi="Times New Roman" w:cs="Times New Roman"/>
                <w:noProof/>
                <w:sz w:val="24"/>
                <w:szCs w:val="24"/>
                <w:lang w:val="bg-BG"/>
              </w:rPr>
            </w:pPr>
            <w:r>
              <w:rPr>
                <w:rFonts w:ascii="Times New Roman" w:hAnsi="Times New Roman"/>
                <w:noProof/>
                <w:sz w:val="24"/>
                <w:lang w:val="bg-BG"/>
              </w:rPr>
              <w:t xml:space="preserve">Организации, представляващи църкви и религиозни общности </w:t>
            </w:r>
          </w:p>
        </w:tc>
      </w:tr>
      <w:tr>
        <w:tblPrEx>
          <w:tblBorders>
            <w:left w:val="single" w:sz="4" w:space="0" w:color="auto"/>
            <w:right w:val="single" w:sz="4" w:space="0" w:color="auto"/>
          </w:tblBorders>
        </w:tblPrEx>
        <w:tc>
          <w:tcPr>
            <w:tcW w:w="568" w:type="dxa"/>
            <w:tcBorders>
              <w:left w:val="nil"/>
            </w:tcBorders>
          </w:tcPr>
          <w:p>
            <w:pPr>
              <w:spacing w:before="120" w:after="120"/>
              <w:rPr>
                <w:rFonts w:ascii="Times New Roman" w:hAnsi="Times New Roman" w:cs="Times New Roman"/>
                <w:noProof/>
                <w:sz w:val="24"/>
                <w:szCs w:val="24"/>
                <w:lang w:val="bg-BG"/>
              </w:rPr>
            </w:pPr>
            <w:r>
              <w:rPr>
                <w:rFonts w:ascii="Times New Roman" w:hAnsi="Times New Roman"/>
                <w:noProof/>
                <w:sz w:val="24"/>
                <w:lang w:val="bg-BG"/>
              </w:rPr>
              <w:t>б</w:t>
            </w:r>
          </w:p>
        </w:tc>
        <w:tc>
          <w:tcPr>
            <w:tcW w:w="1838" w:type="dxa"/>
          </w:tcPr>
          <w:p>
            <w:pPr>
              <w:spacing w:before="120" w:after="120"/>
              <w:rPr>
                <w:rFonts w:ascii="Times New Roman" w:hAnsi="Times New Roman" w:cs="Times New Roman"/>
                <w:noProof/>
                <w:sz w:val="24"/>
                <w:szCs w:val="24"/>
                <w:lang w:val="bg-BG"/>
              </w:rPr>
            </w:pPr>
            <w:r>
              <w:rPr>
                <w:rFonts w:ascii="Times New Roman" w:hAnsi="Times New Roman"/>
                <w:noProof/>
                <w:sz w:val="24"/>
                <w:lang w:val="bg-BG"/>
              </w:rPr>
              <w:t>Подраздел</w:t>
            </w:r>
          </w:p>
        </w:tc>
        <w:tc>
          <w:tcPr>
            <w:tcW w:w="6882" w:type="dxa"/>
            <w:tcBorders>
              <w:right w:val="nil"/>
            </w:tcBorders>
          </w:tcPr>
          <w:p>
            <w:pPr>
              <w:spacing w:before="120" w:after="120"/>
              <w:rPr>
                <w:rFonts w:ascii="Times New Roman" w:hAnsi="Times New Roman" w:cs="Times New Roman"/>
                <w:noProof/>
                <w:spacing w:val="-4"/>
                <w:sz w:val="24"/>
                <w:szCs w:val="24"/>
                <w:lang w:val="bg-BG"/>
              </w:rPr>
            </w:pPr>
            <w:r>
              <w:rPr>
                <w:rFonts w:ascii="Times New Roman" w:hAnsi="Times New Roman"/>
                <w:noProof/>
                <w:spacing w:val="-4"/>
                <w:sz w:val="24"/>
                <w:lang w:val="bg-BG"/>
              </w:rPr>
              <w:t xml:space="preserve">Други образувания, които не са обхванати от предходните раздели </w:t>
            </w:r>
          </w:p>
        </w:tc>
      </w:tr>
    </w:tbl>
    <w:p>
      <w:pPr>
        <w:rPr>
          <w:rFonts w:ascii="Times New Roman" w:hAnsi="Times New Roman" w:cs="Times New Roman"/>
          <w:noProof/>
          <w:sz w:val="24"/>
          <w:szCs w:val="24"/>
          <w:lang w:val="bg-BG"/>
        </w:rPr>
      </w:pPr>
      <w:r>
        <w:rPr>
          <w:noProof/>
          <w:lang w:val="bg-BG"/>
        </w:rPr>
        <w:br w:type="page"/>
      </w:r>
    </w:p>
    <w:p>
      <w:pPr>
        <w:jc w:val="both"/>
        <w:rPr>
          <w:rFonts w:ascii="Times New Roman" w:hAnsi="Times New Roman" w:cs="Times New Roman"/>
          <w:b/>
          <w:noProof/>
          <w:sz w:val="24"/>
          <w:szCs w:val="24"/>
          <w:lang w:val="bg-BG"/>
        </w:rPr>
      </w:pPr>
      <w:r>
        <w:rPr>
          <w:rFonts w:ascii="Times New Roman" w:hAnsi="Times New Roman"/>
          <w:b/>
          <w:noProof/>
          <w:sz w:val="24"/>
          <w:lang w:val="bg-BG"/>
        </w:rPr>
        <w:t>ПРИЛОЖЕНИЕ II</w:t>
      </w:r>
    </w:p>
    <w:p>
      <w:pPr>
        <w:rPr>
          <w:rFonts w:ascii="Times New Roman" w:hAnsi="Times New Roman" w:cs="Times New Roman"/>
          <w:noProof/>
          <w:color w:val="0070C0"/>
          <w:sz w:val="24"/>
          <w:szCs w:val="24"/>
          <w:lang w:val="bg-BG"/>
        </w:rPr>
      </w:pPr>
    </w:p>
    <w:p>
      <w:pPr>
        <w:jc w:val="both"/>
        <w:rPr>
          <w:rFonts w:ascii="Times New Roman" w:hAnsi="Times New Roman" w:cs="Times New Roman"/>
          <w:b/>
          <w:noProof/>
          <w:sz w:val="24"/>
          <w:szCs w:val="24"/>
          <w:lang w:val="bg-BG"/>
        </w:rPr>
      </w:pPr>
      <w:r>
        <w:rPr>
          <w:rFonts w:ascii="Times New Roman" w:hAnsi="Times New Roman"/>
          <w:b/>
          <w:noProof/>
          <w:sz w:val="24"/>
          <w:lang w:val="bg-BG"/>
        </w:rPr>
        <w:t>ИНФОРМАЦИЯ, ПРЕДОСТАВЯНА ОТ РЕГИСТРАНТИТЕ</w:t>
      </w:r>
    </w:p>
    <w:p>
      <w:pPr>
        <w:jc w:val="both"/>
        <w:rPr>
          <w:rFonts w:ascii="Times New Roman" w:hAnsi="Times New Roman" w:cs="Times New Roman"/>
          <w:noProof/>
          <w:sz w:val="24"/>
          <w:szCs w:val="24"/>
          <w:lang w:val="bg-BG"/>
        </w:rPr>
      </w:pPr>
    </w:p>
    <w:p>
      <w:pPr>
        <w:jc w:val="both"/>
        <w:rPr>
          <w:rFonts w:ascii="Times New Roman" w:hAnsi="Times New Roman" w:cs="Times New Roman"/>
          <w:b/>
          <w:noProof/>
          <w:sz w:val="24"/>
          <w:szCs w:val="24"/>
          <w:lang w:val="bg-BG"/>
        </w:rPr>
      </w:pPr>
      <w:r>
        <w:rPr>
          <w:rFonts w:ascii="Times New Roman" w:hAnsi="Times New Roman"/>
          <w:b/>
          <w:noProof/>
          <w:sz w:val="24"/>
          <w:lang w:val="bg-BG"/>
        </w:rPr>
        <w:t xml:space="preserve">I.   ОБЩА ИНФОРМАЦИЯ </w:t>
      </w:r>
    </w:p>
    <w:p>
      <w:pPr>
        <w:jc w:val="both"/>
        <w:rPr>
          <w:rFonts w:ascii="Times New Roman" w:hAnsi="Times New Roman" w:cs="Times New Roman"/>
          <w:noProof/>
          <w:sz w:val="24"/>
          <w:szCs w:val="24"/>
          <w:lang w:val="bg-BG"/>
        </w:rPr>
      </w:pPr>
      <w:r>
        <w:rPr>
          <w:rFonts w:ascii="Times New Roman" w:hAnsi="Times New Roman"/>
          <w:noProof/>
          <w:sz w:val="24"/>
          <w:lang w:val="bg-BG"/>
        </w:rPr>
        <w:t>а) наименование на образуванието; адрес на седалището и на офиса в ЕС, ако е различен от този на седалището; телефонен номер; адрес на електронна поща</w:t>
      </w:r>
      <w:r>
        <w:rPr>
          <w:rStyle w:val="FootnoteReference"/>
          <w:rFonts w:ascii="Times New Roman" w:hAnsi="Times New Roman"/>
          <w:noProof/>
          <w:sz w:val="24"/>
          <w:lang w:val="bg-BG"/>
        </w:rPr>
        <w:footnoteReference w:id="1"/>
      </w:r>
      <w:r>
        <w:rPr>
          <w:rFonts w:ascii="Times New Roman" w:hAnsi="Times New Roman"/>
          <w:noProof/>
          <w:sz w:val="24"/>
          <w:lang w:val="bg-BG"/>
        </w:rPr>
        <w:t>; уебсайт;</w:t>
      </w:r>
    </w:p>
    <w:p>
      <w:pPr>
        <w:jc w:val="both"/>
        <w:rPr>
          <w:rFonts w:ascii="Times New Roman" w:hAnsi="Times New Roman" w:cs="Times New Roman"/>
          <w:noProof/>
          <w:sz w:val="24"/>
          <w:szCs w:val="24"/>
          <w:lang w:val="bg-BG"/>
        </w:rPr>
      </w:pPr>
      <w:r>
        <w:rPr>
          <w:rFonts w:ascii="Times New Roman" w:hAnsi="Times New Roman"/>
          <w:noProof/>
          <w:sz w:val="24"/>
          <w:lang w:val="bg-BG"/>
        </w:rPr>
        <w:t>б) име на юридически отговорното за организацията лице и име на лицето, отговарящо за отношенията с ЕС; имена на лицата с разрешение за достъп до сградите на Европейския парламент</w:t>
      </w:r>
      <w:r>
        <w:rPr>
          <w:rStyle w:val="FootnoteReference"/>
          <w:rFonts w:ascii="Times New Roman" w:hAnsi="Times New Roman"/>
          <w:noProof/>
          <w:sz w:val="24"/>
          <w:lang w:val="bg-BG"/>
        </w:rPr>
        <w:footnoteReference w:id="2"/>
      </w:r>
      <w:r>
        <w:rPr>
          <w:rFonts w:ascii="Times New Roman" w:hAnsi="Times New Roman"/>
          <w:noProof/>
          <w:sz w:val="24"/>
          <w:lang w:val="bg-BG"/>
        </w:rPr>
        <w:t>;</w:t>
      </w:r>
    </w:p>
    <w:p>
      <w:pPr>
        <w:jc w:val="both"/>
        <w:rPr>
          <w:rFonts w:ascii="Times New Roman" w:hAnsi="Times New Roman" w:cs="Times New Roman"/>
          <w:noProof/>
          <w:sz w:val="24"/>
          <w:szCs w:val="24"/>
          <w:lang w:val="bg-BG"/>
        </w:rPr>
      </w:pPr>
      <w:r>
        <w:rPr>
          <w:rFonts w:ascii="Times New Roman" w:hAnsi="Times New Roman"/>
          <w:noProof/>
          <w:sz w:val="24"/>
          <w:lang w:val="bg-BG"/>
        </w:rPr>
        <w:t xml:space="preserve">в) приблизителна оценка на еквивалентите на пълно работно време (ЕПРВ) за всички лица, участващи в дейности, попадащи в обхвата на регистъра, според следните проценти на заетост на пълен работен ден: 10%, 25%, 50%, 75% или 100%; </w:t>
      </w:r>
    </w:p>
    <w:p>
      <w:pPr>
        <w:jc w:val="both"/>
        <w:rPr>
          <w:rFonts w:ascii="Times New Roman" w:hAnsi="Times New Roman" w:cs="Times New Roman"/>
          <w:noProof/>
          <w:sz w:val="24"/>
          <w:szCs w:val="24"/>
          <w:lang w:val="bg-BG"/>
        </w:rPr>
      </w:pPr>
      <w:r>
        <w:rPr>
          <w:rFonts w:ascii="Times New Roman" w:hAnsi="Times New Roman"/>
          <w:noProof/>
          <w:sz w:val="24"/>
          <w:lang w:val="bg-BG"/>
        </w:rPr>
        <w:t>г) цели/мандат — области на интерес — дейности, попадащи в обхвата на регистъра — равнище на ангажираност (на световно, европейско, национално, регионално равнище);</w:t>
      </w:r>
    </w:p>
    <w:p>
      <w:pPr>
        <w:jc w:val="both"/>
        <w:rPr>
          <w:rFonts w:ascii="Times New Roman" w:hAnsi="Times New Roman" w:cs="Times New Roman"/>
          <w:noProof/>
          <w:sz w:val="24"/>
          <w:szCs w:val="24"/>
          <w:lang w:val="bg-BG"/>
        </w:rPr>
      </w:pPr>
      <w:r>
        <w:rPr>
          <w:rFonts w:ascii="Times New Roman" w:hAnsi="Times New Roman"/>
          <w:noProof/>
          <w:sz w:val="24"/>
          <w:lang w:val="bg-BG"/>
        </w:rPr>
        <w:t>д) организации — членки на регистранта, включително географски обхват и членство или участие на регистранта в съответни мрежи и сдружения, попадащи в обхвата на регистъра.</w:t>
      </w:r>
    </w:p>
    <w:p>
      <w:pPr>
        <w:jc w:val="both"/>
        <w:rPr>
          <w:rFonts w:ascii="Times New Roman" w:hAnsi="Times New Roman" w:cs="Times New Roman"/>
          <w:noProof/>
          <w:sz w:val="24"/>
          <w:szCs w:val="24"/>
          <w:lang w:val="bg-BG"/>
        </w:rPr>
      </w:pPr>
    </w:p>
    <w:p>
      <w:pPr>
        <w:jc w:val="both"/>
        <w:rPr>
          <w:rFonts w:ascii="Times New Roman" w:hAnsi="Times New Roman" w:cs="Times New Roman"/>
          <w:b/>
          <w:noProof/>
          <w:sz w:val="24"/>
          <w:szCs w:val="24"/>
          <w:lang w:val="bg-BG"/>
        </w:rPr>
      </w:pPr>
      <w:r>
        <w:rPr>
          <w:rFonts w:ascii="Times New Roman" w:hAnsi="Times New Roman"/>
          <w:b/>
          <w:noProof/>
          <w:sz w:val="24"/>
          <w:lang w:val="bg-BG"/>
        </w:rPr>
        <w:t xml:space="preserve">II.   СПЕЦИАЛНА ИНФОРМАЦИЯ </w:t>
      </w:r>
    </w:p>
    <w:p>
      <w:pPr>
        <w:jc w:val="both"/>
        <w:rPr>
          <w:rFonts w:ascii="Times New Roman" w:hAnsi="Times New Roman" w:cs="Times New Roman"/>
          <w:b/>
          <w:noProof/>
          <w:sz w:val="24"/>
          <w:szCs w:val="24"/>
          <w:lang w:val="bg-BG"/>
        </w:rPr>
      </w:pPr>
      <w:r>
        <w:rPr>
          <w:rFonts w:ascii="Times New Roman" w:hAnsi="Times New Roman"/>
          <w:b/>
          <w:noProof/>
          <w:sz w:val="24"/>
          <w:lang w:val="bg-BG"/>
        </w:rPr>
        <w:t xml:space="preserve">А.   Дейности, попадащи в обхвата на регистъра </w:t>
      </w:r>
    </w:p>
    <w:p>
      <w:pPr>
        <w:jc w:val="both"/>
        <w:rPr>
          <w:rFonts w:ascii="Times New Roman" w:hAnsi="Times New Roman" w:cs="Times New Roman"/>
          <w:noProof/>
          <w:sz w:val="24"/>
          <w:szCs w:val="24"/>
          <w:lang w:val="bg-BG"/>
        </w:rPr>
      </w:pPr>
      <w:r>
        <w:rPr>
          <w:rFonts w:ascii="Times New Roman" w:hAnsi="Times New Roman"/>
          <w:noProof/>
          <w:sz w:val="24"/>
          <w:lang w:val="bg-BG"/>
        </w:rPr>
        <w:t xml:space="preserve">Информация за законодателните предложения, политиките или инициативите на ЕС, предмет на взаимодействието(ята). </w:t>
      </w:r>
    </w:p>
    <w:p>
      <w:pPr>
        <w:jc w:val="both"/>
        <w:rPr>
          <w:rFonts w:ascii="Times New Roman" w:hAnsi="Times New Roman" w:cs="Times New Roman"/>
          <w:b/>
          <w:noProof/>
          <w:sz w:val="24"/>
          <w:szCs w:val="24"/>
          <w:lang w:val="bg-BG"/>
        </w:rPr>
      </w:pPr>
      <w:r>
        <w:rPr>
          <w:rFonts w:ascii="Times New Roman" w:hAnsi="Times New Roman"/>
          <w:b/>
          <w:noProof/>
          <w:sz w:val="24"/>
          <w:lang w:val="bg-BG"/>
        </w:rPr>
        <w:t xml:space="preserve">Б.   Връзки с институции на ЕС </w:t>
      </w:r>
    </w:p>
    <w:p>
      <w:pPr>
        <w:jc w:val="both"/>
        <w:rPr>
          <w:rFonts w:ascii="Times New Roman" w:hAnsi="Times New Roman" w:cs="Times New Roman"/>
          <w:noProof/>
          <w:sz w:val="24"/>
          <w:szCs w:val="24"/>
          <w:lang w:val="bg-BG"/>
        </w:rPr>
      </w:pPr>
      <w:r>
        <w:rPr>
          <w:rFonts w:ascii="Times New Roman" w:hAnsi="Times New Roman"/>
          <w:noProof/>
          <w:sz w:val="24"/>
          <w:lang w:val="bg-BG"/>
        </w:rPr>
        <w:t>а) членство в експертни групи и други подпомагани от ЕС форуми и платформи;</w:t>
      </w:r>
    </w:p>
    <w:p>
      <w:pPr>
        <w:jc w:val="both"/>
        <w:rPr>
          <w:rFonts w:ascii="Times New Roman" w:hAnsi="Times New Roman" w:cs="Times New Roman"/>
          <w:noProof/>
          <w:sz w:val="24"/>
          <w:szCs w:val="24"/>
          <w:lang w:val="bg-BG"/>
        </w:rPr>
      </w:pPr>
      <w:r>
        <w:rPr>
          <w:rFonts w:ascii="Times New Roman" w:hAnsi="Times New Roman"/>
          <w:noProof/>
          <w:sz w:val="24"/>
          <w:lang w:val="bg-BG"/>
        </w:rPr>
        <w:t>б) членство или участие в интергрупи на Европейския парламент или в промишлени форуми.</w:t>
      </w:r>
    </w:p>
    <w:p>
      <w:pPr>
        <w:rPr>
          <w:rFonts w:ascii="Times New Roman" w:hAnsi="Times New Roman" w:cs="Times New Roman"/>
          <w:noProof/>
          <w:sz w:val="24"/>
          <w:szCs w:val="24"/>
          <w:lang w:val="bg-BG"/>
        </w:rPr>
      </w:pPr>
      <w:r>
        <w:rPr>
          <w:noProof/>
          <w:lang w:val="bg-BG"/>
        </w:rPr>
        <w:br w:type="page"/>
      </w:r>
    </w:p>
    <w:p>
      <w:pPr>
        <w:jc w:val="both"/>
        <w:rPr>
          <w:rFonts w:ascii="Times New Roman" w:hAnsi="Times New Roman" w:cs="Times New Roman"/>
          <w:b/>
          <w:noProof/>
          <w:sz w:val="24"/>
          <w:szCs w:val="24"/>
          <w:lang w:val="bg-BG"/>
        </w:rPr>
      </w:pPr>
      <w:r>
        <w:rPr>
          <w:rFonts w:ascii="Times New Roman" w:hAnsi="Times New Roman"/>
          <w:b/>
          <w:noProof/>
          <w:sz w:val="24"/>
          <w:lang w:val="bg-BG"/>
        </w:rPr>
        <w:t>В.   Финансова информация, свързана с дейностите, попадащи в обхвата на регистъра</w:t>
      </w:r>
    </w:p>
    <w:p>
      <w:pPr>
        <w:jc w:val="both"/>
        <w:rPr>
          <w:rFonts w:ascii="Times New Roman" w:hAnsi="Times New Roman" w:cs="Times New Roman"/>
          <w:noProof/>
          <w:sz w:val="24"/>
          <w:szCs w:val="24"/>
          <w:lang w:val="bg-BG"/>
        </w:rPr>
      </w:pPr>
      <w:r>
        <w:rPr>
          <w:rFonts w:ascii="Times New Roman" w:hAnsi="Times New Roman"/>
          <w:noProof/>
          <w:sz w:val="24"/>
          <w:lang w:val="bg-BG"/>
        </w:rPr>
        <w:t>Всички посочени суми са в евро.</w:t>
      </w:r>
    </w:p>
    <w:p>
      <w:pPr>
        <w:jc w:val="both"/>
        <w:rPr>
          <w:rFonts w:ascii="Times New Roman" w:hAnsi="Times New Roman" w:cs="Times New Roman"/>
          <w:b/>
          <w:noProof/>
          <w:sz w:val="24"/>
          <w:szCs w:val="24"/>
          <w:u w:val="single"/>
          <w:lang w:val="bg-BG"/>
        </w:rPr>
      </w:pPr>
      <w:r>
        <w:rPr>
          <w:rFonts w:ascii="Times New Roman" w:hAnsi="Times New Roman"/>
          <w:b/>
          <w:noProof/>
          <w:sz w:val="24"/>
          <w:u w:val="single"/>
          <w:lang w:val="bg-BG"/>
        </w:rPr>
        <w:t>Разходи</w:t>
      </w:r>
    </w:p>
    <w:p>
      <w:pPr>
        <w:jc w:val="both"/>
        <w:rPr>
          <w:rFonts w:ascii="Times New Roman" w:hAnsi="Times New Roman" w:cs="Times New Roman"/>
          <w:noProof/>
          <w:sz w:val="24"/>
          <w:szCs w:val="24"/>
          <w:lang w:val="bg-BG"/>
        </w:rPr>
      </w:pPr>
      <w:r>
        <w:rPr>
          <w:rFonts w:ascii="Times New Roman" w:hAnsi="Times New Roman"/>
          <w:noProof/>
          <w:sz w:val="24"/>
          <w:lang w:val="bg-BG"/>
        </w:rPr>
        <w:t xml:space="preserve">Всички регистранти, които преследват своите интереси пред някоя от трите институции, представят оценка на годишните разходи, свързани с попадащите в обхвата на регистъра дейности, съгласно таблицата по-долу. Оценката на годишните разходи обхваща цяла година, през която е извършвана дейност, и се позовава на непосредствено приключилата финансова година към датата на регистрация или към момента на годишното актуализиране на детайлите по регистрацията. </w:t>
      </w:r>
    </w:p>
    <w:p>
      <w:pPr>
        <w:jc w:val="both"/>
        <w:rPr>
          <w:rFonts w:ascii="Times New Roman" w:hAnsi="Times New Roman" w:cs="Times New Roman"/>
          <w:noProof/>
          <w:sz w:val="24"/>
          <w:szCs w:val="24"/>
          <w:lang w:val="bg-BG"/>
        </w:rPr>
      </w:pPr>
      <w:r>
        <w:rPr>
          <w:rFonts w:ascii="Times New Roman" w:hAnsi="Times New Roman"/>
          <w:noProof/>
          <w:sz w:val="24"/>
          <w:lang w:val="bg-BG"/>
        </w:rPr>
        <w:t>Годишни разходи за дейности, попадащи в обхвата на регистъра:</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&lt; 10 000</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 xml:space="preserve">10 000 — 24 999 </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 xml:space="preserve">25 000 — 49 999 </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 xml:space="preserve">50 000 — 99 999 </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 xml:space="preserve">100 000 — 199 999 </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 xml:space="preserve">200 000 — 299 999 </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 xml:space="preserve">300 000 — 399 999 </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 xml:space="preserve">400 000 — 499 999 </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 xml:space="preserve">500 000 — 599 999 </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 xml:space="preserve">600 000 — 699 999 </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 xml:space="preserve">700 000 — 799 999 </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 xml:space="preserve">800 000 — 899 999 </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 xml:space="preserve">900 000 — 999 999 </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 xml:space="preserve">1 000 000 — 1 249 999 </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 xml:space="preserve">1 250 000 — 1 499 999 </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 xml:space="preserve">1 500 000 — 1 749 000 </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 xml:space="preserve">1 750 000 — 1 999 999 </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 xml:space="preserve">2 000 000 — 2 249 999 </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 xml:space="preserve">2 250 000 — 2 499 999 </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 xml:space="preserve">2 500 000 — 2 749 000 </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 xml:space="preserve">2 750 000 — 2 999 999 </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 xml:space="preserve">3 000 000 — 3 499 999 </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 xml:space="preserve">3 500 000 — 3 999 999 </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 xml:space="preserve">4 000 000 — 4 499 999 </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 xml:space="preserve">4 500 000 — 4 999 999 </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 xml:space="preserve">5 000 000 — 5 499 999 </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 xml:space="preserve">5 500 000 — 5 999 999 </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 xml:space="preserve">6 000 000 — 6 499 999 </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 xml:space="preserve">6 500 000 — 6 999 999 </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 xml:space="preserve">7 000 000 — 7 999 999 </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 xml:space="preserve">8 000 000 — 8 999 999 </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 xml:space="preserve">9 000 000 — 9 999 999 </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 xml:space="preserve">&gt; 10 000 000 </w:t>
      </w:r>
    </w:p>
    <w:p>
      <w:pPr>
        <w:jc w:val="both"/>
        <w:rPr>
          <w:rFonts w:ascii="Times New Roman" w:hAnsi="Times New Roman" w:cs="Times New Roman"/>
          <w:noProof/>
          <w:sz w:val="24"/>
          <w:szCs w:val="24"/>
          <w:lang w:val="bg-BG"/>
        </w:rPr>
      </w:pPr>
      <w:r>
        <w:rPr>
          <w:rFonts w:ascii="Times New Roman" w:hAnsi="Times New Roman"/>
          <w:noProof/>
          <w:sz w:val="24"/>
          <w:lang w:val="bg-BG"/>
        </w:rPr>
        <w:t>Клиентите декларират всички посредници, които от тяхно име извършват дейности, попадащи в обхвата на регистъра, както и разходите за всеки отделен посредник в съответствие с таблицата по-долу. Оценката на годишните разходи обхваща цяла година, през която е извършвана дейност, и се позовава на непосредствено приключилата финансова година към датата на регистрация или към момента на годишното актуализиране на детайлите по регистрацията.</w:t>
      </w:r>
    </w:p>
    <w:p>
      <w:pPr>
        <w:jc w:val="both"/>
        <w:rPr>
          <w:rFonts w:ascii="Times New Roman" w:hAnsi="Times New Roman" w:cs="Times New Roman"/>
          <w:noProof/>
          <w:sz w:val="24"/>
          <w:szCs w:val="24"/>
          <w:lang w:val="bg-BG"/>
        </w:rPr>
      </w:pPr>
      <w:r>
        <w:rPr>
          <w:rFonts w:ascii="Times New Roman" w:hAnsi="Times New Roman"/>
          <w:noProof/>
          <w:sz w:val="24"/>
          <w:lang w:val="bg-BG"/>
        </w:rPr>
        <w:t>Размер на разходите за представителни дейности за един посредник:</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&lt; 10 000</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10 000 — 24 999</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25 000 — 49 999</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50 000 — 99 999</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100 000 — 199 999</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200 000 — 299 999</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300 000 — 399 999</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400 000 — 499 999</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500 000 — 599 999</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600 000 — 699 999</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700 000 — 799 999</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800 000 — 899 999</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900 000 — 1 000 000</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&gt; 1 000 000</w:t>
      </w:r>
    </w:p>
    <w:p>
      <w:pPr>
        <w:jc w:val="both"/>
        <w:rPr>
          <w:rFonts w:ascii="Times New Roman" w:hAnsi="Times New Roman" w:cs="Times New Roman"/>
          <w:noProof/>
          <w:sz w:val="24"/>
          <w:szCs w:val="24"/>
          <w:lang w:val="bg-BG"/>
        </w:rPr>
      </w:pPr>
      <w:r>
        <w:rPr>
          <w:rFonts w:ascii="Times New Roman" w:hAnsi="Times New Roman"/>
          <w:noProof/>
          <w:sz w:val="24"/>
          <w:lang w:val="bg-BG"/>
        </w:rPr>
        <w:t>Текущите посредници, които не са обхванати от последната приключена финансова година, се декларират поотделно по име.</w:t>
      </w:r>
    </w:p>
    <w:p>
      <w:pPr>
        <w:jc w:val="both"/>
        <w:rPr>
          <w:rFonts w:ascii="Times New Roman" w:hAnsi="Times New Roman" w:cs="Times New Roman"/>
          <w:noProof/>
          <w:sz w:val="24"/>
          <w:szCs w:val="24"/>
          <w:lang w:val="bg-BG"/>
        </w:rPr>
      </w:pPr>
    </w:p>
    <w:p>
      <w:pPr>
        <w:jc w:val="both"/>
        <w:rPr>
          <w:rFonts w:ascii="Times New Roman" w:hAnsi="Times New Roman" w:cs="Times New Roman"/>
          <w:b/>
          <w:noProof/>
          <w:sz w:val="24"/>
          <w:szCs w:val="24"/>
          <w:u w:val="single"/>
          <w:lang w:val="bg-BG"/>
        </w:rPr>
      </w:pPr>
      <w:r>
        <w:rPr>
          <w:rFonts w:ascii="Times New Roman" w:hAnsi="Times New Roman"/>
          <w:b/>
          <w:noProof/>
          <w:sz w:val="24"/>
          <w:u w:val="single"/>
          <w:lang w:val="bg-BG"/>
        </w:rPr>
        <w:t>Приходи</w:t>
      </w:r>
    </w:p>
    <w:p>
      <w:pPr>
        <w:jc w:val="both"/>
        <w:rPr>
          <w:rFonts w:ascii="Times New Roman" w:hAnsi="Times New Roman" w:cs="Times New Roman"/>
          <w:noProof/>
          <w:sz w:val="24"/>
          <w:szCs w:val="24"/>
          <w:lang w:val="bg-BG"/>
        </w:rPr>
      </w:pPr>
      <w:r>
        <w:rPr>
          <w:rFonts w:ascii="Times New Roman" w:hAnsi="Times New Roman"/>
          <w:noProof/>
          <w:sz w:val="24"/>
          <w:lang w:val="bg-BG"/>
        </w:rPr>
        <w:t>Посредниците декларират генерираните годишни приходи от дейности, попадащи в обхвата на регистъра, съгласно таблицата по-долу. Генерираните годишни приходи обхващат цяла година, през която е извършвана дейност, и се отнасят до непосредствено приключилата финансова година към датата на регистрацията или към момента на годишното актуализиране на детайлите по регистрацията.</w:t>
      </w:r>
    </w:p>
    <w:p>
      <w:pPr>
        <w:jc w:val="both"/>
        <w:rPr>
          <w:rFonts w:ascii="Times New Roman" w:hAnsi="Times New Roman" w:cs="Times New Roman"/>
          <w:noProof/>
          <w:sz w:val="24"/>
          <w:szCs w:val="24"/>
          <w:lang w:val="bg-BG"/>
        </w:rPr>
      </w:pPr>
      <w:r>
        <w:rPr>
          <w:rFonts w:ascii="Times New Roman" w:hAnsi="Times New Roman"/>
          <w:noProof/>
          <w:sz w:val="24"/>
          <w:lang w:val="bg-BG"/>
        </w:rPr>
        <w:t>Приходите от отделни клиенти за дейности, обхванати от регистъра, се вписват съгласно таблицата по-долу:</w:t>
      </w:r>
    </w:p>
    <w:p>
      <w:pPr>
        <w:jc w:val="both"/>
        <w:rPr>
          <w:rFonts w:ascii="Times New Roman" w:hAnsi="Times New Roman" w:cs="Times New Roman"/>
          <w:noProof/>
          <w:sz w:val="24"/>
          <w:szCs w:val="24"/>
          <w:lang w:val="bg-BG"/>
        </w:rPr>
      </w:pPr>
      <w:r>
        <w:rPr>
          <w:rFonts w:ascii="Times New Roman" w:hAnsi="Times New Roman"/>
          <w:noProof/>
          <w:sz w:val="24"/>
          <w:lang w:val="bg-BG"/>
        </w:rPr>
        <w:t>Размер на генерираните приходи, за един клиент:</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&lt; 10 000</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10 000 — 24 999</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25 000 — 49 999</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50 000 — 99 999</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100 000 — 199 999</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200 000 — 299 999</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300 000 — 399 999</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400 000 — 499 999</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500 000 — 599 999</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600 000 — 699 999</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700 000 — 799 999</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800 000 — 899 999</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900 000 — 999 999</w:t>
      </w:r>
    </w:p>
    <w:p>
      <w:pPr>
        <w:ind w:left="1134"/>
        <w:jc w:val="both"/>
        <w:rPr>
          <w:rFonts w:ascii="Times New Roman" w:hAnsi="Times New Roman" w:cs="Times New Roman"/>
          <w:noProof/>
          <w:sz w:val="24"/>
          <w:szCs w:val="24"/>
          <w:lang w:val="bg-BG"/>
        </w:rPr>
      </w:pPr>
      <w:r>
        <w:rPr>
          <w:rFonts w:ascii="Times New Roman" w:hAnsi="Times New Roman"/>
          <w:noProof/>
          <w:sz w:val="24"/>
          <w:lang w:val="bg-BG"/>
        </w:rPr>
        <w:t>&gt; 1 000 000</w:t>
      </w:r>
    </w:p>
    <w:p>
      <w:pPr>
        <w:jc w:val="both"/>
        <w:rPr>
          <w:rFonts w:ascii="Times New Roman" w:hAnsi="Times New Roman" w:cs="Times New Roman"/>
          <w:noProof/>
          <w:sz w:val="24"/>
          <w:szCs w:val="24"/>
          <w:lang w:val="bg-BG"/>
        </w:rPr>
      </w:pPr>
    </w:p>
    <w:p>
      <w:pPr>
        <w:jc w:val="both"/>
        <w:rPr>
          <w:rFonts w:ascii="Times New Roman" w:hAnsi="Times New Roman" w:cs="Times New Roman"/>
          <w:noProof/>
          <w:sz w:val="24"/>
          <w:szCs w:val="24"/>
          <w:lang w:val="bg-BG"/>
        </w:rPr>
      </w:pPr>
      <w:r>
        <w:rPr>
          <w:rFonts w:ascii="Times New Roman" w:hAnsi="Times New Roman"/>
          <w:noProof/>
          <w:sz w:val="24"/>
          <w:lang w:val="bg-BG"/>
        </w:rPr>
        <w:t>Общите годишни приходи, генерирани за попадащи в обхвата на регистъра дейности, се изчисляват автоматично от системата на регистъра въз основа на сбора от прогнозираните приходи, генерирани за един клиент.</w:t>
      </w:r>
    </w:p>
    <w:p>
      <w:pPr>
        <w:jc w:val="both"/>
        <w:rPr>
          <w:rFonts w:ascii="Times New Roman" w:hAnsi="Times New Roman" w:cs="Times New Roman"/>
          <w:noProof/>
          <w:sz w:val="24"/>
          <w:szCs w:val="24"/>
          <w:lang w:val="bg-BG"/>
        </w:rPr>
      </w:pPr>
      <w:r>
        <w:rPr>
          <w:rFonts w:ascii="Times New Roman" w:hAnsi="Times New Roman"/>
          <w:noProof/>
          <w:sz w:val="24"/>
          <w:lang w:val="bg-BG"/>
        </w:rPr>
        <w:t>Посредниците декларират всички клиенти, от чието име се извършват дейности, попадащи в обхвата на регистъра.</w:t>
      </w:r>
    </w:p>
    <w:p>
      <w:pPr>
        <w:jc w:val="both"/>
        <w:rPr>
          <w:rFonts w:ascii="Times New Roman" w:hAnsi="Times New Roman" w:cs="Times New Roman"/>
          <w:noProof/>
          <w:sz w:val="24"/>
          <w:szCs w:val="24"/>
          <w:lang w:val="bg-BG"/>
        </w:rPr>
      </w:pPr>
      <w:r>
        <w:rPr>
          <w:rFonts w:ascii="Times New Roman" w:hAnsi="Times New Roman"/>
          <w:noProof/>
          <w:sz w:val="24"/>
          <w:lang w:val="bg-BG"/>
        </w:rPr>
        <w:t>Текущите клиенти, които не са обхванати от последната приключена финансова година, се декларират поотделно по име.</w:t>
      </w:r>
    </w:p>
    <w:p>
      <w:pPr>
        <w:jc w:val="both"/>
        <w:rPr>
          <w:rFonts w:ascii="Times New Roman" w:hAnsi="Times New Roman" w:cs="Times New Roman"/>
          <w:noProof/>
          <w:sz w:val="24"/>
          <w:szCs w:val="24"/>
          <w:lang w:val="bg-BG"/>
        </w:rPr>
      </w:pPr>
      <w:r>
        <w:rPr>
          <w:rFonts w:ascii="Times New Roman" w:hAnsi="Times New Roman"/>
          <w:noProof/>
          <w:sz w:val="24"/>
          <w:lang w:val="bg-BG"/>
        </w:rPr>
        <w:t xml:space="preserve">Посредниците, действащи в собствен интерес (т.е. не от името на своите клиенти), декларират това в своя формуляр за регистрация и посочват отделно разходите за тези дейности съгласно раздела за разходи по-горе. </w:t>
      </w:r>
    </w:p>
    <w:p>
      <w:pPr>
        <w:jc w:val="both"/>
        <w:rPr>
          <w:rFonts w:ascii="Times New Roman" w:hAnsi="Times New Roman" w:cs="Times New Roman"/>
          <w:noProof/>
          <w:sz w:val="24"/>
          <w:szCs w:val="24"/>
          <w:lang w:val="bg-BG"/>
        </w:rPr>
      </w:pPr>
      <w:r>
        <w:rPr>
          <w:rFonts w:ascii="Times New Roman" w:hAnsi="Times New Roman"/>
          <w:noProof/>
          <w:sz w:val="24"/>
          <w:lang w:val="bg-BG"/>
        </w:rPr>
        <w:t>Всички регистранти, включително посредниците, които извършват дейности, попадащи в обхвата на настоящото споразумение, декларират сумата и източника на безвъзмездни средства от ЕС, които допълват техните оперативни разходи.</w:t>
      </w:r>
    </w:p>
    <w:p>
      <w:pPr>
        <w:jc w:val="both"/>
        <w:rPr>
          <w:rFonts w:ascii="Times New Roman" w:hAnsi="Times New Roman" w:cs="Times New Roman"/>
          <w:noProof/>
          <w:sz w:val="24"/>
          <w:szCs w:val="24"/>
          <w:lang w:val="bg-BG"/>
        </w:rPr>
      </w:pPr>
    </w:p>
    <w:p>
      <w:pPr>
        <w:jc w:val="both"/>
        <w:rPr>
          <w:rFonts w:ascii="Times New Roman" w:hAnsi="Times New Roman" w:cs="Times New Roman"/>
          <w:b/>
          <w:noProof/>
          <w:sz w:val="24"/>
          <w:szCs w:val="24"/>
          <w:u w:val="single"/>
          <w:lang w:val="bg-BG"/>
        </w:rPr>
      </w:pPr>
      <w:r>
        <w:rPr>
          <w:rFonts w:ascii="Times New Roman" w:hAnsi="Times New Roman"/>
          <w:b/>
          <w:noProof/>
          <w:sz w:val="24"/>
          <w:u w:val="single"/>
          <w:lang w:val="bg-BG"/>
        </w:rPr>
        <w:t>Специфични задължения за информация</w:t>
      </w:r>
    </w:p>
    <w:p>
      <w:pPr>
        <w:jc w:val="both"/>
        <w:rPr>
          <w:rFonts w:ascii="Times New Roman" w:hAnsi="Times New Roman" w:cs="Times New Roman"/>
          <w:noProof/>
          <w:sz w:val="24"/>
          <w:szCs w:val="24"/>
          <w:lang w:val="bg-BG"/>
        </w:rPr>
      </w:pPr>
      <w:r>
        <w:rPr>
          <w:rFonts w:ascii="Times New Roman" w:hAnsi="Times New Roman"/>
          <w:noProof/>
          <w:sz w:val="24"/>
          <w:lang w:val="bg-BG"/>
        </w:rPr>
        <w:t>Регистрантите, които са законно регистрирани като образувания „с нестопанска цел“ предоставят данни за:</w:t>
      </w:r>
    </w:p>
    <w:p>
      <w:pPr>
        <w:ind w:left="709" w:hanging="709"/>
        <w:jc w:val="both"/>
        <w:rPr>
          <w:rFonts w:ascii="Times New Roman" w:hAnsi="Times New Roman" w:cs="Times New Roman"/>
          <w:noProof/>
          <w:sz w:val="24"/>
          <w:szCs w:val="24"/>
          <w:lang w:val="bg-BG"/>
        </w:rPr>
      </w:pPr>
      <w:r>
        <w:rPr>
          <w:rFonts w:ascii="Times New Roman" w:hAnsi="Times New Roman"/>
          <w:noProof/>
          <w:sz w:val="24"/>
          <w:lang w:val="bg-BG"/>
        </w:rPr>
        <w:t>а)</w:t>
      </w:r>
      <w:r>
        <w:rPr>
          <w:noProof/>
          <w:lang w:val="bg-BG"/>
        </w:rPr>
        <w:tab/>
      </w:r>
      <w:r>
        <w:rPr>
          <w:rFonts w:ascii="Times New Roman" w:hAnsi="Times New Roman"/>
          <w:noProof/>
          <w:sz w:val="24"/>
          <w:lang w:val="bg-BG"/>
        </w:rPr>
        <w:t xml:space="preserve">общия бюджет на регистранта за последната приключена финансова година; </w:t>
      </w:r>
    </w:p>
    <w:p>
      <w:pPr>
        <w:ind w:left="709" w:hanging="709"/>
        <w:jc w:val="both"/>
        <w:rPr>
          <w:rFonts w:ascii="Times New Roman" w:hAnsi="Times New Roman" w:cs="Times New Roman"/>
          <w:noProof/>
          <w:sz w:val="24"/>
          <w:szCs w:val="24"/>
          <w:lang w:val="bg-BG"/>
        </w:rPr>
      </w:pPr>
      <w:r>
        <w:rPr>
          <w:rFonts w:ascii="Times New Roman" w:hAnsi="Times New Roman"/>
          <w:noProof/>
          <w:sz w:val="24"/>
          <w:lang w:val="bg-BG"/>
        </w:rPr>
        <w:t>б)</w:t>
      </w:r>
      <w:r>
        <w:rPr>
          <w:noProof/>
          <w:lang w:val="bg-BG"/>
        </w:rPr>
        <w:tab/>
      </w:r>
      <w:r>
        <w:rPr>
          <w:rFonts w:ascii="Times New Roman" w:hAnsi="Times New Roman"/>
          <w:noProof/>
          <w:sz w:val="24"/>
          <w:lang w:val="bg-BG"/>
        </w:rPr>
        <w:t>основните източници на финансиране, разбити по категории (например публично финансиране, членски вноски, безвъзмездни средства, дарения и др.);</w:t>
      </w:r>
    </w:p>
    <w:p>
      <w:pPr>
        <w:ind w:left="709" w:hanging="709"/>
        <w:jc w:val="both"/>
        <w:rPr>
          <w:rFonts w:ascii="Times New Roman" w:hAnsi="Times New Roman" w:cs="Times New Roman"/>
          <w:noProof/>
          <w:sz w:val="24"/>
          <w:szCs w:val="24"/>
          <w:lang w:val="bg-BG"/>
        </w:rPr>
      </w:pPr>
      <w:r>
        <w:rPr>
          <w:rFonts w:ascii="Times New Roman" w:hAnsi="Times New Roman"/>
          <w:noProof/>
          <w:sz w:val="24"/>
          <w:lang w:val="bg-BG"/>
        </w:rPr>
        <w:t xml:space="preserve">в) </w:t>
      </w:r>
      <w:r>
        <w:rPr>
          <w:noProof/>
          <w:lang w:val="bg-BG"/>
        </w:rPr>
        <w:tab/>
      </w:r>
      <w:r>
        <w:rPr>
          <w:rFonts w:ascii="Times New Roman" w:hAnsi="Times New Roman"/>
          <w:noProof/>
          <w:sz w:val="24"/>
          <w:lang w:val="bg-BG"/>
        </w:rPr>
        <w:t>сумата на всяка вноска, надхвърляща 10% от общия бюджет, ако вноските са в размер над 10 000 евро, както и името на вносителя.</w:t>
      </w:r>
    </w:p>
    <w:p>
      <w:pPr>
        <w:jc w:val="both"/>
        <w:rPr>
          <w:rFonts w:ascii="Times New Roman" w:hAnsi="Times New Roman" w:cs="Times New Roman"/>
          <w:b/>
          <w:noProof/>
          <w:sz w:val="24"/>
          <w:szCs w:val="24"/>
          <w:u w:val="single"/>
          <w:lang w:val="bg-BG"/>
        </w:rPr>
      </w:pPr>
      <w:r>
        <w:rPr>
          <w:rFonts w:ascii="Times New Roman" w:hAnsi="Times New Roman"/>
          <w:b/>
          <w:noProof/>
          <w:sz w:val="24"/>
          <w:u w:val="single"/>
          <w:lang w:val="bg-BG"/>
        </w:rPr>
        <w:t>Изпълнение</w:t>
      </w:r>
    </w:p>
    <w:p>
      <w:pPr>
        <w:jc w:val="both"/>
        <w:rPr>
          <w:rFonts w:ascii="Times New Roman" w:hAnsi="Times New Roman" w:cs="Times New Roman"/>
          <w:noProof/>
          <w:sz w:val="24"/>
          <w:szCs w:val="24"/>
          <w:lang w:val="bg-BG"/>
        </w:rPr>
      </w:pPr>
      <w:r>
        <w:rPr>
          <w:rFonts w:ascii="Times New Roman" w:hAnsi="Times New Roman"/>
          <w:noProof/>
          <w:sz w:val="24"/>
          <w:lang w:val="bg-BG"/>
        </w:rPr>
        <w:t xml:space="preserve">Секретариатът предоставя онлайн формуляр за регистрация и насоки за регистрантите относно финансовите условия, които трябва да се декларират съгласно настоящото приложение. </w:t>
      </w:r>
      <w:r>
        <w:rPr>
          <w:noProof/>
          <w:lang w:val="bg-BG"/>
        </w:rPr>
        <w:br w:type="page"/>
      </w:r>
    </w:p>
    <w:p>
      <w:pPr>
        <w:jc w:val="both"/>
        <w:rPr>
          <w:rFonts w:ascii="Times New Roman" w:hAnsi="Times New Roman" w:cs="Times New Roman"/>
          <w:b/>
          <w:noProof/>
          <w:sz w:val="24"/>
          <w:szCs w:val="24"/>
          <w:lang w:val="bg-BG"/>
        </w:rPr>
      </w:pPr>
      <w:r>
        <w:rPr>
          <w:rFonts w:ascii="Times New Roman" w:hAnsi="Times New Roman"/>
          <w:b/>
          <w:noProof/>
          <w:sz w:val="24"/>
          <w:lang w:val="bg-BG"/>
        </w:rPr>
        <w:t>ПРИЛОЖЕНИЕ III</w:t>
      </w:r>
    </w:p>
    <w:p>
      <w:pPr>
        <w:rPr>
          <w:rFonts w:ascii="Times New Roman" w:hAnsi="Times New Roman" w:cs="Times New Roman"/>
          <w:noProof/>
          <w:color w:val="0070C0"/>
          <w:sz w:val="24"/>
          <w:szCs w:val="24"/>
          <w:lang w:val="bg-BG"/>
        </w:rPr>
      </w:pPr>
    </w:p>
    <w:p>
      <w:pPr>
        <w:jc w:val="both"/>
        <w:rPr>
          <w:rFonts w:ascii="Times New Roman" w:hAnsi="Times New Roman" w:cs="Times New Roman"/>
          <w:b/>
          <w:noProof/>
          <w:sz w:val="24"/>
          <w:szCs w:val="24"/>
          <w:lang w:val="bg-BG"/>
        </w:rPr>
      </w:pPr>
      <w:r>
        <w:rPr>
          <w:rFonts w:ascii="Times New Roman" w:hAnsi="Times New Roman"/>
          <w:b/>
          <w:noProof/>
          <w:sz w:val="24"/>
          <w:lang w:val="bg-BG"/>
        </w:rPr>
        <w:t>КОДЕКС ЗА ПОВЕДЕНИЕ</w:t>
      </w:r>
    </w:p>
    <w:p>
      <w:pPr>
        <w:jc w:val="both"/>
        <w:rPr>
          <w:rFonts w:ascii="Times New Roman" w:hAnsi="Times New Roman" w:cs="Times New Roman"/>
          <w:noProof/>
          <w:sz w:val="24"/>
          <w:szCs w:val="24"/>
          <w:lang w:val="bg-BG"/>
        </w:rPr>
      </w:pPr>
    </w:p>
    <w:p>
      <w:pPr>
        <w:jc w:val="both"/>
        <w:rPr>
          <w:rFonts w:ascii="Times New Roman" w:hAnsi="Times New Roman" w:cs="Times New Roman"/>
          <w:noProof/>
          <w:sz w:val="24"/>
          <w:szCs w:val="24"/>
          <w:lang w:val="bg-BG"/>
        </w:rPr>
      </w:pPr>
      <w:r>
        <w:rPr>
          <w:rFonts w:ascii="Times New Roman" w:hAnsi="Times New Roman"/>
          <w:noProof/>
          <w:sz w:val="24"/>
          <w:lang w:val="bg-BG"/>
        </w:rPr>
        <w:t>Трите институции считат, че регистрираните представители на интереси, които взаимодействат с тях, независимо дали това става еднократно или често, следва да действат в съответствие с настоящия кодекс за поведение.</w:t>
      </w:r>
    </w:p>
    <w:p>
      <w:pPr>
        <w:jc w:val="both"/>
        <w:rPr>
          <w:rFonts w:ascii="Times New Roman" w:hAnsi="Times New Roman" w:cs="Times New Roman"/>
          <w:noProof/>
          <w:sz w:val="24"/>
          <w:szCs w:val="24"/>
          <w:lang w:val="bg-BG"/>
        </w:rPr>
      </w:pPr>
      <w:r>
        <w:rPr>
          <w:rFonts w:ascii="Times New Roman" w:hAnsi="Times New Roman"/>
          <w:noProof/>
          <w:sz w:val="24"/>
          <w:lang w:val="bg-BG"/>
        </w:rPr>
        <w:t xml:space="preserve">Регистрантите признават долупосочения набор от правила и принципи и се съгласяват да ги спазват. По-специално регистрантите: </w:t>
      </w:r>
    </w:p>
    <w:p>
      <w:pPr>
        <w:ind w:left="567"/>
        <w:jc w:val="both"/>
        <w:rPr>
          <w:rFonts w:ascii="Times New Roman" w:hAnsi="Times New Roman" w:cs="Times New Roman"/>
          <w:noProof/>
          <w:sz w:val="24"/>
          <w:szCs w:val="24"/>
          <w:lang w:val="bg-BG"/>
        </w:rPr>
      </w:pPr>
      <w:r>
        <w:rPr>
          <w:rFonts w:ascii="Times New Roman" w:hAnsi="Times New Roman"/>
          <w:noProof/>
          <w:sz w:val="24"/>
          <w:lang w:val="bg-BG"/>
        </w:rPr>
        <w:t>а) в своите отношения с всяка от трите институции винаги се представят по име, регистрационен номер, субекта или субектите, за които работят или които представляват; декларират интересите и целите, които преследват, както и посочват клиентите или членовете, които представляват, и, ако е приложимо, техния регистрационен номер;</w:t>
      </w:r>
    </w:p>
    <w:p>
      <w:pPr>
        <w:ind w:left="567"/>
        <w:jc w:val="both"/>
        <w:rPr>
          <w:rFonts w:ascii="Times New Roman" w:hAnsi="Times New Roman" w:cs="Times New Roman"/>
          <w:noProof/>
          <w:sz w:val="24"/>
          <w:szCs w:val="24"/>
          <w:lang w:val="bg-BG"/>
        </w:rPr>
      </w:pPr>
      <w:r>
        <w:rPr>
          <w:rFonts w:ascii="Times New Roman" w:hAnsi="Times New Roman"/>
          <w:noProof/>
          <w:sz w:val="24"/>
          <w:lang w:val="bg-BG"/>
        </w:rPr>
        <w:t>б) не получават или не правят опити да получат информация или решения по нечестен път, чрез оказване на неправомерен натиск или чрез неподобаващо поведение;</w:t>
      </w:r>
    </w:p>
    <w:p>
      <w:pPr>
        <w:ind w:left="567"/>
        <w:jc w:val="both"/>
        <w:rPr>
          <w:rFonts w:ascii="Times New Roman" w:hAnsi="Times New Roman" w:cs="Times New Roman"/>
          <w:noProof/>
          <w:sz w:val="24"/>
          <w:szCs w:val="24"/>
          <w:lang w:val="bg-BG"/>
        </w:rPr>
      </w:pPr>
      <w:r>
        <w:rPr>
          <w:rFonts w:ascii="Times New Roman" w:hAnsi="Times New Roman"/>
          <w:noProof/>
          <w:sz w:val="24"/>
          <w:lang w:val="bg-BG"/>
        </w:rPr>
        <w:t>в) не представят ефекта от регистрацията по такъв начин, който може да е подвеждащ или да оказва отрицателно въздействие върху репутацията на регистъра, и не използват символите на Съюза, нито на която и да е от трите институции, без изрично разрешение;</w:t>
      </w:r>
    </w:p>
    <w:p>
      <w:pPr>
        <w:ind w:left="567"/>
        <w:jc w:val="both"/>
        <w:rPr>
          <w:rFonts w:ascii="Times New Roman" w:hAnsi="Times New Roman" w:cs="Times New Roman"/>
          <w:noProof/>
          <w:sz w:val="24"/>
          <w:szCs w:val="24"/>
          <w:lang w:val="bg-BG"/>
        </w:rPr>
      </w:pPr>
      <w:r>
        <w:rPr>
          <w:rFonts w:ascii="Times New Roman" w:hAnsi="Times New Roman"/>
          <w:noProof/>
          <w:sz w:val="24"/>
          <w:lang w:val="bg-BG"/>
        </w:rPr>
        <w:t>г) гарантират, че доколкото им е известно, информацията, която те предоставят при регистрацията и която впоследствие управляват в рамките на своите дейности, попадащи в обхвата на регистъра, е пълна, актуална и неподвеждаща; те се съгласяват тази информация да бъде обществено достояние;</w:t>
      </w:r>
    </w:p>
    <w:p>
      <w:pPr>
        <w:ind w:left="567"/>
        <w:jc w:val="both"/>
        <w:rPr>
          <w:rFonts w:ascii="Times New Roman" w:hAnsi="Times New Roman" w:cs="Times New Roman"/>
          <w:noProof/>
          <w:sz w:val="24"/>
          <w:szCs w:val="24"/>
          <w:lang w:val="bg-BG"/>
        </w:rPr>
      </w:pPr>
      <w:r>
        <w:rPr>
          <w:rFonts w:ascii="Times New Roman" w:hAnsi="Times New Roman"/>
          <w:noProof/>
          <w:sz w:val="24"/>
          <w:lang w:val="bg-BG"/>
        </w:rPr>
        <w:t>д) не разпространяват на трети страни срещу заплащане документи, получени от институциите;</w:t>
      </w:r>
    </w:p>
    <w:p>
      <w:pPr>
        <w:ind w:left="567"/>
        <w:jc w:val="both"/>
        <w:rPr>
          <w:rFonts w:ascii="Times New Roman" w:hAnsi="Times New Roman" w:cs="Times New Roman"/>
          <w:noProof/>
          <w:sz w:val="24"/>
          <w:szCs w:val="24"/>
          <w:lang w:val="bg-BG"/>
        </w:rPr>
      </w:pPr>
      <w:r>
        <w:rPr>
          <w:rFonts w:ascii="Times New Roman" w:hAnsi="Times New Roman"/>
          <w:noProof/>
          <w:sz w:val="24"/>
          <w:lang w:val="bg-BG"/>
        </w:rPr>
        <w:t>е) зачитат и избягват всяко възпрепятстване на изпълнението и прилагането на всички правила, кодекси и практики, свързани с доброто управление и прозрачността, установени от трите институции, публикувани на уебсайта на регистъра;</w:t>
      </w:r>
    </w:p>
    <w:p>
      <w:pPr>
        <w:ind w:left="567"/>
        <w:jc w:val="both"/>
        <w:rPr>
          <w:rFonts w:ascii="Times New Roman" w:hAnsi="Times New Roman" w:cs="Times New Roman"/>
          <w:noProof/>
          <w:sz w:val="24"/>
          <w:szCs w:val="24"/>
          <w:lang w:val="bg-BG"/>
        </w:rPr>
      </w:pPr>
      <w:r>
        <w:rPr>
          <w:rFonts w:ascii="Times New Roman" w:hAnsi="Times New Roman"/>
          <w:noProof/>
          <w:sz w:val="24"/>
          <w:lang w:val="bg-BG"/>
        </w:rPr>
        <w:t>ж) не подтикват членове на Европейския парламент (ЕП), членове на Комисията или персонал на която и да е от трите институции да нарушават правилата и стандартите за поведение, приложими спрямо тях;</w:t>
      </w:r>
    </w:p>
    <w:p>
      <w:pPr>
        <w:ind w:left="567"/>
        <w:jc w:val="both"/>
        <w:rPr>
          <w:rFonts w:ascii="Times New Roman" w:hAnsi="Times New Roman" w:cs="Times New Roman"/>
          <w:noProof/>
          <w:sz w:val="24"/>
          <w:szCs w:val="24"/>
          <w:lang w:val="bg-BG"/>
        </w:rPr>
      </w:pPr>
      <w:r>
        <w:rPr>
          <w:rFonts w:ascii="Times New Roman" w:hAnsi="Times New Roman"/>
          <w:noProof/>
          <w:sz w:val="24"/>
          <w:lang w:val="bg-BG"/>
        </w:rPr>
        <w:t>з) ако назначават бивши членове на ЕП, членове на Комисията или персонал на която и да е от трите институции, зачитат задълженията на тези лица за спазване на изискванията и правилата за поверителност, приложими спрямо тях след напускане на съответната институция;</w:t>
      </w:r>
    </w:p>
    <w:p>
      <w:pPr>
        <w:ind w:left="567"/>
        <w:jc w:val="both"/>
        <w:rPr>
          <w:rFonts w:ascii="Times New Roman" w:hAnsi="Times New Roman" w:cs="Times New Roman"/>
          <w:noProof/>
          <w:sz w:val="24"/>
          <w:szCs w:val="24"/>
          <w:lang w:val="bg-BG"/>
        </w:rPr>
      </w:pPr>
      <w:r>
        <w:rPr>
          <w:rFonts w:ascii="Times New Roman" w:hAnsi="Times New Roman"/>
          <w:noProof/>
          <w:sz w:val="24"/>
          <w:lang w:val="bg-BG"/>
        </w:rPr>
        <w:t>и) доколкото са страна по отношение клиент — посредник: i) гарантират, че всички страни по това отношение са вписани в регистъра; и ii) в качеството си на клиенти или посредници дават разрешение за съответното публикуване в регистъра на информацията относно отношението съгласно приложение II към настоящото междуинституционално споразумение;</w:t>
      </w:r>
    </w:p>
    <w:p>
      <w:pPr>
        <w:ind w:left="567"/>
        <w:jc w:val="both"/>
        <w:rPr>
          <w:rFonts w:ascii="Times New Roman" w:hAnsi="Times New Roman" w:cs="Times New Roman"/>
          <w:noProof/>
          <w:sz w:val="24"/>
          <w:szCs w:val="24"/>
          <w:lang w:val="bg-BG"/>
        </w:rPr>
      </w:pPr>
      <w:r>
        <w:rPr>
          <w:rFonts w:ascii="Times New Roman" w:hAnsi="Times New Roman"/>
          <w:noProof/>
          <w:sz w:val="24"/>
          <w:lang w:val="bg-BG"/>
        </w:rPr>
        <w:t>й) дават съгласието си: i) при поискване да предоставят на Секретариата документите и всякакви други удостоверителни материали, които доказват, че отговарят на условията за регистрация, както и че представената информация е точна, и ii) да си сътрудничат лоялно и конструктивно със Секретариата;</w:t>
      </w:r>
    </w:p>
    <w:p>
      <w:pPr>
        <w:ind w:left="567"/>
        <w:jc w:val="both"/>
        <w:rPr>
          <w:rFonts w:ascii="Times New Roman" w:hAnsi="Times New Roman" w:cs="Times New Roman"/>
          <w:noProof/>
          <w:sz w:val="24"/>
          <w:szCs w:val="24"/>
          <w:lang w:val="bg-BG"/>
        </w:rPr>
      </w:pPr>
      <w:r>
        <w:rPr>
          <w:rFonts w:ascii="Times New Roman" w:hAnsi="Times New Roman"/>
          <w:noProof/>
          <w:sz w:val="24"/>
          <w:lang w:val="bg-BG"/>
        </w:rPr>
        <w:t>к) приемат, че спрямо тях може да бъдат образувани процедурите по разследване и, когато е приложимо, да им бъдат наложени мерките, установени в приложение IV;</w:t>
      </w:r>
    </w:p>
    <w:p>
      <w:pPr>
        <w:ind w:left="567"/>
        <w:jc w:val="both"/>
        <w:rPr>
          <w:rFonts w:ascii="Times New Roman" w:hAnsi="Times New Roman" w:cs="Times New Roman"/>
          <w:noProof/>
          <w:sz w:val="24"/>
          <w:szCs w:val="24"/>
          <w:lang w:val="bg-BG"/>
        </w:rPr>
      </w:pPr>
      <w:r>
        <w:rPr>
          <w:rFonts w:ascii="Times New Roman" w:hAnsi="Times New Roman"/>
          <w:noProof/>
          <w:sz w:val="24"/>
          <w:lang w:val="bg-BG"/>
        </w:rPr>
        <w:t>л) предприемат подходящи мерки, за да гарантират, че служителите им, които извършват попадащите в обхвата на регистъра дейности, са уведомени за ангажиментите на регистранта съгласно настоящия кодекс за поведение;</w:t>
      </w:r>
    </w:p>
    <w:p>
      <w:pPr>
        <w:ind w:left="567"/>
        <w:jc w:val="both"/>
        <w:rPr>
          <w:rFonts w:ascii="Times New Roman" w:hAnsi="Times New Roman" w:cs="Times New Roman"/>
          <w:noProof/>
          <w:sz w:val="24"/>
          <w:szCs w:val="24"/>
          <w:lang w:val="bg-BG"/>
        </w:rPr>
      </w:pPr>
      <w:r>
        <w:rPr>
          <w:rFonts w:ascii="Times New Roman" w:hAnsi="Times New Roman"/>
          <w:noProof/>
          <w:sz w:val="24"/>
          <w:lang w:val="bg-BG"/>
        </w:rPr>
        <w:t>м) уведомяват лицата, които представляват в рамките на дейностите, обхванати от междуинституционалното споразумение, за своите задължения спрямо институциите на ЕС, произтичащи от кодекса за поведение;</w:t>
      </w:r>
    </w:p>
    <w:p>
      <w:pPr>
        <w:ind w:left="567"/>
        <w:jc w:val="both"/>
        <w:rPr>
          <w:rFonts w:ascii="Times New Roman" w:hAnsi="Times New Roman" w:cs="Times New Roman"/>
          <w:noProof/>
          <w:sz w:val="24"/>
          <w:szCs w:val="24"/>
          <w:lang w:val="bg-BG"/>
        </w:rPr>
      </w:pPr>
      <w:r>
        <w:rPr>
          <w:rFonts w:ascii="Times New Roman" w:hAnsi="Times New Roman"/>
          <w:noProof/>
          <w:sz w:val="24"/>
          <w:lang w:val="bg-BG"/>
        </w:rPr>
        <w:t>н) съгласяват се да зачитат и да избягват всяко възпрепятстване на специалните правила и договорености за достъп и сигурност, установени от подписалите споразумението институции.</w:t>
      </w:r>
    </w:p>
    <w:p>
      <w:pPr>
        <w:rPr>
          <w:rFonts w:ascii="Times New Roman" w:hAnsi="Times New Roman" w:cs="Times New Roman"/>
          <w:noProof/>
          <w:sz w:val="24"/>
          <w:szCs w:val="24"/>
          <w:lang w:val="bg-BG"/>
        </w:rPr>
      </w:pPr>
      <w:r>
        <w:rPr>
          <w:noProof/>
          <w:lang w:val="bg-BG"/>
        </w:rPr>
        <w:br w:type="page"/>
      </w:r>
    </w:p>
    <w:p>
      <w:pPr>
        <w:rPr>
          <w:rFonts w:ascii="Times New Roman" w:hAnsi="Times New Roman" w:cs="Times New Roman"/>
          <w:noProof/>
          <w:sz w:val="24"/>
          <w:szCs w:val="24"/>
          <w:lang w:val="bg-BG"/>
        </w:rPr>
      </w:pPr>
    </w:p>
    <w:p>
      <w:pPr>
        <w:jc w:val="both"/>
        <w:rPr>
          <w:rFonts w:ascii="Times New Roman" w:hAnsi="Times New Roman" w:cs="Times New Roman"/>
          <w:b/>
          <w:noProof/>
          <w:sz w:val="24"/>
          <w:szCs w:val="24"/>
          <w:lang w:val="bg-BG"/>
        </w:rPr>
      </w:pPr>
      <w:r>
        <w:rPr>
          <w:rFonts w:ascii="Times New Roman" w:hAnsi="Times New Roman"/>
          <w:b/>
          <w:noProof/>
          <w:sz w:val="24"/>
          <w:lang w:val="bg-BG"/>
        </w:rPr>
        <w:t>ПРИЛОЖЕНИЕ IV</w:t>
      </w:r>
    </w:p>
    <w:p>
      <w:pPr>
        <w:rPr>
          <w:rFonts w:ascii="Times New Roman" w:hAnsi="Times New Roman" w:cs="Times New Roman"/>
          <w:noProof/>
          <w:color w:val="0070C0"/>
          <w:sz w:val="24"/>
          <w:szCs w:val="24"/>
          <w:lang w:val="bg-BG"/>
        </w:rPr>
      </w:pPr>
    </w:p>
    <w:p>
      <w:pPr>
        <w:jc w:val="both"/>
        <w:rPr>
          <w:rFonts w:ascii="Times New Roman" w:hAnsi="Times New Roman" w:cs="Times New Roman"/>
          <w:b/>
          <w:noProof/>
          <w:sz w:val="24"/>
          <w:szCs w:val="24"/>
          <w:lang w:val="bg-BG"/>
        </w:rPr>
      </w:pPr>
      <w:r>
        <w:rPr>
          <w:rFonts w:ascii="Times New Roman" w:hAnsi="Times New Roman"/>
          <w:b/>
          <w:noProof/>
          <w:sz w:val="24"/>
          <w:lang w:val="bg-BG"/>
        </w:rPr>
        <w:t>РАЗСЛЕДВАНИЯ И МЕРКИ</w:t>
      </w:r>
    </w:p>
    <w:p>
      <w:pPr>
        <w:pStyle w:val="ListParagraph"/>
        <w:spacing w:after="240"/>
        <w:ind w:left="357"/>
        <w:contextualSpacing w:val="0"/>
        <w:jc w:val="both"/>
        <w:rPr>
          <w:rFonts w:ascii="Times New Roman" w:hAnsi="Times New Roman" w:cs="Times New Roman"/>
          <w:b/>
          <w:noProof/>
          <w:sz w:val="24"/>
          <w:szCs w:val="24"/>
          <w:lang w:val="bg-BG"/>
        </w:rPr>
      </w:pPr>
    </w:p>
    <w:p>
      <w:pPr>
        <w:pStyle w:val="ListParagraph"/>
        <w:numPr>
          <w:ilvl w:val="0"/>
          <w:numId w:val="2"/>
        </w:numPr>
        <w:spacing w:after="240"/>
        <w:ind w:left="357" w:hanging="357"/>
        <w:contextualSpacing w:val="0"/>
        <w:jc w:val="both"/>
        <w:rPr>
          <w:rFonts w:ascii="Times New Roman" w:hAnsi="Times New Roman" w:cs="Times New Roman"/>
          <w:b/>
          <w:noProof/>
          <w:sz w:val="24"/>
          <w:szCs w:val="24"/>
          <w:lang w:val="bg-BG"/>
        </w:rPr>
      </w:pPr>
      <w:r>
        <w:rPr>
          <w:rFonts w:ascii="Times New Roman" w:hAnsi="Times New Roman"/>
          <w:b/>
          <w:noProof/>
          <w:sz w:val="24"/>
          <w:lang w:val="bg-BG"/>
        </w:rPr>
        <w:t>Общи положения</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 xml:space="preserve">Ако Секретариатът научи за възможно неспазване на разпоредбите на Кодекса за поведение, той може да открие разследване. </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Разследването може да бъде открито или въз основа на получена жалба, или по собствена инициатива на Секретариата.</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 xml:space="preserve">Разследването е административна процедура, в която вземат участие Секретариатът и регистрантът. </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 xml:space="preserve">Разпоредбите относно разследванията се прилагат както за разследванията, открити въз основа на получени жалби, така и за разследванията по собствена инициатива. </w:t>
      </w:r>
    </w:p>
    <w:p>
      <w:pPr>
        <w:jc w:val="both"/>
        <w:rPr>
          <w:rFonts w:ascii="Times New Roman" w:hAnsi="Times New Roman" w:cs="Times New Roman"/>
          <w:noProof/>
          <w:sz w:val="24"/>
          <w:szCs w:val="24"/>
          <w:lang w:val="bg-BG"/>
        </w:rPr>
      </w:pPr>
    </w:p>
    <w:p>
      <w:pPr>
        <w:pStyle w:val="ListParagraph"/>
        <w:numPr>
          <w:ilvl w:val="0"/>
          <w:numId w:val="2"/>
        </w:numPr>
        <w:spacing w:after="240"/>
        <w:ind w:left="357" w:hanging="357"/>
        <w:contextualSpacing w:val="0"/>
        <w:jc w:val="both"/>
        <w:rPr>
          <w:rFonts w:ascii="Times New Roman" w:hAnsi="Times New Roman" w:cs="Times New Roman"/>
          <w:b/>
          <w:noProof/>
          <w:sz w:val="24"/>
          <w:szCs w:val="24"/>
          <w:lang w:val="bg-BG"/>
        </w:rPr>
      </w:pPr>
      <w:r>
        <w:rPr>
          <w:rFonts w:ascii="Times New Roman" w:hAnsi="Times New Roman"/>
          <w:b/>
          <w:noProof/>
          <w:sz w:val="24"/>
          <w:lang w:val="bg-BG"/>
        </w:rPr>
        <w:t>Жалби и откриване на разследвания</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Всяко физическо или юридическо лице може да подаде жалба до Секретариата. Жалбите се подават в писмен вид. За да бъде допустима, жалбата:</w:t>
      </w:r>
    </w:p>
    <w:p>
      <w:pPr>
        <w:pStyle w:val="ListParagraph"/>
        <w:numPr>
          <w:ilvl w:val="0"/>
          <w:numId w:val="3"/>
        </w:numPr>
        <w:spacing w:before="120" w:after="120"/>
        <w:contextualSpacing w:val="0"/>
        <w:jc w:val="both"/>
        <w:rPr>
          <w:rFonts w:ascii="Times New Roman" w:hAnsi="Times New Roman" w:cs="Times New Roman"/>
          <w:noProof/>
          <w:sz w:val="24"/>
          <w:szCs w:val="24"/>
          <w:lang w:val="bg-BG"/>
        </w:rPr>
      </w:pPr>
      <w:r>
        <w:rPr>
          <w:rFonts w:ascii="Times New Roman" w:hAnsi="Times New Roman"/>
          <w:noProof/>
          <w:sz w:val="24"/>
          <w:lang w:val="bg-BG"/>
        </w:rPr>
        <w:t>съдържа информация за засегнатия регистрант и в нея ясно се излага в какво се изразява оплакването;</w:t>
      </w:r>
    </w:p>
    <w:p>
      <w:pPr>
        <w:pStyle w:val="ListParagraph"/>
        <w:numPr>
          <w:ilvl w:val="0"/>
          <w:numId w:val="3"/>
        </w:numPr>
        <w:spacing w:before="120" w:after="120"/>
        <w:contextualSpacing w:val="0"/>
        <w:jc w:val="both"/>
        <w:rPr>
          <w:rFonts w:ascii="Times New Roman" w:hAnsi="Times New Roman" w:cs="Times New Roman"/>
          <w:noProof/>
          <w:sz w:val="24"/>
          <w:szCs w:val="24"/>
          <w:lang w:val="bg-BG"/>
        </w:rPr>
      </w:pPr>
      <w:r>
        <w:rPr>
          <w:rFonts w:ascii="Times New Roman" w:hAnsi="Times New Roman"/>
          <w:noProof/>
          <w:sz w:val="24"/>
          <w:lang w:val="bg-BG"/>
        </w:rPr>
        <w:t>съдържа името и координатите на жалбоподателя;</w:t>
      </w:r>
    </w:p>
    <w:p>
      <w:pPr>
        <w:pStyle w:val="ListParagraph"/>
        <w:numPr>
          <w:ilvl w:val="0"/>
          <w:numId w:val="3"/>
        </w:numPr>
        <w:spacing w:before="120" w:after="120"/>
        <w:contextualSpacing w:val="0"/>
        <w:jc w:val="both"/>
        <w:rPr>
          <w:rFonts w:ascii="Times New Roman" w:hAnsi="Times New Roman" w:cs="Times New Roman"/>
          <w:noProof/>
          <w:sz w:val="24"/>
          <w:szCs w:val="24"/>
          <w:lang w:val="bg-BG"/>
        </w:rPr>
      </w:pPr>
      <w:r>
        <w:rPr>
          <w:rFonts w:ascii="Times New Roman" w:hAnsi="Times New Roman"/>
          <w:noProof/>
          <w:sz w:val="24"/>
          <w:lang w:val="bg-BG"/>
        </w:rPr>
        <w:t xml:space="preserve">се подава в срок от една година след предполагаемото нарушение; </w:t>
      </w:r>
    </w:p>
    <w:p>
      <w:pPr>
        <w:pStyle w:val="ListParagraph"/>
        <w:numPr>
          <w:ilvl w:val="0"/>
          <w:numId w:val="3"/>
        </w:numPr>
        <w:spacing w:before="120" w:after="120"/>
        <w:contextualSpacing w:val="0"/>
        <w:jc w:val="both"/>
        <w:rPr>
          <w:rFonts w:ascii="Times New Roman" w:hAnsi="Times New Roman" w:cs="Times New Roman"/>
          <w:noProof/>
          <w:sz w:val="24"/>
          <w:szCs w:val="24"/>
          <w:lang w:val="bg-BG"/>
        </w:rPr>
      </w:pPr>
      <w:r>
        <w:rPr>
          <w:rFonts w:ascii="Times New Roman" w:hAnsi="Times New Roman"/>
          <w:noProof/>
          <w:sz w:val="24"/>
          <w:lang w:val="bg-BG"/>
        </w:rPr>
        <w:t>се подкрепя с подходящи доказателства, показващи разумна вероятност за неспазване на разпоредбите на Кодекса за поведение.</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Секретариатът уведомява жалбоподателя за това дали жалбата е допустима. При недопустими жалби Секретариатът, ако е възможно, уведомява жалбоподателя за начина, по който може да подаде допустима жалба.</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 xml:space="preserve">Без да се засягат предходните параграфи, ако Секретариатът смята, че от недопустима жалба е видно, че е възможно да е допуснато достатъчно сериозно неспазване на разпоредбите на Кодекса за поведение, той може да открие разследване по собствена инициатива. </w:t>
      </w:r>
    </w:p>
    <w:p>
      <w:pPr>
        <w:rPr>
          <w:rFonts w:ascii="Times New Roman" w:hAnsi="Times New Roman" w:cs="Times New Roman"/>
          <w:noProof/>
          <w:sz w:val="24"/>
          <w:szCs w:val="24"/>
          <w:lang w:val="bg-BG"/>
        </w:rPr>
      </w:pPr>
      <w:r>
        <w:rPr>
          <w:noProof/>
          <w:lang w:val="bg-BG"/>
        </w:rPr>
        <w:br w:type="page"/>
      </w:r>
    </w:p>
    <w:p>
      <w:pPr>
        <w:jc w:val="both"/>
        <w:rPr>
          <w:rFonts w:ascii="Times New Roman" w:hAnsi="Times New Roman" w:cs="Times New Roman"/>
          <w:noProof/>
          <w:sz w:val="24"/>
          <w:szCs w:val="24"/>
          <w:lang w:val="bg-BG"/>
        </w:rPr>
      </w:pPr>
    </w:p>
    <w:p>
      <w:pPr>
        <w:pStyle w:val="ListParagraph"/>
        <w:numPr>
          <w:ilvl w:val="0"/>
          <w:numId w:val="2"/>
        </w:numPr>
        <w:spacing w:after="240"/>
        <w:ind w:left="357" w:hanging="357"/>
        <w:contextualSpacing w:val="0"/>
        <w:jc w:val="both"/>
        <w:rPr>
          <w:rFonts w:ascii="Times New Roman" w:hAnsi="Times New Roman" w:cs="Times New Roman"/>
          <w:b/>
          <w:noProof/>
          <w:sz w:val="24"/>
          <w:szCs w:val="24"/>
          <w:lang w:val="bg-BG"/>
        </w:rPr>
      </w:pPr>
      <w:r>
        <w:rPr>
          <w:rFonts w:ascii="Times New Roman" w:hAnsi="Times New Roman"/>
          <w:b/>
          <w:noProof/>
          <w:sz w:val="24"/>
          <w:lang w:val="bg-BG"/>
        </w:rPr>
        <w:t>Искания за разяснение</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 xml:space="preserve">Ако Секретариатът научи за възможно неспазване на разпоредбите на Кодекса за поведение, което би могло да доведе до разследване, той може, ако счете за подходящо и ефективно, да се свърже с въпросния регистрант с искане за разяснение и отстраняване на възможното неспазване. </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 xml:space="preserve">Секретариатът определя разумен срок, в който регистрантът да отговори на искането с оглед на фактическите обстоятелства на възможното неспазване. </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 xml:space="preserve">Ако реакцията на регистранта е удовлетворителна и Секретариатът счете въпроса за уреден, той може да приключи разглеждането на искането и, ако е приложимо, да уведоми жалбоподателя за това. </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Ако отговорът на регистранта не е удовлетворителен, Секретариатът открива разследване, както е описано в раздел 5 от настоящото приложение.</w:t>
      </w:r>
    </w:p>
    <w:p>
      <w:pPr>
        <w:jc w:val="both"/>
        <w:rPr>
          <w:rFonts w:ascii="Times New Roman" w:hAnsi="Times New Roman" w:cs="Times New Roman"/>
          <w:noProof/>
          <w:sz w:val="24"/>
          <w:szCs w:val="24"/>
          <w:lang w:val="bg-BG"/>
        </w:rPr>
      </w:pPr>
    </w:p>
    <w:p>
      <w:pPr>
        <w:pStyle w:val="ListParagraph"/>
        <w:numPr>
          <w:ilvl w:val="0"/>
          <w:numId w:val="2"/>
        </w:numPr>
        <w:spacing w:after="240"/>
        <w:ind w:left="357" w:hanging="357"/>
        <w:contextualSpacing w:val="0"/>
        <w:jc w:val="both"/>
        <w:rPr>
          <w:rFonts w:ascii="Times New Roman" w:hAnsi="Times New Roman" w:cs="Times New Roman"/>
          <w:b/>
          <w:noProof/>
          <w:sz w:val="24"/>
          <w:szCs w:val="24"/>
          <w:lang w:val="bg-BG"/>
        </w:rPr>
      </w:pPr>
      <w:r>
        <w:rPr>
          <w:rFonts w:ascii="Times New Roman" w:hAnsi="Times New Roman"/>
          <w:b/>
          <w:noProof/>
          <w:sz w:val="24"/>
          <w:lang w:val="bg-BG"/>
        </w:rPr>
        <w:t>Правомощия за разследване</w:t>
      </w:r>
    </w:p>
    <w:p>
      <w:pPr>
        <w:pStyle w:val="ListParagraph"/>
        <w:numPr>
          <w:ilvl w:val="1"/>
          <w:numId w:val="2"/>
        </w:numPr>
        <w:spacing w:before="120" w:after="120"/>
        <w:ind w:left="425" w:hanging="425"/>
        <w:contextualSpacing w:val="0"/>
        <w:jc w:val="both"/>
        <w:rPr>
          <w:rFonts w:ascii="Times New Roman" w:hAnsi="Times New Roman" w:cs="Times New Roman"/>
          <w:noProof/>
          <w:sz w:val="24"/>
          <w:szCs w:val="24"/>
          <w:lang w:val="bg-BG"/>
        </w:rPr>
      </w:pPr>
      <w:r>
        <w:rPr>
          <w:rFonts w:ascii="Times New Roman" w:hAnsi="Times New Roman"/>
          <w:noProof/>
          <w:sz w:val="24"/>
          <w:lang w:val="bg-BG"/>
        </w:rPr>
        <w:t xml:space="preserve">Регистрантът изцяло сътрудничи по всяко искане за информация или документи по време на разследването. </w:t>
      </w:r>
    </w:p>
    <w:p>
      <w:pPr>
        <w:pStyle w:val="ListParagraph"/>
        <w:numPr>
          <w:ilvl w:val="1"/>
          <w:numId w:val="2"/>
        </w:numPr>
        <w:spacing w:before="120" w:after="120"/>
        <w:ind w:left="425" w:hanging="425"/>
        <w:contextualSpacing w:val="0"/>
        <w:jc w:val="both"/>
        <w:rPr>
          <w:rFonts w:ascii="Times New Roman" w:hAnsi="Times New Roman" w:cs="Times New Roman"/>
          <w:noProof/>
          <w:sz w:val="24"/>
          <w:szCs w:val="24"/>
          <w:lang w:val="bg-BG"/>
        </w:rPr>
      </w:pPr>
      <w:r>
        <w:rPr>
          <w:rFonts w:ascii="Times New Roman" w:hAnsi="Times New Roman"/>
          <w:noProof/>
          <w:sz w:val="24"/>
          <w:lang w:val="bg-BG"/>
        </w:rPr>
        <w:t xml:space="preserve">При поискване регистрантът предоставя на Секретариата документи от значение за разследването. Секретариатът може да реши да провери и/или да направи копия от подобни документи, които регистрантът съхранява. </w:t>
      </w:r>
    </w:p>
    <w:p>
      <w:pPr>
        <w:pStyle w:val="ListParagraph"/>
        <w:numPr>
          <w:ilvl w:val="1"/>
          <w:numId w:val="2"/>
        </w:numPr>
        <w:spacing w:before="120" w:after="120"/>
        <w:ind w:left="425" w:hanging="425"/>
        <w:contextualSpacing w:val="0"/>
        <w:jc w:val="both"/>
        <w:rPr>
          <w:rFonts w:ascii="Times New Roman" w:hAnsi="Times New Roman" w:cs="Times New Roman"/>
          <w:noProof/>
          <w:sz w:val="24"/>
          <w:szCs w:val="24"/>
          <w:lang w:val="bg-BG"/>
        </w:rPr>
      </w:pPr>
      <w:r>
        <w:rPr>
          <w:rFonts w:ascii="Times New Roman" w:hAnsi="Times New Roman"/>
          <w:noProof/>
          <w:sz w:val="24"/>
          <w:lang w:val="bg-BG"/>
        </w:rPr>
        <w:t xml:space="preserve">Когато Секретариатът проверява документи, той изготвя доклад с информация за фактите от значение за разследването. Регистрантът получава копие от доклада. </w:t>
      </w:r>
    </w:p>
    <w:p>
      <w:pPr>
        <w:pStyle w:val="ListParagraph"/>
        <w:numPr>
          <w:ilvl w:val="1"/>
          <w:numId w:val="2"/>
        </w:numPr>
        <w:spacing w:before="120" w:after="120"/>
        <w:ind w:left="425" w:hanging="425"/>
        <w:contextualSpacing w:val="0"/>
        <w:jc w:val="both"/>
        <w:rPr>
          <w:rFonts w:ascii="Times New Roman" w:hAnsi="Times New Roman" w:cs="Times New Roman"/>
          <w:noProof/>
          <w:sz w:val="24"/>
          <w:szCs w:val="24"/>
          <w:lang w:val="bg-BG"/>
        </w:rPr>
      </w:pPr>
      <w:r>
        <w:rPr>
          <w:rFonts w:ascii="Times New Roman" w:hAnsi="Times New Roman"/>
          <w:noProof/>
          <w:sz w:val="24"/>
          <w:lang w:val="bg-BG"/>
        </w:rPr>
        <w:t>Секретариатът може да реши да изслуша засегнатия регистрант и/или жалбоподателя.</w:t>
      </w:r>
    </w:p>
    <w:p>
      <w:pPr>
        <w:pStyle w:val="ListParagraph"/>
        <w:numPr>
          <w:ilvl w:val="1"/>
          <w:numId w:val="2"/>
        </w:numPr>
        <w:spacing w:before="120" w:after="120"/>
        <w:ind w:left="425" w:hanging="425"/>
        <w:contextualSpacing w:val="0"/>
        <w:jc w:val="both"/>
        <w:rPr>
          <w:rFonts w:ascii="Times New Roman" w:hAnsi="Times New Roman" w:cs="Times New Roman"/>
          <w:noProof/>
          <w:sz w:val="24"/>
          <w:szCs w:val="24"/>
          <w:lang w:val="bg-BG"/>
        </w:rPr>
      </w:pPr>
      <w:r>
        <w:rPr>
          <w:rFonts w:ascii="Times New Roman" w:hAnsi="Times New Roman"/>
          <w:noProof/>
          <w:sz w:val="24"/>
          <w:lang w:val="bg-BG"/>
        </w:rPr>
        <w:t>Регистрантът и жалбоподателят могат да посочат кой документ (или части от него) и/или информация, предоставени от тях въз основа на раздели 4.2—4.4 по-горе, следва да се считат за поверителни във връзка с изключенията в член 4 от Регламент (ЕО) № 1049/2001.</w:t>
      </w:r>
    </w:p>
    <w:p>
      <w:pPr>
        <w:jc w:val="both"/>
        <w:rPr>
          <w:rFonts w:ascii="Times New Roman" w:hAnsi="Times New Roman" w:cs="Times New Roman"/>
          <w:noProof/>
          <w:sz w:val="24"/>
          <w:szCs w:val="24"/>
          <w:lang w:val="bg-BG"/>
        </w:rPr>
      </w:pPr>
    </w:p>
    <w:p>
      <w:pPr>
        <w:pStyle w:val="ListParagraph"/>
        <w:numPr>
          <w:ilvl w:val="0"/>
          <w:numId w:val="2"/>
        </w:numPr>
        <w:spacing w:after="240"/>
        <w:ind w:left="357" w:hanging="357"/>
        <w:contextualSpacing w:val="0"/>
        <w:jc w:val="both"/>
        <w:rPr>
          <w:rFonts w:ascii="Times New Roman" w:hAnsi="Times New Roman" w:cs="Times New Roman"/>
          <w:b/>
          <w:noProof/>
          <w:sz w:val="24"/>
          <w:szCs w:val="24"/>
          <w:lang w:val="bg-BG"/>
        </w:rPr>
      </w:pPr>
      <w:r>
        <w:rPr>
          <w:rFonts w:ascii="Times New Roman" w:hAnsi="Times New Roman"/>
          <w:b/>
          <w:noProof/>
          <w:sz w:val="24"/>
          <w:lang w:val="bg-BG"/>
        </w:rPr>
        <w:t>Разследвания</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 xml:space="preserve">Когато открива разследване, Секретариатът уведомява регистранта за предполагаемото неспазване на определени разпоредби от Кодекса за поведение, за мотивите за разследването и за всички релевантни подкрепящи доказателства. </w:t>
      </w:r>
    </w:p>
    <w:p>
      <w:pPr>
        <w:pStyle w:val="ListParagraph"/>
        <w:spacing w:before="120" w:after="120"/>
        <w:ind w:left="567"/>
        <w:contextualSpacing w:val="0"/>
        <w:jc w:val="both"/>
        <w:rPr>
          <w:rFonts w:ascii="Times New Roman" w:hAnsi="Times New Roman" w:cs="Times New Roman"/>
          <w:noProof/>
          <w:sz w:val="24"/>
          <w:szCs w:val="24"/>
          <w:lang w:val="bg-BG"/>
        </w:rPr>
      </w:pPr>
      <w:r>
        <w:rPr>
          <w:rFonts w:ascii="Times New Roman" w:hAnsi="Times New Roman"/>
          <w:noProof/>
          <w:sz w:val="24"/>
          <w:lang w:val="bg-BG"/>
        </w:rPr>
        <w:t>При изключителни и надлежно обосновани случаи Секретариатът може, в очакване да се вземе предвиденото в раздел 9 решение, да заличи регистрация от публичния уебсайт на регистъра, за да предотврати накърняването на репутацията на институциите на Европейския съюз, регистъра или трети страни. В тези случаи Секретариатът същевременно с това уведомява регистранта за причините за заличаването, както и за всички релевантни подкрепящи доказателства.</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 xml:space="preserve">Регистрантът предоставя отговор в рамките на 20 работни дни. </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 xml:space="preserve">Секретариатът може да реши да предостави по-дълъг срок за предоставяне на отговор, ако това е обосновано от обективните характеристики на даденото разследване. </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 xml:space="preserve">Ако регистрантът не спази срока за подаване на отговор, Секретариатът може, ако още не го е направил, да заличи съответната регистрация от публичния уебсайт на регистъра. Секретариатът може да реши отново да въведе регистрацията, след като регистрантът предостави своя отговор. </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Ако Секретариатът се нуждае от допълнителна информация или разяснения, той може да ги изиска от регистранта съгласно раздели 5.1—5.3 по-горе.</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 xml:space="preserve">Жалбоподателят се уведомява относно откриването на разследването. </w:t>
      </w:r>
    </w:p>
    <w:p>
      <w:pPr>
        <w:jc w:val="both"/>
        <w:rPr>
          <w:rFonts w:ascii="Times New Roman" w:hAnsi="Times New Roman" w:cs="Times New Roman"/>
          <w:noProof/>
          <w:sz w:val="24"/>
          <w:szCs w:val="24"/>
          <w:lang w:val="bg-BG"/>
        </w:rPr>
      </w:pPr>
    </w:p>
    <w:p>
      <w:pPr>
        <w:pStyle w:val="ListParagraph"/>
        <w:numPr>
          <w:ilvl w:val="0"/>
          <w:numId w:val="2"/>
        </w:numPr>
        <w:spacing w:after="240"/>
        <w:ind w:left="357" w:hanging="357"/>
        <w:contextualSpacing w:val="0"/>
        <w:jc w:val="both"/>
        <w:rPr>
          <w:rFonts w:ascii="Times New Roman" w:hAnsi="Times New Roman" w:cs="Times New Roman"/>
          <w:b/>
          <w:noProof/>
          <w:sz w:val="24"/>
          <w:szCs w:val="24"/>
          <w:lang w:val="bg-BG"/>
        </w:rPr>
      </w:pPr>
      <w:r>
        <w:rPr>
          <w:rFonts w:ascii="Times New Roman" w:hAnsi="Times New Roman"/>
          <w:b/>
          <w:noProof/>
          <w:sz w:val="24"/>
          <w:lang w:val="bg-BG"/>
        </w:rPr>
        <w:t>Търсене на решения</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Ако, след като е разгледал всички релевантни елементи от разследването, Секретариатът си състави мнение, че регистрантът не е спазил Кодекса за поведение, той може да потърси решение, каквото счете за подходящо, за отстраняване на това неспазване и/или за смекчаване на бъдещите последици от него.</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Ако засегнатият регистрант сътрудничи за прилагането на това решение, разследването се закрива. Секретариатът може да реши да приложи към сътрудничещите регистранти по-лека мярка или да закрие разследването, без да прилага мерки.</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Ако регистрантът не изпълни решението удовлетворително, Секретариатът може да приключи разследването и да вземе решение въз основа на информацията, с която разполага.</w:t>
      </w:r>
    </w:p>
    <w:p>
      <w:pPr>
        <w:jc w:val="both"/>
        <w:rPr>
          <w:rFonts w:ascii="Times New Roman" w:hAnsi="Times New Roman" w:cs="Times New Roman"/>
          <w:noProof/>
          <w:sz w:val="24"/>
          <w:szCs w:val="24"/>
          <w:lang w:val="bg-BG"/>
        </w:rPr>
      </w:pPr>
    </w:p>
    <w:p>
      <w:pPr>
        <w:pStyle w:val="ListParagraph"/>
        <w:numPr>
          <w:ilvl w:val="0"/>
          <w:numId w:val="2"/>
        </w:numPr>
        <w:spacing w:after="240"/>
        <w:contextualSpacing w:val="0"/>
        <w:jc w:val="both"/>
        <w:rPr>
          <w:rFonts w:ascii="Times New Roman" w:hAnsi="Times New Roman" w:cs="Times New Roman"/>
          <w:b/>
          <w:noProof/>
          <w:sz w:val="24"/>
          <w:szCs w:val="24"/>
          <w:lang w:val="bg-BG"/>
        </w:rPr>
      </w:pPr>
      <w:r>
        <w:rPr>
          <w:rFonts w:ascii="Times New Roman" w:hAnsi="Times New Roman"/>
          <w:b/>
          <w:noProof/>
          <w:sz w:val="24"/>
          <w:lang w:val="bg-BG"/>
        </w:rPr>
        <w:t>Отказ от лоялно и конструктивно сътрудничество със Секретариата</w:t>
      </w:r>
    </w:p>
    <w:p>
      <w:pPr>
        <w:jc w:val="both"/>
        <w:rPr>
          <w:rFonts w:ascii="Times New Roman" w:hAnsi="Times New Roman" w:cs="Times New Roman"/>
          <w:noProof/>
          <w:sz w:val="24"/>
          <w:szCs w:val="24"/>
          <w:lang w:val="bg-BG"/>
        </w:rPr>
      </w:pPr>
      <w:r>
        <w:rPr>
          <w:rFonts w:ascii="Times New Roman" w:hAnsi="Times New Roman"/>
          <w:noProof/>
          <w:sz w:val="24"/>
          <w:lang w:val="bg-BG"/>
        </w:rPr>
        <w:t>Ако Секретариатът счете, че засегнатият регистрант не сътрудничи лоялно и конструктивно по време на етапите на разследване, изложени в раздел 5 по-горе, Секретариатът може, след като е дал на регистранта възможността да представи становището си писмено, да приключи разследването, като включи констатация относно нарушение на точка й) от Кодекса за поведение и приложи мерките в раздел 10 по-долу въз основа на информацията, с която разполага.</w:t>
      </w:r>
    </w:p>
    <w:p>
      <w:pPr>
        <w:jc w:val="both"/>
        <w:rPr>
          <w:rFonts w:ascii="Times New Roman" w:hAnsi="Times New Roman" w:cs="Times New Roman"/>
          <w:b/>
          <w:noProof/>
          <w:sz w:val="24"/>
          <w:szCs w:val="24"/>
          <w:lang w:val="bg-BG"/>
        </w:rPr>
      </w:pPr>
    </w:p>
    <w:p>
      <w:pPr>
        <w:pStyle w:val="ListParagraph"/>
        <w:numPr>
          <w:ilvl w:val="0"/>
          <w:numId w:val="2"/>
        </w:numPr>
        <w:spacing w:after="240"/>
        <w:contextualSpacing w:val="0"/>
        <w:jc w:val="both"/>
        <w:rPr>
          <w:rFonts w:ascii="Times New Roman" w:hAnsi="Times New Roman" w:cs="Times New Roman"/>
          <w:noProof/>
          <w:sz w:val="24"/>
          <w:szCs w:val="24"/>
          <w:lang w:val="bg-BG"/>
        </w:rPr>
      </w:pPr>
      <w:r>
        <w:rPr>
          <w:rFonts w:ascii="Times New Roman" w:hAnsi="Times New Roman"/>
          <w:b/>
          <w:noProof/>
          <w:sz w:val="24"/>
          <w:lang w:val="bg-BG"/>
        </w:rPr>
        <w:t>Право на изслушване</w:t>
      </w:r>
    </w:p>
    <w:p>
      <w:pPr>
        <w:jc w:val="both"/>
        <w:rPr>
          <w:rFonts w:ascii="Times New Roman" w:hAnsi="Times New Roman" w:cs="Times New Roman"/>
          <w:noProof/>
          <w:sz w:val="24"/>
          <w:szCs w:val="24"/>
          <w:lang w:val="bg-BG"/>
        </w:rPr>
      </w:pPr>
      <w:r>
        <w:rPr>
          <w:rFonts w:ascii="Times New Roman" w:hAnsi="Times New Roman"/>
          <w:noProof/>
          <w:sz w:val="24"/>
          <w:lang w:val="bg-BG"/>
        </w:rPr>
        <w:t>Регистрантът има възможността да представи становището си писмено преди вземането на решение, съдържащо заключение за неспазване на Кодекса за поведение.</w:t>
      </w:r>
    </w:p>
    <w:p>
      <w:pPr>
        <w:jc w:val="both"/>
        <w:rPr>
          <w:rFonts w:ascii="Times New Roman" w:hAnsi="Times New Roman" w:cs="Times New Roman"/>
          <w:noProof/>
          <w:sz w:val="24"/>
          <w:szCs w:val="24"/>
          <w:lang w:val="bg-BG"/>
        </w:rPr>
      </w:pPr>
    </w:p>
    <w:p>
      <w:pPr>
        <w:pStyle w:val="ListParagraph"/>
        <w:numPr>
          <w:ilvl w:val="0"/>
          <w:numId w:val="2"/>
        </w:numPr>
        <w:spacing w:after="240"/>
        <w:ind w:left="357" w:hanging="357"/>
        <w:contextualSpacing w:val="0"/>
        <w:jc w:val="both"/>
        <w:rPr>
          <w:rFonts w:ascii="Times New Roman" w:hAnsi="Times New Roman" w:cs="Times New Roman"/>
          <w:b/>
          <w:noProof/>
          <w:sz w:val="24"/>
          <w:szCs w:val="24"/>
          <w:lang w:val="bg-BG"/>
        </w:rPr>
      </w:pPr>
      <w:r>
        <w:rPr>
          <w:rFonts w:ascii="Times New Roman" w:hAnsi="Times New Roman"/>
          <w:b/>
          <w:noProof/>
          <w:sz w:val="24"/>
          <w:lang w:val="bg-BG"/>
        </w:rPr>
        <w:t xml:space="preserve">Решение </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 xml:space="preserve">Секретариатът приключва разследването с обосновано решение. В решението се посочва дали е установено неспазване на Кодекса за поведение и, ако е приложимо, каква мярка е приложена. </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Регистрантите се уведомяват относно правото им да подадат искане за преразглеждане или за средствата за правна защита, които са на тяхно разположение.</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Жалбоподателят се уведомява относно резултата от жалбата.</w:t>
      </w:r>
    </w:p>
    <w:p>
      <w:pPr>
        <w:jc w:val="both"/>
        <w:rPr>
          <w:rFonts w:ascii="Times New Roman" w:hAnsi="Times New Roman" w:cs="Times New Roman"/>
          <w:noProof/>
          <w:sz w:val="24"/>
          <w:szCs w:val="24"/>
          <w:lang w:val="bg-BG"/>
        </w:rPr>
      </w:pPr>
    </w:p>
    <w:p>
      <w:pPr>
        <w:pStyle w:val="ListParagraph"/>
        <w:numPr>
          <w:ilvl w:val="0"/>
          <w:numId w:val="2"/>
        </w:numPr>
        <w:spacing w:after="240"/>
        <w:ind w:left="357" w:hanging="357"/>
        <w:contextualSpacing w:val="0"/>
        <w:jc w:val="both"/>
        <w:rPr>
          <w:rFonts w:ascii="Times New Roman" w:hAnsi="Times New Roman" w:cs="Times New Roman"/>
          <w:b/>
          <w:noProof/>
          <w:sz w:val="24"/>
          <w:szCs w:val="24"/>
          <w:lang w:val="bg-BG"/>
        </w:rPr>
      </w:pPr>
      <w:r>
        <w:rPr>
          <w:rFonts w:ascii="Times New Roman" w:hAnsi="Times New Roman"/>
          <w:b/>
          <w:noProof/>
          <w:sz w:val="24"/>
          <w:lang w:val="bg-BG"/>
        </w:rPr>
        <w:t>Мерки</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Ако Секретариатът установи нарушение на Кодекса за поведение, той може да наложи следните мерки:</w:t>
      </w:r>
    </w:p>
    <w:p>
      <w:pPr>
        <w:ind w:left="851" w:hanging="284"/>
        <w:jc w:val="both"/>
        <w:rPr>
          <w:rFonts w:ascii="Times New Roman" w:hAnsi="Times New Roman" w:cs="Times New Roman"/>
          <w:noProof/>
          <w:sz w:val="24"/>
          <w:szCs w:val="24"/>
          <w:lang w:val="bg-BG"/>
        </w:rPr>
      </w:pPr>
      <w:r>
        <w:rPr>
          <w:rFonts w:ascii="Times New Roman" w:hAnsi="Times New Roman"/>
          <w:noProof/>
          <w:sz w:val="24"/>
          <w:lang w:val="bg-BG"/>
        </w:rPr>
        <w:t>а)</w:t>
      </w:r>
      <w:r>
        <w:rPr>
          <w:noProof/>
          <w:lang w:val="bg-BG"/>
        </w:rPr>
        <w:tab/>
      </w:r>
      <w:r>
        <w:rPr>
          <w:rFonts w:ascii="Times New Roman" w:hAnsi="Times New Roman"/>
          <w:noProof/>
          <w:sz w:val="24"/>
          <w:lang w:val="bg-BG"/>
        </w:rPr>
        <w:t>формално предупреждение до регистранта с посочване на нарушената разпоредба от Кодекса за поведение;</w:t>
      </w:r>
    </w:p>
    <w:p>
      <w:pPr>
        <w:ind w:left="851" w:hanging="284"/>
        <w:jc w:val="both"/>
        <w:rPr>
          <w:rFonts w:ascii="Times New Roman" w:hAnsi="Times New Roman" w:cs="Times New Roman"/>
          <w:noProof/>
          <w:sz w:val="24"/>
          <w:szCs w:val="24"/>
          <w:lang w:val="bg-BG"/>
        </w:rPr>
      </w:pPr>
      <w:r>
        <w:rPr>
          <w:rFonts w:ascii="Times New Roman" w:hAnsi="Times New Roman"/>
          <w:noProof/>
          <w:sz w:val="24"/>
          <w:lang w:val="bg-BG"/>
        </w:rPr>
        <w:t>б) спиране на възможността за отделни или множество видове взаимодействия, с които разполага регистрантът, от посочените в член 5 от междуинституционалното споразумение, за срок от 15 дни до 1 година;</w:t>
      </w:r>
    </w:p>
    <w:p>
      <w:pPr>
        <w:ind w:left="851" w:hanging="284"/>
        <w:jc w:val="both"/>
        <w:rPr>
          <w:rFonts w:ascii="Times New Roman" w:hAnsi="Times New Roman" w:cs="Times New Roman"/>
          <w:noProof/>
          <w:sz w:val="24"/>
          <w:szCs w:val="24"/>
          <w:lang w:val="bg-BG"/>
        </w:rPr>
      </w:pPr>
      <w:r>
        <w:rPr>
          <w:rFonts w:ascii="Times New Roman" w:hAnsi="Times New Roman"/>
          <w:noProof/>
          <w:sz w:val="24"/>
          <w:lang w:val="bg-BG"/>
        </w:rPr>
        <w:t>в)</w:t>
      </w:r>
      <w:r>
        <w:rPr>
          <w:noProof/>
          <w:lang w:val="bg-BG"/>
        </w:rPr>
        <w:tab/>
      </w:r>
      <w:r>
        <w:rPr>
          <w:rFonts w:ascii="Times New Roman" w:hAnsi="Times New Roman"/>
          <w:noProof/>
          <w:sz w:val="24"/>
          <w:lang w:val="bg-BG"/>
        </w:rPr>
        <w:t>заличаване на регистрацията от регистъра за срок от 15 дни до 2 години.</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При вземане на решение относно сериозността на мярката Секретариатът взема надлежно под внимание всички съответни обстоятелства по отделния случай заедно с целите на междуинституционалното споразумение.</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Регистрантите, по отношение на които са спрени отделни или множество видове взаимодействия, не могат да се ползват от въпросните видове взаимодействия до изтичане на срока на спирането им и докато не отстранят удовлетворително причините, довели до спирането, в зависимост от това кой от двата срока е по-дълъг.</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Заличените от регистъра регистрации не могат да бъдат въведени отново до изтичане на срока за заличаване и докато регистрантът не отстрани удовлетворително причините, довели до заличаването.</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 xml:space="preserve">Жалбоподателят се уведомява за окончателния резултат от жалбата и, ако е приложимо, за мерките от раздел 10.1, наложени спрямо регистранта. </w:t>
      </w:r>
    </w:p>
    <w:p>
      <w:pPr>
        <w:jc w:val="both"/>
        <w:rPr>
          <w:rFonts w:ascii="Times New Roman" w:hAnsi="Times New Roman" w:cs="Times New Roman"/>
          <w:noProof/>
          <w:sz w:val="24"/>
          <w:szCs w:val="24"/>
          <w:lang w:val="bg-BG"/>
        </w:rPr>
      </w:pPr>
    </w:p>
    <w:p>
      <w:pPr>
        <w:pStyle w:val="ListParagraph"/>
        <w:numPr>
          <w:ilvl w:val="0"/>
          <w:numId w:val="2"/>
        </w:numPr>
        <w:spacing w:after="240"/>
        <w:ind w:left="357" w:hanging="357"/>
        <w:contextualSpacing w:val="0"/>
        <w:jc w:val="both"/>
        <w:rPr>
          <w:rFonts w:ascii="Times New Roman" w:hAnsi="Times New Roman" w:cs="Times New Roman"/>
          <w:b/>
          <w:noProof/>
          <w:sz w:val="24"/>
          <w:szCs w:val="24"/>
          <w:lang w:val="bg-BG"/>
        </w:rPr>
      </w:pPr>
      <w:r>
        <w:rPr>
          <w:rFonts w:ascii="Times New Roman" w:hAnsi="Times New Roman"/>
          <w:b/>
          <w:noProof/>
          <w:sz w:val="24"/>
          <w:lang w:val="bg-BG"/>
        </w:rPr>
        <w:t>Преразглеждане</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 xml:space="preserve">Регистрантите, спрямо които се прилагат мерките по раздел 10.1, могат да внесат разумно искане за преразглеждане на решението на Секретариата. Изчерпването на процедурата за преразглеждане дава право на регистрантите да използват предвидените в раздел 12 от настоящото приложение средства за правна защита. </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Искането за преразглеждане се изпраща до Управителния съвет в рамките на 15 работни дни след получаване на уведомлението за мярката.</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 xml:space="preserve">Исканията за преразглеждане се преразглеждат от Управителния съвет. </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 xml:space="preserve">Искането за преразглеждане не води до спиране на изпълнението на мярката, освен ако Управителният съвет не реши противното въз основа на обоснованото искане за преразглеждане. </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Управителният съвет уведомява регистранта за резултата от процедурата за преразглеждане в рамките на 20 работни дни. Липсата на отговор в този срок се счита за косвено отхвърляне на искането за преразглеждане.</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lang w:val="bg-BG"/>
        </w:rPr>
      </w:pPr>
      <w:r>
        <w:rPr>
          <w:rFonts w:ascii="Times New Roman" w:hAnsi="Times New Roman"/>
          <w:noProof/>
          <w:sz w:val="24"/>
          <w:lang w:val="bg-BG"/>
        </w:rPr>
        <w:t>Регистрантите, които не са удовлетворени от резултата от процедурата за преразглеждане, могат да използват средствата за правна защита, посочени в раздел 12.</w:t>
      </w:r>
    </w:p>
    <w:p>
      <w:pPr>
        <w:jc w:val="both"/>
        <w:rPr>
          <w:rFonts w:ascii="Times New Roman" w:hAnsi="Times New Roman" w:cs="Times New Roman"/>
          <w:noProof/>
          <w:sz w:val="24"/>
          <w:szCs w:val="24"/>
          <w:lang w:val="bg-BG"/>
        </w:rPr>
      </w:pPr>
    </w:p>
    <w:p>
      <w:pPr>
        <w:pStyle w:val="ListParagraph"/>
        <w:numPr>
          <w:ilvl w:val="0"/>
          <w:numId w:val="2"/>
        </w:numPr>
        <w:spacing w:after="240"/>
        <w:ind w:left="357" w:hanging="357"/>
        <w:contextualSpacing w:val="0"/>
        <w:jc w:val="both"/>
        <w:rPr>
          <w:rFonts w:ascii="Times New Roman" w:hAnsi="Times New Roman" w:cs="Times New Roman"/>
          <w:b/>
          <w:noProof/>
          <w:sz w:val="24"/>
          <w:szCs w:val="24"/>
          <w:lang w:val="bg-BG"/>
        </w:rPr>
      </w:pPr>
      <w:r>
        <w:rPr>
          <w:rFonts w:ascii="Times New Roman" w:hAnsi="Times New Roman"/>
          <w:b/>
          <w:noProof/>
          <w:sz w:val="24"/>
          <w:lang w:val="bg-BG"/>
        </w:rPr>
        <w:t>Средства за правна защита</w:t>
      </w:r>
    </w:p>
    <w:p>
      <w:pPr>
        <w:jc w:val="both"/>
        <w:rPr>
          <w:rFonts w:ascii="Times New Roman" w:hAnsi="Times New Roman" w:cs="Times New Roman"/>
          <w:noProof/>
          <w:sz w:val="24"/>
          <w:szCs w:val="24"/>
          <w:lang w:val="bg-BG"/>
        </w:rPr>
      </w:pPr>
      <w:r>
        <w:rPr>
          <w:rFonts w:ascii="Times New Roman" w:hAnsi="Times New Roman"/>
          <w:noProof/>
          <w:sz w:val="24"/>
          <w:lang w:val="bg-BG"/>
        </w:rPr>
        <w:t xml:space="preserve">Регистрантите, които не са удовлетворени от решението на Управителния съвет, могат да подадат заявление до Съда на ЕС или жалба до Европейския омбудсман съгласно членове 263 и 228 от ДФЕС. </w:t>
      </w:r>
    </w:p>
    <w:p>
      <w:pPr>
        <w:jc w:val="both"/>
        <w:rPr>
          <w:rFonts w:ascii="Times New Roman" w:hAnsi="Times New Roman" w:cs="Times New Roman"/>
          <w:noProof/>
          <w:sz w:val="24"/>
          <w:szCs w:val="24"/>
          <w:lang w:val="bg-BG"/>
        </w:rPr>
      </w:pPr>
    </w:p>
    <w:p>
      <w:pPr>
        <w:rPr>
          <w:rFonts w:ascii="Times New Roman" w:hAnsi="Times New Roman" w:cs="Times New Roman"/>
          <w:noProof/>
          <w:sz w:val="24"/>
          <w:szCs w:val="24"/>
          <w:lang w:val="bg-BG"/>
        </w:rPr>
      </w:pPr>
    </w:p>
    <w:p>
      <w:pPr>
        <w:rPr>
          <w:noProof/>
          <w:lang w:val="bg-BG"/>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25878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Посоченият адрес на електронна поща няма да бъде публикуван. </w:t>
      </w: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Регистрантите могат да поискат разрешение за достъп до сградите на Европейския парламент в края на процеса на регистрация. Имената на лицата, които получават пропуски за сградите на Европейския парламент, се включват в регистъра. Регистрацията не предоставя автоматично право на такъв пропуск.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C379A"/>
    <w:multiLevelType w:val="hybridMultilevel"/>
    <w:tmpl w:val="8A6AA3DE"/>
    <w:lvl w:ilvl="0" w:tplc="E006F178">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E8444B"/>
    <w:multiLevelType w:val="multilevel"/>
    <w:tmpl w:val="04546026"/>
    <w:lvl w:ilvl="0">
      <w:start w:val="1"/>
      <w:numFmt w:val="decimal"/>
      <w:lvlText w:val="%1."/>
      <w:lvlJc w:val="left"/>
      <w:pPr>
        <w:ind w:left="360" w:hanging="360"/>
      </w:pPr>
      <w:rPr>
        <w:b/>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4387673"/>
    <w:multiLevelType w:val="hybridMultilevel"/>
    <w:tmpl w:val="B760633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u1055?\u1088?\u1077?\u1076?\u1083?\u1086?\u1078?\u1077?\u1085?\u1080?\u1077?\u1090?\u1086? \u1079?\u1072? \u1052?\u1077?\u1078?\u1076?\u1091?\u1080?\u1085?\u1089?\u1090?\u1080?\u1090?\u1091?\u1094?\u1080?\u1086?\u1085?\u1072?\u1083?\u1085?\u1086? \u1089?\u1087?\u1086?\u1088?\u1072?\u1079?\u1091?\u1084?\u1077?\u1085?\u1080?\u1077?"/>
    <w:docVar w:name="LW_ANNEX_NBR_FIRST" w:val="1"/>
    <w:docVar w:name="LW_ANNEX_NBR_LAST" w:val="4"/>
    <w:docVar w:name="LW_CONFIDENCE" w:val=" "/>
    <w:docVar w:name="LW_CONST_RESTREINT_UE" w:val="RESTREINT UE"/>
    <w:docVar w:name="LW_CORRIGENDUM" w:val="&lt;UNUSED&gt;"/>
    <w:docVar w:name="LW_COVERPAGE_GUID" w:val="595712B89A654EF6B0800ECB861B3E69"/>
    <w:docVar w:name="LW_CROSSREFERENCE" w:val="&lt;UNUSED&gt;"/>
    <w:docVar w:name="LW_DocType" w:val="NORMAL"/>
    <w:docVar w:name="LW_EMISSION" w:val="28.9.2016"/>
    <w:docVar w:name="LW_EMISSION_ISODATE" w:val="2016-09-28"/>
    <w:docVar w:name="LW_EMISSION_LOCATION" w:val="BRX"/>
    <w:docVar w:name="LW_EMISSION_PREFIX" w:val="Брюксел, "/>
    <w:docVar w:name="LW_EMISSION_SUFFIX" w:val=" \u1075?."/>
    <w:docVar w:name="LW_ID_DOCTYPE_NONLW" w:val="CP-036"/>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79?\u1072?\u1076?\u1098?\u1083?\u1078?\u1080?\u1090?\u1077?\u1083?\u1077?\u1085? \u1056?\u1077?\u1075?\u1080?\u1089?\u1090?\u1098?\u1088? \u1079?\u1072? \u1087?\u1088?\u1086?\u1079?\u1088?\u1072?\u1095?\u1085?\u1086?\u1089?\u1090?"/>
    <w:docVar w:name="LW_PART_NBR" w:val="&lt;UNUSED&gt;"/>
    <w:docVar w:name="LW_PART_NBR_TOTAL" w:val="&lt;UNUSED&gt;"/>
    <w:docVar w:name="LW_REF.INST.NEW" w:val="COM"/>
    <w:docVar w:name="LW_REF.INST.NEW_ADOPTED" w:val="final"/>
    <w:docVar w:name="LW_REF.INST.NEW_TEXT" w:val="(2016) 627"/>
    <w:docVar w:name="LW_REF.INTERNE" w:val="&lt;UNUSED&gt;"/>
    <w:docVar w:name="LW_SUPERTITRE" w:val="&lt;UNUSED&gt;"/>
    <w:docVar w:name="LW_TITRE.OBJ.CP" w:val="&lt;UNUSED&gt;"/>
    <w:docVar w:name="LW_TYPE.DOC.CP" w:val="\u1055?\u1056?\u1048?\u1051?\u1054?\u1046?\u1045?\u1053?\u1048?\u1071?_x000b_"/>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rPr>
      <w:rFonts w:eastAsiaTheme="minorEastAsia"/>
      <w:lang w:eastAsia="zh-CN"/>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rPr>
      <w:rFonts w:eastAsiaTheme="minorEastAsia"/>
      <w:lang w:eastAsia="zh-CN"/>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4CF84-9F77-4942-998D-3BCC8D1E9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2882</Words>
  <Characters>16719</Characters>
  <Application>Microsoft Office Word</Application>
  <DocSecurity>0</DocSecurity>
  <Lines>439</Lines>
  <Paragraphs>268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DE LANDA Rosa Maria (SG)</dc:creator>
  <cp:lastModifiedBy>DIGIT/A3</cp:lastModifiedBy>
  <cp:revision>22</cp:revision>
  <cp:lastPrinted>2016-09-21T14:58:00Z</cp:lastPrinted>
  <dcterms:created xsi:type="dcterms:W3CDTF">2016-09-23T10:07:00Z</dcterms:created>
  <dcterms:modified xsi:type="dcterms:W3CDTF">2016-10-03T15:18:00Z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4</vt:lpwstr>
  </property>
  <property fmtid="{D5CDD505-2E9C-101B-9397-08002B2CF9AE}" pid="4" name="Part">
    <vt:lpwstr>&lt;UNUSED&gt;</vt:lpwstr>
  </property>
  <property fmtid="{D5CDD505-2E9C-101B-9397-08002B2CF9AE}" pid="5" name="Total parts">
    <vt:lpwstr>&lt;UNUSED&gt;</vt:lpwstr>
  </property>
  <property fmtid="{D5CDD505-2E9C-101B-9397-08002B2CF9AE}" pid="6" name="DocStatus">
    <vt:lpwstr>Green</vt:lpwstr>
  </property>
  <property fmtid="{D5CDD505-2E9C-101B-9397-08002B2CF9AE}" pid="7" name="Classification">
    <vt:lpwstr> </vt:lpwstr>
  </property>
</Properties>
</file>